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952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523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Stafford Kristin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ZYMEWORKS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 PATRIOT DRIVE, SUITE 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Zymeworks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ZYME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MIDDLETOWN DE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19709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25.84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04/06/2026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178,000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0000FF"/>
                <w:w w:val="97"/>
              </w:rPr>
              <w:t>178,000</w:t>
            </w:r>
          </w:p>
        </w:tc>
        <w:tc>
          <w:tcPr>
            <w:tcW w:w="40" w:type="dxa"/>
            <w:vAlign w:val="bottom"/>
          </w:tcPr>
          <w:p>
            <w:pPr>
              <w:spacing w:after="0"/>
              <w:rPr>
                <w:sz w:val="17"/>
                <w:szCs w:val="17"/>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178,000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04/06/2026</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119,000</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119,000</w:t>
            </w:r>
          </w:p>
        </w:tc>
        <w:tc>
          <w:tcPr>
            <w:tcW w:w="40" w:type="dxa"/>
            <w:vAlign w:val="bottom"/>
          </w:tcPr>
          <w:p>
            <w:pPr>
              <w:spacing w:after="0"/>
              <w:rPr>
                <w:sz w:val="21"/>
                <w:szCs w:val="21"/>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119,000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04/06/2026</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50,000</w:t>
            </w: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50,000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50,000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-2346325</wp:posOffset>
            </wp:positionV>
            <wp:extent cx="28575" cy="235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vest as follows: (i) 25% of underlying shares of common stock on first anniversary of grant date and (ii) remainder of underlying shares of common stock in 36 equal monthly installments on last day of month following first anniversary of grant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upon vesting of the RSU,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in four equal annual installments beginning on first anniversary of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in three equal annual installments beginning on first anniversary of grant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Catherine Graham, Attorney- </w:t>
      </w:r>
      <w:r>
        <w:rPr>
          <w:rFonts w:ascii="Times New Roman" w:cs="Times New Roman" w:eastAsia="Times New Roman" w:hAnsi="Times New Roman"/>
          <w:sz w:val="33"/>
          <w:szCs w:val="33"/>
          <w:color w:val="0000FF"/>
          <w:vertAlign w:val="subscript"/>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0438" TargetMode="External"/><Relationship Id="rId14" Type="http://schemas.openxmlformats.org/officeDocument/2006/relationships/hyperlink" Target="http://www.sec.gov/cgi-bin/browse-edgar?action=getcompany&amp;CIK=000193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2026-04-07T13:26:34Z</dcterms:created>
  <dcterms:modified xsi:type="dcterms:W3CDTF">2026-04-07T13:26:34Z</dcterms:modified>
</cp:coreProperties>
</file>