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Zymeworks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00" w:type="dxa"/>
        <w:tblCellMar>
          <w:top w:w="0" w:type="dxa"/>
          <w:left w:w="0" w:type="dxa"/>
          <w:bottom w:w="0" w:type="dxa"/>
          <w:right w:w="0" w:type="dxa"/>
        </w:tblCellMar>
      </w:tblPr>
      <w:tr>
        <w:trPr>
          <w:trHeight w:val="150"/>
        </w:trPr>
        <w:tc>
          <w:tcPr>
            <w:tcW w:w="2160" w:type="dxa"/>
            <w:vAlign w:val="bottom"/>
          </w:tcPr>
          <w:p>
            <w:pPr>
              <w:jc w:val="center"/>
              <w:ind w:right="80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4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001-41535</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88-3099146</w:t>
            </w:r>
          </w:p>
        </w:tc>
      </w:tr>
      <w:tr>
        <w:trPr>
          <w:trHeight w:val="104"/>
        </w:trPr>
        <w:tc>
          <w:tcPr>
            <w:tcW w:w="2160" w:type="dxa"/>
            <w:vAlign w:val="bottom"/>
          </w:tcPr>
          <w:p>
            <w:pPr>
              <w:jc w:val="center"/>
              <w:ind w:right="80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340" w:type="dxa"/>
            <w:vAlign w:val="bottom"/>
          </w:tcPr>
          <w:p>
            <w:pPr>
              <w:ind w:left="8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160" w:type="dxa"/>
            <w:vAlign w:val="bottom"/>
          </w:tcPr>
          <w:p>
            <w:pPr>
              <w:jc w:val="center"/>
              <w:ind w:right="805"/>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34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108 Patriot Drive, Suite A</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Middletown, Delaware</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19709</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(302) 274-8744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ZYME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 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8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On June 28, 2026, Zymeworks Inc., a Delaware corporation (“Zymeworks” or “Parent”), entered into an Agreement and Plan of Merger (the “Merger Agreement”) with Zymeworks Merger Sub 1, an exempted company with limited liability incorporated under the Laws of the Cayman Islands and a wholly owned subsidiary of Parent (“Merger Sub”), and Theravance Biopharma, Inc., an exempted company with limited liability incorporated under the Laws of the Cayman Islands (“Theravance” or the “Company”), providing for the merger of Merger Sub with and into the Company (the “Merger”), with the Company surviving the Merger as a wholly owned subsidiary of Parent (the “Surviving Company”). Capitalized terms used herein and not otherwise defined herein have the meanings set forth in the Merger Agreement.</w:t>
      </w:r>
    </w:p>
    <w:p>
      <w:pPr>
        <w:spacing w:after="0" w:line="135"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Pursuant to the Merger Agreement, and upon the terms and subject to the conditions set forth therein, at the effective time of the Merger (the “Effective Time”), each ordinary share, par value $0.00001 per share, of the Company (“Ordinary Shares”) that is issued and outstanding immediately prior to such time (other than shares owned by the Company as treasury shares or by any direct or indirect subsidiary of the Company, Parent or any direct or indirect subsidiary of Parent, and any Dissenting Shares) will be canceled and converted into the right to receive (i) $17.00 in cash, without interest (the “Per Share Cash Consideration”) and (ii) one contingent value right (“CVR”), which shall represent the right to receive the CVR Payment Amount (as defined below), if any, at the times and subject to the terms and conditions provided for in the CVR Agreement (as defined below), in cash, without interest (the Per Share Cash Consideration, together with one CVR, the “Per Share Merger Consideration”).</w:t>
      </w:r>
    </w:p>
    <w:p>
      <w:pPr>
        <w:spacing w:after="0" w:line="136"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color w:val="auto"/>
        </w:rPr>
        <w:t>The respective boards of directors of Parent and Merger Sub have (i) approved the execution, delivery and performance by Parent and Merger Sub of the Merger Agreement and the consummation of the Merger and the other transactions contemplated thereby and (ii) declared it advisable for Parent and Merger Sub to enter into the Merger Agreement. The board of directors of the Company (the “Company Board”), acting upon the unanimous recommendation of the strategic review committee of the Company Board consisting of independent directors (the “Strategic Review Committee”), has</w:t>
      </w:r>
    </w:p>
    <w:p>
      <w:pPr>
        <w:spacing w:after="0" w:line="1" w:lineRule="exact"/>
        <w:rPr>
          <w:sz w:val="20"/>
          <w:szCs w:val="20"/>
          <w:color w:val="auto"/>
        </w:rPr>
      </w:pPr>
    </w:p>
    <w:p>
      <w:pPr>
        <w:ind w:left="640" w:right="759" w:hanging="3"/>
        <w:spacing w:after="0" w:line="244" w:lineRule="auto"/>
        <w:tabs>
          <w:tab w:leader="none" w:pos="8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that it is in the best interests of the Company and declared it advisable, to enter into the Merger Agreement, (b) approved the execution, delivery and performance by the Company of the Merger Agreement (and the consummation of the Merger and the other transactions contemplated thereby, and (c) resolved to recommend the approval and authorization of the Merger Agreement, the Merger and the other transactions contemplated thereby by the shareholders of the Company at the Shareholders Meeting.</w:t>
      </w:r>
    </w:p>
    <w:p>
      <w:pPr>
        <w:spacing w:after="0" w:line="137"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Consummation of the Merger is subject to customary closing conditions, including, without limitation, the absence of certain legal restraints preventing or otherwise making illegal the consummation of the Merger, the absence of a material adverse effect with respect to the Company that is continuing, the expiration or termination of any waiting periods under the Hart-Scott-Rodino Antitrust Improvements Act of 1976, as amended, applicable to the Merger (“HSR Act Clearance”) and the approval of the Merger Agreement, the Merger and the other transactions contemplated thereby by the affirmative vote of holders of Ordinary Shares representing at least two-thirds of the Ordinary Shares (the “Company Requisite Vote”) present and voting in person or by proxy as a single class at an extraordinary general meeting of the Company for the purpose of approving the Merger Agreement, the Merger and the other transactions contemplated thereby (the “Shareholder Meeting”). The parties expect the Merger and the other transactions contemplated by the Merger Agreement to close in the second half of 2026.</w:t>
      </w:r>
    </w:p>
    <w:p>
      <w:pPr>
        <w:spacing w:after="0" w:line="139" w:lineRule="exact"/>
        <w:rPr>
          <w:sz w:val="20"/>
          <w:szCs w:val="20"/>
          <w:color w:val="auto"/>
        </w:rPr>
      </w:pPr>
    </w:p>
    <w:p>
      <w:pPr>
        <w:ind w:left="640" w:right="719"/>
        <w:spacing w:after="0" w:line="269"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by Parent, Merger Sub and the Company, including covenants by the Company to operate its business in the ordinary course and certain other customary operating restrictions until the closing of the Merger. The Company has also agreed to certain non-solicitation provisions with respect to alternative acquisition proposals, subject to customary exceptions to allow the Company Board to exercise its fiduciary duties, including that, subject to the terms and conditions of the Merger Agreement, if the Company receives an Acquisition Proposal that did not result from the Company’s breach of its non-solicitation covenants, and following such receipt, the Company Board, upon the recommendation of the Strategic Review Committee, determines in good faith, after consultation with its financial advisor and outside legal counsel that such Acquisition Proposal constitutes a Superior Proposal or would reasonably be expected to result in a Superior Proposal. Prior to obtaining the Company Requisite Vote, the Company Board may, in certain circumstances and upon the recommendation of the Strategic Review Committee, effect a Change of Recommendation, subject to complying with specified notice and other conditions set forth in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8" w:right="1440" w:bottom="1440" w:gutter="0" w:footer="0" w:header="0"/>
        </w:sectPr>
      </w:pPr>
    </w:p>
    <w:bookmarkStart w:id="2" w:name="page3"/>
    <w:bookmarkEnd w:id="2"/>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Merger Agreement. Subject to the terms and conditions of the Merger Agreement, the Company or Parent may terminate the Merger Agreement if the Merger is not consummated by December 28, 2026, which period may be extended automatically for two three-month periods if at the end of the prior period, all conditions to closing of the Merger other than conditions relating to HSR Act Clearance have been satisfied or waived as of such date (the “End Date”). Upon termination of the Merger Agreement in specified circumstances, the Company will be required to pay Parent a termination fee of $32,515,000. Such circumstances include, among others, where the Merger Agreement is terminated prior to the Company Requisite Vote (i) in connection with the Company accepting a Superior Proposal and entering into an Alternative Acquisition Agreement for the consummation of a transaction that the Company Board determines constitutes a Superior Proposal and (ii) due to the Company Board’s Change of Recommendation. The Merger Agreement further provides that Parent will be required to pay the Company a reverse termination fee of $32,515,000 in the event the Merger Agreement is terminated in certain specified circumstances, including if the Merger is not consummated before the End Date because certain conditions related to HSR Act Clearance have not been satisfied or waived.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 the Effective Time, each:</w:t>
      </w:r>
    </w:p>
    <w:p>
      <w:pPr>
        <w:spacing w:after="0" w:line="87" w:lineRule="exact"/>
        <w:rPr>
          <w:sz w:val="20"/>
          <w:szCs w:val="20"/>
          <w:color w:val="auto"/>
        </w:rPr>
      </w:pPr>
    </w:p>
    <w:p>
      <w:pPr>
        <w:ind w:left="940" w:right="659" w:hanging="303"/>
        <w:spacing w:after="0" w:line="248"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Option, whether vested or unvested, that is outstanding, unexercised and not yet expired as of immediately prior to the Effective Time will be canceled and converted into the right to receive an amount in cash, without interest thereon, equal to (A) the excess, if any, of the Per Share Cash Consideration over the exercise price of such Company Option, multiplied by (B) the number of Ordinary Shares underlying such Company Option, plus (C) one CVR for each Ordinary Share underlying such Company Option; provided that any Company Option that has an exercise price per Ordinary Share that is greater than or equal to the Per Share Cash Consideration shall cease to be outstanding, be canceled and cease to exist and the holder thereof shall not be entitled to payment of any consideration therefor.</w:t>
      </w:r>
    </w:p>
    <w:p>
      <w:pPr>
        <w:spacing w:after="0" w:line="68" w:lineRule="exact"/>
        <w:rPr>
          <w:rFonts w:ascii="Times New Roman" w:cs="Times New Roman" w:eastAsia="Times New Roman" w:hAnsi="Times New Roman"/>
          <w:sz w:val="13"/>
          <w:szCs w:val="13"/>
          <w:color w:val="auto"/>
        </w:rPr>
      </w:pPr>
    </w:p>
    <w:p>
      <w:pPr>
        <w:jc w:val="both"/>
        <w:ind w:left="940" w:right="659" w:hanging="303"/>
        <w:spacing w:after="0" w:line="286" w:lineRule="auto"/>
        <w:tabs>
          <w:tab w:leader="none" w:pos="9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RSU Award that is outstanding immediately prior to the Effective Time, whether vested or unvested, will be canceled and automatically converted into a right to receive an amount in cash, without interest, equal to (x) the Per Share Closing Consideration multiplied by (y) the number of Ordinary Shares underlying such Company RSU Award, plus one CVR for each Ordinary Share underlying such Company RSU Award.</w:t>
      </w:r>
    </w:p>
    <w:p>
      <w:pPr>
        <w:spacing w:after="0" w:line="46" w:lineRule="exact"/>
        <w:rPr>
          <w:rFonts w:ascii="Times New Roman" w:cs="Times New Roman" w:eastAsia="Times New Roman" w:hAnsi="Times New Roman"/>
          <w:sz w:val="12"/>
          <w:szCs w:val="12"/>
          <w:color w:val="auto"/>
        </w:rPr>
      </w:pPr>
    </w:p>
    <w:p>
      <w:pPr>
        <w:ind w:left="940" w:right="739" w:hanging="303"/>
        <w:spacing w:after="0" w:line="251"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PSU Award that is outstanding immediately prior to the Effective Time, whether vested or unvested, will be canceled in exchange for the right to receive an amount in cash, without interest, equal to (A) the Per Share Cash Consideration multiplied by (B) the number of Ordinary Shares with respect to such Company PSU Award that remain outstanding and unreleased as of immediately prior to the Effective Time, plus one CVR for each Ordinary Share underlying such Company PSU Award.</w:t>
      </w:r>
    </w:p>
    <w:p>
      <w:pPr>
        <w:spacing w:after="0" w:line="133"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As soon as practicable following the date of the Merger Agreement, the Company Board shall adopt resolutions or take other actions as may be required to (i) provide that no further purchase period will commence pursuant to the Company ESPP after the date of the Merger Agreement and (ii) immediately prior to and effective as of the Effective Time, the Company will terminate the Company ESPP.</w:t>
      </w:r>
    </w:p>
    <w:p>
      <w:pPr>
        <w:spacing w:after="0" w:line="130" w:lineRule="exact"/>
        <w:rPr>
          <w:sz w:val="20"/>
          <w:szCs w:val="20"/>
          <w:color w:val="auto"/>
        </w:rPr>
      </w:pPr>
    </w:p>
    <w:p>
      <w:pPr>
        <w:ind w:left="640" w:right="679"/>
        <w:spacing w:after="0" w:line="286" w:lineRule="auto"/>
        <w:rPr>
          <w:sz w:val="20"/>
          <w:szCs w:val="20"/>
          <w:color w:val="auto"/>
        </w:rPr>
      </w:pPr>
      <w:r>
        <w:rPr>
          <w:rFonts w:ascii="Times New Roman" w:cs="Times New Roman" w:eastAsia="Times New Roman" w:hAnsi="Times New Roman"/>
          <w:sz w:val="12"/>
          <w:szCs w:val="12"/>
          <w:color w:val="auto"/>
        </w:rPr>
        <w:t>The foregoing description of the Merger Agreement and the CVR Agreement and the transactions contemplated thereby does not purport to be complete and is subject to, and qualified in its entirety by, the full text of the Merger Agreement, a copy of which is attached hereto as Exhibit 2.1, and the Form of CVR Agreement, which is attached as Exhibit A to the Merger Agreement, and the terms of which are incorporated herein by reference.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Pursuant to the Merger Agreement, on or prior to the Closing Date, Parent and a rights agent selected by the Company and reasonably acceptable to Parent (the “Rights Agent”) will enter into a Contingent Value Rights Agreement, in the form attached as Exhibit A to the Merger Agreement, with such changes as may be permitted by the Merger Agreement (the “CVR Agreement”) governing the terms of the CVRs.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50" w:right="1440" w:bottom="1440" w:gutter="0" w:footer="0" w:header="0"/>
        </w:sectPr>
      </w:pPr>
    </w:p>
    <w:bookmarkStart w:id="3" w:name="page4"/>
    <w:bookmarkEnd w:id="3"/>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Each CVR represents a non-tradeable contractual contingent right to receive (i) a pro rata share of 80% of the net proceeds (the “License Proceeds”) received by Parent or its affiliates (including the Surviving Company) from any license, divestiture or other monetization transaction of ampreloxetine (a “CVR Product License”) executed within the ten (10)-year period following the Effective Time (the “CVR License Expiration Date”), (ii) a pro rata share of $50 million in cash (the “First Commercial Sale Milestone Payment”) upon the first commercial sale of ampreloxetine by Zymeworks or its affiliates (including the Surviving Company) in the U.S., UK, Spain, France, Germany or Italy on or prior to the CVR License Expiration Date and</w:t>
      </w:r>
    </w:p>
    <w:p>
      <w:pPr>
        <w:spacing w:after="0" w:line="1" w:lineRule="exact"/>
        <w:rPr>
          <w:sz w:val="20"/>
          <w:szCs w:val="20"/>
          <w:color w:val="auto"/>
        </w:rPr>
      </w:pPr>
    </w:p>
    <w:p>
      <w:pPr>
        <w:jc w:val="both"/>
        <w:ind w:left="640" w:right="659" w:hanging="3"/>
        <w:spacing w:after="0" w:line="244" w:lineRule="auto"/>
        <w:tabs>
          <w:tab w:leader="none" w:pos="86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 rata share of 10% of the net sales (the “Royalties” and, together with the License Proceeds and the First Commercial Sale Milestone Payment, the “CVR Payment Amount”) received by Parent or its affiliates (including the Surviving Company), on a country-by-country basis, from the date of the first commercial sale until the later of the 10th anniversary of such date, patent expiration or the loss of exclusivity, in each case, subject to the terms and conditions of the CVR Agreement.</w:t>
      </w:r>
    </w:p>
    <w:p>
      <w:pPr>
        <w:spacing w:after="0" w:line="137"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The CVRs are contractual rights only and are not transferable except under certain limited circumstances, will not be evidenced by a certificate or other instrument and will not be registered with the SEC or listed for trading. The CVRs will not have any voting or dividend rights and will not represent any equity or ownership interest in Parent, any constituent company to the Merger or any of their respective subsidiaries.</w:t>
      </w:r>
    </w:p>
    <w:p>
      <w:pPr>
        <w:spacing w:after="0" w:line="13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There can be no assurance (i) that a CVR Product License will be executed, or the First Commercial Milestone will occur, as of or prior to the CVR License Expiration Date (ii) that any License Proceeds or Royalties will become payable to Parent or its affiliates or (iii) that Parent will be required to make any CVR Payment Amount to holders of the CVRs.</w:t>
      </w:r>
    </w:p>
    <w:p>
      <w:pPr>
        <w:spacing w:after="0" w:line="13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foregoing description of the Merger Agreement and the CVR Agreement and the transactions contemplated thereby does not purport to be complete and is subject to, and qualified in its entirety by, the full text of the Merger Agreement, a copy of which is attached hereto as Exhibit 2.1, and the Form of CVR Agreement, which is attached as Exhibit A to the Merger Agreement, and the terms of which are incorporated herein by reference. Investors should not rely on the representations, warranties and covenants or any descriptions thereof as characterizations of the actual state of facts or condition of the Company or any of its subsidiaries or affiliates.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Financing Transaction</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Parent expects to finance the Merger with a combination of cash on hand and new debt financing. In connection with, and concurrently with entry into, the Merger Agreement, Parent entered into a debt commitment letter dated June 28, 2026 (the “Debt Commitment Letter”) with OCM IP Healthcare Portfolio LP (“OMERS Life Sciences”), pursuant to which OMERS Life Sciences has agreed to purchase senior secured notes (the “Notes”) to be issued by certain newly formed special purpose vehicles in an aggregate principal amount of $350,000,000 on the terms and subject to the conditions set forth in the Debt Commitment Letter for the purposes of financing the transactions contemplated by the Merger Agreement. The obligations of OMERS Life Sciences to provide the debt financing under the Debt Commitment Letter are subject to conditions customary for a transaction of this type.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 Regulation FD Disclosure</w:t>
      </w:r>
    </w:p>
    <w:p>
      <w:pPr>
        <w:spacing w:after="0" w:line="80"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On June 29, 2026, Zymeworks issued a press release announcing the parties’ entry into the Merger Agreement. A copy of the press release is attached hereto as Exhibit 99.1 and is incorporated herein by reference.</w:t>
      </w:r>
    </w:p>
    <w:p>
      <w:pPr>
        <w:spacing w:after="0" w:line="122"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Also on June 29, 2026, Zymeworks intends to hold a conference call available to investors and the public. Details for accessing the conference call can be found in the press release furnished as Exhibit 99.1 to this Current Report. A presentation for reference during the call is furnished as Exhibit 99.2 to this Current Report and is incorporated herein by reference.</w:t>
      </w:r>
    </w:p>
    <w:p>
      <w:pPr>
        <w:spacing w:after="0" w:line="130"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Exhibits 99.1 and 99.2, is being furnished to the U.S. Securities and Exchange Commission (the “SEC”) and shall not be deemed “filed” for the purposes of Section 18 of the Securities Exchange Act of 1934, as amended (the “Exchange Act”), or otherwise subject to the liabilities of that section, and shall not be deemed to be incorporated by reference into any filing made by Parent under the Securities Act of 1933, as amended, (the “Securities Act”) or the Exchange Act, except as shall be expressly set forth by a specific reference in such filing.</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819"/>
        <w:spacing w:after="0" w:line="279"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or information within the meaning of the applicable securities legislation, including Section 27A of the Securities Act and Section 21E of the Exchange Act. Forward-looking statements in this Current Report include, but are not limited to, statements that relate to Zymeworks’ ability to complete the proposed Merger with Theravance; anticipated milestones payments; completion of Theravance’s previously announced organizational restructuring; Zymeworks’ flexibility to invest in its research and development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50" w:right="1440" w:bottom="1440" w:gutter="0" w:footer="0" w:header="0"/>
        </w:sectPr>
      </w:pPr>
    </w:p>
    <w:bookmarkStart w:id="4" w:name="page5"/>
    <w:bookmarkEnd w:id="4"/>
    <w:p>
      <w:pPr>
        <w:ind w:left="640" w:right="719"/>
        <w:spacing w:after="0" w:line="23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(“R&amp;D”) pipeline and pursue strategic opportunities while returning capital to stockholders; future growth of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sales and future royalty payments; contingent milestone payments due to Theravance from the sale of Theravance’s Trelegy royalty interests;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such as “plan”, “believe”, “expect”, “may”, “continue”, “anticipate”, “potential”, “will”, “on track”, “progress”, “preserve”, “intend”, “could”, or the negative version of these words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w:t>
      </w:r>
    </w:p>
    <w:p>
      <w:pPr>
        <w:spacing w:after="0" w:line="139" w:lineRule="exact"/>
        <w:rPr>
          <w:sz w:val="20"/>
          <w:szCs w:val="20"/>
          <w:color w:val="auto"/>
        </w:rPr>
      </w:pPr>
    </w:p>
    <w:p>
      <w:pPr>
        <w:ind w:left="640" w:right="699"/>
        <w:spacing w:after="0" w:line="235" w:lineRule="auto"/>
        <w:rPr>
          <w:sz w:val="20"/>
          <w:szCs w:val="20"/>
          <w:color w:val="auto"/>
        </w:rPr>
      </w:pPr>
      <w:r>
        <w:rPr>
          <w:rFonts w:ascii="Times New Roman" w:cs="Times New Roman" w:eastAsia="Times New Roman" w:hAnsi="Times New Roman"/>
          <w:sz w:val="13"/>
          <w:szCs w:val="13"/>
          <w:color w:val="auto"/>
        </w:rPr>
        <w:t>Factors that could cause Zymeworks’ actual results to differ materially from those expressed or implied in such forward-looking statements include, but are not limited to: financial closing procedures, final adjustments, and other developments; risks related to the financing in connection with the Merger; any of Zymeworks’ or its partners’ product candidates may fail in development, may not receive required regulatory approvals, or may be delayed to a point where they are not commercially viable; Zymeworks and Theravance may not be able to successfully execute the acquisition; uncertainties regarding the commercial success of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Trelegy; the anticipated benefits of the acquisition may not be realized or will not be realized within the expected time period; Trelegy may not achieve anticipated sales resulting in sales milestones not being met; Zymeworks may not achieve milestones or receive additional payments or royalties under its collaborations; regulatory agencies may impose additional requirements or delay the initiation of clinical trials; zanidatamab may not be successfully commercialized; and the factors described under “Risk Factors” in Zymeworks’ quarterly and annual reports filed with the SEC (copies of which may be obtained at www.sec.gov).</w:t>
      </w:r>
    </w:p>
    <w:p>
      <w:pPr>
        <w:spacing w:after="0" w:line="143" w:lineRule="exact"/>
        <w:rPr>
          <w:sz w:val="20"/>
          <w:szCs w:val="20"/>
          <w:color w:val="auto"/>
        </w:rPr>
      </w:pPr>
    </w:p>
    <w:p>
      <w:pPr>
        <w:ind w:left="640" w:right="639"/>
        <w:spacing w:after="0" w:line="279" w:lineRule="auto"/>
        <w:rPr>
          <w:sz w:val="20"/>
          <w:szCs w:val="20"/>
          <w:color w:val="auto"/>
        </w:rPr>
      </w:pPr>
      <w:r>
        <w:rPr>
          <w:rFonts w:ascii="Times New Roman" w:cs="Times New Roman" w:eastAsia="Times New Roman" w:hAnsi="Times New Roman"/>
          <w:sz w:val="12"/>
          <w:szCs w:val="12"/>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The following exhibits are being filed herewith:</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8"/>
              </w:rPr>
              <w:t>Exhibit No.</w:t>
            </w: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88"/>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520" w:type="dxa"/>
            <w:vAlign w:val="bottom"/>
          </w:tcPr>
          <w:p>
            <w:pPr>
              <w:spacing w:after="0"/>
              <w:rPr>
                <w:sz w:val="16"/>
                <w:szCs w:val="16"/>
                <w:color w:val="auto"/>
              </w:rPr>
            </w:pPr>
          </w:p>
        </w:tc>
        <w:tc>
          <w:tcPr>
            <w:tcW w:w="6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w w:val="96"/>
              </w:rPr>
              <w:t>Agreement and Plan of Merger, dated as of June 28, 2026, by and among Zymeworks Inc., Zymeworks Merger Sub 1, and</w:t>
            </w:r>
          </w:p>
        </w:tc>
      </w:tr>
      <w:tr>
        <w:trPr>
          <w:trHeight w:val="132"/>
        </w:trPr>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Borders>
              <w:bottom w:val="single" w:sz="8" w:color="0000EE"/>
            </w:tcBorders>
          </w:tcPr>
          <w:p>
            <w:pPr>
              <w:spacing w:after="0" w:line="132" w:lineRule="exact"/>
              <w:rPr>
                <w:sz w:val="20"/>
                <w:szCs w:val="20"/>
                <w:color w:val="auto"/>
              </w:rPr>
            </w:pPr>
            <w:r>
              <w:rPr>
                <w:rFonts w:ascii="Times New Roman" w:cs="Times New Roman" w:eastAsia="Times New Roman" w:hAnsi="Times New Roman"/>
                <w:sz w:val="13"/>
                <w:szCs w:val="13"/>
                <w:color w:val="0000EE"/>
                <w:w w:val="95"/>
              </w:rPr>
              <w:t>Theravance Biopharma, Inc.</w:t>
            </w:r>
          </w:p>
        </w:tc>
        <w:tc>
          <w:tcPr>
            <w:tcW w:w="4740" w:type="dxa"/>
            <w:vAlign w:val="bottom"/>
            <w:gridSpan w:val="6"/>
          </w:tcPr>
          <w:p>
            <w:pPr>
              <w:spacing w:after="0"/>
              <w:rPr>
                <w:sz w:val="11"/>
                <w:szCs w:val="11"/>
                <w:color w:val="auto"/>
              </w:rPr>
            </w:pPr>
          </w:p>
        </w:tc>
      </w:t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520" w:type="dxa"/>
            <w:vAlign w:val="bottom"/>
          </w:tcPr>
          <w:p>
            <w:pPr>
              <w:spacing w:after="0"/>
              <w:rPr>
                <w:sz w:val="18"/>
                <w:szCs w:val="18"/>
                <w:color w:val="auto"/>
              </w:rPr>
            </w:pPr>
          </w:p>
        </w:tc>
        <w:tc>
          <w:tcPr>
            <w:tcW w:w="6180" w:type="dxa"/>
            <w:vAlign w:val="bottom"/>
            <w:gridSpan w:val="7"/>
          </w:tcPr>
          <w:p>
            <w:pPr>
              <w:spacing w:after="0"/>
              <w:rPr>
                <w:sz w:val="20"/>
                <w:szCs w:val="20"/>
                <w:color w:val="auto"/>
              </w:rPr>
            </w:pPr>
            <w:r>
              <w:rPr>
                <w:rFonts w:ascii="Times New Roman" w:cs="Times New Roman" w:eastAsia="Times New Roman" w:hAnsi="Times New Roman"/>
                <w:sz w:val="13"/>
                <w:szCs w:val="13"/>
                <w:color w:val="0000EE"/>
              </w:rPr>
              <w:t>Form of Contingent Value Rights Agreement.</w:t>
            </w:r>
          </w:p>
        </w:tc>
      </w:t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520" w:type="dxa"/>
            <w:vAlign w:val="bottom"/>
          </w:tcPr>
          <w:p>
            <w:pPr>
              <w:spacing w:after="0"/>
              <w:rPr>
                <w:sz w:val="18"/>
                <w:szCs w:val="18"/>
                <w:color w:val="auto"/>
              </w:rPr>
            </w:pPr>
          </w:p>
        </w:tc>
        <w:tc>
          <w:tcPr>
            <w:tcW w:w="18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dated June 29, 2026.</w:t>
            </w:r>
          </w:p>
        </w:tc>
        <w:tc>
          <w:tcPr>
            <w:tcW w:w="500" w:type="dxa"/>
            <w:vAlign w:val="bottom"/>
            <w:tcBorders>
              <w:top w:val="single" w:sz="8" w:color="0000EE"/>
            </w:tcBorders>
          </w:tcPr>
          <w:p>
            <w:pPr>
              <w:spacing w:after="0"/>
              <w:rPr>
                <w:sz w:val="18"/>
                <w:szCs w:val="18"/>
                <w:color w:val="auto"/>
              </w:rPr>
            </w:pPr>
          </w:p>
        </w:tc>
        <w:tc>
          <w:tcPr>
            <w:tcW w:w="3880" w:type="dxa"/>
            <w:vAlign w:val="bottom"/>
            <w:gridSpan w:val="4"/>
          </w:tcPr>
          <w:p>
            <w:pPr>
              <w:spacing w:after="0"/>
              <w:rPr>
                <w:sz w:val="18"/>
                <w:szCs w:val="18"/>
                <w:color w:val="auto"/>
              </w:rPr>
            </w:pPr>
          </w:p>
        </w:tc>
      </w:t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520" w:type="dxa"/>
            <w:vAlign w:val="bottom"/>
          </w:tcPr>
          <w:p>
            <w:pPr>
              <w:spacing w:after="0"/>
              <w:rPr>
                <w:sz w:val="18"/>
                <w:szCs w:val="18"/>
                <w:color w:val="auto"/>
              </w:rPr>
            </w:pPr>
          </w:p>
        </w:tc>
        <w:tc>
          <w:tcPr>
            <w:tcW w:w="2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Investor Webcast Presentation, dated June 29, 2026.</w:t>
            </w:r>
          </w:p>
        </w:tc>
        <w:tc>
          <w:tcPr>
            <w:tcW w:w="3540" w:type="dxa"/>
            <w:vAlign w:val="bottom"/>
            <w:gridSpan w:val="3"/>
          </w:tcPr>
          <w:p>
            <w:pPr>
              <w:spacing w:after="0"/>
              <w:rPr>
                <w:sz w:val="18"/>
                <w:szCs w:val="18"/>
                <w:color w:val="auto"/>
              </w:rPr>
            </w:pPr>
          </w:p>
        </w:tc>
      </w:tr>
      <w:tr>
        <w:trPr>
          <w:trHeight w:val="236"/>
        </w:trPr>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20" w:type="dxa"/>
            <w:vAlign w:val="bottom"/>
          </w:tcPr>
          <w:p>
            <w:pPr>
              <w:spacing w:after="0"/>
              <w:rPr>
                <w:sz w:val="20"/>
                <w:szCs w:val="20"/>
                <w:color w:val="auto"/>
              </w:rPr>
            </w:pPr>
          </w:p>
        </w:tc>
        <w:tc>
          <w:tcPr>
            <w:tcW w:w="61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58" w:lineRule="exact"/>
        <w:rPr>
          <w:sz w:val="20"/>
          <w:szCs w:val="20"/>
          <w:color w:val="auto"/>
        </w:rPr>
      </w:pPr>
    </w:p>
    <w:p>
      <w:pPr>
        <w:ind w:left="780" w:right="719" w:hanging="143"/>
        <w:spacing w:after="0" w:line="255" w:lineRule="auto"/>
        <w:tabs>
          <w:tab w:leader="none" w:pos="7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omitted pursuant to Item 601(b)(2) of Regulation S-K. Parent agrees to furnish supplementally a copy of any omitted schedule to the SEC upon request; provided, however, that Parent may request confidential treatment pursuant to Rule 24b-2 of the Exchange Act for any schedules or exhibits so furnished.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5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thereunto duly authorized.</w:t>
      </w:r>
    </w:p>
    <w:p>
      <w:pPr>
        <w:spacing w:after="0" w:line="128"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80" w:type="dxa"/>
            <w:vAlign w:val="bottom"/>
            <w:gridSpan w:val="2"/>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7"/>
              </w:rPr>
              <w:t>Zymeworks Inc.</w:t>
            </w:r>
          </w:p>
        </w:tc>
      </w:tr>
      <w:tr>
        <w:trPr>
          <w:trHeight w:val="160"/>
        </w:trPr>
        <w:tc>
          <w:tcPr>
            <w:tcW w:w="2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(registrant)</w:t>
            </w:r>
          </w:p>
        </w:tc>
        <w:tc>
          <w:tcPr>
            <w:tcW w:w="1500" w:type="dxa"/>
            <w:vAlign w:val="bottom"/>
          </w:tcPr>
          <w:p>
            <w:pPr>
              <w:spacing w:after="0"/>
              <w:rPr>
                <w:sz w:val="13"/>
                <w:szCs w:val="13"/>
                <w:color w:val="auto"/>
              </w:rPr>
            </w:pP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Date: June 29, 2026</w:t>
            </w:r>
          </w:p>
        </w:tc>
        <w:tc>
          <w:tcPr>
            <w:tcW w:w="188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/s/ Kenneth Galbraith</w:t>
            </w:r>
          </w:p>
        </w:tc>
      </w:tr>
      <w:tr>
        <w:trPr>
          <w:trHeight w:val="138"/>
        </w:trPr>
        <w:tc>
          <w:tcPr>
            <w:tcW w:w="2440" w:type="dxa"/>
            <w:vAlign w:val="bottom"/>
          </w:tcPr>
          <w:p>
            <w:pPr>
              <w:spacing w:after="0"/>
              <w:rPr>
                <w:sz w:val="11"/>
                <w:szCs w:val="11"/>
                <w:color w:val="auto"/>
              </w:rPr>
            </w:pPr>
          </w:p>
        </w:tc>
        <w:tc>
          <w:tcPr>
            <w:tcW w:w="1880" w:type="dxa"/>
            <w:vAlign w:val="bottom"/>
          </w:tcPr>
          <w:p>
            <w:pPr>
              <w:ind w:left="144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color w:val="auto"/>
              </w:rPr>
              <w:t>Kenneth Galbraith</w:t>
            </w:r>
          </w:p>
        </w:tc>
      </w:tr>
      <w:tr>
        <w:trPr>
          <w:trHeight w:val="165"/>
        </w:trPr>
        <w:tc>
          <w:tcPr>
            <w:tcW w:w="2440" w:type="dxa"/>
            <w:vAlign w:val="bottom"/>
          </w:tcPr>
          <w:p>
            <w:pPr>
              <w:spacing w:after="0"/>
              <w:rPr>
                <w:sz w:val="14"/>
                <w:szCs w:val="14"/>
                <w:color w:val="auto"/>
              </w:rPr>
            </w:pPr>
          </w:p>
        </w:tc>
        <w:tc>
          <w:tcPr>
            <w:tcW w:w="188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Chair, President and Chief Executive Officer</w:t>
            </w:r>
          </w:p>
        </w:tc>
      </w:tr>
    </w:tbl>
    <w:p>
      <w:pPr>
        <w:sectPr>
          <w:pgSz w:w="11900" w:h="16838" w:orient="portrait"/>
          <w:cols w:equalWidth="0" w:num="1">
            <w:col w:w="9019"/>
          </w:cols>
          <w:pgMar w:left="1440" w:top="248" w:right="1440" w:bottom="1440" w:gutter="0" w:footer="0" w:header="0"/>
        </w:sectPr>
      </w:pPr>
    </w:p>
    <w:bookmarkStart w:id="6" w:name="page7"/>
    <w:bookmarkEnd w:id="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THERAVANCE BIOPHARMA,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ZYMEWORKS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ZYMEWORKS MERGER SUB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Dated as of June 28, 2026</w:t>
      </w:r>
    </w:p>
    <w:p>
      <w:pPr>
        <w:sectPr>
          <w:pgSz w:w="11900" w:h="16838" w:orient="portrait"/>
          <w:cols w:equalWidth="0" w:num="1">
            <w:col w:w="9019"/>
          </w:cols>
          <w:pgMar w:left="1440" w:top="125" w:right="1440" w:bottom="1440" w:gutter="0" w:footer="0" w:header="0"/>
        </w:sectPr>
      </w:pPr>
    </w:p>
    <w:bookmarkStart w:id="7" w:name="page8"/>
    <w:bookmarkEnd w:id="7"/>
    <w:tbl>
      <w:tblPr>
        <w:tblLayout w:type="fixed"/>
        <w:tblInd w:w="64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6860" w:type="dxa"/>
            <w:vAlign w:val="bottom"/>
            <w:gridSpan w:val="3"/>
          </w:tcPr>
          <w:p>
            <w:pPr>
              <w:ind w:left="2580"/>
              <w:spacing w:after="0"/>
              <w:rPr>
                <w:sz w:val="20"/>
                <w:szCs w:val="20"/>
                <w:color w:val="auto"/>
              </w:rPr>
            </w:pPr>
            <w:r>
              <w:rPr>
                <w:rFonts w:ascii="Times New Roman" w:cs="Times New Roman" w:eastAsia="Times New Roman" w:hAnsi="Times New Roman"/>
                <w:sz w:val="13"/>
                <w:szCs w:val="13"/>
                <w:color w:val="auto"/>
              </w:rPr>
              <w:t>TABLE OF CONTENTS</w:t>
            </w:r>
          </w:p>
        </w:tc>
        <w:tc>
          <w:tcPr>
            <w:tcW w:w="200" w:type="dxa"/>
            <w:vAlign w:val="bottom"/>
          </w:tcPr>
          <w:p>
            <w:pPr>
              <w:spacing w:after="0"/>
              <w:rPr>
                <w:sz w:val="12"/>
                <w:szCs w:val="12"/>
                <w:color w:val="auto"/>
              </w:rPr>
            </w:pPr>
          </w:p>
        </w:tc>
      </w:tr>
      <w:tr>
        <w:trPr>
          <w:trHeight w:val="283"/>
        </w:trPr>
        <w:tc>
          <w:tcPr>
            <w:tcW w:w="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2"/>
              </w:rPr>
              <w:t>Page</w:t>
            </w:r>
          </w:p>
        </w:tc>
      </w:tr>
      <w:tr>
        <w:trPr>
          <w:trHeight w:val="208"/>
        </w:trPr>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80" w:type="dxa"/>
            <w:vAlign w:val="bottom"/>
            <w:gridSpan w:val="2"/>
          </w:tcPr>
          <w:p>
            <w:pPr>
              <w:jc w:val="center"/>
              <w:ind w:right="3040"/>
              <w:spacing w:after="0"/>
              <w:rPr>
                <w:sz w:val="20"/>
                <w:szCs w:val="20"/>
                <w:color w:val="auto"/>
              </w:rPr>
            </w:pPr>
            <w:r>
              <w:rPr>
                <w:rFonts w:ascii="Times New Roman" w:cs="Times New Roman" w:eastAsia="Times New Roman" w:hAnsi="Times New Roman"/>
                <w:sz w:val="13"/>
                <w:szCs w:val="13"/>
                <w:color w:val="auto"/>
                <w:w w:val="95"/>
              </w:rPr>
              <w:t>ARTICLE I</w:t>
            </w:r>
          </w:p>
        </w:tc>
        <w:tc>
          <w:tcPr>
            <w:tcW w:w="200" w:type="dxa"/>
            <w:vAlign w:val="bottom"/>
          </w:tcPr>
          <w:p>
            <w:pPr>
              <w:spacing w:after="0"/>
              <w:rPr>
                <w:sz w:val="18"/>
                <w:szCs w:val="18"/>
                <w:color w:val="auto"/>
              </w:rPr>
            </w:pPr>
          </w:p>
        </w:tc>
      </w:tr>
      <w:tr>
        <w:trPr>
          <w:trHeight w:val="227"/>
        </w:trPr>
        <w:tc>
          <w:tcPr>
            <w:tcW w:w="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280" w:type="dxa"/>
            <w:vAlign w:val="bottom"/>
            <w:gridSpan w:val="2"/>
          </w:tcPr>
          <w:p>
            <w:pPr>
              <w:jc w:val="center"/>
              <w:ind w:right="3040"/>
              <w:spacing w:after="0"/>
              <w:rPr>
                <w:sz w:val="20"/>
                <w:szCs w:val="20"/>
                <w:color w:val="auto"/>
              </w:rPr>
            </w:pPr>
            <w:r>
              <w:rPr>
                <w:rFonts w:ascii="Times New Roman" w:cs="Times New Roman" w:eastAsia="Times New Roman" w:hAnsi="Times New Roman"/>
                <w:sz w:val="13"/>
                <w:szCs w:val="13"/>
                <w:color w:val="auto"/>
                <w:w w:val="96"/>
              </w:rPr>
              <w:t>THE MERGER</w:t>
            </w:r>
          </w:p>
        </w:tc>
        <w:tc>
          <w:tcPr>
            <w:tcW w:w="200" w:type="dxa"/>
            <w:vAlign w:val="bottom"/>
          </w:tcPr>
          <w:p>
            <w:pPr>
              <w:spacing w:after="0"/>
              <w:rPr>
                <w:sz w:val="19"/>
                <w:szCs w:val="19"/>
                <w:color w:val="auto"/>
              </w:rPr>
            </w:pPr>
          </w:p>
        </w:tc>
      </w:tr>
      <w:tr>
        <w:trPr>
          <w:trHeight w:val="21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1.1</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1.2</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Closing</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1.3</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Effective Time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1.4</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Effect of 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1.5</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Company Memorandum and Articles of Association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1.6</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Directors and Officers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7"/>
        </w:trPr>
        <w:tc>
          <w:tcPr>
            <w:tcW w:w="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280" w:type="dxa"/>
            <w:vAlign w:val="bottom"/>
            <w:gridSpan w:val="2"/>
          </w:tcPr>
          <w:p>
            <w:pPr>
              <w:jc w:val="center"/>
              <w:ind w:right="3040"/>
              <w:spacing w:after="0"/>
              <w:rPr>
                <w:sz w:val="20"/>
                <w:szCs w:val="20"/>
                <w:color w:val="auto"/>
              </w:rPr>
            </w:pPr>
            <w:r>
              <w:rPr>
                <w:rFonts w:ascii="Times New Roman" w:cs="Times New Roman" w:eastAsia="Times New Roman" w:hAnsi="Times New Roman"/>
                <w:sz w:val="13"/>
                <w:szCs w:val="13"/>
                <w:color w:val="auto"/>
                <w:w w:val="95"/>
              </w:rPr>
              <w:t>ARTICLE II</w:t>
            </w:r>
          </w:p>
        </w:tc>
        <w:tc>
          <w:tcPr>
            <w:tcW w:w="200" w:type="dxa"/>
            <w:vAlign w:val="bottom"/>
          </w:tcPr>
          <w:p>
            <w:pPr>
              <w:spacing w:after="0"/>
              <w:rPr>
                <w:sz w:val="19"/>
                <w:szCs w:val="19"/>
                <w:color w:val="auto"/>
              </w:rPr>
            </w:pPr>
          </w:p>
        </w:tc>
      </w:tr>
      <w:tr>
        <w:trPr>
          <w:trHeight w:val="227"/>
        </w:trPr>
        <w:tc>
          <w:tcPr>
            <w:tcW w:w="640" w:type="dxa"/>
            <w:vAlign w:val="bottom"/>
          </w:tcPr>
          <w:p>
            <w:pPr>
              <w:spacing w:after="0"/>
              <w:rPr>
                <w:sz w:val="19"/>
                <w:szCs w:val="19"/>
                <w:color w:val="auto"/>
              </w:rPr>
            </w:pPr>
          </w:p>
        </w:tc>
        <w:tc>
          <w:tcPr>
            <w:tcW w:w="68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color w:val="auto"/>
                <w:w w:val="96"/>
              </w:rPr>
              <w:t>EFFECT OF MERGER ON ISSUED SHARE CAPITAL; MERGER CONSIDERATION; EXCHANGE OF CERTIFICATES</w:t>
            </w:r>
          </w:p>
        </w:tc>
        <w:tc>
          <w:tcPr>
            <w:tcW w:w="200" w:type="dxa"/>
            <w:vAlign w:val="bottom"/>
          </w:tcPr>
          <w:p>
            <w:pPr>
              <w:spacing w:after="0"/>
              <w:rPr>
                <w:sz w:val="19"/>
                <w:szCs w:val="19"/>
                <w:color w:val="auto"/>
              </w:rPr>
            </w:pPr>
          </w:p>
        </w:tc>
      </w:tr>
      <w:tr>
        <w:trPr>
          <w:trHeight w:val="21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2.1</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Effect on Share Capital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Treatment of Company Equity Awards and Company ESPP</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2.3</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Exchange of Certificates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2.4</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Dissenting 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2.5</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Adjustments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27"/>
        </w:trPr>
        <w:tc>
          <w:tcPr>
            <w:tcW w:w="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280" w:type="dxa"/>
            <w:vAlign w:val="bottom"/>
            <w:gridSpan w:val="2"/>
          </w:tcPr>
          <w:p>
            <w:pPr>
              <w:jc w:val="center"/>
              <w:ind w:right="3040"/>
              <w:spacing w:after="0"/>
              <w:rPr>
                <w:sz w:val="20"/>
                <w:szCs w:val="20"/>
                <w:color w:val="auto"/>
              </w:rPr>
            </w:pPr>
            <w:r>
              <w:rPr>
                <w:rFonts w:ascii="Times New Roman" w:cs="Times New Roman" w:eastAsia="Times New Roman" w:hAnsi="Times New Roman"/>
                <w:sz w:val="13"/>
                <w:szCs w:val="13"/>
                <w:color w:val="auto"/>
                <w:w w:val="95"/>
              </w:rPr>
              <w:t>ARTICLE III</w:t>
            </w:r>
          </w:p>
        </w:tc>
        <w:tc>
          <w:tcPr>
            <w:tcW w:w="200" w:type="dxa"/>
            <w:vAlign w:val="bottom"/>
          </w:tcPr>
          <w:p>
            <w:pPr>
              <w:spacing w:after="0"/>
              <w:rPr>
                <w:sz w:val="19"/>
                <w:szCs w:val="19"/>
                <w:color w:val="auto"/>
              </w:rPr>
            </w:pPr>
          </w:p>
        </w:tc>
      </w:tr>
      <w:tr>
        <w:trPr>
          <w:trHeight w:val="227"/>
        </w:trPr>
        <w:tc>
          <w:tcPr>
            <w:tcW w:w="640" w:type="dxa"/>
            <w:vAlign w:val="bottom"/>
          </w:tcPr>
          <w:p>
            <w:pPr>
              <w:spacing w:after="0"/>
              <w:rPr>
                <w:sz w:val="19"/>
                <w:szCs w:val="19"/>
                <w:color w:val="auto"/>
              </w:rPr>
            </w:pPr>
          </w:p>
        </w:tc>
        <w:tc>
          <w:tcPr>
            <w:tcW w:w="68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color w:val="auto"/>
                <w:w w:val="95"/>
              </w:rPr>
              <w:t>REPRESENTATIONS AND WARRANTIES OF THE COMPANY</w:t>
            </w:r>
          </w:p>
        </w:tc>
        <w:tc>
          <w:tcPr>
            <w:tcW w:w="200" w:type="dxa"/>
            <w:vAlign w:val="bottom"/>
          </w:tcPr>
          <w:p>
            <w:pPr>
              <w:spacing w:after="0"/>
              <w:rPr>
                <w:sz w:val="19"/>
                <w:szCs w:val="19"/>
                <w:color w:val="auto"/>
              </w:rPr>
            </w:pPr>
          </w:p>
        </w:tc>
      </w:tr>
      <w:tr>
        <w:trPr>
          <w:trHeight w:val="21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3.1</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Organization and Qualification;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Memorandum and Articles of Association; Organizational Documents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3.3</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Capitalization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3.4</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Authority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3.5</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3.6</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Compliance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3.7</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SEC Filings; Financial Statements; Undisclosed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3.8</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Section 3.9</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3.10</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Absence of Litigation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3.11</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Employee Benefit Plans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3.12</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Labor and Employment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3.13</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Insurance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3.14</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Properties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3.15</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Tax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3.16</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Proxy Statement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w w:val="95"/>
              </w:rPr>
              <w:t>Section 3.17</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Intellectual Property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17" w:right="1440" w:bottom="1440" w:gutter="0" w:footer="0" w:header="0"/>
        </w:sectPr>
      </w:pPr>
    </w:p>
    <w:bookmarkStart w:id="8" w:name="page9"/>
    <w:bookmarkEnd w:id="8"/>
    <w:tbl>
      <w:tblPr>
        <w:tblLayout w:type="fixed"/>
        <w:tblInd w:w="640" w:type="dxa"/>
        <w:tblCellMar>
          <w:top w:w="0" w:type="dxa"/>
          <w:left w:w="0" w:type="dxa"/>
          <w:bottom w:w="0" w:type="dxa"/>
          <w:right w:w="0" w:type="dxa"/>
        </w:tblCellMar>
      </w:tblP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3.18</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3.19</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3.20</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3.21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Anti-takeover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3.22</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27"/>
        </w:trPr>
        <w:tc>
          <w:tcPr>
            <w:tcW w:w="700" w:type="dxa"/>
            <w:vAlign w:val="bottom"/>
          </w:tcPr>
          <w:p>
            <w:pPr>
              <w:spacing w:after="0"/>
              <w:rPr>
                <w:sz w:val="19"/>
                <w:szCs w:val="19"/>
                <w:color w:val="auto"/>
              </w:rPr>
            </w:pPr>
          </w:p>
        </w:tc>
        <w:tc>
          <w:tcPr>
            <w:tcW w:w="604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7"/>
              </w:rPr>
              <w:t>ARTICLE IV</w:t>
            </w:r>
          </w:p>
        </w:tc>
        <w:tc>
          <w:tcPr>
            <w:tcW w:w="96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604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5"/>
              </w:rPr>
              <w:t>REPRESENTATIONS AND WARRANTIES OF PARENT AND MERGER SUB</w:t>
            </w:r>
          </w:p>
        </w:tc>
        <w:tc>
          <w:tcPr>
            <w:tcW w:w="96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4.3</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Litigation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4.5</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Sub</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4.6</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4.7</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4.8</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Ownership of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4.9</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Solvency</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4.10</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Proxy Statement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4.11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Non-Reliance on Company Estimates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4.12</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Independent Investigation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4.13</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27"/>
        </w:trPr>
        <w:tc>
          <w:tcPr>
            <w:tcW w:w="700" w:type="dxa"/>
            <w:vAlign w:val="bottom"/>
          </w:tcPr>
          <w:p>
            <w:pPr>
              <w:spacing w:after="0"/>
              <w:rPr>
                <w:sz w:val="19"/>
                <w:szCs w:val="19"/>
                <w:color w:val="auto"/>
              </w:rPr>
            </w:pPr>
          </w:p>
        </w:tc>
        <w:tc>
          <w:tcPr>
            <w:tcW w:w="604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w w:val="94"/>
              </w:rPr>
              <w:t>ARTICLE V</w:t>
            </w:r>
          </w:p>
        </w:tc>
        <w:tc>
          <w:tcPr>
            <w:tcW w:w="96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604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7"/>
              </w:rPr>
              <w:t>CONDUCT OF BUSINESS PENDING THE MERGER</w:t>
            </w:r>
          </w:p>
        </w:tc>
        <w:tc>
          <w:tcPr>
            <w:tcW w:w="96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Conduct of Business of the Company Pending the Merger</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5.2</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Conduct of Business of the Parties Pending the Merger</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5.3</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Control of Other Party’s 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27"/>
        </w:trPr>
        <w:tc>
          <w:tcPr>
            <w:tcW w:w="700" w:type="dxa"/>
            <w:vAlign w:val="bottom"/>
          </w:tcPr>
          <w:p>
            <w:pPr>
              <w:spacing w:after="0"/>
              <w:rPr>
                <w:sz w:val="19"/>
                <w:szCs w:val="19"/>
                <w:color w:val="auto"/>
              </w:rPr>
            </w:pPr>
          </w:p>
        </w:tc>
        <w:tc>
          <w:tcPr>
            <w:tcW w:w="6040" w:type="dxa"/>
            <w:vAlign w:val="bottom"/>
          </w:tcPr>
          <w:p>
            <w:pPr>
              <w:jc w:val="center"/>
              <w:ind w:left="177"/>
              <w:spacing w:after="0"/>
              <w:rPr>
                <w:sz w:val="20"/>
                <w:szCs w:val="20"/>
                <w:color w:val="auto"/>
              </w:rPr>
            </w:pPr>
            <w:r>
              <w:rPr>
                <w:rFonts w:ascii="Times New Roman" w:cs="Times New Roman" w:eastAsia="Times New Roman" w:hAnsi="Times New Roman"/>
                <w:sz w:val="13"/>
                <w:szCs w:val="13"/>
                <w:color w:val="auto"/>
                <w:w w:val="94"/>
              </w:rPr>
              <w:t>ARTICLE VI</w:t>
            </w:r>
          </w:p>
        </w:tc>
        <w:tc>
          <w:tcPr>
            <w:tcW w:w="96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604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6"/>
              </w:rPr>
              <w:t>ADDITIONAL AGREEMENTS</w:t>
            </w:r>
          </w:p>
        </w:tc>
        <w:tc>
          <w:tcPr>
            <w:tcW w:w="96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Proxy Statement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Shareholders Meeting; Board Recommendation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6.3</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Solicitation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6.4</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Further Action; Efforts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6.5</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6.6</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to Information; Confidentiality</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6.7</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Exchange Delisting</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6.8</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Publicity</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6.9</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6.10</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Directors’ and Officers’ Indemnification and Insurance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6.11</w:t>
            </w:r>
          </w:p>
        </w:tc>
        <w:tc>
          <w:tcPr>
            <w:tcW w:w="6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Financing</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6.12</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Takeover Statutes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6.13</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 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6.14</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Resignation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6.15</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Obligations of Merger Sub; Obligations of Subsidiaries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6.16</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Actions Taken at Direction of Parent or Merger Sub</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6.17</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TBIL</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6.18</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 Reorganization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6.19</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CVR Agreement; Company License Representative</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27"/>
        </w:trPr>
        <w:tc>
          <w:tcPr>
            <w:tcW w:w="700" w:type="dxa"/>
            <w:vAlign w:val="bottom"/>
          </w:tcPr>
          <w:p>
            <w:pPr>
              <w:spacing w:after="0"/>
              <w:rPr>
                <w:sz w:val="19"/>
                <w:szCs w:val="19"/>
                <w:color w:val="auto"/>
              </w:rPr>
            </w:pPr>
          </w:p>
        </w:tc>
        <w:tc>
          <w:tcPr>
            <w:tcW w:w="5380" w:type="dxa"/>
            <w:vAlign w:val="bottom"/>
          </w:tcPr>
          <w:p>
            <w:pPr>
              <w:jc w:val="center"/>
              <w:ind w:left="857"/>
              <w:spacing w:after="0"/>
              <w:rPr>
                <w:sz w:val="20"/>
                <w:szCs w:val="20"/>
                <w:color w:val="auto"/>
              </w:rPr>
            </w:pPr>
            <w:r>
              <w:rPr>
                <w:rFonts w:ascii="Times New Roman" w:cs="Times New Roman" w:eastAsia="Times New Roman" w:hAnsi="Times New Roman"/>
                <w:sz w:val="13"/>
                <w:szCs w:val="13"/>
                <w:color w:val="auto"/>
                <w:w w:val="97"/>
              </w:rPr>
              <w:t>ARTICLE VII</w:t>
            </w:r>
          </w:p>
        </w:tc>
        <w:tc>
          <w:tcPr>
            <w:tcW w:w="162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5380" w:type="dxa"/>
            <w:vAlign w:val="bottom"/>
          </w:tcPr>
          <w:p>
            <w:pPr>
              <w:jc w:val="center"/>
              <w:ind w:left="837"/>
              <w:spacing w:after="0"/>
              <w:rPr>
                <w:sz w:val="20"/>
                <w:szCs w:val="20"/>
                <w:color w:val="auto"/>
              </w:rPr>
            </w:pPr>
            <w:r>
              <w:rPr>
                <w:rFonts w:ascii="Times New Roman" w:cs="Times New Roman" w:eastAsia="Times New Roman" w:hAnsi="Times New Roman"/>
                <w:sz w:val="13"/>
                <w:szCs w:val="13"/>
                <w:color w:val="auto"/>
                <w:w w:val="96"/>
              </w:rPr>
              <w:t>CONDITIONS OF MERGER</w:t>
            </w:r>
          </w:p>
        </w:tc>
        <w:tc>
          <w:tcPr>
            <w:tcW w:w="162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7.1</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Conditions to Obligations of Each Party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Conditions to Obligations of Parent and Merger Sub</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7.3</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Conditions to Obligations of the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7.4</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Frustration of Closing Conditions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27"/>
        </w:trPr>
        <w:tc>
          <w:tcPr>
            <w:tcW w:w="700" w:type="dxa"/>
            <w:vAlign w:val="bottom"/>
          </w:tcPr>
          <w:p>
            <w:pPr>
              <w:spacing w:after="0"/>
              <w:rPr>
                <w:sz w:val="19"/>
                <w:szCs w:val="19"/>
                <w:color w:val="auto"/>
              </w:rPr>
            </w:pPr>
          </w:p>
        </w:tc>
        <w:tc>
          <w:tcPr>
            <w:tcW w:w="5380" w:type="dxa"/>
            <w:vAlign w:val="bottom"/>
          </w:tcPr>
          <w:p>
            <w:pPr>
              <w:jc w:val="center"/>
              <w:ind w:left="857"/>
              <w:spacing w:after="0"/>
              <w:rPr>
                <w:sz w:val="20"/>
                <w:szCs w:val="20"/>
                <w:color w:val="auto"/>
              </w:rPr>
            </w:pPr>
            <w:r>
              <w:rPr>
                <w:rFonts w:ascii="Times New Roman" w:cs="Times New Roman" w:eastAsia="Times New Roman" w:hAnsi="Times New Roman"/>
                <w:sz w:val="13"/>
                <w:szCs w:val="13"/>
                <w:color w:val="auto"/>
                <w:w w:val="96"/>
              </w:rPr>
              <w:t>ARTICLE VIII</w:t>
            </w:r>
          </w:p>
        </w:tc>
        <w:tc>
          <w:tcPr>
            <w:tcW w:w="162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5380" w:type="dxa"/>
            <w:vAlign w:val="bottom"/>
          </w:tcPr>
          <w:p>
            <w:pPr>
              <w:jc w:val="center"/>
              <w:ind w:left="857"/>
              <w:spacing w:after="0"/>
              <w:rPr>
                <w:sz w:val="20"/>
                <w:szCs w:val="20"/>
                <w:color w:val="auto"/>
              </w:rPr>
            </w:pPr>
            <w:r>
              <w:rPr>
                <w:rFonts w:ascii="Times New Roman" w:cs="Times New Roman" w:eastAsia="Times New Roman" w:hAnsi="Times New Roman"/>
                <w:sz w:val="13"/>
                <w:szCs w:val="13"/>
                <w:color w:val="auto"/>
                <w:w w:val="95"/>
              </w:rPr>
              <w:t>TERMINATION</w:t>
            </w:r>
          </w:p>
        </w:tc>
        <w:tc>
          <w:tcPr>
            <w:tcW w:w="162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8.1</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8.2</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8.3</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27"/>
        </w:trPr>
        <w:tc>
          <w:tcPr>
            <w:tcW w:w="700" w:type="dxa"/>
            <w:vAlign w:val="bottom"/>
          </w:tcPr>
          <w:p>
            <w:pPr>
              <w:spacing w:after="0"/>
              <w:rPr>
                <w:sz w:val="19"/>
                <w:szCs w:val="19"/>
                <w:color w:val="auto"/>
              </w:rPr>
            </w:pPr>
          </w:p>
        </w:tc>
        <w:tc>
          <w:tcPr>
            <w:tcW w:w="5380" w:type="dxa"/>
            <w:vAlign w:val="bottom"/>
          </w:tcPr>
          <w:p>
            <w:pPr>
              <w:jc w:val="center"/>
              <w:ind w:left="857"/>
              <w:spacing w:after="0"/>
              <w:rPr>
                <w:sz w:val="20"/>
                <w:szCs w:val="20"/>
                <w:color w:val="auto"/>
              </w:rPr>
            </w:pPr>
            <w:r>
              <w:rPr>
                <w:rFonts w:ascii="Times New Roman" w:cs="Times New Roman" w:eastAsia="Times New Roman" w:hAnsi="Times New Roman"/>
                <w:sz w:val="13"/>
                <w:szCs w:val="13"/>
                <w:color w:val="auto"/>
                <w:w w:val="97"/>
              </w:rPr>
              <w:t>ARTICLE IX</w:t>
            </w:r>
          </w:p>
        </w:tc>
        <w:tc>
          <w:tcPr>
            <w:tcW w:w="1620" w:type="dxa"/>
            <w:vAlign w:val="bottom"/>
          </w:tcPr>
          <w:p>
            <w:pPr>
              <w:spacing w:after="0"/>
              <w:rPr>
                <w:sz w:val="19"/>
                <w:szCs w:val="19"/>
                <w:color w:val="auto"/>
              </w:rPr>
            </w:pPr>
          </w:p>
        </w:tc>
      </w:tr>
      <w:tr>
        <w:trPr>
          <w:trHeight w:val="227"/>
        </w:trPr>
        <w:tc>
          <w:tcPr>
            <w:tcW w:w="700" w:type="dxa"/>
            <w:vAlign w:val="bottom"/>
          </w:tcPr>
          <w:p>
            <w:pPr>
              <w:spacing w:after="0"/>
              <w:rPr>
                <w:sz w:val="19"/>
                <w:szCs w:val="19"/>
                <w:color w:val="auto"/>
              </w:rPr>
            </w:pPr>
          </w:p>
        </w:tc>
        <w:tc>
          <w:tcPr>
            <w:tcW w:w="5380" w:type="dxa"/>
            <w:vAlign w:val="bottom"/>
          </w:tcPr>
          <w:p>
            <w:pPr>
              <w:jc w:val="center"/>
              <w:ind w:left="837"/>
              <w:spacing w:after="0"/>
              <w:rPr>
                <w:sz w:val="20"/>
                <w:szCs w:val="20"/>
                <w:color w:val="auto"/>
              </w:rPr>
            </w:pPr>
            <w:r>
              <w:rPr>
                <w:rFonts w:ascii="Times New Roman" w:cs="Times New Roman" w:eastAsia="Times New Roman" w:hAnsi="Times New Roman"/>
                <w:sz w:val="13"/>
                <w:szCs w:val="13"/>
                <w:color w:val="auto"/>
                <w:w w:val="96"/>
              </w:rPr>
              <w:t>GENERAL PROVISIONS</w:t>
            </w:r>
          </w:p>
        </w:tc>
        <w:tc>
          <w:tcPr>
            <w:tcW w:w="1620" w:type="dxa"/>
            <w:vAlign w:val="bottom"/>
          </w:tcPr>
          <w:p>
            <w:pPr>
              <w:spacing w:after="0"/>
              <w:rPr>
                <w:sz w:val="19"/>
                <w:szCs w:val="19"/>
                <w:color w:val="auto"/>
              </w:rPr>
            </w:pPr>
          </w:p>
        </w:tc>
      </w:t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Non-Survival of Representations, Warranties, Covenants and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9.2</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Modification or Amendment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9.3</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9.4</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9.5</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9.6</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Severability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9.7</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Entire Agreement; Assignment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9.8</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Parties in Interest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9.9</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Governing Law</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9.10</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Headings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9.11</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Counterparts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9.12</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Specific Performance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9.13</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Jurisdiction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9.14</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 OF JURY TRIAL</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9.15</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Interpretation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Section 9.16</w:t>
            </w:r>
          </w:p>
        </w:tc>
        <w:tc>
          <w:tcPr>
            <w:tcW w:w="5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 Sources</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Exhibits</w:t>
      </w:r>
    </w:p>
    <w:p>
      <w:pPr>
        <w:spacing w:after="0" w:line="175"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w:t>
      </w:r>
      <w:r>
        <w:rPr>
          <w:sz w:val="20"/>
          <w:szCs w:val="20"/>
          <w:color w:val="auto"/>
        </w:rPr>
        <w:tab/>
      </w:r>
      <w:r>
        <w:rPr>
          <w:rFonts w:ascii="Times New Roman" w:cs="Times New Roman" w:eastAsia="Times New Roman" w:hAnsi="Times New Roman"/>
          <w:sz w:val="12"/>
          <w:szCs w:val="12"/>
          <w:color w:val="auto"/>
        </w:rPr>
        <w:t>Form of Contingent Value Rights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Plan of Merger</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Financing Reorganization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6" w:lineRule="exact"/>
        <w:rPr>
          <w:sz w:val="20"/>
          <w:szCs w:val="20"/>
          <w:color w:val="auto"/>
        </w:rPr>
      </w:pPr>
    </w:p>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t>This AGREEMENT AND PLAN OF MERGER, dated as of June 28, 2026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entered into by and among Theravance Biopharma, Inc., an exempted company with limited liability incorporated under the Laws of the Cayman Islands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Zymeworks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and Zymeworks Merger Sub 1, an exempted company with limited liability incorporated under the Laws of the Cayman Islands and a wholly owned subsidiary of Parent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together with the Company and Parent,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WHEREAS, upon the terms and subject to the conditions of this Agreement and in accordance with Part 16 of the Companies Act (as revised) of the Cayman Islands (the “</w:t>
      </w:r>
      <w:r>
        <w:rPr>
          <w:rFonts w:ascii="Times New Roman" w:cs="Times New Roman" w:eastAsia="Times New Roman" w:hAnsi="Times New Roman"/>
          <w:sz w:val="13"/>
          <w:szCs w:val="13"/>
          <w:u w:val="single" w:color="auto"/>
          <w:color w:val="auto"/>
        </w:rPr>
        <w:t>Cayman Companies Act</w:t>
      </w:r>
      <w:r>
        <w:rPr>
          <w:rFonts w:ascii="Times New Roman" w:cs="Times New Roman" w:eastAsia="Times New Roman" w:hAnsi="Times New Roman"/>
          <w:sz w:val="13"/>
          <w:szCs w:val="13"/>
          <w:color w:val="auto"/>
        </w:rPr>
        <w:t>”), it is proposed that Merger Sub will merge with and into the Company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the Company surviving the Merger as the surviving company (as defined in the Cayman Companies Act) and becoming a wholly owned subsidiary of Parent as a result of the Merger;</w:t>
      </w:r>
    </w:p>
    <w:p>
      <w:pPr>
        <w:spacing w:after="0" w:line="133" w:lineRule="exact"/>
        <w:rPr>
          <w:sz w:val="20"/>
          <w:szCs w:val="20"/>
          <w:color w:val="auto"/>
        </w:rPr>
      </w:pPr>
    </w:p>
    <w:p>
      <w:pPr>
        <w:ind w:left="640" w:right="739" w:firstLine="309"/>
        <w:spacing w:after="0" w:line="272" w:lineRule="auto"/>
        <w:rPr>
          <w:sz w:val="20"/>
          <w:szCs w:val="20"/>
          <w:color w:val="auto"/>
        </w:rPr>
      </w:pPr>
      <w:r>
        <w:rPr>
          <w:rFonts w:ascii="Times New Roman" w:cs="Times New Roman" w:eastAsia="Times New Roman" w:hAnsi="Times New Roman"/>
          <w:sz w:val="12"/>
          <w:szCs w:val="12"/>
          <w:color w:val="auto"/>
        </w:rPr>
        <w:t>WHEREAS, the board of directors of the Company (the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acting upon the unanimous recommendation of the strategic review committee of the Board of Directors consisting of independent directors (the “</w:t>
      </w:r>
      <w:r>
        <w:rPr>
          <w:rFonts w:ascii="Times New Roman" w:cs="Times New Roman" w:eastAsia="Times New Roman" w:hAnsi="Times New Roman"/>
          <w:sz w:val="12"/>
          <w:szCs w:val="12"/>
          <w:u w:val="single" w:color="auto"/>
          <w:color w:val="auto"/>
        </w:rPr>
        <w:t>Strategic Review Committee</w:t>
      </w:r>
      <w:r>
        <w:rPr>
          <w:rFonts w:ascii="Times New Roman" w:cs="Times New Roman" w:eastAsia="Times New Roman" w:hAnsi="Times New Roman"/>
          <w:sz w:val="12"/>
          <w:szCs w:val="12"/>
          <w:color w:val="auto"/>
        </w:rPr>
        <w:t>”), has (a) determined that it is in the best interests of the Company and declared it advisable, to enter into this Agreement (including the Plan of Merger), (b) approved the execution, delivery and performance by the Company of this Agreement (including the Plan of Merger) and the consummation of the Merger and the other transactions contemplated hereby (subject to obtaining the Company Requisite Vote), and (c) resolved to recommend the approval and authorization of this Agreement, the Merger and the other transactions contemplated hereby by the shareholders of the Company at the Shareholders Meeting;</w:t>
      </w:r>
    </w:p>
    <w:p>
      <w:pPr>
        <w:spacing w:after="0" w:line="12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WHEREAS, (a) the respective boards of directors of Parent and Merger Sub have (i) approved the execution, delivery and performance by Parent and Merger Sub, as the case may be, of this Agreement (including the Plan of Merger) and the consummation of the Merger and the other transactions contemplated hereby and (ii) declared it advisable for Parent and Merger Sub, as the case may be, to enter into this Agreement and (b) the board of directors of the Merger Sub resolved to recommend the approval and authorization of this Agreement, the Merger and the other transactions contemplated hereby by Parent as the sole shareholder of Merger Sub;</w:t>
      </w:r>
    </w:p>
    <w:p>
      <w:pPr>
        <w:spacing w:after="0" w:line="134"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WHEREAS, subject to the terms and conditions of this Agreement, at the Effective Time, Parent and an agent selected by the Company and reasonably acceptable to Parent shall enter into a Contingent Value Rights Agreement in substantially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w:t>
      </w:r>
    </w:p>
    <w:p>
      <w:pPr>
        <w:spacing w:after="0" w:line="130"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Parent and Merger Sub desire to make certain representations, warranties, covenants and agreements in connection with this Agreement.</w:t>
      </w:r>
    </w:p>
    <w:p>
      <w:pPr>
        <w:sectPr>
          <w:pgSz w:w="11900" w:h="16838" w:orient="portrait"/>
          <w:cols w:equalWidth="0" w:num="1">
            <w:col w:w="9019"/>
          </w:cols>
          <w:pgMar w:left="1440" w:top="229" w:right="1440" w:bottom="1440" w:gutter="0" w:footer="0" w:header="0"/>
        </w:sectPr>
      </w:pPr>
    </w:p>
    <w:bookmarkStart w:id="12" w:name="page13"/>
    <w:bookmarkEnd w:id="12"/>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NOW, THEREFORE, in consideration of the foregoing premises, and of the representations, warranties, covenants and agreements contained herein, and intending to be legally bound hereby, the Parties agree as follows: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THE MERGER</w:t>
      </w:r>
    </w:p>
    <w:p>
      <w:pPr>
        <w:spacing w:after="0" w:line="156" w:lineRule="exact"/>
        <w:rPr>
          <w:sz w:val="20"/>
          <w:szCs w:val="20"/>
          <w:color w:val="auto"/>
        </w:rPr>
      </w:pPr>
    </w:p>
    <w:p>
      <w:pPr>
        <w:ind w:left="640" w:right="699" w:firstLine="309"/>
        <w:spacing w:after="0" w:line="279" w:lineRule="auto"/>
        <w:rPr>
          <w:sz w:val="20"/>
          <w:szCs w:val="20"/>
          <w:color w:val="auto"/>
        </w:rPr>
      </w:pPr>
      <w:r>
        <w:rPr>
          <w:rFonts w:ascii="Times New Roman" w:cs="Times New Roman" w:eastAsia="Times New Roman" w:hAnsi="Times New Roman"/>
          <w:sz w:val="12"/>
          <w:szCs w:val="12"/>
          <w:color w:val="auto"/>
        </w:rPr>
        <w:t xml:space="preserve">Section 1.1 </w:t>
      </w:r>
      <w:r>
        <w:rPr>
          <w:rFonts w:ascii="Times New Roman" w:cs="Times New Roman" w:eastAsia="Times New Roman" w:hAnsi="Times New Roman"/>
          <w:sz w:val="12"/>
          <w:szCs w:val="12"/>
          <w:u w:val="single" w:color="auto"/>
          <w:color w:val="auto"/>
        </w:rPr>
        <w:t>The Merger</w:t>
      </w:r>
      <w:r>
        <w:rPr>
          <w:rFonts w:ascii="Times New Roman" w:cs="Times New Roman" w:eastAsia="Times New Roman" w:hAnsi="Times New Roman"/>
          <w:sz w:val="12"/>
          <w:szCs w:val="12"/>
          <w:color w:val="auto"/>
        </w:rPr>
        <w:t xml:space="preserve">. Upon the terms and subject to the satisfaction or written waiver (where permissible) of the conditions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and in accordance with the applicable provisions of the Cayman Companies Act, Merger Sub shall be merged with and into the Company at the Effective Time. As a result of the Merger, Merger Sub shall cease to exist and will be struck off the Registrar of Companies in the Cayman Islands and the Company shall continue as the surviving company (as defined in the Cayman Companies Act) of the Merger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Subject to the terms and conditions of this Agreement, the closing of the Merger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shall take place remotely</w:t>
      </w:r>
    </w:p>
    <w:p>
      <w:pPr>
        <w:spacing w:after="0" w:line="15" w:lineRule="exact"/>
        <w:rPr>
          <w:sz w:val="20"/>
          <w:szCs w:val="20"/>
          <w:color w:val="auto"/>
        </w:rPr>
      </w:pPr>
    </w:p>
    <w:p>
      <w:pPr>
        <w:ind w:left="640" w:right="659" w:hanging="3"/>
        <w:spacing w:after="0" w:line="226" w:lineRule="auto"/>
        <w:tabs>
          <w:tab w:leader="none" w:pos="81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electronic exchange of documents and signatures and filing the Plan of Merger with the Registrar of Companies of the Cayman Islands on the date that is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following the date on which all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those conditions that by their nature are to be satisfied at the Closing, but subject to the satisfaction or waiver of such conditions at the Closing) have been satisfied or waived in accordance with this Agreement, or (b) at such other time and place as the Company and Parent may agree in writing. The date on which the Closing actually occurs is referred to herein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1.3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xml:space="preserve">. Upon the terms and subject to the conditions set forth in this Agreement, on the Closing Date, Parent, Merger Sub and the Company shall cause the Merger to be consummated under the Cayman Companies Act by executing and filing the Plan of Merger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Plan of Merger</w:t>
      </w:r>
      <w:r>
        <w:rPr>
          <w:rFonts w:ascii="Times New Roman" w:cs="Times New Roman" w:eastAsia="Times New Roman" w:hAnsi="Times New Roman"/>
          <w:sz w:val="12"/>
          <w:szCs w:val="12"/>
          <w:color w:val="auto"/>
        </w:rPr>
        <w:t>”) with the Registrar of Companies of the Cayman Islands (the “</w:t>
      </w:r>
      <w:r>
        <w:rPr>
          <w:rFonts w:ascii="Times New Roman" w:cs="Times New Roman" w:eastAsia="Times New Roman" w:hAnsi="Times New Roman"/>
          <w:sz w:val="12"/>
          <w:szCs w:val="12"/>
          <w:u w:val="single" w:color="auto"/>
          <w:color w:val="auto"/>
        </w:rPr>
        <w:t>Registrar of Companies</w:t>
      </w:r>
      <w:r>
        <w:rPr>
          <w:rFonts w:ascii="Times New Roman" w:cs="Times New Roman" w:eastAsia="Times New Roman" w:hAnsi="Times New Roman"/>
          <w:sz w:val="12"/>
          <w:szCs w:val="12"/>
          <w:color w:val="auto"/>
        </w:rPr>
        <w:t>”), together with such other appropriate documents, in such forms as are required by, and executed in accordance with, the applicable provisions of the Cayman Companies Act (the time of registration of the Plan of Merger by the Registrar of Companies, or such later time as may be agreed in writing by Parent, Merger Sub and the Company and specified in the Plan of Merger, being referred to herein as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Effect of the Merger</w:t>
      </w:r>
      <w:r>
        <w:rPr>
          <w:rFonts w:ascii="Times New Roman" w:cs="Times New Roman" w:eastAsia="Times New Roman" w:hAnsi="Times New Roman"/>
          <w:sz w:val="13"/>
          <w:szCs w:val="13"/>
          <w:color w:val="auto"/>
        </w:rPr>
        <w:t>. At the Effective Time, the effect of the Merger shall be as provided in this Agreement, the Plan of Merger and in the applicable provisions of the Cayman Companies Act. Without limiting the generality of the foregoing,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 in accordance with the provisions of the Cayman Companies Act.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3" w:name="page14"/>
    <w:bookmarkEnd w:id="13"/>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1.5 </w:t>
      </w:r>
      <w:r>
        <w:rPr>
          <w:rFonts w:ascii="Times New Roman" w:cs="Times New Roman" w:eastAsia="Times New Roman" w:hAnsi="Times New Roman"/>
          <w:sz w:val="13"/>
          <w:szCs w:val="13"/>
          <w:u w:val="single" w:color="auto"/>
          <w:color w:val="auto"/>
        </w:rPr>
        <w:t>Company Memorandum and Articles of Association</w:t>
      </w:r>
      <w:r>
        <w:rPr>
          <w:rFonts w:ascii="Times New Roman" w:cs="Times New Roman" w:eastAsia="Times New Roman" w:hAnsi="Times New Roman"/>
          <w:sz w:val="13"/>
          <w:szCs w:val="13"/>
          <w:color w:val="auto"/>
        </w:rPr>
        <w:t xml:space="preserve">. At the Effective Time, in accordance with the Plan of Merger, the memorandum and articles of association of Merger Sub, as in effect immediately prior to the Effective Time, shall become the memorandum and articles of association of the Surviving Company, save and except that (a) all references to the name “Zymeworks Merger Sub 1” shall be amended to “Theravance Biopharma, Inc.”; (b) all references to the share capital of the Surviving Company shall be amended to refer to the correct authorized share capital of the Surviving Company consistent with the Plan of Merger, until thereafter amended in accordance with the applicable provisions of the Cayman Companies Act and such memorandum and articles of association; and (c) such memorandum and articles of association shall include such indemnification provisions as required by </w:t>
      </w:r>
      <w:r>
        <w:rPr>
          <w:rFonts w:ascii="Times New Roman" w:cs="Times New Roman" w:eastAsia="Times New Roman" w:hAnsi="Times New Roman"/>
          <w:sz w:val="13"/>
          <w:szCs w:val="13"/>
          <w:u w:val="single" w:color="auto"/>
          <w:color w:val="auto"/>
        </w:rPr>
        <w:t>Section 6.10(b)</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Directors and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39" w:firstLine="693"/>
        <w:spacing w:after="0" w:line="251" w:lineRule="auto"/>
        <w:tabs>
          <w:tab w:leader="none" w:pos="150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of Merger Sub immediately prior to the Effective Time shall, from and after the Effective Time, be the directors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director’s earlier death, resignation or removal.</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officers of the Company immediately prior to the Effective Time shall be the officers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officer’s earlier death, resignation or removal.</w:t>
      </w: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7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3"/>
          <w:szCs w:val="13"/>
          <w:b w:val="1"/>
          <w:bCs w:val="1"/>
          <w:u w:val="single" w:color="auto"/>
          <w:color w:val="auto"/>
        </w:rPr>
        <w:t>EFFECT OF MERGER ON ISSUED SHARE CAPITAL; MERGER CONSIDERATION;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EXCHANGE OF CERTIFICATES</w:t>
      </w:r>
    </w:p>
    <w:p>
      <w:pPr>
        <w:spacing w:after="0" w:line="141"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Effect on Share Capital</w:t>
      </w:r>
      <w:r>
        <w:rPr>
          <w:rFonts w:ascii="Times New Roman" w:cs="Times New Roman" w:eastAsia="Times New Roman" w:hAnsi="Times New Roman"/>
          <w:sz w:val="13"/>
          <w:szCs w:val="13"/>
          <w:color w:val="auto"/>
        </w:rPr>
        <w:t>. At the Effective Time, by virtue of the Merger and without any action on the part of the Company, Parent, Merger Sub or the holders of any of the following securities:</w:t>
      </w:r>
    </w:p>
    <w:p>
      <w:pPr>
        <w:spacing w:after="0" w:line="46" w:lineRule="exact"/>
        <w:rPr>
          <w:sz w:val="20"/>
          <w:szCs w:val="20"/>
          <w:color w:val="auto"/>
        </w:rPr>
      </w:pPr>
    </w:p>
    <w:p>
      <w:pPr>
        <w:ind w:left="640" w:right="699" w:firstLine="693"/>
        <w:spacing w:after="0" w:line="246" w:lineRule="auto"/>
        <w:tabs>
          <w:tab w:leader="none" w:pos="150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Each Ordinary Share (as defined below) issued and outstanding immediately prior to the Effective Time (other than the Canceled Shares and the Dissenting Shares) shall be canceled and converted into the right to receive $17.00 per Ordinary Share in cash without interest (the “</w:t>
      </w:r>
      <w:r>
        <w:rPr>
          <w:rFonts w:ascii="Times New Roman" w:cs="Times New Roman" w:eastAsia="Times New Roman" w:hAnsi="Times New Roman"/>
          <w:sz w:val="13"/>
          <w:szCs w:val="13"/>
          <w:u w:val="single" w:color="auto"/>
          <w:color w:val="auto"/>
        </w:rPr>
        <w:t>Per Share Cash Consideration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one (1) contingent value right per Ordinary Share, which shall represent the right to receive the CVR Payment Amount (as such term is used in the CVR Agreement), if any, at the times and subject to the terms and conditions provided for in the CVR Agreement, in cash, without interest (each, a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CVRs</w:t>
      </w:r>
      <w:r>
        <w:rPr>
          <w:rFonts w:ascii="Times New Roman" w:cs="Times New Roman" w:eastAsia="Times New Roman" w:hAnsi="Times New Roman"/>
          <w:sz w:val="13"/>
          <w:szCs w:val="13"/>
          <w:color w:val="auto"/>
        </w:rPr>
        <w:t>” and each CVR together with the Per Share Cash Consideration, the “</w:t>
      </w:r>
      <w:r>
        <w:rPr>
          <w:rFonts w:ascii="Times New Roman" w:cs="Times New Roman" w:eastAsia="Times New Roman" w:hAnsi="Times New Roman"/>
          <w:sz w:val="13"/>
          <w:szCs w:val="13"/>
          <w:u w:val="single" w:color="auto"/>
          <w:color w:val="auto"/>
        </w:rPr>
        <w:t>Per Share Merger Consideration</w:t>
      </w:r>
      <w:r>
        <w:rPr>
          <w:rFonts w:ascii="Times New Roman" w:cs="Times New Roman" w:eastAsia="Times New Roman" w:hAnsi="Times New Roman"/>
          <w:sz w:val="13"/>
          <w:szCs w:val="13"/>
          <w:color w:val="auto"/>
        </w:rPr>
        <w:t xml:space="preserve">”). At the Effective Time, all of the Ordinary Shares that have been converted into a right to receive the Per Share Merger Consideration as provided in this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shall no longer be outstanding, shall be canceled and extinguished and shall cease to exist, and each former holder of Ordinary Shares (other than the Canceled Shares and the Dissenting Shares) that were outstanding immediately prior to the Effective Time will cease to have any rights with respect to such Ordinary Shares, except for the right to receive the Per Share Merger Consideration without interest, to be paid in consideration therefor in accordance with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4" w:name="page15"/>
    <w:bookmarkEnd w:id="14"/>
    <w:p>
      <w:pPr>
        <w:ind w:left="640" w:right="799" w:firstLine="693"/>
        <w:spacing w:after="0" w:line="249" w:lineRule="auto"/>
        <w:tabs>
          <w:tab w:leader="none" w:pos="151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Cancellation and Conversion of Certain Shares</w:t>
      </w:r>
      <w:r>
        <w:rPr>
          <w:rFonts w:ascii="Times New Roman" w:cs="Times New Roman" w:eastAsia="Times New Roman" w:hAnsi="Times New Roman"/>
          <w:sz w:val="13"/>
          <w:szCs w:val="13"/>
          <w:color w:val="auto"/>
        </w:rPr>
        <w:t>. Each Ordinary Share owned by the Company as a treasury share, or by any direct or indirect subsidiary of the Company immediately before the Effective Time (collectively, the “</w:t>
      </w:r>
      <w:r>
        <w:rPr>
          <w:rFonts w:ascii="Times New Roman" w:cs="Times New Roman" w:eastAsia="Times New Roman" w:hAnsi="Times New Roman"/>
          <w:sz w:val="13"/>
          <w:szCs w:val="13"/>
          <w:u w:val="single" w:color="auto"/>
          <w:color w:val="auto"/>
        </w:rPr>
        <w:t>Canceled Shares</w:t>
      </w:r>
      <w:r>
        <w:rPr>
          <w:rFonts w:ascii="Times New Roman" w:cs="Times New Roman" w:eastAsia="Times New Roman" w:hAnsi="Times New Roman"/>
          <w:sz w:val="13"/>
          <w:szCs w:val="13"/>
          <w:color w:val="auto"/>
        </w:rPr>
        <w:t>”), shall be canceled and extinguished automatically and shall cease to exist, and no consideration shall be paid for the Canceled Shares. Each Ordinary Share held by Parent or any direct or indirect subsidiary of Parent immediately prior to or at the Effective Time shall be canceled and extinguished and shall cease to exist and no consideration shall be delivered in exchange therefor.</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68" w:lineRule="auto"/>
        <w:tabs>
          <w:tab w:leader="none" w:pos="1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Each Ordinary Share that is issued and outstanding immediately prior to the Effective Time and is held by a holder of Ordinary Shares (each, a “</w:t>
      </w:r>
      <w:r>
        <w:rPr>
          <w:rFonts w:ascii="Times New Roman" w:cs="Times New Roman" w:eastAsia="Times New Roman" w:hAnsi="Times New Roman"/>
          <w:sz w:val="12"/>
          <w:szCs w:val="12"/>
          <w:u w:val="single" w:color="auto"/>
          <w:color w:val="auto"/>
        </w:rPr>
        <w:t>Dissenting Shareholder</w:t>
      </w:r>
      <w:r>
        <w:rPr>
          <w:rFonts w:ascii="Times New Roman" w:cs="Times New Roman" w:eastAsia="Times New Roman" w:hAnsi="Times New Roman"/>
          <w:sz w:val="12"/>
          <w:szCs w:val="12"/>
          <w:color w:val="auto"/>
        </w:rPr>
        <w:t>”) who has validly exercised and not withdrawn or lost its right to dissent from the Merger (“</w:t>
      </w:r>
      <w:r>
        <w:rPr>
          <w:rFonts w:ascii="Times New Roman" w:cs="Times New Roman" w:eastAsia="Times New Roman" w:hAnsi="Times New Roman"/>
          <w:sz w:val="12"/>
          <w:szCs w:val="12"/>
          <w:u w:val="single" w:color="auto"/>
          <w:color w:val="auto"/>
        </w:rPr>
        <w:t>Dissenter Rights</w:t>
      </w:r>
      <w:r>
        <w:rPr>
          <w:rFonts w:ascii="Times New Roman" w:cs="Times New Roman" w:eastAsia="Times New Roman" w:hAnsi="Times New Roman"/>
          <w:sz w:val="12"/>
          <w:szCs w:val="12"/>
          <w:color w:val="auto"/>
        </w:rPr>
        <w:t>”) pursuant to Section 238 of the Cayman Companies Act (collectively, the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xml:space="preserve">”) shall be canceled and cease to exist, but shall not be converted into or exchangeable for or represent the right to receive the Per Share Merger Consideration (except as provided in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xml:space="preserve">), and each such Dissenting Shareholder shall instead be entitled only to payment of the fair value of such Dissenting Shares in accordance with Section 238 of the Cayman Companies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any Dissenting Shareholder shall have effectively withdrawn or lost its right to dissent in accordance with the Cayman Companies Act, then in each case, as of the later of the Effective Time and the occurrence of such withdrawal or loss of right to dissent, the Dissenting Shareholder shall, in respect of its Ordinary Shares canceled at the Effective Time, be entitled to receive the Per Share Merger Consideration without interest, pursuant to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xml:space="preserve"> and such Ordinary Shares shall not be deemed to be Dissenting Shares. For the avoidance of doubt, and notwithstanding anything to the contrary herein, Dissenting Shares shall not be entitled to receive any CVRs.</w:t>
      </w:r>
    </w:p>
    <w:p>
      <w:pPr>
        <w:spacing w:after="0" w:line="127"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51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Capital of Merger Sub</w:t>
      </w:r>
      <w:r>
        <w:rPr>
          <w:rFonts w:ascii="Times New Roman" w:cs="Times New Roman" w:eastAsia="Times New Roman" w:hAnsi="Times New Roman"/>
          <w:sz w:val="13"/>
          <w:szCs w:val="13"/>
          <w:color w:val="auto"/>
        </w:rPr>
        <w:t xml:space="preserve">. Immediately following the cancellation of Ordinary Shares pursuant to the terms and conditions set out in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 xml:space="preserve"> above, each ordinary share, par value $1.00 per share, of Merger Sub, issued and outstanding immediately prior to the Effective Time, shall be converted into and become one validly issued, fully paid and non-assessable ordinary share, par value $1.00 per share, of the Surviving Company, and will constitute all of the issued and outstanding shares of the Surviving Company.</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Treatment of Company Equity Awards and Company ESPP</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79" w:firstLine="693"/>
        <w:spacing w:after="0" w:line="251" w:lineRule="auto"/>
        <w:tabs>
          <w:tab w:leader="none" w:pos="15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Corporate Actions</w:t>
      </w:r>
      <w:r>
        <w:rPr>
          <w:rFonts w:ascii="Times New Roman" w:cs="Times New Roman" w:eastAsia="Times New Roman" w:hAnsi="Times New Roman"/>
          <w:sz w:val="13"/>
          <w:szCs w:val="13"/>
          <w:color w:val="auto"/>
        </w:rPr>
        <w:t xml:space="preserve">. At or prior to the Effective Time, the Company, the Board of Directors and/or the compensation committee thereof, as applicable, shall adopt any resolutions and take any other actions necessary to cause the Company Options, the Company RSU Awards, the Company PSU Awards to be treated in accordance with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below and the Company Share Plans to be treated in accordance with </w:t>
      </w:r>
      <w:r>
        <w:rPr>
          <w:rFonts w:ascii="Times New Roman" w:cs="Times New Roman" w:eastAsia="Times New Roman" w:hAnsi="Times New Roman"/>
          <w:sz w:val="13"/>
          <w:szCs w:val="13"/>
          <w:u w:val="single" w:color="auto"/>
          <w:color w:val="auto"/>
        </w:rPr>
        <w:t>Section 2.2(c)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2.2(d)</w:t>
      </w:r>
      <w:r>
        <w:rPr>
          <w:rFonts w:ascii="Times New Roman" w:cs="Times New Roman" w:eastAsia="Times New Roman" w:hAnsi="Times New Roman"/>
          <w:sz w:val="13"/>
          <w:szCs w:val="13"/>
          <w:color w:val="auto"/>
        </w:rPr>
        <w:t xml:space="preserve"> below.</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5" w:name="page16"/>
    <w:bookmarkEnd w:id="15"/>
    <w:p>
      <w:pPr>
        <w:ind w:left="1520" w:hanging="187"/>
        <w:spacing w:after="0"/>
        <w:tabs>
          <w:tab w:leader="none" w:pos="15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Treatment of Company Options, Company RSU Awards and Company PSU Awards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46" w:lineRule="auto"/>
        <w:tabs>
          <w:tab w:leader="none" w:pos="1759"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xml:space="preserve">. Each Company Option, whether vested or unvested, that is outstanding, unexercised and not yet expired as of immediately prior to the Effective Time will, at the Effective Time, be canceled and converted into the right to receive, in full satisfaction of the rights of such holder with respect thereto, an amount in cash, without interest, equal to (A) the excess, if any, of the Per Share Cash Consideration over the exercise price of such Company Option,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the number of Ordinary Shares underlying such Company Option (subject to any required Tax withholdings as provided in </w:t>
      </w:r>
      <w:r>
        <w:rPr>
          <w:rFonts w:ascii="Times New Roman" w:cs="Times New Roman" w:eastAsia="Times New Roman" w:hAnsi="Times New Roman"/>
          <w:sz w:val="13"/>
          <w:szCs w:val="13"/>
          <w:u w:val="single" w:color="auto"/>
          <w:color w:val="auto"/>
        </w:rPr>
        <w:t>Section 2.3(e)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(C) one (1) CVR for each Ordinary Share underlying such Company Option;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Company Option that has an exercise price per Ordinary Share that is greater than or equal to the Per Share Cash Consideration shall cease to be outstanding, be canceled and cease to exist and the holder of any such Company Option shall not be entitled to payment of any consideration therefor.</w:t>
      </w:r>
    </w:p>
    <w:p>
      <w:pPr>
        <w:spacing w:after="0" w:line="63" w:lineRule="exact"/>
        <w:rPr>
          <w:rFonts w:ascii="Times New Roman" w:cs="Times New Roman" w:eastAsia="Times New Roman" w:hAnsi="Times New Roman"/>
          <w:sz w:val="13"/>
          <w:szCs w:val="13"/>
          <w:color w:val="auto"/>
        </w:rPr>
      </w:pPr>
    </w:p>
    <w:p>
      <w:pPr>
        <w:ind w:left="940" w:right="679" w:firstLine="675"/>
        <w:spacing w:after="0" w:line="249" w:lineRule="auto"/>
        <w:tabs>
          <w:tab w:leader="none" w:pos="1794"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RSU Awards</w:t>
      </w:r>
      <w:r>
        <w:rPr>
          <w:rFonts w:ascii="Times New Roman" w:cs="Times New Roman" w:eastAsia="Times New Roman" w:hAnsi="Times New Roman"/>
          <w:sz w:val="13"/>
          <w:szCs w:val="13"/>
          <w:color w:val="auto"/>
        </w:rPr>
        <w:t xml:space="preserve">. Each Company RSU Award that is outstanding immediately prior to the Effective Time, whether vested or unvested, will, at the Effective Time, be canceled and automatically converted into a right to receive an amount in cash, without interest, equal to (x) the Per Share Cash Consideration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(y) the number of Ordinary Shares underlying such Company RSU Award (subject to any required Tax withholdings as provided in </w:t>
      </w:r>
      <w:r>
        <w:rPr>
          <w:rFonts w:ascii="Times New Roman" w:cs="Times New Roman" w:eastAsia="Times New Roman" w:hAnsi="Times New Roman"/>
          <w:sz w:val="13"/>
          <w:szCs w:val="13"/>
          <w:u w:val="single" w:color="auto"/>
          <w:color w:val="auto"/>
        </w:rPr>
        <w:t>Section 2.3(e)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one (1) CVR for each Ordinary Share underlying such Company RSU Award.</w:t>
      </w:r>
    </w:p>
    <w:p>
      <w:pPr>
        <w:spacing w:after="0" w:line="58" w:lineRule="exact"/>
        <w:rPr>
          <w:rFonts w:ascii="Times New Roman" w:cs="Times New Roman" w:eastAsia="Times New Roman" w:hAnsi="Times New Roman"/>
          <w:sz w:val="13"/>
          <w:szCs w:val="13"/>
          <w:color w:val="auto"/>
        </w:rPr>
      </w:pPr>
    </w:p>
    <w:p>
      <w:pPr>
        <w:ind w:left="940" w:right="719" w:firstLine="675"/>
        <w:spacing w:after="0" w:line="272" w:lineRule="auto"/>
        <w:tabs>
          <w:tab w:leader="none" w:pos="1829"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Company PSU Awards</w:t>
      </w:r>
      <w:r>
        <w:rPr>
          <w:rFonts w:ascii="Times New Roman" w:cs="Times New Roman" w:eastAsia="Times New Roman" w:hAnsi="Times New Roman"/>
          <w:sz w:val="12"/>
          <w:szCs w:val="12"/>
          <w:color w:val="auto"/>
        </w:rPr>
        <w:t xml:space="preserve">. Each Company PSU Award that is outstanding immediately prior to the Effective Time, whether vested or unvested, will, at the Effective Time, be canceled in exchange for the right to receive an amount in cash, without interest, equal to (A) the Per Share Cash Consideration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(B) the number of Ordinary Shares set forth on </w:t>
      </w:r>
      <w:r>
        <w:rPr>
          <w:rFonts w:ascii="Times New Roman" w:cs="Times New Roman" w:eastAsia="Times New Roman" w:hAnsi="Times New Roman"/>
          <w:sz w:val="12"/>
          <w:szCs w:val="12"/>
          <w:u w:val="single" w:color="auto"/>
          <w:color w:val="auto"/>
        </w:rPr>
        <w:t>Section 2.2(b)(iii)</w:t>
      </w:r>
      <w:r>
        <w:rPr>
          <w:rFonts w:ascii="Times New Roman" w:cs="Times New Roman" w:eastAsia="Times New Roman" w:hAnsi="Times New Roman"/>
          <w:sz w:val="12"/>
          <w:szCs w:val="12"/>
          <w:color w:val="auto"/>
        </w:rPr>
        <w:t xml:space="preserve"> of the Company Disclosure Letter in the column titled “Outstanding/ Unreleased” with respect to such Company PSU Award that remain outstanding and unreleased as of immediately prior to the Effective Time,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(C) one (1) CVR for each Ordinary Share underlying such Company PSU Award. All Company PSU awards outstanding as of the date hereof are set forth on </w:t>
      </w:r>
      <w:r>
        <w:rPr>
          <w:rFonts w:ascii="Times New Roman" w:cs="Times New Roman" w:eastAsia="Times New Roman" w:hAnsi="Times New Roman"/>
          <w:sz w:val="12"/>
          <w:szCs w:val="12"/>
          <w:u w:val="single" w:color="auto"/>
          <w:color w:val="auto"/>
        </w:rPr>
        <w:t>Section 2.2(b)(iii)</w:t>
      </w:r>
      <w:r>
        <w:rPr>
          <w:rFonts w:ascii="Times New Roman" w:cs="Times New Roman" w:eastAsia="Times New Roman" w:hAnsi="Times New Roman"/>
          <w:sz w:val="12"/>
          <w:szCs w:val="12"/>
          <w:color w:val="auto"/>
        </w:rPr>
        <w:t xml:space="preserve"> of the Company Disclosure Letter.</w:t>
      </w:r>
    </w:p>
    <w:p>
      <w:pPr>
        <w:spacing w:after="0" w:line="47" w:lineRule="exact"/>
        <w:rPr>
          <w:rFonts w:ascii="Times New Roman" w:cs="Times New Roman" w:eastAsia="Times New Roman" w:hAnsi="Times New Roman"/>
          <w:sz w:val="12"/>
          <w:szCs w:val="12"/>
          <w:color w:val="auto"/>
        </w:rPr>
      </w:pPr>
    </w:p>
    <w:p>
      <w:pPr>
        <w:ind w:left="940" w:right="659" w:firstLine="675"/>
        <w:spacing w:after="0" w:line="247" w:lineRule="auto"/>
        <w:tabs>
          <w:tab w:leader="none" w:pos="1822"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 Procedures</w:t>
      </w:r>
      <w:r>
        <w:rPr>
          <w:rFonts w:ascii="Times New Roman" w:cs="Times New Roman" w:eastAsia="Times New Roman" w:hAnsi="Times New Roman"/>
          <w:sz w:val="13"/>
          <w:szCs w:val="13"/>
          <w:color w:val="auto"/>
        </w:rPr>
        <w:t xml:space="preserve">. At or prior to the Effective Time, Parent shall deposit (or cause to be deposited) with the Company, by wire transfer of immediately available funds, the aggregate cash amount payable to holders of Company Options, Company RSU Awards and Company PSU Awards pursuant to </w:t>
      </w:r>
      <w:r>
        <w:rPr>
          <w:rFonts w:ascii="Times New Roman" w:cs="Times New Roman" w:eastAsia="Times New Roman" w:hAnsi="Times New Roman"/>
          <w:sz w:val="13"/>
          <w:szCs w:val="13"/>
          <w:u w:val="single" w:color="auto"/>
          <w:color w:val="auto"/>
        </w:rPr>
        <w:t>Section 2.2(b)(i), Section 2.2(b)(ii)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2.2(b)(iii)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at least three (3) Business Days prior to such deposit, the Company shall have delivered to Parent a list of all Company Equity Awards that would be outstanding as of immediately prior to the Effective Time, setting out for each such Company Equity Award, the holder thereof, the type of such Company Equity Award, the number of Ordinary Shares subject thereto, the exercise price or purchase price (as applicable) thereof, the grant date thereof, and the vesting schedule applicable to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4658995</wp:posOffset>
            </wp:positionH>
            <wp:positionV relativeFrom="paragraph">
              <wp:posOffset>-2185670</wp:posOffset>
            </wp:positionV>
            <wp:extent cx="203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0" cy="571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-1126490</wp:posOffset>
            </wp:positionV>
            <wp:extent cx="203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6" w:name="page17"/>
    <w:bookmarkEnd w:id="16"/>
    <w:p>
      <w:pPr>
        <w:ind w:left="940" w:right="69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Equity Award. As promptly as reasonably practicable following the Closing Date, but in no event later than the next regularly scheduled payroll date that occurs more than three (3) Business Days following the Closing Date, the applicable holders of Company Options, Company RSU Awards and Company PSU Awards shall receive a cash payment from the Company or the Surviving Company or one of its subsidiaries, of all cash amounts required to be paid to such holders in respect of its Company Options, Company RSU Awards and Company PSU Awards pursuant to </w:t>
      </w:r>
      <w:r>
        <w:rPr>
          <w:rFonts w:ascii="Times New Roman" w:cs="Times New Roman" w:eastAsia="Times New Roman" w:hAnsi="Times New Roman"/>
          <w:sz w:val="12"/>
          <w:szCs w:val="12"/>
          <w:u w:val="single" w:color="auto"/>
          <w:color w:val="auto"/>
        </w:rPr>
        <w:t>Section 2.2(b)(i), Section 2.2(b)(ii)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2.2(b)(iii)</w:t>
      </w:r>
      <w:r>
        <w:rPr>
          <w:rFonts w:ascii="Times New Roman" w:cs="Times New Roman" w:eastAsia="Times New Roman" w:hAnsi="Times New Roman"/>
          <w:sz w:val="12"/>
          <w:szCs w:val="12"/>
          <w:color w:val="auto"/>
        </w:rPr>
        <w:t xml:space="preserve"> as applicable (after giving effect to any required Tax withholdings as provided in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xml:space="preserve">). Notwithstanding anything herein to the contrary, (A) with respect to any Company Equity Award that constitutes nonqualified deferred compensation subject to Section 409A of the Code and that the Company determines prior to the Effective Time is not eligible to be terminated in accordance with Treasury Regulation Section 1.409A-3(j)(4)(ix)(B), such payment will be made at the earliest time permitted under the terms applicable to such Company Equity Award that will not trigger a Tax or penalty under Section 409A of the Code and (B) with respect to Company Equity Awards held by individuals subject to Taxes imposed by the Laws of a country other than the United States, the parties hereto shall cooperate in good faith prior to the Effective Time to minimize the Tax impact of the provisions set forth in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40" w:right="719" w:firstLine="693"/>
        <w:spacing w:after="0" w:line="251" w:lineRule="auto"/>
        <w:tabs>
          <w:tab w:leader="none" w:pos="150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the Company ESPP</w:t>
      </w:r>
      <w:r>
        <w:rPr>
          <w:rFonts w:ascii="Times New Roman" w:cs="Times New Roman" w:eastAsia="Times New Roman" w:hAnsi="Times New Roman"/>
          <w:sz w:val="13"/>
          <w:szCs w:val="13"/>
          <w:color w:val="auto"/>
        </w:rPr>
        <w:t>. With respect to the Company ESPP, as soon as practicable following the date of this Agreement, the Board of Directors shall adopt resolutions or take other actions as may be required to provide that no further Purchase Period (as defined in the Company ESPP) will commence pursuant to the Company ESPP after the date hereof. Immediately prior to and effective as of the Effective Time, the Company will terminate the Company ESPP.</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51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Company Share Plans</w:t>
      </w:r>
      <w:r>
        <w:rPr>
          <w:rFonts w:ascii="Times New Roman" w:cs="Times New Roman" w:eastAsia="Times New Roman" w:hAnsi="Times New Roman"/>
          <w:sz w:val="12"/>
          <w:szCs w:val="12"/>
          <w:color w:val="auto"/>
        </w:rPr>
        <w:t xml:space="preserve">. As of the Effective Time, the Company Share Plans shall be terminated and no further Company Options, Company RSU Awards, Company PSU Awards, or other rights with respect to Ordinary Shares shall be granted thereunder. Following the Effective Time, no such Company Option, Company RSU Award, Company PSU Award or other right that was outstanding immediately prior to the Effective Time shall remain outstanding, and each former holder of any such Company Option, Company RSU Award, Company PSU Award or other right shall cease to have any rights with respect thereto, except the right to receive the consideration set forth in this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Exchange of Certificates; Exchange Fund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51" w:lineRule="auto"/>
        <w:tabs>
          <w:tab w:leader="none" w:pos="150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Paying Agent</w:t>
      </w:r>
      <w:r>
        <w:rPr>
          <w:rFonts w:ascii="Times New Roman" w:cs="Times New Roman" w:eastAsia="Times New Roman" w:hAnsi="Times New Roman"/>
          <w:sz w:val="13"/>
          <w:szCs w:val="13"/>
          <w:color w:val="auto"/>
        </w:rPr>
        <w:t>. Prior to the Closing, Parent or Merger Sub shall enter into an agreement in form and substance reasonably acceptable to the Company with a paying agent selected by Parent and reasonably acceptable to the Company to act as agent for the shareholders of the Company in connection with the Merger (the “</w:t>
      </w:r>
      <w:r>
        <w:rPr>
          <w:rFonts w:ascii="Times New Roman" w:cs="Times New Roman" w:eastAsia="Times New Roman" w:hAnsi="Times New Roman"/>
          <w:sz w:val="13"/>
          <w:szCs w:val="13"/>
          <w:u w:val="single" w:color="auto"/>
          <w:color w:val="auto"/>
        </w:rPr>
        <w:t>Paying Agent</w:t>
      </w:r>
      <w:r>
        <w:rPr>
          <w:rFonts w:ascii="Times New Roman" w:cs="Times New Roman" w:eastAsia="Times New Roman" w:hAnsi="Times New Roman"/>
          <w:sz w:val="13"/>
          <w:szCs w:val="13"/>
          <w:color w:val="auto"/>
        </w:rPr>
        <w:t xml:space="preserve">”) to receive payments required to be made pursuant to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and if applicable, the proviso set forth under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 w:name="page18"/>
    <w:bookmarkEnd w:id="17"/>
    <w:p>
      <w:pPr>
        <w:ind w:left="640" w:right="7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On or prior to the Effective Time, Parent shall deposit, or cause to be deposited, with the Paying Agent, a cash amount in immediately available funds that are sufficient in the aggregate to provide all funds necessary for the Paying Agent to pay the aggregate Per Share Cash Consideration pursuant to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and if applicable, the proviso set forth under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 xml:space="preserve"> in trust for the benefit of the relevant holders of the Ordinary Shares (other than the Canceled Shares and the Dissenting Shares) (such cash being hereinafter referred to as the “</w:t>
      </w:r>
      <w:r>
        <w:rPr>
          <w:rFonts w:ascii="Times New Roman" w:cs="Times New Roman" w:eastAsia="Times New Roman" w:hAnsi="Times New Roman"/>
          <w:sz w:val="13"/>
          <w:szCs w:val="13"/>
          <w:u w:val="single" w:color="auto"/>
          <w:color w:val="auto"/>
        </w:rPr>
        <w:t>Exchange Fund</w:t>
      </w:r>
      <w:r>
        <w:rPr>
          <w:rFonts w:ascii="Times New Roman" w:cs="Times New Roman" w:eastAsia="Times New Roman" w:hAnsi="Times New Roman"/>
          <w:sz w:val="13"/>
          <w:szCs w:val="13"/>
          <w:color w:val="auto"/>
        </w:rPr>
        <w:t xml:space="preserve">”). The funds deposited with the Paying Agent pursuant to this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xml:space="preserve"> shall not be used for any purpose other than as contemplated by this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For the avoidance of doubt, Parent shall not be required to cause to be deposited any funds related to any CVR with the Paying Agent or the Rights Agent unless and until such deposit is required pursuant to the CVR Agreement.</w:t>
      </w:r>
    </w:p>
    <w:p>
      <w:pPr>
        <w:spacing w:after="0" w:line="136" w:lineRule="exact"/>
        <w:rPr>
          <w:sz w:val="20"/>
          <w:szCs w:val="20"/>
          <w:color w:val="auto"/>
        </w:rPr>
      </w:pPr>
    </w:p>
    <w:p>
      <w:pPr>
        <w:ind w:left="1520" w:hanging="187"/>
        <w:spacing w:after="0"/>
        <w:tabs>
          <w:tab w:leader="none" w:pos="15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Procedures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jc w:val="both"/>
        <w:ind w:left="940" w:right="719" w:firstLine="675"/>
        <w:spacing w:after="0" w:line="269" w:lineRule="auto"/>
        <w:tabs>
          <w:tab w:leader="none" w:pos="1759" w:val="left"/>
        </w:tabs>
        <w:numPr>
          <w:ilvl w:val="2"/>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Transmittal Materials</w:t>
      </w:r>
      <w:r>
        <w:rPr>
          <w:rFonts w:ascii="Times New Roman" w:cs="Times New Roman" w:eastAsia="Times New Roman" w:hAnsi="Times New Roman"/>
          <w:sz w:val="12"/>
          <w:szCs w:val="12"/>
          <w:color w:val="auto"/>
        </w:rPr>
        <w:t>. Promptly after the Effective Time (and in any event within two (2) Business Days thereafter), Parent and the Surviving Company shall cause the Paying Agent to mail or otherwise provide to each former holder of record of a certificate or certificates that immediately prior to the Effective Time represented outstanding Ordinary Shares, if any (“</w:t>
      </w:r>
      <w:r>
        <w:rPr>
          <w:rFonts w:ascii="Times New Roman" w:cs="Times New Roman" w:eastAsia="Times New Roman" w:hAnsi="Times New Roman"/>
          <w:sz w:val="12"/>
          <w:szCs w:val="12"/>
          <w:u w:val="single" w:color="auto"/>
          <w:color w:val="auto"/>
        </w:rPr>
        <w:t>Certificates</w:t>
      </w:r>
      <w:r>
        <w:rPr>
          <w:rFonts w:ascii="Times New Roman" w:cs="Times New Roman" w:eastAsia="Times New Roman" w:hAnsi="Times New Roman"/>
          <w:sz w:val="12"/>
          <w:szCs w:val="12"/>
          <w:color w:val="auto"/>
        </w:rPr>
        <w:t>”), and each former holder of record of Ordinary Shares held in book-entry form (“</w:t>
      </w:r>
      <w:r>
        <w:rPr>
          <w:rFonts w:ascii="Times New Roman" w:cs="Times New Roman" w:eastAsia="Times New Roman" w:hAnsi="Times New Roman"/>
          <w:sz w:val="12"/>
          <w:szCs w:val="12"/>
          <w:u w:val="single" w:color="auto"/>
          <w:color w:val="auto"/>
        </w:rPr>
        <w:t>Book-Entry Shares</w:t>
      </w:r>
      <w:r>
        <w:rPr>
          <w:rFonts w:ascii="Times New Roman" w:cs="Times New Roman" w:eastAsia="Times New Roman" w:hAnsi="Times New Roman"/>
          <w:sz w:val="12"/>
          <w:szCs w:val="12"/>
          <w:color w:val="auto"/>
        </w:rPr>
        <w:t>”) (in each case, other than the Canceled Shares and the Dissenting Shares)</w:t>
      </w:r>
    </w:p>
    <w:p>
      <w:pPr>
        <w:ind w:left="940" w:right="659" w:firstLine="7"/>
        <w:spacing w:after="0" w:line="244" w:lineRule="auto"/>
        <w:tabs>
          <w:tab w:leader="none" w:pos="114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transmittal materials, including a letter of transmittal in customary form as agreed by the Parties, specifying that delivery shall be effected, and risk of loss and title to the Certificates will pass, only upon delivery of the Certificates to the Paying Agent or, with respect to Book-Entry Shares, only upon delivery of an “agent’s message” regarding the book-entry transfer of Book-Entry Shares (or such other evidence, if any, of the transfer as the Paying Agent may reasonably request), such transmittal materials to be in such form and have such other provisions as Parent and the Company may reasonably agree, and (B) instructions for use in effecting the surrender of Certificates or exchange of Book-Entry Shares, as applicable, for the aggregate Per Share Merger Consideration.</w:t>
      </w:r>
    </w:p>
    <w:p>
      <w:pPr>
        <w:spacing w:after="0" w:line="60" w:lineRule="exact"/>
        <w:rPr>
          <w:rFonts w:ascii="Times New Roman" w:cs="Times New Roman" w:eastAsia="Times New Roman" w:hAnsi="Times New Roman"/>
          <w:sz w:val="13"/>
          <w:szCs w:val="13"/>
          <w:color w:val="auto"/>
        </w:rPr>
      </w:pPr>
    </w:p>
    <w:p>
      <w:pPr>
        <w:ind w:left="940" w:right="659" w:firstLine="675"/>
        <w:spacing w:after="0" w:line="267" w:lineRule="auto"/>
        <w:tabs>
          <w:tab w:leader="none" w:pos="1794" w:val="left"/>
        </w:tabs>
        <w:numPr>
          <w:ilvl w:val="2"/>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Certificates</w:t>
      </w:r>
      <w:r>
        <w:rPr>
          <w:rFonts w:ascii="Times New Roman" w:cs="Times New Roman" w:eastAsia="Times New Roman" w:hAnsi="Times New Roman"/>
          <w:sz w:val="12"/>
          <w:szCs w:val="12"/>
          <w:color w:val="auto"/>
        </w:rPr>
        <w:t xml:space="preserve">. Upon surrender of Certificates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if any (other than holders of Canceled Shares and Dissenting Shares), shall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xml:space="preserve">) equal to the product obtained by </w:t>
      </w:r>
      <w:r>
        <w:rPr>
          <w:rFonts w:ascii="Times New Roman" w:cs="Times New Roman" w:eastAsia="Times New Roman" w:hAnsi="Times New Roman"/>
          <w:sz w:val="12"/>
          <w:szCs w:val="12"/>
          <w:i w:val="1"/>
          <w:iCs w:val="1"/>
          <w:color w:val="auto"/>
        </w:rPr>
        <w:t>multiplying</w:t>
      </w:r>
      <w:r>
        <w:rPr>
          <w:rFonts w:ascii="Times New Roman" w:cs="Times New Roman" w:eastAsia="Times New Roman" w:hAnsi="Times New Roman"/>
          <w:sz w:val="12"/>
          <w:szCs w:val="12"/>
          <w:color w:val="auto"/>
        </w:rPr>
        <w:t xml:space="preserve"> (A) the number of Ordinary Shares represented by such surrendered Certificates by (B) the Per Share Merger Consideration,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one (1) CVR per Ordinary Share represented by such surrendered Certificates and the Certificates so surrendered shall immediately be canceled. No interest will be paid or accrued on any amount payable upon due surrender of the Certificates to the Paying Agent. In the event that any Certificates shall have been lost, stolen or destroyed, the Paying Agent shall issue a check in exchange for such lost, stolen or destroyed Certificates, upon the making of an affidavit of that fact by the holder thereof, an amount in cash (after giving effect to any required Tax withholdings as provided in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xml:space="preserve">) equal to the product of the number of Ordinary Shares represented by such Certificates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the Per Share Merger Consideration to which the holder thereof is entitled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8" w:name="page19"/>
    <w:bookmarkEnd w:id="18"/>
    <w:p>
      <w:pPr>
        <w:ind w:left="940" w:right="659" w:firstLine="675"/>
        <w:spacing w:after="0" w:line="269" w:lineRule="auto"/>
        <w:tabs>
          <w:tab w:leader="none" w:pos="1829"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Book-Entry Shares</w:t>
      </w:r>
      <w:r>
        <w:rPr>
          <w:rFonts w:ascii="Times New Roman" w:cs="Times New Roman" w:eastAsia="Times New Roman" w:hAnsi="Times New Roman"/>
          <w:sz w:val="12"/>
          <w:szCs w:val="12"/>
          <w:color w:val="auto"/>
        </w:rPr>
        <w:t xml:space="preserve">. Notwithstanding anything to the contrary contained in this Agreement, any holder of Book-Entry Shares will not be required to deliver a Certificate to receive the Per Share Merger Consideration in respect of such Book-Entry Shares. In lieu thereof, each holder of record of one or more Book-Entry Shares (other than Canceled Shares and Dissenting Shares) shall, upon receipt by the Paying Agent of an “agent’s message” in customary form or other evidence, if any, as the Paying Agent may have reasonably requested,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xml:space="preserve">) equal to the product obtained by </w:t>
      </w:r>
      <w:r>
        <w:rPr>
          <w:rFonts w:ascii="Times New Roman" w:cs="Times New Roman" w:eastAsia="Times New Roman" w:hAnsi="Times New Roman"/>
          <w:sz w:val="12"/>
          <w:szCs w:val="12"/>
          <w:i w:val="1"/>
          <w:iCs w:val="1"/>
          <w:color w:val="auto"/>
        </w:rPr>
        <w:t xml:space="preserve">multiplying </w:t>
      </w:r>
      <w:r>
        <w:rPr>
          <w:rFonts w:ascii="Times New Roman" w:cs="Times New Roman" w:eastAsia="Times New Roman" w:hAnsi="Times New Roman"/>
          <w:sz w:val="12"/>
          <w:szCs w:val="12"/>
          <w:color w:val="auto"/>
        </w:rPr>
        <w:t>(A) the number of Ordinary Shares represented by such Book-Entry Shares by (B) the Per Share Cash Consideration</w:t>
      </w:r>
      <w:r>
        <w:rPr>
          <w:rFonts w:ascii="Times New Roman" w:cs="Times New Roman" w:eastAsia="Times New Roman" w:hAnsi="Times New Roman"/>
          <w:sz w:val="12"/>
          <w:szCs w:val="12"/>
          <w:i w:val="1"/>
          <w:iCs w:val="1"/>
          <w:color w:val="auto"/>
        </w:rPr>
        <w:t xml:space="preserve"> plus </w:t>
      </w:r>
      <w:r>
        <w:rPr>
          <w:rFonts w:ascii="Times New Roman" w:cs="Times New Roman" w:eastAsia="Times New Roman" w:hAnsi="Times New Roman"/>
          <w:sz w:val="12"/>
          <w:szCs w:val="12"/>
          <w:color w:val="auto"/>
        </w:rPr>
        <w:t>one (1) CVR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 Ordinary Share represented by such Book-Entry Shares. No interest will be paid or accrued on any amount payable upon due receipt by the Paying Agent of an “agent’s message” in customary form or other evidence, if any, as the Paying Agent may have reasonably requested.</w:t>
      </w:r>
    </w:p>
    <w:p>
      <w:pPr>
        <w:spacing w:after="0" w:line="48" w:lineRule="exact"/>
        <w:rPr>
          <w:rFonts w:ascii="Times New Roman" w:cs="Times New Roman" w:eastAsia="Times New Roman" w:hAnsi="Times New Roman"/>
          <w:sz w:val="12"/>
          <w:szCs w:val="12"/>
          <w:color w:val="auto"/>
        </w:rPr>
      </w:pPr>
    </w:p>
    <w:p>
      <w:pPr>
        <w:ind w:left="940" w:right="659" w:firstLine="675"/>
        <w:spacing w:after="0" w:line="246" w:lineRule="auto"/>
        <w:tabs>
          <w:tab w:leader="none" w:pos="1822"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Unrecorded Transfers; Other Payments</w:t>
      </w:r>
      <w:r>
        <w:rPr>
          <w:rFonts w:ascii="Times New Roman" w:cs="Times New Roman" w:eastAsia="Times New Roman" w:hAnsi="Times New Roman"/>
          <w:sz w:val="13"/>
          <w:szCs w:val="13"/>
          <w:color w:val="auto"/>
        </w:rPr>
        <w:t>. In the event of a transfer of ownership of Ordinary Shares that has not been registered in the register of members of the Company or if payment of the aggregate Per Share Merger Consideration is to be made to a Person other than the Person in whose name the Certificates or Book-Entry Shares, as applicable, is registered, a check for any cash to be exchanged upon due surrender of Certificates (or affidavits if Certificates are lost, stolen or destroyed) or receipt by the Paying Agent of an “agent’s message” or other evidence, if any, as the Paying Agent may have reasonably requested in the case of Book-Entry Shares, as applicable, may be issued to such transferee or other Person if the Certificates, as applicable, formerly representing such Ordinary Shares is properly presented to the Paying Agent accompanied by all documents required to evidence, to the reasonable satisfaction of the Surviving Company, and effect such transfer and to evidence that any applicable transfer or other similar Taxes have been paid or are not applicable.</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0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xml:space="preserve">. Any portion of the Exchange Fund (including the proceeds of any investments thereof) that remains unclaimed by the former holders of Ordinary Shares for twelve (12) months after the Effective Time shall be delivered to the Surviving Company upon demand. Any holder of Certificates or Book-Entry Shares (in each case, other than Canceled Shares) who has not theretofore complied with this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shall thereafter be entitled to look to the Surviving Company for payment of the relevant aggregate Per Share Merger Consideration (after giving effect to any required Tax withholdings as provided in </w:t>
      </w:r>
      <w:r>
        <w:rPr>
          <w:rFonts w:ascii="Times New Roman" w:cs="Times New Roman" w:eastAsia="Times New Roman" w:hAnsi="Times New Roman"/>
          <w:sz w:val="13"/>
          <w:szCs w:val="13"/>
          <w:u w:val="single" w:color="auto"/>
          <w:color w:val="auto"/>
        </w:rPr>
        <w:t>Section 2.3(e)</w:t>
      </w:r>
      <w:r>
        <w:rPr>
          <w:rFonts w:ascii="Times New Roman" w:cs="Times New Roman" w:eastAsia="Times New Roman" w:hAnsi="Times New Roman"/>
          <w:sz w:val="13"/>
          <w:szCs w:val="13"/>
          <w:color w:val="auto"/>
        </w:rPr>
        <w:t>) upon due surrender of Certificates (or affidavits if Certificates are lost, stolen or destroyed) or delivery of an “agent’s message” or other evidence, if any, as the Surviving Company may have reasonably requested in the case of Book-Entry Shares (together with a letter of transmittal, duly completed and validly executed in accordance with the instructions thereto, and such other documents as may reasonably be required pursuant to such instructions (as applicable)), without any interest thereon and the Surviving Company, subject to the following sentence, shall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9" w:name="page20"/>
    <w:bookmarkEnd w:id="19"/>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remain liable for payment of such holder’s claim for the relevant aggregate Per Share Merger Consideration payable upon due surrender of Certificates (or affidavits if Certificates are lost, stolen or destroyed) or due receipt by the Surviving Company of an “agent’s message” or other evidence, if any, as the Surviving Company may have reasonably requested in the case of Book-Entry Shares. Notwithstanding anything to the contrary herein, none of the Surviving Company, Parent, the Company, the Paying Agent or any other Person shall be liable to any former holder of Ordinary Shares for any amount properly delivered to a public official pursuant to applicable abandoned property, escheat or similar Laws. Any amounts remaining unclaimed by such holders immediately prior to such time at which such amounts would otherwise escheat to or become property of any Governmental Entity shall become, to the extent permitted by applicable Law, the property of the Surviving Company, free and clear of all claims of interest of any Person previously entitled thereto.</w:t>
      </w:r>
    </w:p>
    <w:p>
      <w:pPr>
        <w:spacing w:after="0" w:line="139" w:lineRule="exact"/>
        <w:rPr>
          <w:sz w:val="20"/>
          <w:szCs w:val="20"/>
          <w:color w:val="auto"/>
        </w:rPr>
      </w:pPr>
    </w:p>
    <w:p>
      <w:pPr>
        <w:ind w:left="640" w:right="659" w:firstLine="693"/>
        <w:spacing w:after="0" w:line="269" w:lineRule="auto"/>
        <w:tabs>
          <w:tab w:leader="none" w:pos="1515"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Transfers</w:t>
      </w:r>
      <w:r>
        <w:rPr>
          <w:rFonts w:ascii="Times New Roman" w:cs="Times New Roman" w:eastAsia="Times New Roman" w:hAnsi="Times New Roman"/>
          <w:sz w:val="12"/>
          <w:szCs w:val="12"/>
          <w:color w:val="auto"/>
        </w:rPr>
        <w:t xml:space="preserve">. From and after the Effective Time, the register of members of the Company shall be closed, and there shall be no transfers on the register of members of the Surviving Company of the Ordinary Shares that were outstanding immediately prior to the Effective Time. If, after the Effective Time, any evidence of a Certificate or Book-Entry Share is presented, and acceptable, to the Surviving Company, Parent or the Paying Agent for transfer, subject to compliance with the procedures set forth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it shall be canceled and exchanged for the cash amount in immediately available funds to which the holder thereof is entitled pursuant to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(without interest and after giving effect to any required Tax withholdings as provided in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xml:space="preserve">). The relevant aggregate Per Share Merger Consideration paid upon surrender of Certificates (or affidavits if Certificates are lost, stolen or destroyed) or receipt by the Paying Agent of an “agent’s message” or other evidence, if any, as the Paying Agent may have reasonably requested in the case of Book-Entry Shares in accordance with the terms of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shall be deemed to have been paid in full satisfaction of all rights pertaining to the Ordinary Shares formerly represented by such Certificates (or affidavits) or Book-Entry Shares, as applicable.</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71" w:lineRule="auto"/>
        <w:tabs>
          <w:tab w:leader="none" w:pos="15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 Rights</w:t>
      </w:r>
      <w:r>
        <w:rPr>
          <w:rFonts w:ascii="Times New Roman" w:cs="Times New Roman" w:eastAsia="Times New Roman" w:hAnsi="Times New Roman"/>
          <w:sz w:val="12"/>
          <w:szCs w:val="12"/>
          <w:color w:val="auto"/>
        </w:rPr>
        <w:t>. Notwithstanding anything herein to the contrary, each of the Paying Agent, Parent, the Surviving Company and any other applicable withholding agent shall be entitled to deduct and withhold from any amounts otherwise payable pursuant to this Agreement or the CVR Agreement such amounts as it is required to deduct and withhold with respect to the making of such payment under any applicable Tax Law. To the extent that amounts are so deducted or withheld, such deducted or withheld amounts (i) shall be remitted by the Paying Agent, Parent, the Surviving Company or such other applicable withholding agent, as applicable, to the applicable Governmental Entity, and (ii) to the extent so remitted, shall be treated for all purposes of this Agreement or the CVR Agreement as having been paid to the Person in respect of which such deduction and withholding was made by the Paying Agent, Parent, the Surviving Company or such other applicable withholding agent, as the case may be.</w:t>
      </w:r>
    </w:p>
    <w:p>
      <w:pPr>
        <w:spacing w:after="0" w:line="122"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49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Untraceable Shareholders</w:t>
      </w:r>
      <w:r>
        <w:rPr>
          <w:rFonts w:ascii="Times New Roman" w:cs="Times New Roman" w:eastAsia="Times New Roman" w:hAnsi="Times New Roman"/>
          <w:sz w:val="13"/>
          <w:szCs w:val="13"/>
          <w:color w:val="auto"/>
        </w:rPr>
        <w:t>. Remittances for the Per Share Merger Consideration shall not be sent to holders of Ordinary Shares who are untraceable unless and until, except as provided below, they notify the Paying Agent or the Surviving Company, as applicable, of their current contact details. A holder of Ordinary Shares will be deemed to be untraceable if (i) such Person has no registered address in the register of members maintained by the Company, (ii) on the last two consecutive occasions on which a dividend has been paid by the Company a</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0" w:name="page21"/>
    <w:bookmarkEnd w:id="20"/>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check payable to such Person by the Company, in respect of such dividend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(iii) notice of the Shareholders Meeting convened to vote on the Merger has been sent to such Person and has been returned undelivered. Monies due to Dissenting Shareholders and holders of Ordinary Shares who are untraceable should be returned to the Surviving Company on-demand and held in a non-interest bearing bank account for the benefit of Dissenting Shareholders and holders of Ordinary Shares who are untraceable. Dissenting Shareholders and holders of Ordinary Shares who are untraceable who subsequently wish to receive any monies otherwise payable in respect of the Merger within applicable time limits or limitation periods will be advised to contact the Surviving Company.</w:t>
      </w:r>
    </w:p>
    <w:p>
      <w:pPr>
        <w:spacing w:after="0" w:line="139"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The Company shall give Parent (i) prompt notice of any written notice of exercise of Dissenter Rights, any attempted withdrawals of such Dissenter Rights, and any other instruments served pursuant to Section 238 of the Cayman Companies Act and received by the Company relating to its shareholders’ exercise of Dissenter Rights, and (ii) the opportunity to direct all negotiations and proceedings with respect to any exercise of Dissenter Rights under the Cayman Companies Act. The Company shall not, except with the prior written consent of Parent, make any payment with respect to any exercise of Dissenter Rights or any demands for appraisal or offer to settle or settle any such Dissenter Rights or any demands or approve any withdrawal of any such Dissenter Rights or demands.</w:t>
      </w:r>
    </w:p>
    <w:p>
      <w:pPr>
        <w:spacing w:after="0" w:line="135"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xml:space="preserve">. Notwithstanding anything to the contrary herein, in the event that the number of Ordinary Shares or securities convertible or exchangeable into or exercisable for Ordinary Shares issued and outstanding after the date hereof and prior to the Effective Time shall have been changed into a different number of Ordinary Shares or securities of a different class as a result of a reclassification, share split (including a reverse share split), combination, share dividend or distribution, recapitalization, subdivision, merger, issuer tender or exchange offer, or other similar transaction, then the Per Share Merger Consideration shall be equitably adjusted to provide to Parent and the holders of Ordinary Shares or Company Equity Awards the same economic effect as contemplated by this Agreement prior to such event;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shall be construed to permit the Company, any subsidiary of the Company or any other Person to take any action that is otherwise prohibited by the terms of this Agreement.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THE COMPANY</w:t>
      </w:r>
    </w:p>
    <w:p>
      <w:pPr>
        <w:spacing w:after="0" w:line="156"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Company hereby represents and warrants to Parent and Merger Sub that, except (i) as disclosed in the SEC Reports filed with, or furnished to, the SEC since the Applicable Date, or (ii) as set forth on the disclosure letter delivered to Parent by the Company concurrently with entering into this Agreement (the “</w:t>
      </w:r>
      <w:r>
        <w:rPr>
          <w:rFonts w:ascii="Times New Roman" w:cs="Times New Roman" w:eastAsia="Times New Roman" w:hAnsi="Times New Roman"/>
          <w:sz w:val="13"/>
          <w:szCs w:val="13"/>
          <w:u w:val="single" w:color="auto"/>
          <w:color w:val="auto"/>
        </w:rPr>
        <w:t>Company Disclosure Letter</w:t>
      </w:r>
      <w:r>
        <w:rPr>
          <w:rFonts w:ascii="Times New Roman" w:cs="Times New Roman" w:eastAsia="Times New Roman" w:hAnsi="Times New Roman"/>
          <w:sz w:val="13"/>
          <w:szCs w:val="13"/>
          <w:color w:val="auto"/>
        </w:rPr>
        <w:t>”), it being acknowledged and agreed that disclosure of any item in any section or subsection of the Company Disclosure Letter shall also be deemed disclosure with respect to any other section or subsection of this Agreement to which the relevance of such item is reasonably apparent: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1" w:name="page22"/>
    <w:bookmarkEnd w:id="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3.1 </w:t>
      </w:r>
      <w:r>
        <w:rPr>
          <w:rFonts w:ascii="Times New Roman" w:cs="Times New Roman" w:eastAsia="Times New Roman" w:hAnsi="Times New Roman"/>
          <w:sz w:val="13"/>
          <w:szCs w:val="13"/>
          <w:u w:val="single" w:color="auto"/>
          <w:color w:val="auto"/>
        </w:rPr>
        <w:t>Organization and Qualification; Subsidiaries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693"/>
        <w:spacing w:after="0" w:line="247" w:lineRule="auto"/>
        <w:tabs>
          <w:tab w:leader="none" w:pos="150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of the Company Disclosure Letter sets forth (i) each of the Company’s subsidiaries and the ownership interest of the Company in each such subsidiary, as well as the ownership interest of any other Person or Persons in each such subsidiary and (ii) the jurisdiction of organization of each such subsidiary. Each of the Company’s subsidiaries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w:t>
      </w:r>
    </w:p>
    <w:p>
      <w:pPr>
        <w:spacing w:after="0" w:line="137"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Memorandum and Articles of Association; Organizational Documents</w:t>
      </w:r>
      <w:r>
        <w:rPr>
          <w:rFonts w:ascii="Times New Roman" w:cs="Times New Roman" w:eastAsia="Times New Roman" w:hAnsi="Times New Roman"/>
          <w:sz w:val="13"/>
          <w:szCs w:val="13"/>
          <w:color w:val="auto"/>
        </w:rPr>
        <w:t>. A correct and complete copy of the memorandum and articles of association of the Company, as amended to date and as currently in effect (the “</w:t>
      </w:r>
      <w:r>
        <w:rPr>
          <w:rFonts w:ascii="Times New Roman" w:cs="Times New Roman" w:eastAsia="Times New Roman" w:hAnsi="Times New Roman"/>
          <w:sz w:val="13"/>
          <w:szCs w:val="13"/>
          <w:u w:val="single" w:color="auto"/>
          <w:color w:val="auto"/>
        </w:rPr>
        <w:t>Memorandum and Articles of Association</w:t>
      </w:r>
      <w:r>
        <w:rPr>
          <w:rFonts w:ascii="Times New Roman" w:cs="Times New Roman" w:eastAsia="Times New Roman" w:hAnsi="Times New Roman"/>
          <w:sz w:val="13"/>
          <w:szCs w:val="13"/>
          <w:color w:val="auto"/>
        </w:rPr>
        <w:t>”) is on file with the SEC and each as so disclosed is in full force and effect. The Memorandum and Articles of Association and the organizational documents, as applicable, of each Company subsidiary is in full force and effect except in each case where the failure to be in full force and effect would not, individually or in the aggregate, reasonably be expected to have a Material Adverse Effect.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3"/>
        <w:spacing w:after="0" w:line="267" w:lineRule="auto"/>
        <w:tabs>
          <w:tab w:leader="none" w:pos="150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share capital of the Company is $2,002.30 divided into (i) 200,000,000 ordinary shares, par value $0.00001 per share (the “</w:t>
      </w:r>
      <w:r>
        <w:rPr>
          <w:rFonts w:ascii="Times New Roman" w:cs="Times New Roman" w:eastAsia="Times New Roman" w:hAnsi="Times New Roman"/>
          <w:sz w:val="13"/>
          <w:szCs w:val="13"/>
          <w:u w:val="single" w:color="auto"/>
          <w:color w:val="auto"/>
        </w:rPr>
        <w:t>Ordinary Shares</w:t>
      </w:r>
      <w:r>
        <w:rPr>
          <w:rFonts w:ascii="Times New Roman" w:cs="Times New Roman" w:eastAsia="Times New Roman" w:hAnsi="Times New Roman"/>
          <w:sz w:val="13"/>
          <w:szCs w:val="13"/>
          <w:color w:val="auto"/>
        </w:rPr>
        <w:t>”) and (ii) 230,000 preferred shares, par value $0.00001 per share (the “</w:t>
      </w:r>
      <w:r>
        <w:rPr>
          <w:rFonts w:ascii="Times New Roman" w:cs="Times New Roman" w:eastAsia="Times New Roman" w:hAnsi="Times New Roman"/>
          <w:sz w:val="13"/>
          <w:szCs w:val="13"/>
          <w:u w:val="single" w:color="auto"/>
          <w:color w:val="auto"/>
        </w:rPr>
        <w:t>Preferred Shares</w:t>
      </w:r>
      <w:r>
        <w:rPr>
          <w:rFonts w:ascii="Times New Roman" w:cs="Times New Roman" w:eastAsia="Times New Roman" w:hAnsi="Times New Roman"/>
          <w:sz w:val="13"/>
          <w:szCs w:val="13"/>
          <w:color w:val="auto"/>
        </w:rPr>
        <w:t>”). As of June 23, 2026:</w:t>
      </w:r>
    </w:p>
    <w:p>
      <w:pPr>
        <w:spacing w:after="0" w:line="46"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51,828,254 Ordinary Shares (which does not include treasury shares of the Company set forth in </w:t>
      </w:r>
      <w:r>
        <w:rPr>
          <w:rFonts w:ascii="Times New Roman" w:cs="Times New Roman" w:eastAsia="Times New Roman" w:hAnsi="Times New Roman"/>
          <w:sz w:val="12"/>
          <w:szCs w:val="12"/>
          <w:u w:val="single" w:color="auto"/>
          <w:color w:val="auto"/>
        </w:rPr>
        <w:t>Section 3.3(a)(ii)</w:t>
      </w:r>
      <w:r>
        <w:rPr>
          <w:rFonts w:ascii="Times New Roman" w:cs="Times New Roman" w:eastAsia="Times New Roman" w:hAnsi="Times New Roman"/>
          <w:sz w:val="12"/>
          <w:szCs w:val="12"/>
          <w:color w:val="auto"/>
        </w:rPr>
        <w:t>) are issued and</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outstanding;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2" w:name="page23"/>
    <w:bookmarkEnd w:id="22"/>
    <w:p>
      <w:pPr>
        <w:ind w:left="940" w:right="999" w:firstLine="675"/>
        <w:spacing w:after="0" w:line="267" w:lineRule="auto"/>
        <w:tabs>
          <w:tab w:leader="none" w:pos="1794"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0 Ordinary Shares are held by the Company in its treasury (which are not included in the number of issued and outstanding Ordinary Shares set forth in </w:t>
      </w:r>
      <w:r>
        <w:rPr>
          <w:rFonts w:ascii="Times New Roman" w:cs="Times New Roman" w:eastAsia="Times New Roman" w:hAnsi="Times New Roman"/>
          <w:sz w:val="13"/>
          <w:szCs w:val="13"/>
          <w:u w:val="single" w:color="auto"/>
          <w:color w:val="auto"/>
        </w:rPr>
        <w:t>Section 3.3(a)(i)</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Preferred Shares are issued and outstanding;</w:t>
      </w:r>
    </w:p>
    <w:p>
      <w:pPr>
        <w:spacing w:after="0" w:line="77"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2,065,699 Ordinary Shares are issuable upon vesting of outstanding Company RSU Awards;</w:t>
      </w:r>
    </w:p>
    <w:p>
      <w:pPr>
        <w:spacing w:after="0" w:line="77"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283,396 Ordinary Shares are issuable upon vesting of outstanding Company PSU Awards (assuming maximum performance);</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and</w:t>
      </w:r>
    </w:p>
    <w:p>
      <w:pPr>
        <w:spacing w:after="0" w:line="65" w:lineRule="exact"/>
        <w:rPr>
          <w:rFonts w:ascii="Times New Roman" w:cs="Times New Roman" w:eastAsia="Times New Roman" w:hAnsi="Times New Roman"/>
          <w:sz w:val="12"/>
          <w:szCs w:val="12"/>
          <w:color w:val="auto"/>
        </w:rPr>
      </w:pPr>
    </w:p>
    <w:p>
      <w:pPr>
        <w:ind w:left="1820" w:hanging="205"/>
        <w:spacing w:after="0"/>
        <w:tabs>
          <w:tab w:leader="none" w:pos="18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1,834,078 Ordinary Shares are issuable in respect of Company Options.</w:t>
      </w:r>
    </w:p>
    <w:p>
      <w:pPr>
        <w:spacing w:after="0" w:line="153" w:lineRule="exact"/>
        <w:rPr>
          <w:rFonts w:ascii="Times New Roman" w:cs="Times New Roman" w:eastAsia="Times New Roman" w:hAnsi="Times New Roman"/>
          <w:sz w:val="13"/>
          <w:szCs w:val="13"/>
          <w:color w:val="auto"/>
        </w:rPr>
      </w:pPr>
    </w:p>
    <w:p>
      <w:pPr>
        <w:ind w:left="640" w:right="759" w:firstLine="693"/>
        <w:spacing w:after="0" w:line="249" w:lineRule="auto"/>
        <w:tabs>
          <w:tab w:leader="none" w:pos="151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xml:space="preserve"> of the Company Disclosure Letter sets forth, as of the date of this Agreement, a complete and correct list of each outstanding Company Equity Award, including, with respect to each outstanding Company Equity Award (as applicable), the employee identification number of the grantee, the award type, the number of Ordinary Shares subject to such Company Equity Award at grant, the number of Ordinary Shares subject to the portion of such Company Equity Award that remains outstanding as of the date of this Agreement (assuming maximum performance for Company PSU Awards) and the exercise price per Ordinary Share.</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xml:space="preserve"> hereof and except as issued after the date of this Agreement in compliance with </w:t>
      </w:r>
      <w:r>
        <w:rPr>
          <w:rFonts w:ascii="Times New Roman" w:cs="Times New Roman" w:eastAsia="Times New Roman" w:hAnsi="Times New Roman"/>
          <w:sz w:val="13"/>
          <w:szCs w:val="13"/>
          <w:u w:val="single" w:color="auto"/>
          <w:color w:val="auto"/>
        </w:rPr>
        <w:t>Section 5.1(b)(iii)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5.1(b)(xii)</w:t>
      </w:r>
      <w:r>
        <w:rPr>
          <w:rFonts w:ascii="Times New Roman" w:cs="Times New Roman" w:eastAsia="Times New Roman" w:hAnsi="Times New Roman"/>
          <w:sz w:val="13"/>
          <w:szCs w:val="13"/>
          <w:color w:val="auto"/>
        </w:rPr>
        <w:t>, (i) there are not outstanding or authorized any (A) shares or other voting securities of the Company or its subsidiaries, (B) securities of the Company or its subsidiaries convertible into, exercisable for, or exchangeable for shares, voting securities or equity interests of the Company or its subsidiaries, (C) subscriptions, options, warrants, convertible debts, convertible instruments, calls, phantom stock or other similar rights, agreements, arrangements, understandings or commitments to acquire from the Company or its subsidiaries, or obligations of the Company or its subsidiaries to issue or sell, any issued or unissued shares, voting securities, equity interests or securities convertible into, exercisable for, or exchangeable for, or giving any Person a right to subscribe for or acquire, any shares, voting securities or equity interests of the Company or its subsidiaries, (D) bonds, debentures, notes or other indebtedness of the Company having the right to vote (or convertible into, exercisable for, or exchangeable for shares, voting securities or equity interests of the Company or any of its subsidiaries having the right to vote) on any matters on which shareholders of the Company may vote, or (E) securities or rights issued by the Company or its subsidiaries, in each case, that are derivative of, or provide economic benefit based on the value of, shares, voting securities or equity interests of the Company or its subsidiaries (the foregoing securities in clauses (A) through (E), the “</w:t>
      </w:r>
      <w:r>
        <w:rPr>
          <w:rFonts w:ascii="Times New Roman" w:cs="Times New Roman" w:eastAsia="Times New Roman" w:hAnsi="Times New Roman"/>
          <w:sz w:val="13"/>
          <w:szCs w:val="13"/>
          <w:u w:val="single" w:color="auto"/>
          <w:color w:val="auto"/>
        </w:rPr>
        <w:t>Company Securities</w:t>
      </w:r>
      <w:r>
        <w:rPr>
          <w:rFonts w:ascii="Times New Roman" w:cs="Times New Roman" w:eastAsia="Times New Roman" w:hAnsi="Times New Roman"/>
          <w:sz w:val="13"/>
          <w:szCs w:val="13"/>
          <w:color w:val="auto"/>
        </w:rPr>
        <w:t>”) and (ii) there are no outstanding contractual obligations of the Company or any of its subsidiaries to (x) repurchase, redeem or otherwise acquire any Company Securities or (y) grant, extend or enter into any subscription, option, warrant, call, convertible securities or other similar right, agreement, arrangement, understanding or commitment with respect to Company Securities. As of the date of this Agreement, all outstanding Ordinary Shares are duly authorized, validly issued, fully paid and non-assessable. No subsidiary of the Company owns any shares or other equity securities of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3" w:name="page24"/>
    <w:bookmarkEnd w:id="23"/>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Each of the outstanding shares or other equity interests of each of the Company’s subsidiaries that is owned by the Company or a subsidiary of the Company is duly authorized, validly issued, fully paid and non-assessable and is owned free and clear of all Liens (except for Permitted Liens), except for such transfer restrictions of general applicability arising under the Securities Act or other applicable Laws. There is no Purchase Period underway under the Company ESPP as of the date hereof.</w:t>
      </w:r>
    </w:p>
    <w:p>
      <w:pPr>
        <w:spacing w:after="0" w:line="133"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Section 3.4 </w:t>
      </w:r>
      <w:r>
        <w:rPr>
          <w:rFonts w:ascii="Times New Roman" w:cs="Times New Roman" w:eastAsia="Times New Roman" w:hAnsi="Times New Roman"/>
          <w:sz w:val="12"/>
          <w:szCs w:val="12"/>
          <w:u w:val="single" w:color="auto"/>
          <w:color w:val="auto"/>
        </w:rPr>
        <w:t>Authority</w:t>
      </w:r>
      <w:r>
        <w:rPr>
          <w:rFonts w:ascii="Times New Roman" w:cs="Times New Roman" w:eastAsia="Times New Roman" w:hAnsi="Times New Roman"/>
          <w:sz w:val="12"/>
          <w:szCs w:val="12"/>
          <w:color w:val="auto"/>
        </w:rPr>
        <w:t>. The Company has all requisite corporate power and authority to execute and deliver this Agreement, to perform its obligations hereunder and to consummate the Merger and the other transactions contemplated hereby, subject only to the approval of the Company’s shareholders by the affirmative vote of holders of Ordinary Shares representing at least two-thirds of the Ordinary Shares present and voting in person or by proxy as a single class at the Shareholders Meeting (the “</w:t>
      </w:r>
      <w:r>
        <w:rPr>
          <w:rFonts w:ascii="Times New Roman" w:cs="Times New Roman" w:eastAsia="Times New Roman" w:hAnsi="Times New Roman"/>
          <w:sz w:val="12"/>
          <w:szCs w:val="12"/>
          <w:u w:val="single" w:color="auto"/>
          <w:color w:val="auto"/>
        </w:rPr>
        <w:t>Company Requisite Vote</w:t>
      </w:r>
      <w:r>
        <w:rPr>
          <w:rFonts w:ascii="Times New Roman" w:cs="Times New Roman" w:eastAsia="Times New Roman" w:hAnsi="Times New Roman"/>
          <w:sz w:val="12"/>
          <w:szCs w:val="12"/>
          <w:color w:val="auto"/>
        </w:rPr>
        <w:t>”) and the filing of the Plan of Merger (along with any other documents required by the Cayman Companies Act) with the Registrar of Companies pursuant to the Cayman Companies Act.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relating to or affecting creditors’ rights generally or general equitable principles (whether considered in a proceeding in equity or at law) (the “</w:t>
      </w:r>
      <w:r>
        <w:rPr>
          <w:rFonts w:ascii="Times New Roman" w:cs="Times New Roman" w:eastAsia="Times New Roman" w:hAnsi="Times New Roman"/>
          <w:sz w:val="12"/>
          <w:szCs w:val="12"/>
          <w:u w:val="single" w:color="auto"/>
          <w:color w:val="auto"/>
        </w:rPr>
        <w:t>Bankruptcy and Equity Exception</w:t>
      </w:r>
      <w:r>
        <w:rPr>
          <w:rFonts w:ascii="Times New Roman" w:cs="Times New Roman" w:eastAsia="Times New Roman" w:hAnsi="Times New Roman"/>
          <w:sz w:val="12"/>
          <w:szCs w:val="12"/>
          <w:color w:val="auto"/>
        </w:rPr>
        <w:t>”). The Board of Directors, at a duly called and held meeting, upon the recommendation of the Strategic Review Committee, has (i) determined that it is in the best interests of the Company and declared it advisable, to enter into this Agreement, (ii) approved the execution, delivery and performance by the Company of this Agreement and the consummation of the Merger and the other transactions contemplated hereby (subject to obtaining the Company Requisite Vote), (iii) resolved to recommend the approval of this Agreement, the Merger and the other transactions contemplated hereby by the shareholders of the Company at the Shareholders Meeting (the “</w:t>
      </w:r>
      <w:r>
        <w:rPr>
          <w:rFonts w:ascii="Times New Roman" w:cs="Times New Roman" w:eastAsia="Times New Roman" w:hAnsi="Times New Roman"/>
          <w:sz w:val="12"/>
          <w:szCs w:val="12"/>
          <w:u w:val="single" w:color="auto"/>
          <w:color w:val="auto"/>
        </w:rPr>
        <w:t>Recommendation</w:t>
      </w:r>
      <w:r>
        <w:rPr>
          <w:rFonts w:ascii="Times New Roman" w:cs="Times New Roman" w:eastAsia="Times New Roman" w:hAnsi="Times New Roman"/>
          <w:sz w:val="12"/>
          <w:szCs w:val="12"/>
          <w:color w:val="auto"/>
        </w:rPr>
        <w:t>”) and (iv) directed that this Agreement, the Merger and the other transactions contemplated hereby be submitted to the shareholders of the Company at the Shareholders Meeting for their approval.</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3"/>
        <w:spacing w:after="0" w:line="271" w:lineRule="auto"/>
        <w:tabs>
          <w:tab w:leader="none" w:pos="1508"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and performance of this Agreement by the Company and the consummation of the Merger and the other transactions contemplated hereby do not and will not, (i) assuming that the Company Requisite Vote has been obtained, breach, violate or conflict with the Memorandum and Articles of Association or other equivalent organizational or governing documents of the Company or any of its subsidiaries,</w:t>
      </w:r>
    </w:p>
    <w:p>
      <w:pPr>
        <w:ind w:left="640" w:right="659" w:hanging="3"/>
        <w:spacing w:after="0" w:line="243" w:lineRule="auto"/>
        <w:tabs>
          <w:tab w:leader="none" w:pos="82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that all consents, approvals and authorizations contemplated by clauses (i) through (vi) of subsection (b) below have been obtained, all filings described in such clauses have been made and the Company Requisite Vote has been obtained, violate any Law applicable to the Company or any of its subsidiaries or by which its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Material Contract or (iv) result in the creation of any Lien upon any of the material assets or material properties of the Company and its subsidiaries (other than Permitted Liens), except, in the case of the preceding clauses (ii) through (iv), for any such conflict, violation, breach, default, loss, right or other occurrence which would not, individually or in the aggregate, reasonably be expected to have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4" w:name="page25"/>
    <w:bookmarkEnd w:id="24"/>
    <w:p>
      <w:pPr>
        <w:ind w:left="640" w:right="639" w:firstLine="693"/>
        <w:spacing w:after="0" w:line="267" w:lineRule="auto"/>
        <w:tabs>
          <w:tab w:leader="none" w:pos="1515"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execution, delivery and performance of this Agreement by the Company and the consummation of the Merger and the other transactions contemplated hereby by the Company do not and will not require any consent, approval, authorization or permit of, action by, filing with or notification to, any governmental, administrative, judicial or regulatory (including stock exchange) authority, agency, court, arbitral body (public or private), commission or other governmental body, whether foreign or domestic, of any country, nation, republic, federation or similar entity or any state, county or municipality, jurisdiction or other political subdivision thereof (each, a “</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except for (i) compliance with the applicable requirements of the Securities Act of 1933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the Securities Exchange Act of 1934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individually or in the aggregate, reasonably be expected to have a Material Adverse Effect.</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of the Company Disclosure Letter or as would not reasonably be expected to have, individually or in the aggregate, a Material Adverse Effect, (i) the Company and its subsidiaries are not, and since the Applicable Date have not been, in violation of, and are, and since the Applicable Date have been, in compliance with all Laws applicable to the Company or any of its subsidiaries or any of its or their respective assets, businesses or properties; and (ii) none of the Company and its subsidiaries is in default, breach or violation of any Law applicable to it, or by which any of its properties or assets is bound. Except as would not reasonably be expected to have, individually or in the aggregate, a Material Adverse Effect and except as set forth in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of the Company Disclosure Letter, the Company and its subsidiaries have all permits, licenses, authorizations, exemptions, orders, consents, approvals and franchises from Governmental Entities required to conduct their respective businesses and own, lease and operate their respective assets and properties as presently being conducted, owned, leased or operated (“</w:t>
      </w:r>
      <w:r>
        <w:rPr>
          <w:rFonts w:ascii="Times New Roman" w:cs="Times New Roman" w:eastAsia="Times New Roman" w:hAnsi="Times New Roman"/>
          <w:sz w:val="12"/>
          <w:szCs w:val="12"/>
          <w:u w:val="single" w:color="auto"/>
          <w:color w:val="auto"/>
        </w:rPr>
        <w:t>Licenses</w:t>
      </w:r>
      <w:r>
        <w:rPr>
          <w:rFonts w:ascii="Times New Roman" w:cs="Times New Roman" w:eastAsia="Times New Roman" w:hAnsi="Times New Roman"/>
          <w:sz w:val="12"/>
          <w:szCs w:val="12"/>
          <w:color w:val="auto"/>
        </w:rPr>
        <w:t>”), and all Licenses are effective and passed their respective annual inspection (as applicable) in accordance with applicable Laws and no suspension or cancellation of any of the Licenses is pending or, to the knowledge of the Company, threatened. None of the Company or its subsidiaries has received any written notice or communication from any Governmental Entity of any non-compliance with any applicable Laws that has not been cured, except for such non-compliance the outcome of which would not, individually or in the aggregate, reasonably be expected to have a Material Adverse Effect.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5" w:name="page26"/>
    <w:bookmarkEnd w:id="25"/>
    <w:p>
      <w:pPr>
        <w:ind w:left="640" w:right="659" w:firstLine="693"/>
        <w:spacing w:after="0" w:line="269" w:lineRule="auto"/>
        <w:tabs>
          <w:tab w:leader="none" w:pos="1515"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would not reasonably be expected to have, individually or in the aggregate, a Material Adverse Effect, since the Applicable Date, none of the Company or any of its subsidiaries, or, to the knowledge of the Company, any of their respective Representatives, in the course of their actions for or on behalf of the Company or any of its subsidiaries, is or has been in violation of any provision of the U.S. Foreign Corrupt Practices Act of 1977 (as amended), the UK Bribery Act of 2010 or any other similar applicable Law that prohibits corruption or bribery and regulate record keeping and internal controls (collectively, “</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 The Company has instituted and maintains policies and procedures reasonably designed to ensure compliance in all material respects with applicable Anti-Corruption Laws by the Company and its subsidiaries. Since the Applicable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or conducted any internal investigation or audit, concerning any non-compliance with any applicable Anti-Corruption Laws.</w:t>
      </w:r>
    </w:p>
    <w:p>
      <w:pPr>
        <w:spacing w:after="0" w:line="124" w:lineRule="exact"/>
        <w:rPr>
          <w:rFonts w:ascii="Times New Roman" w:cs="Times New Roman" w:eastAsia="Times New Roman" w:hAnsi="Times New Roman"/>
          <w:sz w:val="12"/>
          <w:szCs w:val="12"/>
          <w:color w:val="auto"/>
        </w:rPr>
      </w:pPr>
    </w:p>
    <w:p>
      <w:pPr>
        <w:ind w:left="640" w:right="759" w:firstLine="693"/>
        <w:spacing w:after="0" w:line="255" w:lineRule="auto"/>
        <w:tabs>
          <w:tab w:leader="none" w:pos="150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their respective officers, directors, nor, to the knowledge of the Company, any of their respective employees or agents acting on behalf of the Company, is currently, or has since the Applicable Date been: (A) a Sanctioned Person, or (B) in violation in any material respect of any applicable Sanctions.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3.7 </w:t>
      </w:r>
      <w:r>
        <w:rPr>
          <w:rFonts w:ascii="Times New Roman" w:cs="Times New Roman" w:eastAsia="Times New Roman" w:hAnsi="Times New Roman"/>
          <w:sz w:val="13"/>
          <w:szCs w:val="13"/>
          <w:u w:val="single" w:color="auto"/>
          <w:color w:val="auto"/>
        </w:rPr>
        <w:t>SEC Filings; Financial Statements;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timely filed or furnished all forms, reports, statements, certifications and other documents (including all exhibits and other information incorporated therein, amendments and supplements thereto) in each case required to be filed by it with, or furnished by it to, the U.S.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since January 1, 2024 (the “</w:t>
      </w:r>
      <w:r>
        <w:rPr>
          <w:rFonts w:ascii="Times New Roman" w:cs="Times New Roman" w:eastAsia="Times New Roman" w:hAnsi="Times New Roman"/>
          <w:sz w:val="13"/>
          <w:szCs w:val="13"/>
          <w:u w:val="single" w:color="auto"/>
          <w:color w:val="auto"/>
        </w:rPr>
        <w:t>Applicable Date</w:t>
      </w:r>
      <w:r>
        <w:rPr>
          <w:rFonts w:ascii="Times New Roman" w:cs="Times New Roman" w:eastAsia="Times New Roman" w:hAnsi="Times New Roman"/>
          <w:sz w:val="13"/>
          <w:szCs w:val="13"/>
          <w:color w:val="auto"/>
        </w:rPr>
        <w:t>”) (all such forms, reports, statements, certificates and other documents filed since the Applicable Date, including all exhibits and other information incorporated therein, amendments and supplements thereto, collectively, the “</w:t>
      </w:r>
      <w:r>
        <w:rPr>
          <w:rFonts w:ascii="Times New Roman" w:cs="Times New Roman" w:eastAsia="Times New Roman" w:hAnsi="Times New Roman"/>
          <w:sz w:val="13"/>
          <w:szCs w:val="13"/>
          <w:u w:val="single" w:color="auto"/>
          <w:color w:val="auto"/>
        </w:rPr>
        <w:t>SEC Reports</w:t>
      </w:r>
      <w:r>
        <w:rPr>
          <w:rFonts w:ascii="Times New Roman" w:cs="Times New Roman" w:eastAsia="Times New Roman" w:hAnsi="Times New Roman"/>
          <w:sz w:val="13"/>
          <w:szCs w:val="13"/>
          <w:color w:val="auto"/>
        </w:rPr>
        <w:t>”). As of their respective SEC filing dates, or, if amended or superseded by a subsequent filing, as of the date of such amendment or superseding filing, (i) each SEC Report complied in all material respects with the applicable requirements of the Securities Act, the Exchange Act and the Sarbanes-Oxley Act of 2002, as the case may be, and the applicable rules and regulations promulgated thereunder, each as in effect on the date of any such filing and (ii) no SEC Report so filed contained any untrue statement of a material fact or omitted to state any material fact required to be stated or incorporated by reference therein or necessary in order to make the statements therein, in light of the circumstances under which they were made, not misleading.</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audited consolidated financial statements of the Company (including all notes thereto) included in each of the Company’s Annual Reports on Form 10-K filed with the SEC since the Applicable Date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(taking into account the notes thereto) and their consolidated results of operations and cash flows for the periods indicated. The unaudited consolidated financial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6" w:name="page27"/>
    <w:bookmarkEnd w:id="26"/>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statements of the Company and its subsidiaries (including any related notes thereto) for all interim periods included in the SEC Reports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except for normal year-end adjustments and the absence of footnote disclosures as permitted by GAAP) and fairly present in all material respects the consolidated financial position of the Company and its subsidiaries at the respective dates thereof (taking into account the notes thereto) and their consolidated results of operations and cash flows for the periods indicated (subject to normal year-end adjustments as permitted by GAAP).</w:t>
      </w:r>
    </w:p>
    <w:p>
      <w:pPr>
        <w:spacing w:after="0" w:line="136" w:lineRule="exact"/>
        <w:rPr>
          <w:sz w:val="20"/>
          <w:szCs w:val="20"/>
          <w:color w:val="auto"/>
        </w:rPr>
      </w:pPr>
    </w:p>
    <w:p>
      <w:pPr>
        <w:ind w:left="640" w:right="679" w:firstLine="693"/>
        <w:spacing w:after="0" w:line="246" w:lineRule="auto"/>
        <w:tabs>
          <w:tab w:leader="none" w:pos="1508"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established and maintains, and at all times since the Applicable Date has maintained, disclosure controls and procedures and internal controls over financial reporting (as such terms are defined in </w:t>
      </w:r>
      <w:r>
        <w:rPr>
          <w:rFonts w:ascii="Times New Roman" w:cs="Times New Roman" w:eastAsia="Times New Roman" w:hAnsi="Times New Roman"/>
          <w:sz w:val="13"/>
          <w:szCs w:val="13"/>
          <w:u w:val="single" w:color="auto"/>
          <w:color w:val="auto"/>
        </w:rPr>
        <w:t>paragraphs 1.1</w:t>
      </w:r>
      <w:r>
        <w:rPr>
          <w:rFonts w:ascii="Times New Roman" w:cs="Times New Roman" w:eastAsia="Times New Roman" w:hAnsi="Times New Roman"/>
          <w:sz w:val="13"/>
          <w:szCs w:val="13"/>
          <w:color w:val="auto"/>
        </w:rPr>
        <w:t xml:space="preserve"> and (f), respectively, of Rule 13a-15 under the Exchange Act) as required by Rules 13a-15 and 15d-15 of the Exchange Act. Such disclosure controls and procedures are reasonably designed to ensure that material information required to be disclosed by the Company is recorded and reported on a timely basis to the individuals responsible for the preparation of the Company’s filings with the SEC and other public disclosure documents. Since the Applicable Date, based on the Company’s management’s most recently completed evaluation of the Company’s internal control over financial reporting, there has not been (i) any “material weakness” and “significant deficiency” (as defined by the Public Company Accounting Oversight Board) in the design or operation of its internal control over financial reporting or (ii) any fraud or allegation of fraud that involves management or other employees who have a significant role in the Company’s internal control over financial reporting.</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the consolidated financial statements of the Company and its subsidiaries (including the notes thereto) included in the Company’s Annual Report on Form 10-K filed with the SEC on March 23, 2026, and except for (i) liabilities or obligations incurred in the ordinary course of business since the Applicable Date; (ii) liabilities or obligations which have been discharged or paid in full prior to the date of this Agreement;</w:t>
      </w:r>
    </w:p>
    <w:p>
      <w:pPr>
        <w:ind w:left="640" w:right="699" w:hanging="3"/>
        <w:spacing w:after="0" w:line="275" w:lineRule="auto"/>
        <w:tabs>
          <w:tab w:leader="none" w:pos="861"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liabilities or obligations incurred in connection with this Agreement and the transactions contemplated hereby; and (iv) liabilities or obligations that would not reasonably be expected to have, individually or in the aggregate, a Material Adverse Effect, neither the Company nor any of its subsidiaries has any liabilities or obligations of a nature required by GAAP to be reflected in a consolidated balance sheet or disclosed in the notes thereto.</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3.8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693"/>
        <w:spacing w:after="0" w:line="251" w:lineRule="auto"/>
        <w:tabs>
          <w:tab w:leader="none" w:pos="150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for this Agreement, (ii) for the Company Share Plans or any other Company Plans, (iii) as filed as exhibits to the SEC Reports as a “material contract” pursuant to Item 601(b)(10) of Regulation S-K under the Securities Act, and (iv) required to be set forth in </w:t>
      </w:r>
      <w:r>
        <w:rPr>
          <w:rFonts w:ascii="Times New Roman" w:cs="Times New Roman" w:eastAsia="Times New Roman" w:hAnsi="Times New Roman"/>
          <w:sz w:val="13"/>
          <w:szCs w:val="13"/>
          <w:u w:val="single" w:color="auto"/>
          <w:color w:val="auto"/>
        </w:rPr>
        <w:t>Section 3.8(a)</w:t>
      </w:r>
      <w:r>
        <w:rPr>
          <w:rFonts w:ascii="Times New Roman" w:cs="Times New Roman" w:eastAsia="Times New Roman" w:hAnsi="Times New Roman"/>
          <w:sz w:val="13"/>
          <w:szCs w:val="13"/>
          <w:color w:val="auto"/>
        </w:rPr>
        <w:t xml:space="preserve"> of the Company Disclosure Letter, as of the date hereof, neither the Company nor any of its subsidiaries is party to or bound by any Contract currently in effect that:</w:t>
      </w:r>
    </w:p>
    <w:p>
      <w:pPr>
        <w:spacing w:after="0" w:line="56" w:lineRule="exact"/>
        <w:rPr>
          <w:rFonts w:ascii="Times New Roman" w:cs="Times New Roman" w:eastAsia="Times New Roman" w:hAnsi="Times New Roman"/>
          <w:sz w:val="13"/>
          <w:szCs w:val="13"/>
          <w:color w:val="auto"/>
        </w:rPr>
      </w:pPr>
    </w:p>
    <w:p>
      <w:pPr>
        <w:ind w:left="940" w:right="739" w:firstLine="675"/>
        <w:spacing w:after="0" w:line="251" w:lineRule="auto"/>
        <w:tabs>
          <w:tab w:leader="none" w:pos="1759"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contains covenants that materially restrict the right of the Company or any of its subsidiaries, to compete with any Person, in any line of business, in each case in any geographic area; (B) grants “most-favored nation” status to a Person that would be material to the Company and its subsidiaries, taken as a whole; or (C) contains an exclusivity provision (other than exclusive licenses) that would be material to the Company and its subsidiaries, taken as a whole;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7" w:name="page28"/>
    <w:bookmarkEnd w:id="27"/>
    <w:p>
      <w:pPr>
        <w:ind w:left="940" w:right="739" w:firstLine="675"/>
        <w:spacing w:after="0" w:line="267" w:lineRule="auto"/>
        <w:tabs>
          <w:tab w:leader="none" w:pos="179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with respect to any partnership that is wholly owned by the Company or any of its wholly owned subsidiaries, is with respect to a joint venture or partnership agreement or arrangement;</w:t>
      </w:r>
    </w:p>
    <w:p>
      <w:pPr>
        <w:spacing w:after="0" w:line="46"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for the purchase or sale of any shares or securities of, or other equity interests in, the Company or any of its subsidiaries;</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55" w:lineRule="auto"/>
        <w:tabs>
          <w:tab w:leader="none" w:pos="182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indenture, credit agreement, loan agreement, security agreement, guarantee, bond, mortgage or similar Contract pursuant to which any material indebtedness of the Company or any of its subsidiaries is outstanding or secured, other than any such Contract between or among any of the Company and any of its wholly owned subsidiaries;</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49" w:lineRule="auto"/>
        <w:tabs>
          <w:tab w:leader="none" w:pos="178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acquisition or disposition of ownership of any business (including share capital or other equity interest in another Person) outside the ordinary course and for aggregate consideration under such context in excess of $250,000, whether by merger, sale of shares, sale of assets or otherwise, pursuant to which any indemnification, guarantee, “earn-out” or other contingent or outstanding payment obligations of the Company or any of its subsidiaries remains outstanding and that are material to the Company and its subsidiaries, taken as a whole;</w:t>
      </w:r>
    </w:p>
    <w:p>
      <w:pPr>
        <w:spacing w:after="0" w:line="58" w:lineRule="exact"/>
        <w:rPr>
          <w:rFonts w:ascii="Times New Roman" w:cs="Times New Roman" w:eastAsia="Times New Roman" w:hAnsi="Times New Roman"/>
          <w:sz w:val="13"/>
          <w:szCs w:val="13"/>
          <w:color w:val="auto"/>
        </w:rPr>
      </w:pPr>
    </w:p>
    <w:p>
      <w:pPr>
        <w:ind w:left="940" w:right="739" w:firstLine="675"/>
        <w:spacing w:after="0" w:line="255" w:lineRule="auto"/>
        <w:tabs>
          <w:tab w:leader="none" w:pos="182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final and binding settlement or similar Contract with any Governmental Entity pursuant to which the Company or any of its subsidiaries has continuing obligations that materially restrict the operations of the Company and its subsidiaries, taken as a whole, or that involves an outstanding payment obligation by the Company to any Governmental Entity;</w:t>
      </w:r>
    </w:p>
    <w:p>
      <w:pPr>
        <w:spacing w:after="0" w:line="54" w:lineRule="exact"/>
        <w:rPr>
          <w:rFonts w:ascii="Times New Roman" w:cs="Times New Roman" w:eastAsia="Times New Roman" w:hAnsi="Times New Roman"/>
          <w:sz w:val="13"/>
          <w:szCs w:val="13"/>
          <w:color w:val="auto"/>
        </w:rPr>
      </w:pPr>
    </w:p>
    <w:p>
      <w:pPr>
        <w:jc w:val="both"/>
        <w:ind w:left="940" w:right="819" w:firstLine="675"/>
        <w:spacing w:after="0" w:line="255" w:lineRule="auto"/>
        <w:tabs>
          <w:tab w:leader="none" w:pos="185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final and binding settlement or other resolution of any suit, action, or proceeding that has continuing material obligations, liabilities or restrictions on the Company or any of its subsidiaries or involves an outstanding payment obligation by the Company or any of its subsidiaries of more than $250,000;</w:t>
      </w:r>
    </w:p>
    <w:p>
      <w:pPr>
        <w:spacing w:after="0" w:line="54"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grants a Lien (other than a Permitted Lien) over the material property or assets of the Company or its subsidiaries, taken as a</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whole;</w:t>
      </w:r>
    </w:p>
    <w:p>
      <w:pPr>
        <w:spacing w:after="0" w:line="65" w:lineRule="exact"/>
        <w:rPr>
          <w:rFonts w:ascii="Times New Roman" w:cs="Times New Roman" w:eastAsia="Times New Roman" w:hAnsi="Times New Roman"/>
          <w:sz w:val="12"/>
          <w:szCs w:val="12"/>
          <w:color w:val="auto"/>
        </w:rPr>
      </w:pPr>
    </w:p>
    <w:p>
      <w:pPr>
        <w:ind w:left="940" w:right="759" w:firstLine="675"/>
        <w:spacing w:after="0" w:line="267" w:lineRule="auto"/>
        <w:tabs>
          <w:tab w:leader="none" w:pos="182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collective bargaining Contract or other Contract with any labor union, works council or labor organization representing any employee of the Company or any of its subsidiaries (each, a “</w:t>
      </w:r>
      <w:r>
        <w:rPr>
          <w:rFonts w:ascii="Times New Roman" w:cs="Times New Roman" w:eastAsia="Times New Roman" w:hAnsi="Times New Roman"/>
          <w:sz w:val="13"/>
          <w:szCs w:val="13"/>
          <w:u w:val="single" w:color="auto"/>
          <w:color w:val="auto"/>
        </w:rPr>
        <w:t>CBA</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19" w:firstLine="675"/>
        <w:spacing w:after="0" w:line="267" w:lineRule="auto"/>
        <w:tabs>
          <w:tab w:leader="none" w:pos="178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requires the Company or any of its subsidiaries to make any advance, loan, extension of credit or capital contribution to, or other investment in, any Person (other than the Company or any of its wholly owned subsidiaries);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8" w:name="page29"/>
    <w:bookmarkEnd w:id="28"/>
    <w:p>
      <w:pPr>
        <w:ind w:left="940" w:right="679" w:firstLine="675"/>
        <w:spacing w:after="0" w:line="251" w:lineRule="auto"/>
        <w:tabs>
          <w:tab w:leader="none" w:pos="1822"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Contracts between the Company and one or more of its wholly owned subsidiaries or customary confidentiality or non-disclosure agreements or proprietary or confidential information assignment agreements, is a Contract with an Affiliate, director, executive officer (as such term is defined in the Exchange Act), holder of 5% or more of the Ordinary Shares, or any of their immediate family members, or, to the knowledge of the Company, any of their Affiliates (other than the Company);</w:t>
      </w:r>
    </w:p>
    <w:p>
      <w:pPr>
        <w:spacing w:after="0" w:line="56" w:lineRule="exact"/>
        <w:rPr>
          <w:rFonts w:ascii="Times New Roman" w:cs="Times New Roman" w:eastAsia="Times New Roman" w:hAnsi="Times New Roman"/>
          <w:sz w:val="13"/>
          <w:szCs w:val="13"/>
          <w:color w:val="auto"/>
        </w:rPr>
      </w:pPr>
    </w:p>
    <w:p>
      <w:pPr>
        <w:ind w:left="940" w:right="1059" w:firstLine="675"/>
        <w:spacing w:after="0" w:line="267" w:lineRule="auto"/>
        <w:tabs>
          <w:tab w:leader="none" w:pos="1857"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Contract under which payments to the Company and its subsidiaries exceeded $200,000 in calendar year 2025 or are reasonably likely to exceed $200,000 in calendar year 2026;</w:t>
      </w:r>
    </w:p>
    <w:p>
      <w:pPr>
        <w:spacing w:after="0" w:line="46"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Contract for capital expenditures which requires future payments in excess of $150,000;</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55" w:lineRule="auto"/>
        <w:tabs>
          <w:tab w:leader="none" w:pos="1885"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Contract that requires the Company, or any successor to, or acquirer of, Company, to make any payment to another Person as a result of a change of control of such Company (a “</w:t>
      </w:r>
      <w:r>
        <w:rPr>
          <w:rFonts w:ascii="Times New Roman" w:cs="Times New Roman" w:eastAsia="Times New Roman" w:hAnsi="Times New Roman"/>
          <w:sz w:val="13"/>
          <w:szCs w:val="13"/>
          <w:u w:val="single" w:color="auto"/>
          <w:color w:val="auto"/>
        </w:rPr>
        <w:t>Change in Control Payment</w:t>
      </w:r>
      <w:r>
        <w:rPr>
          <w:rFonts w:ascii="Times New Roman" w:cs="Times New Roman" w:eastAsia="Times New Roman" w:hAnsi="Times New Roman"/>
          <w:sz w:val="13"/>
          <w:szCs w:val="13"/>
          <w:color w:val="auto"/>
        </w:rPr>
        <w:t>”) or gives another Person a right to receive or elect to receive a Change in Control Payment;</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50"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Contract providing for (A) profit sharing with a third party or (B) the sale, transfer, assignment or any other disposition to a third party of the right to receive royalties, profit share or revenues, in each case, that is material to the business of the Company and its subsidiaries, taken as a whole;</w:t>
      </w:r>
    </w:p>
    <w:p>
      <w:pPr>
        <w:spacing w:after="0" w:line="54" w:lineRule="exact"/>
        <w:rPr>
          <w:rFonts w:ascii="Times New Roman" w:cs="Times New Roman" w:eastAsia="Times New Roman" w:hAnsi="Times New Roman"/>
          <w:sz w:val="13"/>
          <w:szCs w:val="13"/>
          <w:color w:val="auto"/>
        </w:rPr>
      </w:pPr>
    </w:p>
    <w:p>
      <w:pPr>
        <w:ind w:left="940" w:right="699" w:firstLine="675"/>
        <w:spacing w:after="0" w:line="271" w:lineRule="auto"/>
        <w:tabs>
          <w:tab w:leader="none" w:pos="1885"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which a license or any similar right is granted under any material Intellectual Property by or to the Company or any of its subsidiaries, excluding (A) intercompany agreements, (B) agreements between the Company or any of its subsidiaries and its or their employees, contractors or consultants, (C) non-disclosure agreements, clinical trial agreements, supply agreements, materials transfer agreements,</w:t>
      </w:r>
    </w:p>
    <w:p>
      <w:pPr>
        <w:ind w:left="940" w:right="679" w:firstLine="7"/>
        <w:spacing w:after="0" w:line="246" w:lineRule="auto"/>
        <w:tabs>
          <w:tab w:leader="none" w:pos="114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Off-the-Shelf Software Licenses, and (E) other Contracts in which the grant of rights to use Intellectual Property is incidental and not material to performance under any such Contract; or</w:t>
      </w:r>
    </w:p>
    <w:p>
      <w:pPr>
        <w:spacing w:after="0" w:line="59" w:lineRule="exact"/>
        <w:rPr>
          <w:rFonts w:ascii="Times New Roman" w:cs="Times New Roman" w:eastAsia="Times New Roman" w:hAnsi="Times New Roman"/>
          <w:sz w:val="13"/>
          <w:szCs w:val="13"/>
          <w:color w:val="auto"/>
        </w:rPr>
      </w:pPr>
    </w:p>
    <w:p>
      <w:pPr>
        <w:ind w:left="940" w:right="639" w:firstLine="675"/>
        <w:spacing w:after="0" w:line="255" w:lineRule="auto"/>
        <w:tabs>
          <w:tab w:leader="none" w:pos="1920" w:val="left"/>
        </w:tabs>
        <w:numPr>
          <w:ilvl w:val="2"/>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Contract among the Company or any of its subsidiaries and Viatris, Inc. or any Affiliate of Viatris, Inc. or any other Person, that primarily relates to Yupelri and is material to the business of the Company and its subsidiaries, taken as a whole (collectively, the “</w:t>
      </w:r>
      <w:r>
        <w:rPr>
          <w:rFonts w:ascii="Times New Roman" w:cs="Times New Roman" w:eastAsia="Times New Roman" w:hAnsi="Times New Roman"/>
          <w:sz w:val="13"/>
          <w:szCs w:val="13"/>
          <w:u w:val="single" w:color="auto"/>
          <w:color w:val="auto"/>
        </w:rPr>
        <w:t>Yupelri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Agreements</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Material Contracts is valid and binding on the Company and each of its subsidiaries as parties thereto and, to the knowledge of the Company, on each other party thereto, and is in full force and effect and enforceable in accordance with its terms, subject to the Bankruptcy and Equity Exception, except (i) to the extent that any Material Contract expires or terminates in accordance with its terms, (ii) other than with respect to any Yupelri Agreement, for such failures to be valid and binding or to be in full force and effect that would not reasonably be expected to have, individually or in the aggregate, a Material Adverse Effect and (iii) with respect to the Yupelri Agreements, for such failures to be valid and binding or to be in full force and effect that, in the aggregate, would not reasonably be expected to be material to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9" w:name="page30"/>
    <w:bookmarkEnd w:id="29"/>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and its subsidiaries, taken as a whole. To the knowledge of the Company, (x) neither the Company nor any of its subsidiaries has received written notice from any other party to a Material Contract of a claim of material default or termination under such Material Contract and (y) there is no material breach or material default under any Material Contract by the Company or any of its subsidiaries, or, to the knowledge of the Company, by any other party thereto.</w:t>
      </w:r>
    </w:p>
    <w:p>
      <w:pPr>
        <w:spacing w:after="0" w:line="133"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xml:space="preserve">. Since December 31, 2025, through the date of this Agreement, (a) except as contemplated by this Agreement, (i) the business of the Company and its subsidiaries has been conducted in all material respects in the ordinary course of business (except for matters relating to the transactions contemplated hereby and this Agreement and discussions, negotiations and transactions related thereto) and (ii) there has not been any action taken by the Company or any of its subsidiaries that, if taken during the period from the date hereof through the Effective Time without Parent’s consent, would constitute a breach of </w:t>
      </w:r>
      <w:r>
        <w:rPr>
          <w:rFonts w:ascii="Times New Roman" w:cs="Times New Roman" w:eastAsia="Times New Roman" w:hAnsi="Times New Roman"/>
          <w:sz w:val="13"/>
          <w:szCs w:val="13"/>
          <w:u w:val="single" w:color="auto"/>
          <w:color w:val="auto"/>
        </w:rPr>
        <w:t>Section 5.1(b)(ii)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5.1(b)(iv)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5.1(b)(vi)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5.1(b)(viii)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5.1(b)(xvii)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5.1(b)(xxii)</w:t>
      </w:r>
      <w:r>
        <w:rPr>
          <w:rFonts w:ascii="Times New Roman" w:cs="Times New Roman" w:eastAsia="Times New Roman" w:hAnsi="Times New Roman"/>
          <w:sz w:val="13"/>
          <w:szCs w:val="13"/>
          <w:color w:val="auto"/>
        </w:rPr>
        <w:t xml:space="preserve"> (to the extent relating to the foregoing clauses); (b) there has not occurred any Effect that has had or would reasonably be expected to have, individually or in the aggregate, a Material Adverse Effect; and (c) the Company and its subsidiaries have not breached the Yupelri Agreements in a manner that would be reasonably expected to be material and adverse to the Company and its subsidiaries’ rights under the Yupelri Agreements, taken as a whole (collectively, the “</w:t>
      </w:r>
      <w:r>
        <w:rPr>
          <w:rFonts w:ascii="Times New Roman" w:cs="Times New Roman" w:eastAsia="Times New Roman" w:hAnsi="Times New Roman"/>
          <w:sz w:val="13"/>
          <w:szCs w:val="13"/>
          <w:u w:val="single" w:color="auto"/>
          <w:color w:val="auto"/>
        </w:rPr>
        <w:t>Yupelri Rights</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3.10 </w:t>
      </w:r>
      <w:r>
        <w:rPr>
          <w:rFonts w:ascii="Times New Roman" w:cs="Times New Roman" w:eastAsia="Times New Roman" w:hAnsi="Times New Roman"/>
          <w:sz w:val="13"/>
          <w:szCs w:val="13"/>
          <w:u w:val="single" w:color="auto"/>
          <w:color w:val="auto"/>
        </w:rPr>
        <w:t>Absence of Litigation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As of the date hereof, except as set forth in </w:t>
      </w:r>
      <w:r>
        <w:rPr>
          <w:rFonts w:ascii="Times New Roman" w:cs="Times New Roman" w:eastAsia="Times New Roman" w:hAnsi="Times New Roman"/>
          <w:sz w:val="13"/>
          <w:szCs w:val="13"/>
          <w:u w:val="single" w:color="auto"/>
          <w:color w:val="auto"/>
        </w:rPr>
        <w:t>Section 3.10</w:t>
      </w:r>
      <w:r>
        <w:rPr>
          <w:rFonts w:ascii="Times New Roman" w:cs="Times New Roman" w:eastAsia="Times New Roman" w:hAnsi="Times New Roman"/>
          <w:sz w:val="13"/>
          <w:szCs w:val="13"/>
          <w:color w:val="auto"/>
        </w:rPr>
        <w:t xml:space="preserve"> of the Company Disclosure Letter, there is no litigation, suit, claim, charge, action, proceeding, arbitration or, to the knowledge of the Company, investigation, before any Governmental Entity (each, an “</w:t>
      </w:r>
      <w:r>
        <w:rPr>
          <w:rFonts w:ascii="Times New Roman" w:cs="Times New Roman" w:eastAsia="Times New Roman" w:hAnsi="Times New Roman"/>
          <w:sz w:val="13"/>
          <w:szCs w:val="13"/>
          <w:u w:val="single" w:color="auto"/>
          <w:color w:val="auto"/>
        </w:rPr>
        <w:t>Action</w:t>
      </w:r>
      <w:r>
        <w:rPr>
          <w:rFonts w:ascii="Times New Roman" w:cs="Times New Roman" w:eastAsia="Times New Roman" w:hAnsi="Times New Roman"/>
          <w:sz w:val="13"/>
          <w:szCs w:val="13"/>
          <w:color w:val="auto"/>
        </w:rPr>
        <w:t>”) pending or, to the knowledge of the Company, threatened in writing against the Company or any of its subsidiaries or any of their respective assets or properties, other than any such Action that would not, individually or in the aggregate, reasonably be expected to have a Material Adverse Effect. Neither the Company nor any of its subsidiaries or any of their respective properties or assets is or are subject to any Order, except for those that would not, individually or in the aggregate, reasonably be expected to have a Material Adverse Effect.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3.11 </w:t>
      </w: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5"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3.11(a)</w:t>
      </w:r>
      <w:r>
        <w:rPr>
          <w:rFonts w:ascii="Times New Roman" w:cs="Times New Roman" w:eastAsia="Times New Roman" w:hAnsi="Times New Roman"/>
          <w:sz w:val="13"/>
          <w:szCs w:val="13"/>
          <w:color w:val="auto"/>
        </w:rPr>
        <w:t xml:space="preserve"> of the Company Disclosure Letter contains a true and complete list of each material Company Plan, except for any employment agreements, offer letters, compensatory agreements or consultancy agreements for Company Service Providers (as defined below) that are, in all material respects, consistent with a standard form previously made available to Parent. A “</w:t>
      </w:r>
      <w:r>
        <w:rPr>
          <w:rFonts w:ascii="Times New Roman" w:cs="Times New Roman" w:eastAsia="Times New Roman" w:hAnsi="Times New Roman"/>
          <w:sz w:val="13"/>
          <w:szCs w:val="13"/>
          <w:u w:val="single" w:color="auto"/>
          <w:color w:val="auto"/>
        </w:rPr>
        <w:t>Company Plan</w:t>
      </w:r>
      <w:r>
        <w:rPr>
          <w:rFonts w:ascii="Times New Roman" w:cs="Times New Roman" w:eastAsia="Times New Roman" w:hAnsi="Times New Roman"/>
          <w:sz w:val="13"/>
          <w:szCs w:val="13"/>
          <w:color w:val="auto"/>
        </w:rPr>
        <w:t>” is an “employee benefit plan” (within the meaning of Section 3(3) of the Employee Retirement Income Security Act of 1974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whether or not subject to ERISA) and each other plan, policy, program, or arrangement providing employment, compensation or benefits (i) to any current or former director, officer, employee or individual contractor or service provider (collectively, the “</w:t>
      </w:r>
      <w:r>
        <w:rPr>
          <w:rFonts w:ascii="Times New Roman" w:cs="Times New Roman" w:eastAsia="Times New Roman" w:hAnsi="Times New Roman"/>
          <w:sz w:val="13"/>
          <w:szCs w:val="13"/>
          <w:u w:val="single" w:color="auto"/>
          <w:color w:val="auto"/>
        </w:rPr>
        <w:t>Company Service Providers</w:t>
      </w:r>
      <w:r>
        <w:rPr>
          <w:rFonts w:ascii="Times New Roman" w:cs="Times New Roman" w:eastAsia="Times New Roman" w:hAnsi="Times New Roman"/>
          <w:sz w:val="13"/>
          <w:szCs w:val="13"/>
          <w:color w:val="auto"/>
        </w:rPr>
        <w:t>”), including bonus plans, employment, severance, employee loan, fringe benefits, change in control, retention, transaction or similar bonuses, incentive equity or equity-based compensation or deferred compensation arrangements, medical, retiree medical, hospitalization, vision, dental or other health plans, disability, life insurance, retirement, pension plans and (ii) that is contributed to, sponsored or maintained by the Company or any of its subsidiaries, or with respect to which the Company or any of its subsidiaries has any current or contingent obligation or liability, in each case, other than a plan, policy, program, or arrangement which is required to be provided to Company Service Providers pursuant to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0" w:name="page31"/>
    <w:bookmarkEnd w:id="30"/>
    <w:p>
      <w:pPr>
        <w:ind w:left="640" w:right="679" w:firstLine="693"/>
        <w:spacing w:after="0" w:line="246" w:lineRule="auto"/>
        <w:tabs>
          <w:tab w:leader="none" w:pos="151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 respect to each material Company Plan set forth on </w:t>
      </w:r>
      <w:r>
        <w:rPr>
          <w:rFonts w:ascii="Times New Roman" w:cs="Times New Roman" w:eastAsia="Times New Roman" w:hAnsi="Times New Roman"/>
          <w:sz w:val="13"/>
          <w:szCs w:val="13"/>
          <w:u w:val="single" w:color="auto"/>
          <w:color w:val="auto"/>
        </w:rPr>
        <w:t>Section 3.11(a)</w:t>
      </w:r>
      <w:r>
        <w:rPr>
          <w:rFonts w:ascii="Times New Roman" w:cs="Times New Roman" w:eastAsia="Times New Roman" w:hAnsi="Times New Roman"/>
          <w:sz w:val="13"/>
          <w:szCs w:val="13"/>
          <w:color w:val="auto"/>
        </w:rPr>
        <w:t xml:space="preserve"> of the Company Disclosure Letter, the Company has made available to Parent, to the extent applicable, a true, current and complete copy of: (i) the most recent plan document (including all amendments thereto) (or in the event of no written plan, agreement, arrangement, program or policy, a description of the material terms thereof); (ii) Forms 5500, with schedule attached, filed for the three (3) most recent plan years; (iii) the most recent summary plan description, together with any subsequent summaries of material modifications; (iv) the most recently prepared actuarial reports and financial statements; (v) a copy of the most recent determination, opinion or advisory letter from the United States Internal Revenue Service, if any; (vi) nondiscrimination testing reports for the three (3) most recently complete plan years; (vii) all material, non-routine correspondence with any Governmental Entity during the preceding three (3) years; and (viii) any related trust agreement or other funding instrument.</w:t>
      </w:r>
    </w:p>
    <w:p>
      <w:pPr>
        <w:spacing w:after="0" w:line="138" w:lineRule="exact"/>
        <w:rPr>
          <w:rFonts w:ascii="Times New Roman" w:cs="Times New Roman" w:eastAsia="Times New Roman" w:hAnsi="Times New Roman"/>
          <w:sz w:val="13"/>
          <w:szCs w:val="13"/>
          <w:color w:val="auto"/>
        </w:rPr>
      </w:pPr>
    </w:p>
    <w:p>
      <w:pPr>
        <w:jc w:val="both"/>
        <w:ind w:left="640" w:right="759" w:firstLine="693"/>
        <w:spacing w:after="0" w:line="269" w:lineRule="auto"/>
        <w:tabs>
          <w:tab w:leader="none" w:pos="15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have, individually or in the aggregate, a Material Adverse Effect, (i) each Company Plan has been established, funded, maintained and administered in accordance with its terms and in compliance with the applicable provisions of all applicable Laws, and (ii) with respect to each Company Plan, as of the date of this Agreement, no Actions (other than routine claims for benefits in the ordinary course) are pending or, to the knowledge of the Company, threatened. Each Company Plan which is intended to be qualified under</w:t>
      </w:r>
    </w:p>
    <w:p>
      <w:pPr>
        <w:ind w:left="640" w:right="107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401(a) of the Code has received a current determination, advisory or opinion letter to that effect from the United States Internal Revenue Service.</w:t>
      </w:r>
    </w:p>
    <w:p>
      <w:pPr>
        <w:spacing w:after="0" w:line="135" w:lineRule="exact"/>
        <w:rPr>
          <w:rFonts w:ascii="Times New Roman" w:cs="Times New Roman" w:eastAsia="Times New Roman" w:hAnsi="Times New Roman"/>
          <w:sz w:val="12"/>
          <w:szCs w:val="12"/>
          <w:color w:val="auto"/>
        </w:rPr>
      </w:pPr>
    </w:p>
    <w:p>
      <w:pPr>
        <w:jc w:val="both"/>
        <w:ind w:left="640" w:right="899" w:firstLine="693"/>
        <w:spacing w:after="0" w:line="255" w:lineRule="auto"/>
        <w:tabs>
          <w:tab w:leader="none" w:pos="151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3.11(d)</w:t>
      </w:r>
      <w:r>
        <w:rPr>
          <w:rFonts w:ascii="Times New Roman" w:cs="Times New Roman" w:eastAsia="Times New Roman" w:hAnsi="Times New Roman"/>
          <w:sz w:val="13"/>
          <w:szCs w:val="13"/>
          <w:color w:val="auto"/>
        </w:rPr>
        <w:t xml:space="preserve"> of the Company Disclosure Letter, no Company Plan provides for post-employment medical, disability, life insurance or other welfare benefits to Company Service Providers following their termination of employment or service, except to the extent required by applicable Laws.</w:t>
      </w:r>
    </w:p>
    <w:p>
      <w:pPr>
        <w:spacing w:after="0" w:line="130" w:lineRule="exact"/>
        <w:rPr>
          <w:rFonts w:ascii="Times New Roman" w:cs="Times New Roman" w:eastAsia="Times New Roman" w:hAnsi="Times New Roman"/>
          <w:sz w:val="13"/>
          <w:szCs w:val="13"/>
          <w:color w:val="auto"/>
        </w:rPr>
      </w:pPr>
    </w:p>
    <w:p>
      <w:pPr>
        <w:jc w:val="both"/>
        <w:ind w:left="640" w:right="959" w:firstLine="693"/>
        <w:spacing w:after="0" w:line="309" w:lineRule="auto"/>
        <w:tabs>
          <w:tab w:leader="none" w:pos="15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Company Plan is, and none of the Company or its subsidiaries has, any liability or obligation with respect to, a multiemployer pension plan (as defined in Section 3(37) of ERISA) or other pension plan subject to Section 302 or Title IV of ERISA or Section 412 of the Code.</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47" w:lineRule="auto"/>
        <w:tabs>
          <w:tab w:leader="none" w:pos="149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3.11(f)</w:t>
      </w:r>
      <w:r>
        <w:rPr>
          <w:rFonts w:ascii="Times New Roman" w:cs="Times New Roman" w:eastAsia="Times New Roman" w:hAnsi="Times New Roman"/>
          <w:sz w:val="13"/>
          <w:szCs w:val="13"/>
          <w:color w:val="auto"/>
        </w:rPr>
        <w:t xml:space="preserve"> of the Company Disclosure Letter or except as expressly contemplated by this Agreement, neither the execution of this Agreement nor the consummation of the transactions contemplated by this Agreement (alone or in conjunction with any other event, including any termination of employment) will (i) entitle any current or former Company Service Providers to any payment or benefit or increase of compensation or benefit (including any change of control, bonus, retention or severance pay) by the Company or its subsidiaries, (ii) accelerate the time of payment or vesting or result in any payment or funding (through a grantor trust or otherwise) of compensation or benefits by the Company or its subsidiaries, or (iii) result in any benefit, payment or series of payments that may reasonably constitute an “excess parachute payment” (as such term is defined in Section 280G(b)(1) of the Code) to any Person.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1" w:name="page32"/>
    <w:bookmarkEnd w:id="3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3.12 </w:t>
      </w:r>
      <w:r>
        <w:rPr>
          <w:rFonts w:ascii="Times New Roman" w:cs="Times New Roman" w:eastAsia="Times New Roman" w:hAnsi="Times New Roman"/>
          <w:sz w:val="13"/>
          <w:szCs w:val="13"/>
          <w:u w:val="single" w:color="auto"/>
          <w:color w:val="auto"/>
        </w:rPr>
        <w:t>Labor and Employment Matters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of the Company Disclosure Letter:</w:t>
      </w:r>
    </w:p>
    <w:p>
      <w:pPr>
        <w:spacing w:after="0" w:line="78" w:lineRule="exact"/>
        <w:rPr>
          <w:sz w:val="20"/>
          <w:szCs w:val="20"/>
          <w:color w:val="auto"/>
        </w:rPr>
      </w:pPr>
    </w:p>
    <w:p>
      <w:pPr>
        <w:ind w:left="640" w:right="779" w:firstLine="693"/>
        <w:spacing w:after="0" w:line="271" w:lineRule="auto"/>
        <w:tabs>
          <w:tab w:leader="none" w:pos="15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a party to or bound by any CBA, no employee of the Company or any of its subsidiaries is represented by any labor union, works council or other labor organization with respect to employment with the Company or any of its subsidiaries, and no CBA is being negotiated by the Company or any of its subsidiaries. There are no, and since the Applicable Date, there have not been any, strikes, work stoppages, slowdowns, lockouts or similar material labor disputes pending or, to the knowledge of the Company, threatened against the Company or any of its subsidiaries. There are no, and since the Applicable Date, there have not been any (i) material unfair labor practice complaints pending or, to the knowledge of the Company, threatened against the Company or any of its subsidiaries before any labor relations tribunal or authority or (ii) to the knowledge of the Company, union organizing efforts by any employee of the Company or any of its subsidiaries.</w:t>
      </w:r>
    </w:p>
    <w:p>
      <w:pPr>
        <w:spacing w:after="0" w:line="122" w:lineRule="exact"/>
        <w:rPr>
          <w:rFonts w:ascii="Times New Roman" w:cs="Times New Roman" w:eastAsia="Times New Roman" w:hAnsi="Times New Roman"/>
          <w:sz w:val="12"/>
          <w:szCs w:val="12"/>
          <w:color w:val="auto"/>
        </w:rPr>
      </w:pPr>
    </w:p>
    <w:p>
      <w:pPr>
        <w:ind w:left="640" w:right="699" w:firstLine="693"/>
        <w:spacing w:after="0" w:line="272" w:lineRule="auto"/>
        <w:tabs>
          <w:tab w:leader="none" w:pos="1515"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have, individually or in the aggregate, a Material Adverse Effect, the Company and its subsidiaries are, and since the Applicable Date have been, in compliance with all applicable Laws relating to labor and employment, including all Laws respecting terms and conditions of employment, health and safety, wages and hours (including the classification of employees as exempt or non-exempt from overtime pay requirements and the proper classification of individuals as non-employee contractors or consultants), social security payments and housing fund contribution, mandatory provident fund or other statutory pension contribution, immigration, discrimination, disability rights, plant closures and layoffs, workers’ compensation, labor relations, employee leave issues, and unemployment insurance.</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its subsidiaries is party to a settlement agreement with a current or former officer, employee or independent contractor of the Company or its subsidiaries that involves allegations relating to sexual harassment or discrimination by either (i) an officer of the Company or its subsidiaries or (ii) an employee of the Company or its subsidiaries at the level of vice president or above. To the knowledge of the Company, since the Applicable Date, no allegations of sexual harassment or discrimination have been made against (i) any officer of the Company or its subsidiaries or (ii) any employee of the Company or its subsidiaries at the level of vice president or above.</w:t>
      </w:r>
    </w:p>
    <w:p>
      <w:pPr>
        <w:spacing w:after="0" w:line="13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3.13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Except as would not reasonably be expected to have, individually or in the aggregate, a Material Adverse Effect, all insurance policies of the Company and its subsidiaries that are material to the Company and its subsidiaries, individually or taken as a whole, (a) are in full force and effect and provide insurance in such amounts and against such risks as is sufficient to comply with applicable Law and as is commercially reasonable in all material respects in the industries in which the Company and its subsidiaries operate and (b) all premiums due with respect to such insurance policies have been paid in accordance with the terms thereof.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2" w:name="page33"/>
    <w:bookmarkEnd w:id="3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3.14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Owned Real Property.</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66" w:lineRule="auto"/>
        <w:tabs>
          <w:tab w:leader="none" w:pos="1515"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3.14(b)(i)</w:t>
      </w:r>
      <w:r>
        <w:rPr>
          <w:rFonts w:ascii="Times New Roman" w:cs="Times New Roman" w:eastAsia="Times New Roman" w:hAnsi="Times New Roman"/>
          <w:sz w:val="12"/>
          <w:szCs w:val="12"/>
          <w:color w:val="auto"/>
        </w:rPr>
        <w:t xml:space="preserve"> of the Company Disclosure Letter sets forth the address of each Leased Real Property. The Company has made available to Parent true and complete copies of all Leases under which the Company or any of its subsidiaries uses or occupies or has the right to use or occupy any Leased Real Property (and all modifications, amendments and supplements thereto, the “</w:t>
      </w:r>
      <w:r>
        <w:rPr>
          <w:rFonts w:ascii="Times New Roman" w:cs="Times New Roman" w:eastAsia="Times New Roman" w:hAnsi="Times New Roman"/>
          <w:sz w:val="12"/>
          <w:szCs w:val="12"/>
          <w:u w:val="single" w:color="auto"/>
          <w:color w:val="auto"/>
        </w:rPr>
        <w:t>Material Leases</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3.14(b)(ii)</w:t>
      </w:r>
      <w:r>
        <w:rPr>
          <w:rFonts w:ascii="Times New Roman" w:cs="Times New Roman" w:eastAsia="Times New Roman" w:hAnsi="Times New Roman"/>
          <w:sz w:val="12"/>
          <w:szCs w:val="12"/>
          <w:color w:val="auto"/>
        </w:rPr>
        <w:t xml:space="preserve"> of the Company Disclosure Letter, (A) each of the Company and its subsidiaries has a good and valid leasehold or subleasehold interest in each relevant parcel of the Leased Real Property, free and clear of all Liens, except for Permitted Liens; (B) each Material Lease is legal, valid, binding, enforceable and in full force and effect, subject to the Bankruptcy and Equity Exception; (C) neither the Company nor any of its subsidiaries has subleased, licensed or otherwise granted any Person the right to use or occupy such Leased Real Property or any portion thereof;</w:t>
      </w:r>
    </w:p>
    <w:p>
      <w:pPr>
        <w:spacing w:after="0" w:line="3" w:lineRule="exact"/>
        <w:rPr>
          <w:rFonts w:ascii="Times New Roman" w:cs="Times New Roman" w:eastAsia="Times New Roman" w:hAnsi="Times New Roman"/>
          <w:sz w:val="12"/>
          <w:szCs w:val="12"/>
          <w:color w:val="auto"/>
        </w:rPr>
      </w:pPr>
    </w:p>
    <w:p>
      <w:pPr>
        <w:ind w:left="640" w:right="759" w:hanging="3"/>
        <w:spacing w:after="0" w:line="244" w:lineRule="auto"/>
        <w:tabs>
          <w:tab w:leader="none" w:pos="847"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have collaterally assigned or granted any other security interest in such Material Lease or any interest therein; and (E) neither the Company nor any of its applicable subsidiaries is in breach or violation of, or default under any Material Lease and to the knowledge of the Company, no event has occurred or circumstance exists which, with the delivery of notice, the passage of time or both, would constitute such a breach or default, or permit the termination, modification or acceleration of rent under such Material Lease.</w:t>
      </w:r>
    </w:p>
    <w:p>
      <w:pPr>
        <w:spacing w:after="0" w:line="137"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508"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no party to any Material Lease has given written notice to the Company or any of its subsidiaries of, or made a written claim against the Company or any such subsidiary with respect to, any breach or default thereunder. As of the date of this Agreement, neither the Company nor any of its subsidiaries has received written notice of the existence of any outstanding Order, and, to the knowledge of the Company, there is no such Order threatened, relating to the ownership, lease, use, occupancy or operation by any Person of any Leased Real Property.</w:t>
      </w:r>
    </w:p>
    <w:p>
      <w:pPr>
        <w:spacing w:after="0" w:line="116" w:lineRule="exact"/>
        <w:rPr>
          <w:rFonts w:ascii="Times New Roman" w:cs="Times New Roman" w:eastAsia="Times New Roman" w:hAnsi="Times New Roman"/>
          <w:sz w:val="12"/>
          <w:szCs w:val="12"/>
          <w:color w:val="auto"/>
        </w:rPr>
      </w:pPr>
    </w:p>
    <w:p>
      <w:pPr>
        <w:ind w:left="640" w:right="759" w:firstLine="693"/>
        <w:spacing w:after="0" w:line="255" w:lineRule="auto"/>
        <w:tabs>
          <w:tab w:leader="none" w:pos="1515"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individually or in the aggregate, a Material Adverse Effect, the Company and its subsidiaries have good title to, or a valid and binding leasehold interest in, all other properties and assets (excluding Leased Real Property and Intellectual Property), in each case free and clear of all Liens, except for Permitted Liens.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3.15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5" w:lineRule="auto"/>
        <w:tabs>
          <w:tab w:leader="none" w:pos="15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each of its subsidiaries (A) have timely filed (taking into account any extension of time within which to file) all material Tax Returns required to be filed by any of them and all such filed Tax Returns are complete and accurate in all material respects; (B) have timely paid all material Taxes and, except as would not (individually or in the aggregate) be material, have withheld all Taxes required to be withheld from amounts owing to any employee, creditor, equity holder, or other third party; and (C) have not waived any statute of limitations with respect to material Taxes or agreed to any extension of time with respect to a material Tax assessment or deficiency which waiver or extension has not yet expired.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3" w:name="page34"/>
    <w:bookmarkEnd w:id="33"/>
    <w:p>
      <w:pPr>
        <w:ind w:left="640" w:right="699" w:firstLine="693"/>
        <w:spacing w:after="0" w:line="255"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Tax audits, examinations, investigations or other proceedings with respect to material Taxes of or with respect to the Company or any of its subsidiaries are currently pending and neither the Company nor any of its subsidiaries has received a written notice from a Tax authority of an upcoming audit, examination, investigation or other proceeding with respect to material Taxes.</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0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Liens on any of the material assets of the Company or any of its subsidiaries that arose in connection with any failure (or alleged failure) to pay any Tax, other than Liens for Taxes that are not yet due and payable or for Taxes that are being contested in good faith by appropriate proceeding.</w:t>
      </w:r>
    </w:p>
    <w:p>
      <w:pPr>
        <w:spacing w:after="0" w:line="130" w:lineRule="exact"/>
        <w:rPr>
          <w:rFonts w:ascii="Times New Roman" w:cs="Times New Roman" w:eastAsia="Times New Roman" w:hAnsi="Times New Roman"/>
          <w:sz w:val="13"/>
          <w:szCs w:val="13"/>
          <w:color w:val="auto"/>
        </w:rPr>
      </w:pPr>
    </w:p>
    <w:p>
      <w:pPr>
        <w:ind w:left="640" w:right="1239" w:firstLine="693"/>
        <w:spacing w:after="0" w:line="267"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participated in any “listed transactions” within the meaning of Treasury Regulations Section 1.6011-4 or any similar provision of applicable Tax Law.</w:t>
      </w:r>
    </w:p>
    <w:p>
      <w:pPr>
        <w:spacing w:after="0" w:line="122" w:lineRule="exact"/>
        <w:rPr>
          <w:rFonts w:ascii="Times New Roman" w:cs="Times New Roman" w:eastAsia="Times New Roman" w:hAnsi="Times New Roman"/>
          <w:sz w:val="13"/>
          <w:szCs w:val="13"/>
          <w:color w:val="auto"/>
        </w:rPr>
      </w:pPr>
    </w:p>
    <w:p>
      <w:pPr>
        <w:jc w:val="both"/>
        <w:ind w:left="640" w:right="699" w:firstLine="693"/>
        <w:spacing w:after="0" w:line="269" w:lineRule="auto"/>
        <w:tabs>
          <w:tab w:leader="none" w:pos="150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(A) is a party to any combined, unitary, consolidated or similar tax group (other than a group the common parent of which was the Company), or has any liability for the Taxes of any Person (other than the Company or its subsidiaries) as a transferee or successor, in each case pursuant to which it will have any obligation to make any payments after the Closing, or (B) is a party to or bound by (x) any closing agreement (within the meaning of Section 7121(a) of the Code (or any similar or analogous provision of state, local or non-U.S.</w:t>
      </w:r>
    </w:p>
    <w:p>
      <w:pPr>
        <w:ind w:left="640" w:right="65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Law)) or other ruling or written agreement with a Tax authority, in each case, with respect to material Taxes, or (y) any material Tax sharing agreement, Tax allocation agreement or Tax indemnity agreement (other than any other customary commercial agreements or Contracts not primarily related to Tax, or any agreement among or between only the Company or any of its subsidiaries).</w:t>
      </w:r>
    </w:p>
    <w:p>
      <w:pPr>
        <w:spacing w:after="0" w:line="135"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49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Within the past three years, there has not been any material change in the nature or conduct of, the trade carried on by TBIL (within the meaning of Section 401 of the Taxes Consolidation Act 1997) and the scale of the activities in its trade have not become small or negligible (within the meaning of Section 401 of the Taxes Consolidation Act 1997);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this representation shall not apply in respect of any actions taken as part of or in connection with the Financing Reorganization.</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redacted sections of any minutes of meetings of the board of directors of TBIL or of the Company made available to Parent contain any information that is pertinent or relevant to the consideration of whether there has been any material change in the nature or conduct of, the trade carried on by TBIL (within the meaning of Section 401 of the Taxes Consolidation Act 1997) or whether the scale of the activities in TBIL’s trade have become small or negligible (within the meaning of Section 401 of the Taxes Consolidation Act 1997).</w:t>
      </w:r>
    </w:p>
    <w:p>
      <w:pPr>
        <w:spacing w:after="0" w:line="132" w:lineRule="exact"/>
        <w:rPr>
          <w:rFonts w:ascii="Times New Roman" w:cs="Times New Roman" w:eastAsia="Times New Roman" w:hAnsi="Times New Roman"/>
          <w:sz w:val="13"/>
          <w:szCs w:val="13"/>
          <w:color w:val="auto"/>
        </w:rPr>
      </w:pPr>
    </w:p>
    <w:p>
      <w:pPr>
        <w:ind w:left="640" w:right="839" w:firstLine="693"/>
        <w:spacing w:after="0" w:line="279" w:lineRule="auto"/>
        <w:tabs>
          <w:tab w:leader="none" w:pos="1515"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before the date hereof, a duly constituted meeting of the Board of Directors was convened at which the Board of Directors approved, authorized and otherwise resolved to ensure that TBIL has the necessary funding for it to continue research and development in relation to potential future pathways for Ampreloxetine, and such resolution has not been amended, superseded or revoked or rescinded and are in full force and effect and a true, current and complete copy of the board minutes of such meeting have been provided to Parent.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4" w:name="page35"/>
    <w:bookmarkEnd w:id="34"/>
    <w:p>
      <w:pPr>
        <w:ind w:left="640" w:right="679" w:firstLine="693"/>
        <w:spacing w:after="0" w:line="247" w:lineRule="auto"/>
        <w:tabs>
          <w:tab w:leader="none" w:pos="148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or before the date hereof, a duly constituted meeting of the board of directors of TBIL was convened at which the board of directors of TBIL noted that the Board of Directors had approved, authorized and otherwise resolved to ensure that TBIL would have the necessary funding for it to continue research and development in relation to potential future pathways for Ampreloxetine and the board of directors of TBIL approved, authorized and otherwise resolved to: (i) extend the retention period for three employees of TBIL who were otherwise due to cease employment on September 15, 2026, such that their employment would instead cease on or after November 15, 2026; and (ii) execute a license arrangement for TBIL in respect of appropriate office space in Ireland, which resolutions have not been amended, superseded or revoked or rescinded and are in full force and effect and a true, current and complete copy of the board minutes of such meeting have been provided to Parent.</w:t>
      </w:r>
    </w:p>
    <w:p>
      <w:pPr>
        <w:spacing w:after="0" w:line="136" w:lineRule="exact"/>
        <w:rPr>
          <w:rFonts w:ascii="Times New Roman" w:cs="Times New Roman" w:eastAsia="Times New Roman" w:hAnsi="Times New Roman"/>
          <w:sz w:val="13"/>
          <w:szCs w:val="13"/>
          <w:color w:val="auto"/>
        </w:rPr>
      </w:pPr>
    </w:p>
    <w:p>
      <w:pPr>
        <w:jc w:val="both"/>
        <w:ind w:left="640" w:right="779" w:firstLine="693"/>
        <w:spacing w:after="0" w:line="251" w:lineRule="auto"/>
        <w:tabs>
          <w:tab w:leader="none" w:pos="148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TBIL has entered into written agreements with three employees of TBIL who were otherwise due to cease employment with TBIL on September 15, 2026, pursuant to which TBIL and each such employee agreed to extend the period of their employment with TBIL until November 15, 2026, such written agreements have not been amended, varied, or terminated, are legally binding and continue in full force and effect and a true and complete copy of each such written agreement has been made available to Parent.</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1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written claim has been made by a Governmental Entity in a jurisdiction where the Company or any of its subsidiaries does not file Tax Returns that the Company or any of its subsidiaries is subject to taxation by, or required to file any Tax Return in, that jurisdiction.</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48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two-year period ending on the date hereof, none of the Company or any of its subsidiaries was either a “distributing corporation” or a “controlled corporation” within the meaning of Section 355 of the Code and the Treasury Regulations promulgated thereunder (or any similar or analogous provision of state, local, or non-U.S. Tax Law).</w:t>
      </w:r>
    </w:p>
    <w:p>
      <w:pPr>
        <w:spacing w:after="0" w:line="130"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75" w:lineRule="auto"/>
        <w:tabs>
          <w:tab w:leader="none" w:pos="1759"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all federal, state, local and non-U.S. income, profits, franchise, gross receipts, windfall, environmental, customs duty, capital stock, severance, stamp, payroll, sales, employment, unemployment, disability, social security, use, property, withholding, excise, license, production, value added, occupancy, land value appreciation, deed, registration, alternative, add-on minimum, branch profits, premium, business and national tax and other taxes, duties or other like assessments of any nature whatsoever imposed by any Governmental Entity together with all interest, penalties and additions imposed with respect to such amounts and any interest in respect of such penalties and additions;</w:t>
      </w:r>
    </w:p>
    <w:p>
      <w:pPr>
        <w:spacing w:after="0" w:line="43" w:lineRule="exact"/>
        <w:rPr>
          <w:rFonts w:ascii="Times New Roman" w:cs="Times New Roman" w:eastAsia="Times New Roman" w:hAnsi="Times New Roman"/>
          <w:sz w:val="12"/>
          <w:szCs w:val="12"/>
          <w:color w:val="auto"/>
        </w:rPr>
      </w:pPr>
    </w:p>
    <w:p>
      <w:pPr>
        <w:ind w:left="1800" w:hanging="185"/>
        <w:spacing w:after="0"/>
        <w:tabs>
          <w:tab w:leader="none" w:pos="180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Law</w:t>
      </w:r>
      <w:r>
        <w:rPr>
          <w:rFonts w:ascii="Times New Roman" w:cs="Times New Roman" w:eastAsia="Times New Roman" w:hAnsi="Times New Roman"/>
          <w:sz w:val="13"/>
          <w:szCs w:val="13"/>
          <w:color w:val="auto"/>
        </w:rPr>
        <w:t>” means any Law relating to Taxes; and</w:t>
      </w:r>
    </w:p>
    <w:p>
      <w:pPr>
        <w:spacing w:after="0" w:line="77" w:lineRule="exact"/>
        <w:rPr>
          <w:rFonts w:ascii="Times New Roman" w:cs="Times New Roman" w:eastAsia="Times New Roman" w:hAnsi="Times New Roman"/>
          <w:sz w:val="13"/>
          <w:szCs w:val="13"/>
          <w:color w:val="auto"/>
        </w:rPr>
      </w:pPr>
    </w:p>
    <w:p>
      <w:pPr>
        <w:ind w:left="940" w:right="879" w:firstLine="675"/>
        <w:spacing w:after="0" w:line="267" w:lineRule="auto"/>
        <w:tabs>
          <w:tab w:leader="none" w:pos="1829"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all returns and reports (including any elections, disclosures, information returns and attached schedules) filed with a Tax authority.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3.16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None of the information supplied or to be supplied by the Company for inclusion or incorporation by reference</w:t>
      </w:r>
    </w:p>
    <w:p>
      <w:pPr>
        <w:spacing w:after="0" w:line="15"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color w:val="auto"/>
        </w:rPr>
        <w:t>in the proxy statement to be sent to the shareholders of the Company in connection with the Shareholders Meeting (such proxy statement, as amended or supplemented, including the letter to shareholders, notice of meeting and form of proxy the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on the date it and any amendment or supplements thereto are filed with the SEC, or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the Company makes no representation or warranty with respect to any statement made or incorporated by reference in any of the foregoing documents based on information supplied by or on behalf of Parent or Merger Sub or any of their respective Representatives which is contained or incorporated by reference in the Proxy Statement.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3.17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9"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3.17(a)</w:t>
      </w:r>
      <w:r>
        <w:rPr>
          <w:rFonts w:ascii="Times New Roman" w:cs="Times New Roman" w:eastAsia="Times New Roman" w:hAnsi="Times New Roman"/>
          <w:sz w:val="13"/>
          <w:szCs w:val="13"/>
          <w:color w:val="auto"/>
        </w:rPr>
        <w:t xml:space="preserve"> of the Company Disclosure Letter sets forth a list, as of the date of this Agreement, of all Registered Intellectual Property that is owned (or purported to be owned) by the Company or any of its subsidiaries (collectively, the “</w:t>
      </w:r>
      <w:r>
        <w:rPr>
          <w:rFonts w:ascii="Times New Roman" w:cs="Times New Roman" w:eastAsia="Times New Roman" w:hAnsi="Times New Roman"/>
          <w:sz w:val="13"/>
          <w:szCs w:val="13"/>
          <w:u w:val="single" w:color="auto"/>
          <w:color w:val="auto"/>
        </w:rPr>
        <w:t>Company Registered Intellectual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Property</w:t>
      </w:r>
      <w:r>
        <w:rPr>
          <w:rFonts w:ascii="Times New Roman" w:cs="Times New Roman" w:eastAsia="Times New Roman" w:hAnsi="Times New Roman"/>
          <w:sz w:val="13"/>
          <w:szCs w:val="13"/>
          <w:color w:val="auto"/>
        </w:rPr>
        <w:t>”). Except as would not reasonably be expected to have, individually or in the aggregate, a Material Adverse Effect, the Company or one of its wholly owned subsidiaries solely and exclusively owns all right, title, and interest in and to all Company Registered Intellectual Property, free and clear of all Liens (other than Permitted Liens).</w:t>
      </w:r>
    </w:p>
    <w:p>
      <w:pPr>
        <w:spacing w:after="0" w:line="134"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would not reasonably be expected to have, individually or in the aggregate, a Material Adverse Effect, the Company and its subsidiaries have valid and enforceable rights to use all Intellectual Property used by the Company or its subsidiaries in the conduct of the businesses of the Company and its subsidiaries as currently conducted;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is not a representation or warranty with respect to infringement, dilution, misappropriation or other violation of Intellectual Property.</w:t>
      </w:r>
    </w:p>
    <w:p>
      <w:pPr>
        <w:spacing w:after="0" w:line="132" w:lineRule="exact"/>
        <w:rPr>
          <w:rFonts w:ascii="Times New Roman" w:cs="Times New Roman" w:eastAsia="Times New Roman" w:hAnsi="Times New Roman"/>
          <w:sz w:val="13"/>
          <w:szCs w:val="13"/>
          <w:color w:val="auto"/>
        </w:rPr>
      </w:pPr>
    </w:p>
    <w:p>
      <w:pPr>
        <w:jc w:val="both"/>
        <w:ind w:left="640" w:right="839" w:firstLine="693"/>
        <w:spacing w:after="0" w:line="251"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Applicable Date, except as would not reasonably be expected to have, individually or in the aggregate, a Material Adverse Effect, (i) to the knowledge of the Company, the Company and its subsidiaries have not infringed, diluted, misappropriated or otherwise violated any valid and enforceable Intellectual Property of any third party; and (ii) no such Actions have been pending, or to the knowledge of the Company, threatened in writing against the Company or any of its subsidiaries.</w:t>
      </w:r>
    </w:p>
    <w:p>
      <w:pPr>
        <w:spacing w:after="0" w:line="132" w:lineRule="exact"/>
        <w:rPr>
          <w:rFonts w:ascii="Times New Roman" w:cs="Times New Roman" w:eastAsia="Times New Roman" w:hAnsi="Times New Roman"/>
          <w:sz w:val="13"/>
          <w:szCs w:val="13"/>
          <w:color w:val="auto"/>
        </w:rPr>
      </w:pPr>
    </w:p>
    <w:p>
      <w:pPr>
        <w:jc w:val="both"/>
        <w:ind w:left="640" w:right="819" w:firstLine="693"/>
        <w:spacing w:after="0" w:line="251"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Applicable Date, except as would not reasonably be expected to have, individually or in the aggregate, a Material Adverse Effect, (i) to the knowledge of the Company, no Company Intellectual Property has been infringed, diluted, misappropriated or otherwise violated by any third party; and (ii) no such Actions have been pending, or to the knowledge of the Company, threatened in writing by the Company or any of its subsidiaries.</w:t>
      </w:r>
    </w:p>
    <w:p>
      <w:pPr>
        <w:spacing w:after="0" w:line="132" w:lineRule="exact"/>
        <w:rPr>
          <w:rFonts w:ascii="Times New Roman" w:cs="Times New Roman" w:eastAsia="Times New Roman" w:hAnsi="Times New Roman"/>
          <w:sz w:val="13"/>
          <w:szCs w:val="13"/>
          <w:color w:val="auto"/>
        </w:rPr>
      </w:pPr>
    </w:p>
    <w:p>
      <w:pPr>
        <w:jc w:val="both"/>
        <w:ind w:left="640" w:right="1099" w:firstLine="693"/>
        <w:spacing w:after="0" w:line="286" w:lineRule="auto"/>
        <w:tabs>
          <w:tab w:leader="none" w:pos="15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have, individually or in the aggregate, a Material Adverse Effect, (i) neither the Company nor any of its subsidiaries is subject to any Order with respect to any Company Intellectual Property; and (ii) all Company Registered Intellectual Property is subsisting, and to the knowledge of the Company, excluding applications related thereto, valid and enforceable.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firstLine="693"/>
        <w:spacing w:after="0" w:line="275" w:lineRule="auto"/>
        <w:tabs>
          <w:tab w:leader="none" w:pos="1494"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would not reasonably be expected to have, individually or in the aggregate, a Material Adverse Effect, since the Applicable Date, (i) the Company and its subsidiaries have taken commercially reasonable steps to protect and maintain (including protecting the confidentiality of) trade secrets and other confidential information included in the Company Intellectual Property and any other material confidential information owned by any third Person to whom the Company has a confidentiality obligation; and (ii) to the knowledge of the Company, no such trade secret or confidential information has been disclosed to any Person in a manner that resulted in the loss of trade secret rights in such information.</w:t>
      </w:r>
    </w:p>
    <w:p>
      <w:pPr>
        <w:spacing w:after="0" w:line="119" w:lineRule="exact"/>
        <w:rPr>
          <w:rFonts w:ascii="Times New Roman" w:cs="Times New Roman" w:eastAsia="Times New Roman" w:hAnsi="Times New Roman"/>
          <w:sz w:val="12"/>
          <w:szCs w:val="12"/>
          <w:color w:val="auto"/>
        </w:rPr>
      </w:pPr>
    </w:p>
    <w:p>
      <w:pPr>
        <w:ind w:left="640" w:right="719" w:firstLine="693"/>
        <w:spacing w:after="0" w:line="248"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individually or in the aggregate, a Material Adverse Effect, (i) the Company Systems operate in a manner that permits the Company and its subsidiaries to conduct their respective businesses as currently conducted; (ii) the Company takes commercially reasonable actions to protect the confidentiality, integrity and security of the Company Systems against any unauthorized use, access, interruption, modification or corruption, and the Company and its subsidiaries maintain commercially reasonable disaster recovery plans, procedures and facilities sufficient for their businesses; and (iii) to the knowledge of the Company, since the Applicable Date, there has been no unauthorized use or, access or security breaches, or, interruption, modification, loss or corruption of any Company System.</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75" w:lineRule="auto"/>
        <w:tabs>
          <w:tab w:leader="none" w:pos="151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reasonably be expected to have, individually or in the aggregate, a Material Adverse Effect, (i) the Company and its subsidiaries are, and have been since the Applicable Date, in compliance with all Data Privacy Requirements; and (ii) since the Applicable Date, no demands or notices in writing have been received by, and no Actions have been made (or to the knowledge of the Company threatened in writing) against, the Company or its subsidiaries alleging a violation of any of the Data Privacy Requirements, and, to the knowledge of the Company, none of the Company or its subsidiaries have been subject to any investigations with regard to violation of any of the Data Privacy Requirements.</w:t>
      </w:r>
    </w:p>
    <w:p>
      <w:pPr>
        <w:spacing w:after="0" w:line="119" w:lineRule="exact"/>
        <w:rPr>
          <w:rFonts w:ascii="Times New Roman" w:cs="Times New Roman" w:eastAsia="Times New Roman" w:hAnsi="Times New Roman"/>
          <w:sz w:val="12"/>
          <w:szCs w:val="12"/>
          <w:color w:val="auto"/>
        </w:rPr>
      </w:pPr>
    </w:p>
    <w:p>
      <w:pPr>
        <w:ind w:left="640" w:right="719" w:firstLine="693"/>
        <w:spacing w:after="0" w:line="255" w:lineRule="auto"/>
        <w:tabs>
          <w:tab w:leader="none" w:pos="148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the representations and warranties contained in this </w:t>
      </w:r>
      <w:r>
        <w:rPr>
          <w:rFonts w:ascii="Times New Roman" w:cs="Times New Roman" w:eastAsia="Times New Roman" w:hAnsi="Times New Roman"/>
          <w:sz w:val="13"/>
          <w:szCs w:val="13"/>
          <w:u w:val="single" w:color="auto"/>
          <w:color w:val="auto"/>
        </w:rPr>
        <w:t>Section 3.17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3.8(a)(xii)</w:t>
      </w:r>
      <w:r>
        <w:rPr>
          <w:rFonts w:ascii="Times New Roman" w:cs="Times New Roman" w:eastAsia="Times New Roman" w:hAnsi="Times New Roman"/>
          <w:sz w:val="13"/>
          <w:szCs w:val="13"/>
          <w:color w:val="auto"/>
        </w:rPr>
        <w:t xml:space="preserve"> are the only representations and warranties being made by the Company in this Agreement with respect to Intellectual Property, Data Privacy Requirements and Company Systems.</w:t>
      </w:r>
    </w:p>
    <w:p>
      <w:pPr>
        <w:spacing w:after="0" w:line="130" w:lineRule="exact"/>
        <w:rPr>
          <w:sz w:val="20"/>
          <w:szCs w:val="20"/>
          <w:color w:val="auto"/>
        </w:rPr>
      </w:pPr>
    </w:p>
    <w:p>
      <w:pPr>
        <w:ind w:left="640" w:right="73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3.18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Except as would not reasonably be expected to have, individually or in the aggregate, a Material Adverse Effect: (i) the Company and its subsidiaries are and have since the Applicable Date, in compliance with all applicable Environmental Laws, which compliance has included obtaining, maintaining, and complying with all material Licenses required under such applicable Environmental Laws, and all such material Licenses are in full force and effect; (ii) neither the Company nor any of its subsidiaries has received written notice of any actual or alleged violation of or liability (contingent or otherwise) under any Environmental Law; and (iii) no property currently owned or operated by the Company or any of its subsidiaries has been contaminated with or is releasing any Hazardous Materials in a manner that gives rise to a liability (contingent or otherwise) of the Company or any of its subsidiaries under any Environmental Law.</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7" w:name="page38"/>
    <w:bookmarkEnd w:id="37"/>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3.19 </w:t>
      </w:r>
      <w:r>
        <w:rPr>
          <w:rFonts w:ascii="Times New Roman" w:cs="Times New Roman" w:eastAsia="Times New Roman" w:hAnsi="Times New Roman"/>
          <w:sz w:val="13"/>
          <w:szCs w:val="13"/>
          <w:u w:val="single" w:color="auto"/>
          <w:color w:val="auto"/>
        </w:rPr>
        <w:t>Opinion of Financial Advisor</w:t>
      </w:r>
      <w:r>
        <w:rPr>
          <w:rFonts w:ascii="Times New Roman" w:cs="Times New Roman" w:eastAsia="Times New Roman" w:hAnsi="Times New Roman"/>
          <w:sz w:val="13"/>
          <w:szCs w:val="13"/>
          <w:color w:val="auto"/>
        </w:rPr>
        <w:t>. Lazard &amp; Freres, LLC (the “</w:t>
      </w:r>
      <w:r>
        <w:rPr>
          <w:rFonts w:ascii="Times New Roman" w:cs="Times New Roman" w:eastAsia="Times New Roman" w:hAnsi="Times New Roman"/>
          <w:sz w:val="13"/>
          <w:szCs w:val="13"/>
          <w:u w:val="single" w:color="auto"/>
          <w:color w:val="auto"/>
        </w:rPr>
        <w:t>Financial Advisor</w:t>
      </w:r>
      <w:r>
        <w:rPr>
          <w:rFonts w:ascii="Times New Roman" w:cs="Times New Roman" w:eastAsia="Times New Roman" w:hAnsi="Times New Roman"/>
          <w:sz w:val="13"/>
          <w:szCs w:val="13"/>
          <w:color w:val="auto"/>
        </w:rPr>
        <w:t>”) rendered its oral opinion to the Board of Directors and subsequently confirmed by delivery of a written opinion to the effect that, as of the date of this Agreement, and based upon and subject to the assumptions, limitations and qualifications set forth in the Financial Advisor’s written opinion, the Per Share Merger Consideration to be received by the holders of Ordinary Shares (other than the Canceled Shares and Dissenting Shares) pursuant to this Agreement and the CVR Agreement is fair from a financial point of view to such holders.</w:t>
      </w:r>
    </w:p>
    <w:p>
      <w:pPr>
        <w:spacing w:after="0" w:line="13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3.20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Other than the Financial Advisor, no broker, finder or investment banker is entitled to any brokerage, finder’s or other fee or commission in connection with the transactions contemplated by this Agreement based upon arrangements made by and on behalf of the Company or any of its subsidiaries and to which Parent would be bound upon and following the Closing.</w:t>
      </w:r>
    </w:p>
    <w:p>
      <w:pPr>
        <w:spacing w:after="0" w:line="130" w:lineRule="exact"/>
        <w:rPr>
          <w:sz w:val="20"/>
          <w:szCs w:val="20"/>
          <w:color w:val="auto"/>
        </w:rPr>
      </w:pPr>
    </w:p>
    <w:p>
      <w:pPr>
        <w:ind w:left="640" w:right="7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3.21 </w:t>
      </w:r>
      <w:r>
        <w:rPr>
          <w:rFonts w:ascii="Times New Roman" w:cs="Times New Roman" w:eastAsia="Times New Roman" w:hAnsi="Times New Roman"/>
          <w:sz w:val="13"/>
          <w:szCs w:val="13"/>
          <w:u w:val="single" w:color="auto"/>
          <w:color w:val="auto"/>
        </w:rPr>
        <w:t>Anti-takeover Provisions</w:t>
      </w:r>
      <w:r>
        <w:rPr>
          <w:rFonts w:ascii="Times New Roman" w:cs="Times New Roman" w:eastAsia="Times New Roman" w:hAnsi="Times New Roman"/>
          <w:sz w:val="13"/>
          <w:szCs w:val="13"/>
          <w:color w:val="auto"/>
        </w:rPr>
        <w:t xml:space="preserve">. There are no “fair prices,” “moratoriums,” “business combinations,” “control share acquisitions” or other similar forms of anti-takeover statutes, or “poison pills,” “shareholder rights plans” or similar Contracts to each of which the Company is a party with respect to any shares of the Company, or similar provisions under the organizational documents of the Company and its subsidiaries (including the documents set forth in, or required to be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Disclosure Letter, collectively, “</w:t>
      </w:r>
      <w:r>
        <w:rPr>
          <w:rFonts w:ascii="Times New Roman" w:cs="Times New Roman" w:eastAsia="Times New Roman" w:hAnsi="Times New Roman"/>
          <w:sz w:val="13"/>
          <w:szCs w:val="13"/>
          <w:u w:val="single" w:color="auto"/>
          <w:color w:val="auto"/>
        </w:rPr>
        <w:t>Takeover Statute</w:t>
      </w:r>
      <w:r>
        <w:rPr>
          <w:rFonts w:ascii="Times New Roman" w:cs="Times New Roman" w:eastAsia="Times New Roman" w:hAnsi="Times New Roman"/>
          <w:sz w:val="13"/>
          <w:szCs w:val="13"/>
          <w:color w:val="auto"/>
        </w:rPr>
        <w:t>”), in each case applicable to this Agreement, the Merger or other transactions contemplated hereby. The Company has taken all necessary actions to exempt this Agreement, the Merger and the other transactions contemplated hereby from any Takeover Statute applicable to this Agreement, the Merger or other transactions contemplated hereby.</w:t>
      </w:r>
    </w:p>
    <w:p>
      <w:pPr>
        <w:spacing w:after="0" w:line="13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3.22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neither the Company nor any other Person on behalf of the Company makes any other representation or warranty of any kind whatsoever, whether express or implied, at law or in equity, with respect to the Company or with respect to any other information provided to Parent or Merger Sub, and the Company expressly disclaims any such other express or implied such other representations or warranties.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PARENT AND MERGER SUB</w:t>
      </w:r>
    </w:p>
    <w:p>
      <w:pPr>
        <w:spacing w:after="0" w:line="156" w:lineRule="exact"/>
        <w:rPr>
          <w:sz w:val="20"/>
          <w:szCs w:val="20"/>
          <w:color w:val="auto"/>
        </w:rPr>
      </w:pPr>
    </w:p>
    <w:p>
      <w:pPr>
        <w:jc w:val="both"/>
        <w:ind w:left="640" w:right="719" w:firstLine="309"/>
        <w:spacing w:after="0" w:line="279" w:lineRule="auto"/>
        <w:rPr>
          <w:sz w:val="20"/>
          <w:szCs w:val="20"/>
          <w:color w:val="auto"/>
        </w:rPr>
      </w:pPr>
      <w:r>
        <w:rPr>
          <w:rFonts w:ascii="Times New Roman" w:cs="Times New Roman" w:eastAsia="Times New Roman" w:hAnsi="Times New Roman"/>
          <w:sz w:val="12"/>
          <w:szCs w:val="12"/>
          <w:color w:val="auto"/>
        </w:rPr>
        <w:t>Parent and Merger Sub hereby, jointly and severally, represent and warrant to the Company that, except as set forth on the corresponding sections or subsections of the disclosure letter delivered to the Company by Parent and Merger Sub concurrently with entering into this Agreement (the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Disclosure Letter</w:t>
      </w:r>
      <w:r>
        <w:rPr>
          <w:rFonts w:ascii="Times New Roman" w:cs="Times New Roman" w:eastAsia="Times New Roman" w:hAnsi="Times New Roman"/>
          <w:sz w:val="12"/>
          <w:szCs w:val="12"/>
          <w:color w:val="auto"/>
        </w:rPr>
        <w:t>”), it being acknowledged and agreed that disclosure of any item in any section or subsection of the Parent Disclosure Letter shall also be deemed disclosure with respect to any other section or subsection of this Agreement to which the relevance of such item is reasonably apparent: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 </w:t>
      </w:r>
      <w:r>
        <w:rPr>
          <w:rFonts w:ascii="Times New Roman" w:cs="Times New Roman" w:eastAsia="Times New Roman" w:hAnsi="Times New Roman"/>
          <w:sz w:val="13"/>
          <w:szCs w:val="13"/>
          <w:u w:val="single" w:color="auto"/>
          <w:color w:val="auto"/>
        </w:rPr>
        <w:t>Organization</w:t>
      </w:r>
      <w:r>
        <w:rPr>
          <w:rFonts w:ascii="Times New Roman" w:cs="Times New Roman" w:eastAsia="Times New Roman" w:hAnsi="Times New Roman"/>
          <w:sz w:val="13"/>
          <w:szCs w:val="13"/>
          <w:color w:val="auto"/>
        </w:rPr>
        <w:t>. Each of Parent and Merger Sub is a legal entity duly organized, validly existing and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where the failure to be so organized, qualified or, to the extent such concept is applicable, in good standing, or to have such power or authority, would not reasonably be expected to have, individually or in the aggregate, a Parent Material Adverse Effect (as defined below). Parent has made available to the Company prior to the date of this Agreement a complete and correct copy of the memorandum and articles of association or other governing instruments of each of Parent and Merger Sub, each as amended to the date of this Agreement, and each as so delivered is in full force and effect as of the date hereof.</w:t>
      </w:r>
    </w:p>
    <w:p>
      <w:pPr>
        <w:spacing w:after="0" w:line="137"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Each of Parent and Merger Sub has all requisite corporate power and authority, and has taken all corporate or other action necessary, to execute, deliver and perform its obligations under, this Agreement, the CVR Agreement, and to consummate the Merger and the other transactions contemplated hereby and thereby. The execution, delivery and performance of this Agreement and the CVR Agreement by each of Parent and Merger Sub, as applicable, and the consummation by each of Parent and Merger Sub of the transactions contemplated hereby and thereby have been duly and validly authorized by all necessary corporate or similar action of each of Parent and Merger Sub, and no other corporate proceedings or shareholder or similar action on the part of Parent or Merger Sub or any of their Affiliates are necessary to authorize this Agreement or the CVR Agreement, to perform their respective obligations hereunder, or to consummate the transactions contemplated hereby or thereby (other than the filing of the Plan of Merger with the Registrar of Companies pursuant to the Cayman Companies Act).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 The CVR Agreement when executed by Parent, assuming the due authorization, execution and delivery hereof by the Rights Agent, constitutes a legal, valid and binding obligation of Parent, enforceable against Parent in accordance with its terms, subject to the Bankruptcy and Equity Exception.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7"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and the CVR Agreement by Parent and Merger Sub, as applicable, do not, and the consummation of the Merger and the other transactions contemplated hereby and thereby will not (i) breach, violate or conflict with the memorandum and articles of association or other equivalent organizational or governing documents of each of Parent and Merger Sub or the comparable governing instruments of any of their respective subsidiaries, (ii) assuming that all consents, approvals and authorizations contemplated by clauses (i) through (iv) of subsection (a) below have been obtained, and all filings described in such clauses have been made, violate any Law applicable to Parent or Merger Sub or by which either of them or any of their respective properties or assets are bound, (iii) result in any breach or violation of or constitute a default (or an event which with notice or lapse of time or both</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39" w:name="page40"/>
    <w:bookmarkEnd w:id="39"/>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become a default), require a consent or result in the loss of a material benefit under, or give rise to any right of termination, cancellation, or acceleration of, under any of the terms or conditions of any Contract to which Parent, Merger Sub or any of their Affiliates is a party or by which Parent or Merger Sub or any of their Affiliates or its or their respective properties or assets are bound or (iv) result in the creation of any Lien upon any of the material assets or material properties of the Parent or Merger Sub (other than Permitted Liens), or any Affiliate thereof, except, in the case of the preceding clauses (ii) through this clause (iv), for any such conflict, violation, breach, default, loss, right or other occurrence which would not reasonably be expected to have, individually or in the aggregate, a Parent Material Adverse Effect.</w:t>
      </w:r>
    </w:p>
    <w:p>
      <w:pPr>
        <w:spacing w:after="0" w:line="135" w:lineRule="exact"/>
        <w:rPr>
          <w:sz w:val="20"/>
          <w:szCs w:val="20"/>
          <w:color w:val="auto"/>
        </w:rPr>
      </w:pPr>
    </w:p>
    <w:p>
      <w:pPr>
        <w:ind w:left="640" w:right="699" w:firstLine="693"/>
        <w:spacing w:after="0" w:line="271" w:lineRule="auto"/>
        <w:tabs>
          <w:tab w:leader="none" w:pos="1515"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and performance of this Agreement and the CVR Agreement by each of Parent and Merger Sub, as applicable, and the consummation of the Merger and the other transactions contemplated hereby and thereby by each of Parent and Merger Sub, as applicable, do not and will not require any consent, approval, authorization or permit of, action by, filing with or notification to, any Governmental Entity, except for</w:t>
      </w:r>
    </w:p>
    <w:p>
      <w:pPr>
        <w:ind w:left="640" w:right="699" w:hanging="3"/>
        <w:spacing w:after="0" w:line="244" w:lineRule="auto"/>
        <w:tabs>
          <w:tab w:leader="none" w:pos="79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the applicable requirements of the Exchange Act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reasonably be expected to have, individually or in the aggregate, a Parent Material Adverse Effect.</w:t>
      </w:r>
    </w:p>
    <w:p>
      <w:pPr>
        <w:spacing w:after="0" w:line="136" w:lineRule="exact"/>
        <w:rPr>
          <w:sz w:val="20"/>
          <w:szCs w:val="20"/>
          <w:color w:val="auto"/>
        </w:rPr>
      </w:pPr>
    </w:p>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t xml:space="preserve">Section 4.4 </w:t>
      </w:r>
      <w:r>
        <w:rPr>
          <w:rFonts w:ascii="Times New Roman" w:cs="Times New Roman" w:eastAsia="Times New Roman" w:hAnsi="Times New Roman"/>
          <w:sz w:val="12"/>
          <w:szCs w:val="12"/>
          <w:u w:val="single" w:color="auto"/>
          <w:color w:val="auto"/>
        </w:rPr>
        <w:t>Absence of Litigation</w:t>
      </w:r>
      <w:r>
        <w:rPr>
          <w:rFonts w:ascii="Times New Roman" w:cs="Times New Roman" w:eastAsia="Times New Roman" w:hAnsi="Times New Roman"/>
          <w:sz w:val="12"/>
          <w:szCs w:val="12"/>
          <w:color w:val="auto"/>
        </w:rPr>
        <w:t>. As of the date of this Agreement, there are no Actions pending or, to the knowledge of Parent, threatened in writing against Parent or Merger Sub or any of their respective assets or properties, other than any such Action that would not reasonably be expected to have, individually or in the aggregate, a Parent Material Adverse Effect. None of Parent, Merger Sub and any of their respective properties or assets is subject to any Order, except for those that would not reasonably be expected to have, individually or in the aggregate, a Parent Material Adverse Effect.</w:t>
      </w:r>
    </w:p>
    <w:p>
      <w:pPr>
        <w:spacing w:after="0" w:line="116"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Parent is the sole shareholder of Merger Sub. Since its date of incorporation, Merger Sub has not carried on any business or conducted any operations, other than the execution of this Agreement, the performance of its obligations hereunder, and in connection with the Merger and the other transactions contemplated hereby.</w:t>
      </w:r>
    </w:p>
    <w:p>
      <w:pPr>
        <w:spacing w:after="0" w:line="130"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prior to the Closing.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0" w:name="page41"/>
    <w:bookmarkEnd w:id="4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4.7 </w:t>
      </w:r>
      <w:r>
        <w:rPr>
          <w:rFonts w:ascii="Times New Roman" w:cs="Times New Roman" w:eastAsia="Times New Roman" w:hAnsi="Times New Roman"/>
          <w:sz w:val="13"/>
          <w:szCs w:val="13"/>
          <w:u w:val="single" w:color="auto"/>
          <w:color w:val="auto"/>
        </w:rPr>
        <w:t>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68" w:lineRule="auto"/>
        <w:tabs>
          <w:tab w:leader="none" w:pos="1508"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has delivered to the Company a true, complete and correct copy of the executed commitment letter, dated on or prior to the date hereof, between Merger Sub and the Financing Sources party thereto (including all exhibits, schedules, and annexes thereto) redacted, in the case of the term sheet attached thereto, solely with respect to the amounts and percentages of the fees and other economic terms that are customarily redacted in connection with similar financings;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none of the conditions precedent to funding, termination provisions or any provisions relating to or affecting the amount of the Financing shall be redacted (as may be amended, supplemented or modified in accordance with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u w:val="single" w:color="auto"/>
          <w:color w:val="auto"/>
        </w:rPr>
        <w:t>Financing Commitments</w:t>
      </w:r>
      <w:r>
        <w:rPr>
          <w:rFonts w:ascii="Times New Roman" w:cs="Times New Roman" w:eastAsia="Times New Roman" w:hAnsi="Times New Roman"/>
          <w:sz w:val="12"/>
          <w:szCs w:val="12"/>
          <w:color w:val="auto"/>
        </w:rPr>
        <w:t>”), pursuant to which the Financing Sources party thereto have committed, subject to the terms and conditions set forth therein, to lend the amounts set forth therein (the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for the purposes of funding the transactions contemplated by this Agreement, and related fees, costs and expenses. As of the date hereof, the Financing Commitments are in full force and effect with respect to, and are the legal, valid, binding and enforceable obligations of, Parent, Merger Sub and, to the knowledge of Parent, each of the other parties thereto, in each case, subject to the Bankruptcy and Equity Exception. There are no fee letters associated with the Financing Commitments that are being executed on the date hereof.</w:t>
      </w:r>
    </w:p>
    <w:p>
      <w:pPr>
        <w:spacing w:after="0" w:line="127"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1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None of the Financing Commitments has been amended or modified prior to the date of this Agreement. As of the date of this Agreement, to the knowledge of Parent, no such amendment or modification is contemplated save for any amendment, supplement or modification of the Financing Commitments which is or will be made in compliance with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and the obligations and commitments contained in the Financing Commitments have not been withdrawn, terminated, reduced or rescinded in any respect and no such withdrawal, termination, reduction or rescission is contemplated. Parent or Merger Sub has paid or caused to be paid any and all fees that are due and payable on or prior to the date of this Agreement pursuant to the terms and conditions of the Financing Commitments and will pay or cause to be paid when due all other fees arising thereunder as and when they become due and payable pursuant to the terms and conditions of the Financing Commitments.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0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the Financing Commitments, there are no side letters or other Contracts, agreements, arrangements or understandings of any kind (written or oral) to which Parent or Merger Sub is a party that adversely impact the availability or funding of the Financing or imposes additional conditions to, or terminates, modifies, amends or expands the conditions to, the availability or amount of funding of the Financing or the transactions contemplated hereby. There are no conditions precedent or other contingencies related to the availability or funding of Financing other than as expressly set forth in the Financing Commitments.</w:t>
      </w:r>
    </w:p>
    <w:p>
      <w:pPr>
        <w:spacing w:after="0" w:line="134" w:lineRule="exact"/>
        <w:rPr>
          <w:rFonts w:ascii="Times New Roman" w:cs="Times New Roman" w:eastAsia="Times New Roman" w:hAnsi="Times New Roman"/>
          <w:sz w:val="13"/>
          <w:szCs w:val="13"/>
          <w:color w:val="auto"/>
        </w:rPr>
      </w:pPr>
    </w:p>
    <w:p>
      <w:pPr>
        <w:jc w:val="both"/>
        <w:ind w:left="640" w:right="699" w:firstLine="693"/>
        <w:spacing w:after="0" w:line="271" w:lineRule="auto"/>
        <w:tabs>
          <w:tab w:leader="none" w:pos="1515"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date hereof, assuming the satisfaction of the conditions set forth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no event has occurred which, with or without notice, lapse of time or both, (i) would or would reasonably be expected to constitute a default or breach on the part of Parent or Merger Sub or, to the knowledge of Parent, any other parties thereto, under the Financing Commitments or (ii) would or would reasonably be expected to</w:t>
      </w:r>
    </w:p>
    <w:p>
      <w:pPr>
        <w:ind w:left="640" w:right="659" w:hanging="3"/>
        <w:spacing w:after="0" w:line="244" w:lineRule="auto"/>
        <w:tabs>
          <w:tab w:leader="none" w:pos="84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result in any of the conditions in the Financing Commitments not being satisfied on a timely basis or (B) prevent or delay Parent’s or Merger Sub’s ability to obtain the Financing or consummate the transactions contemplated hereunder. As of the date hereof, assuming the satisfaction of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Parent and Merger Sub have no reason to believe that any of the conditions to the Financing contemplated by the Financing Commitments will not be satisfied or the Financing will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1" w:name="page42"/>
    <w:bookmarkEnd w:id="41"/>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 be available to Parent or Merger Sub on the Closing Date and no Financing Source has notified Parent or Merger Sub of its intention to terminate the Financing Commitments or not to provide all or any portion of the Financing. The Financing, when funded in accordance with the Financing Commitments as of the Closing Date, together with other sources of funds immediately available to Parent and Merger Sub, shall provide Parent and Merger Sub with cash proceeds on the Closing Date sufficient for the satisfaction of all of their respective obligations under this Agreement, the other Transaction Documents and the Financing Commitments, including, without limitation, to (i) pay the aggregate Per Share Merger Consideration and the other payments under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and (ii) pay any and all fees and expenses required to be paid by the Parent, Merger Sub and the Surviving Company in connection with the Merger, the other transactions contemplated by this Agreement and the Financing.</w:t>
      </w:r>
    </w:p>
    <w:p>
      <w:pPr>
        <w:spacing w:after="0" w:line="136" w:lineRule="exact"/>
        <w:rPr>
          <w:sz w:val="20"/>
          <w:szCs w:val="20"/>
          <w:color w:val="auto"/>
        </w:rPr>
      </w:pPr>
    </w:p>
    <w:p>
      <w:pPr>
        <w:ind w:left="640" w:right="1039" w:firstLine="693"/>
        <w:spacing w:after="0" w:line="255" w:lineRule="auto"/>
        <w:tabs>
          <w:tab w:leader="none" w:pos="15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Merger Sub acknowledges and agrees that, notwithstanding anything to the contrary in this Agreement, the consummation of the Financing shall not be a condition to the obligation of Parent and Merger Sub to consummate the transactions contemplated hereby.</w:t>
      </w:r>
    </w:p>
    <w:p>
      <w:pPr>
        <w:spacing w:after="0" w:line="130"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4.8 </w:t>
      </w:r>
      <w:r>
        <w:rPr>
          <w:rFonts w:ascii="Times New Roman" w:cs="Times New Roman" w:eastAsia="Times New Roman" w:hAnsi="Times New Roman"/>
          <w:sz w:val="13"/>
          <w:szCs w:val="13"/>
          <w:u w:val="single" w:color="auto"/>
          <w:color w:val="auto"/>
        </w:rPr>
        <w:t>Ownership of Shares</w:t>
      </w:r>
      <w:r>
        <w:rPr>
          <w:rFonts w:ascii="Times New Roman" w:cs="Times New Roman" w:eastAsia="Times New Roman" w:hAnsi="Times New Roman"/>
          <w:sz w:val="13"/>
          <w:szCs w:val="13"/>
          <w:color w:val="auto"/>
        </w:rPr>
        <w:t>. As of the date of this Agreement, neither of Parent and Merger Sub beneficially owns (as defined in Rule 13d-3 under the Exchange Act) any Ordinary Shares or any other securities of, or any other economic interest (through derivative securities or otherwise) in, the Company or any option, warrants or other rights to acquire or vote any Ordinary Shares or any other securities of the Company, or to acquire any other economic interest (through derivative securities or otherwise) in the Company.</w:t>
      </w:r>
    </w:p>
    <w:p>
      <w:pPr>
        <w:spacing w:after="0" w:line="133"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4.9 </w:t>
      </w:r>
      <w:r>
        <w:rPr>
          <w:rFonts w:ascii="Times New Roman" w:cs="Times New Roman" w:eastAsia="Times New Roman" w:hAnsi="Times New Roman"/>
          <w:sz w:val="13"/>
          <w:szCs w:val="13"/>
          <w:u w:val="single" w:color="auto"/>
          <w:color w:val="auto"/>
        </w:rPr>
        <w:t>Solvency</w:t>
      </w:r>
      <w:r>
        <w:rPr>
          <w:rFonts w:ascii="Times New Roman" w:cs="Times New Roman" w:eastAsia="Times New Roman" w:hAnsi="Times New Roman"/>
          <w:sz w:val="13"/>
          <w:szCs w:val="13"/>
          <w:color w:val="auto"/>
        </w:rPr>
        <w:t xml:space="preserve">. Neither Parent nor Merger Sub is entering into the transactions contemplated by this Agreement with the intent to hinder, delay or defraud either present or future creditors. Assuming that (a) the conditions to the obligation of Parent and Merger Sub to consummate the Merger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have been satisfied or waived and (b) the representations and warranties of the Company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are true and correct, then immediately following the Effective Time and after giving effect to all of the transactions contemplated by this Agreement, including the Financing or any Alternative Financing, the payment of the aggregate consideration to which the shareholders and other equity holders of the Company are entitled under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funding of any obligations of the Surviving Company or its subsidiaries which become due or payable by the Surviving Company and its subsidiaries in connection with, or as a result of, the Merger and payment of all related fees and expenses, Parent and its subsidiaries (including the Surviving Company and its subsidiaries), on a consolidated basis, will not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in each case, on a consolidated basis).</w:t>
      </w:r>
    </w:p>
    <w:p>
      <w:pPr>
        <w:spacing w:after="0" w:line="141" w:lineRule="exact"/>
        <w:rPr>
          <w:sz w:val="20"/>
          <w:szCs w:val="20"/>
          <w:color w:val="auto"/>
        </w:rPr>
      </w:pPr>
    </w:p>
    <w:p>
      <w:pPr>
        <w:ind w:left="640" w:right="9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4.10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None of the information supplied or to be supplied by Parent or Merger Sub for inclusion or incorporation by reference in the Proxy Statement, on the date it (and any amendment or supplement thereto) is filed with the SEC, at the time it is first mailed to the shareholders of the Company or at the time of the Shareholders Meeting, will contain any untrue statement of a material fact or omit to state any material fact required to be stated therein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2" w:name="page43"/>
    <w:bookmarkEnd w:id="42"/>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necessary in order to make the statements therein, in the light of the circumstances under which they are made, not false or misleading. Notwithstanding the foregoing, neither Parent nor Merger Sub makes any representation or warranty with respect to any statement made in any of the foregoing documents based on information supplied by or on behalf of the Company or any of its Representatives which is contained or incorporated by reference in the Proxy Statement.</w:t>
      </w:r>
    </w:p>
    <w:p>
      <w:pPr>
        <w:spacing w:after="0" w:line="133"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4.11 </w:t>
      </w:r>
      <w:r>
        <w:rPr>
          <w:rFonts w:ascii="Times New Roman" w:cs="Times New Roman" w:eastAsia="Times New Roman" w:hAnsi="Times New Roman"/>
          <w:sz w:val="13"/>
          <w:szCs w:val="13"/>
          <w:u w:val="single" w:color="auto"/>
          <w:color w:val="auto"/>
        </w:rPr>
        <w:t>Non-Reliance on Company Estimates</w:t>
      </w:r>
      <w:r>
        <w:rPr>
          <w:rFonts w:ascii="Times New Roman" w:cs="Times New Roman" w:eastAsia="Times New Roman" w:hAnsi="Times New Roman"/>
          <w:sz w:val="13"/>
          <w:szCs w:val="13"/>
          <w:color w:val="auto"/>
        </w:rPr>
        <w:t xml:space="preserve">. Except as expressly addressed or included in the representations or warranties made by the Company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each of Parent and Merger Sub acknowledges and agrees that neither the Company nor any other Person makes, and that neither Parent nor Merger Sub has relied upon, any representation or warranty with respect to forecasts, budgets, projections or estimates (including the accuracy or completeness of, or the reasonableness of the assumptions underlying, such forecasts, budgets, projections or estimates) provided by the Company or any Representative of the Company, including in any “data rooms” or management presentations.</w:t>
      </w:r>
    </w:p>
    <w:p>
      <w:pPr>
        <w:spacing w:after="0" w:line="134" w:lineRule="exact"/>
        <w:rPr>
          <w:sz w:val="20"/>
          <w:szCs w:val="20"/>
          <w:color w:val="auto"/>
        </w:rPr>
      </w:pPr>
    </w:p>
    <w:p>
      <w:pPr>
        <w:ind w:left="640" w:right="699" w:firstLine="309"/>
        <w:spacing w:after="0" w:line="271" w:lineRule="auto"/>
        <w:rPr>
          <w:sz w:val="20"/>
          <w:szCs w:val="20"/>
          <w:color w:val="auto"/>
        </w:rPr>
      </w:pPr>
      <w:r>
        <w:rPr>
          <w:rFonts w:ascii="Times New Roman" w:cs="Times New Roman" w:eastAsia="Times New Roman" w:hAnsi="Times New Roman"/>
          <w:sz w:val="12"/>
          <w:szCs w:val="12"/>
          <w:color w:val="auto"/>
        </w:rPr>
        <w:t xml:space="preserve">Section 4.12 </w:t>
      </w:r>
      <w:r>
        <w:rPr>
          <w:rFonts w:ascii="Times New Roman" w:cs="Times New Roman" w:eastAsia="Times New Roman" w:hAnsi="Times New Roman"/>
          <w:sz w:val="12"/>
          <w:szCs w:val="12"/>
          <w:u w:val="single" w:color="auto"/>
          <w:color w:val="auto"/>
        </w:rPr>
        <w:t>Independent Investigation</w:t>
      </w:r>
      <w:r>
        <w:rPr>
          <w:rFonts w:ascii="Times New Roman" w:cs="Times New Roman" w:eastAsia="Times New Roman" w:hAnsi="Times New Roman"/>
          <w:sz w:val="12"/>
          <w:szCs w:val="12"/>
          <w:color w:val="auto"/>
        </w:rPr>
        <w:t xml:space="preserve">. Parent and Merger Sub have conducted their own independent investigation, review and analysis of the business, operations, assets, liabilities, results of operations, financial condition and prospects of the Company and its subsidiaries, which investigation, review and analysis was performed by Parent, Merger Sub, their respective Affiliates and Representatives. Each of Parent and Merger Sub acknowledges that it, its Affiliates and their respective Representatives have been provided sufficient access to the personnel, properties, facilities and records of the Company and its subsidiaries for such purpose. In entering into this Agreement, each of Parent and Merger Sub acknowledges and agrees that it has relied solely on the aforementioned investigation, review and analysis and not on any statements, representations or opinions of any of the Company, its Affiliates or their respective Representatives, except for the representations and warranties of the Company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4.13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and in any certificate delivered by Parent or Merger Sub in connection with this Agreement, none of Parent, Merger Sub and any other Person on behalf of Parent or Merger Sub makes any representation or warranty, whether express or implied, at law or in equity, with respect to Parent or Merger Sub, and Parent and Merger Sub expressly disclaims any such other express or implied such other representations or warranties.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CONDUCT OF BUSINESS PENDING THE MERGER</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Conduct of Business of the Company Pending the Merger</w:t>
      </w:r>
      <w:r>
        <w:rPr>
          <w:rFonts w:ascii="Times New Roman" w:cs="Times New Roman" w:eastAsia="Times New Roman" w:hAnsi="Times New Roman"/>
          <w:sz w:val="13"/>
          <w:szCs w:val="13"/>
          <w:color w:val="auto"/>
        </w:rPr>
        <w:t xml:space="preserve">. From the date of this Agreement until the earlier of the Effective Time and the valid termination of this Agreement in accordance with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except as expressly permitted or required by this Agreement, as set forth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of the Company Disclosure Letter, as required by applicable Laws, as Parent shall otherwise request or consent in writing (which consent shall not be unreasonably withheld, conditioned or delayed), (a) the Company shall and shall cause its subsidiaries to use its and their commercially reasonable efforts to (x) conduct its and their respective businesses in the ordinary course of business in all material respects and (y) preserve substantially intact the business organization and material business relationships (including with the existing key customers, suppliers and employees) of the Company and its subsidiaries’, taken as a whole, and (b) without limiting the foregoing, the Company shall not and shall cause each of its subsidiaries not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3" w:name="page44"/>
    <w:bookmarkEnd w:id="43"/>
    <w:p>
      <w:pPr>
        <w:ind w:left="940" w:right="699" w:firstLine="675"/>
        <w:spacing w:after="0" w:line="255" w:lineRule="auto"/>
        <w:tabs>
          <w:tab w:leader="none" w:pos="175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amend, adopt any amendment to or otherwise change its Memorandum and Articles of Association or equivalent organization documents or (B) enter into any agreement of complete or partial liquidation or dissolution, merger, consolidation, restructuring, recapitalization or other reorganizational document;</w:t>
      </w:r>
    </w:p>
    <w:p>
      <w:pPr>
        <w:spacing w:after="0" w:line="54" w:lineRule="exact"/>
        <w:rPr>
          <w:rFonts w:ascii="Times New Roman" w:cs="Times New Roman" w:eastAsia="Times New Roman" w:hAnsi="Times New Roman"/>
          <w:sz w:val="13"/>
          <w:szCs w:val="13"/>
          <w:color w:val="auto"/>
        </w:rPr>
      </w:pPr>
    </w:p>
    <w:p>
      <w:pPr>
        <w:jc w:val="both"/>
        <w:ind w:left="940" w:right="679" w:firstLine="675"/>
        <w:spacing w:after="0" w:line="249" w:lineRule="auto"/>
        <w:tabs>
          <w:tab w:leader="none" w:pos="179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acquisition of (whether by merger, consolidation or acquisition of stock or substantially all of the assets), or make any investment in any interest in, any business or any corporation, partnership or other business organization or division thereof, in each case, except for (w) purchases of inventory and other assets in the ordinary course of business, (x) acquisitions or investments pursuant to existing Contracts in effect as of the date hereof, (y) acquisitions or investments in a single transaction or series of related transactions, or (z) investments in any wholly owned subsidiaries of the Company;</w:t>
      </w:r>
    </w:p>
    <w:p>
      <w:pPr>
        <w:spacing w:after="0" w:line="58" w:lineRule="exact"/>
        <w:rPr>
          <w:rFonts w:ascii="Times New Roman" w:cs="Times New Roman" w:eastAsia="Times New Roman" w:hAnsi="Times New Roman"/>
          <w:sz w:val="13"/>
          <w:szCs w:val="13"/>
          <w:color w:val="auto"/>
        </w:rPr>
      </w:pPr>
    </w:p>
    <w:p>
      <w:pPr>
        <w:ind w:left="940" w:right="919" w:firstLine="675"/>
        <w:spacing w:after="0" w:line="251" w:lineRule="auto"/>
        <w:tabs>
          <w:tab w:leader="none" w:pos="182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sell, grant, authorize, pledge, encumber or dispose of any Company Securities, except for (A) any issuance, sale or disposition to the Company or a wholly owned subsidiary of the Company by any subsidiary of the Company or (B) any issuance, sale, grant, authorization, pledge, encumbrance or disposition pursuant to the terms and conditions of Company Equity Awards outstanding as of the date hereof in accordance with their terms as of the date hereof;</w:t>
      </w:r>
    </w:p>
    <w:p>
      <w:pPr>
        <w:spacing w:after="0" w:line="56" w:lineRule="exact"/>
        <w:rPr>
          <w:rFonts w:ascii="Times New Roman" w:cs="Times New Roman" w:eastAsia="Times New Roman" w:hAnsi="Times New Roman"/>
          <w:sz w:val="13"/>
          <w:szCs w:val="13"/>
          <w:color w:val="auto"/>
        </w:rPr>
      </w:pPr>
    </w:p>
    <w:p>
      <w:pPr>
        <w:ind w:left="940" w:right="679" w:firstLine="675"/>
        <w:spacing w:after="0" w:line="271" w:lineRule="auto"/>
        <w:tabs>
          <w:tab w:leader="none" w:pos="1822"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reclassify, combine, split, reverse split, consolidate, recapitalize, subdivide, redeem, purchase or otherwise acquire any Company Securities other than (A) the acquisition by the Company of Ordinary Shares in connection with the surrender of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hereof, (B) the withholding of Ordinary Shares to satisfy Tax obligations with respect to Company Equity Awards in accordance with their terms on the date hereof, (C) the acquisition by the Company of Ordinary Shares in connection with the forfeiture of Company Equity Awards in accordance with their terms on the date hereof, or (D) purchase, transfer or other disposal between or among the Company and its wholly owned subsidiaries;</w:t>
      </w:r>
    </w:p>
    <w:p>
      <w:pPr>
        <w:spacing w:after="0" w:line="46" w:lineRule="exact"/>
        <w:rPr>
          <w:rFonts w:ascii="Times New Roman" w:cs="Times New Roman" w:eastAsia="Times New Roman" w:hAnsi="Times New Roman"/>
          <w:sz w:val="12"/>
          <w:szCs w:val="12"/>
          <w:color w:val="auto"/>
        </w:rPr>
      </w:pPr>
    </w:p>
    <w:p>
      <w:pPr>
        <w:ind w:left="940" w:right="919" w:firstLine="675"/>
        <w:spacing w:after="0" w:line="267" w:lineRule="auto"/>
        <w:tabs>
          <w:tab w:leader="none" w:pos="1787"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capital contributions to, or other investments in, any Person (other than the Company or any of its wholly owned subsidiaries);</w:t>
      </w:r>
    </w:p>
    <w:p>
      <w:pPr>
        <w:spacing w:after="0" w:line="46" w:lineRule="exact"/>
        <w:rPr>
          <w:rFonts w:ascii="Times New Roman" w:cs="Times New Roman" w:eastAsia="Times New Roman" w:hAnsi="Times New Roman"/>
          <w:sz w:val="13"/>
          <w:szCs w:val="13"/>
          <w:color w:val="auto"/>
        </w:rPr>
      </w:pPr>
    </w:p>
    <w:p>
      <w:pPr>
        <w:ind w:left="940" w:right="719" w:firstLine="675"/>
        <w:spacing w:after="0" w:line="248" w:lineRule="auto"/>
        <w:tabs>
          <w:tab w:leader="none" w:pos="1822"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(A) sales or dispositions of inventory in the ordinary course of business, (B) pursuant to existing Contracts in effect as of the date hereof, (C) between or among the Company and its wholly owned subsidiaries, (D) with respect to tangible assets, with a value of less than $100,000 in a single transaction or series of related transactions or (E) sales or dispositions of obsolete equipment;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4" w:name="page45"/>
    <w:bookmarkEnd w:id="44"/>
    <w:p>
      <w:pPr>
        <w:ind w:left="940" w:right="659" w:firstLine="675"/>
        <w:spacing w:after="0" w:line="246" w:lineRule="auto"/>
        <w:tabs>
          <w:tab w:leader="none" w:pos="1857"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sell, transfer, license, assign, abandon, subject to any Lien (other than Permitted Liens), permit to lapse or expire, fail to maintain or protect or otherwise dispose of any Company Intellectual Property, other than (x) expiration of any Patent at the end of its maximum statutory term, (y) non-exclusive licenses granted in the ordinary course of business consistent with past practice or (z) with respect to any Intellectual Property related to the CVR Product (as defined in the CVR Agreement), (B) disclose any trade secret or material confidential information to any third Person other than in the ordinary course of business consistent with past practice, and subject to reasonable confidentiality obligations, (C)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(D) make any material change to the Company’s privacy or security practices (including any policies with respect thereto) unless required by applicable Law;</w:t>
      </w:r>
    </w:p>
    <w:p>
      <w:pPr>
        <w:spacing w:after="0" w:line="61" w:lineRule="exact"/>
        <w:rPr>
          <w:rFonts w:ascii="Times New Roman" w:cs="Times New Roman" w:eastAsia="Times New Roman" w:hAnsi="Times New Roman"/>
          <w:sz w:val="13"/>
          <w:szCs w:val="13"/>
          <w:color w:val="auto"/>
        </w:rPr>
      </w:pPr>
    </w:p>
    <w:p>
      <w:pPr>
        <w:ind w:left="940" w:right="739" w:firstLine="675"/>
        <w:spacing w:after="0" w:line="255" w:lineRule="auto"/>
        <w:tabs>
          <w:tab w:leader="none" w:pos="1892"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establish a record date for, authorize, make or pay any dividend or other distribution, payable in cash, stock, property or otherwise, with respect to any of the Company’s or its subsidiaries’ capital stock (except for any dividend or distribution by a subsidiary of the Company to the Company or any wholly owned subsidiary of the Company);</w:t>
      </w:r>
    </w:p>
    <w:p>
      <w:pPr>
        <w:spacing w:after="0" w:line="54" w:lineRule="exact"/>
        <w:rPr>
          <w:rFonts w:ascii="Times New Roman" w:cs="Times New Roman" w:eastAsia="Times New Roman" w:hAnsi="Times New Roman"/>
          <w:sz w:val="13"/>
          <w:szCs w:val="13"/>
          <w:color w:val="auto"/>
        </w:rPr>
      </w:pPr>
    </w:p>
    <w:p>
      <w:pPr>
        <w:ind w:left="940" w:right="899" w:firstLine="675"/>
        <w:spacing w:after="0" w:line="267" w:lineRule="auto"/>
        <w:tabs>
          <w:tab w:leader="none" w:pos="1822"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or make any capital expenditures which are, in the aggregate, in excess of $50,000, other than capital expenditures necessary to maintain assets in good repair and not exceeding $50,000 individually or in the aggregate;</w:t>
      </w:r>
    </w:p>
    <w:p>
      <w:pPr>
        <w:spacing w:after="0" w:line="46" w:lineRule="exact"/>
        <w:rPr>
          <w:rFonts w:ascii="Times New Roman" w:cs="Times New Roman" w:eastAsia="Times New Roman" w:hAnsi="Times New Roman"/>
          <w:sz w:val="13"/>
          <w:szCs w:val="13"/>
          <w:color w:val="auto"/>
        </w:rPr>
      </w:pPr>
    </w:p>
    <w:p>
      <w:pPr>
        <w:ind w:left="940" w:right="799" w:firstLine="675"/>
        <w:spacing w:after="0" w:line="255" w:lineRule="auto"/>
        <w:tabs>
          <w:tab w:leader="none" w:pos="1787"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Contract that would have been a Material Contract of the type set forth in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(xvii)</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Section 3.8(a)</w:t>
      </w:r>
      <w:r>
        <w:rPr>
          <w:rFonts w:ascii="Times New Roman" w:cs="Times New Roman" w:eastAsia="Times New Roman" w:hAnsi="Times New Roman"/>
          <w:sz w:val="13"/>
          <w:szCs w:val="13"/>
          <w:color w:val="auto"/>
        </w:rPr>
        <w:t xml:space="preserve"> if it had been in effect as of the date hereof, or adversely and materially modify or amend, or initiate any termination of any Material Contract;</w:t>
      </w:r>
    </w:p>
    <w:p>
      <w:pPr>
        <w:spacing w:after="0" w:line="54" w:lineRule="exact"/>
        <w:rPr>
          <w:rFonts w:ascii="Times New Roman" w:cs="Times New Roman" w:eastAsia="Times New Roman" w:hAnsi="Times New Roman"/>
          <w:sz w:val="13"/>
          <w:szCs w:val="13"/>
          <w:color w:val="auto"/>
        </w:rPr>
      </w:pPr>
    </w:p>
    <w:p>
      <w:pPr>
        <w:ind w:left="940" w:right="779" w:firstLine="675"/>
        <w:spacing w:after="0" w:line="274" w:lineRule="auto"/>
        <w:tabs>
          <w:tab w:leader="none" w:pos="1822"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intercompany loans between the Company and any of its wholly owned subsidiaries or between any wholly owned subsidiaries of the Company, (A) incur, prepay, issue, syndicate, refinance, or otherwise become liable for, indebtedness for borrowed money, or</w:t>
      </w:r>
    </w:p>
    <w:p>
      <w:pPr>
        <w:spacing w:after="0" w:line="1" w:lineRule="exact"/>
        <w:rPr>
          <w:rFonts w:ascii="Times New Roman" w:cs="Times New Roman" w:eastAsia="Times New Roman" w:hAnsi="Times New Roman"/>
          <w:sz w:val="12"/>
          <w:szCs w:val="12"/>
          <w:color w:val="auto"/>
        </w:rPr>
      </w:pPr>
    </w:p>
    <w:p>
      <w:pPr>
        <w:ind w:left="1140" w:hanging="193"/>
        <w:spacing w:after="0"/>
        <w:tabs>
          <w:tab w:leader="none" w:pos="11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 guarantee or endorse the obligations of any Person (other than a wholly owned subsidiary of the Company);</w:t>
      </w:r>
    </w:p>
    <w:p>
      <w:pPr>
        <w:spacing w:after="0" w:line="65" w:lineRule="exact"/>
        <w:rPr>
          <w:rFonts w:ascii="Times New Roman" w:cs="Times New Roman" w:eastAsia="Times New Roman" w:hAnsi="Times New Roman"/>
          <w:sz w:val="13"/>
          <w:szCs w:val="13"/>
          <w:color w:val="auto"/>
        </w:rPr>
      </w:pPr>
    </w:p>
    <w:p>
      <w:pPr>
        <w:jc w:val="both"/>
        <w:ind w:left="940" w:right="679" w:firstLine="675"/>
        <w:spacing w:after="0" w:line="251" w:lineRule="auto"/>
        <w:tabs>
          <w:tab w:leader="none" w:pos="1857"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the terms of any Company Plan as in effect on the date hereof, (A) increase the compensation or benefits of, or grant any new compensation (including, without limitation, incentive compensation) or benefits to, any current or former Company Service Providers, (B) establish, adopt, enter into, amend, modify or terminate any Company Plan (or any other plan, policy, program, contract, agreement or arrangement that would be a Company Plan if in effect as of the date 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5" w:name="page46"/>
    <w:bookmarkEnd w:id="45"/>
    <w:p>
      <w:pPr>
        <w:ind w:left="9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in connection with </w:t>
      </w:r>
      <w:r>
        <w:rPr>
          <w:rFonts w:ascii="Times New Roman" w:cs="Times New Roman" w:eastAsia="Times New Roman" w:hAnsi="Times New Roman"/>
          <w:sz w:val="13"/>
          <w:szCs w:val="13"/>
          <w:u w:val="single" w:color="auto"/>
          <w:color w:val="auto"/>
        </w:rPr>
        <w:t>Section 5.1(b)(xii)(D)</w:t>
      </w:r>
      <w:r>
        <w:rPr>
          <w:rFonts w:ascii="Times New Roman" w:cs="Times New Roman" w:eastAsia="Times New Roman" w:hAnsi="Times New Roman"/>
          <w:sz w:val="13"/>
          <w:szCs w:val="13"/>
          <w:color w:val="auto"/>
        </w:rPr>
        <w:t>, (C) loan or advance any money or any other property to any current or former Company Service Providers, (D)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(E) accelerate the vesting, exercisability, funding or payment of any compensation, or benefits under, any Company Plan;</w:t>
      </w:r>
    </w:p>
    <w:p>
      <w:pPr>
        <w:spacing w:after="0" w:line="58" w:lineRule="exact"/>
        <w:rPr>
          <w:sz w:val="20"/>
          <w:szCs w:val="20"/>
          <w:color w:val="auto"/>
        </w:rPr>
      </w:pPr>
    </w:p>
    <w:p>
      <w:pPr>
        <w:ind w:left="940" w:right="719" w:firstLine="675"/>
        <w:spacing w:after="0" w:line="309" w:lineRule="auto"/>
        <w:tabs>
          <w:tab w:leader="none" w:pos="1892"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negotiate, modify, extend, amend, terminate or enter into any CBA or (B) recognize or certify any labor union, labor organization, works council, or group of employees as the bargaining representative for any employees of the Company or any of its subsidiaries;</w:t>
      </w:r>
    </w:p>
    <w:p>
      <w:pPr>
        <w:spacing w:after="0" w:line="23" w:lineRule="exact"/>
        <w:rPr>
          <w:rFonts w:ascii="Times New Roman" w:cs="Times New Roman" w:eastAsia="Times New Roman" w:hAnsi="Times New Roman"/>
          <w:sz w:val="12"/>
          <w:szCs w:val="12"/>
          <w:color w:val="auto"/>
        </w:rPr>
      </w:pPr>
    </w:p>
    <w:p>
      <w:pPr>
        <w:ind w:left="940" w:right="1239" w:firstLine="675"/>
        <w:spacing w:after="0" w:line="309" w:lineRule="auto"/>
        <w:tabs>
          <w:tab w:leader="none" w:pos="1885"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or announce any reduction in force, employee layoff, location closure or similar actions that could trigger obligations under the Worker Adjustment and Retraining Notification Act of 1988, as amended, or any similar or related Law;</w:t>
      </w:r>
    </w:p>
    <w:p>
      <w:pPr>
        <w:spacing w:after="0" w:line="23" w:lineRule="exact"/>
        <w:rPr>
          <w:rFonts w:ascii="Times New Roman" w:cs="Times New Roman" w:eastAsia="Times New Roman" w:hAnsi="Times New Roman"/>
          <w:sz w:val="12"/>
          <w:szCs w:val="12"/>
          <w:color w:val="auto"/>
        </w:rPr>
      </w:pPr>
    </w:p>
    <w:p>
      <w:pPr>
        <w:ind w:left="940" w:right="699" w:firstLine="675"/>
        <w:spacing w:after="0" w:line="267" w:lineRule="auto"/>
        <w:tabs>
          <w:tab w:leader="none" w:pos="185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affirmatively waive or release any noncompetition, nonsolicitation, nondisclosure or other restrictive covenant obligation of any employee at the level of Vice President or above or independent contractor of the Company or any of its subsidiaries;</w:t>
      </w:r>
    </w:p>
    <w:p>
      <w:pPr>
        <w:spacing w:after="0" w:line="46" w:lineRule="exact"/>
        <w:rPr>
          <w:rFonts w:ascii="Times New Roman" w:cs="Times New Roman" w:eastAsia="Times New Roman" w:hAnsi="Times New Roman"/>
          <w:sz w:val="13"/>
          <w:szCs w:val="13"/>
          <w:color w:val="auto"/>
        </w:rPr>
      </w:pPr>
    </w:p>
    <w:p>
      <w:pPr>
        <w:ind w:left="940" w:right="739" w:firstLine="675"/>
        <w:spacing w:after="0" w:line="267" w:lineRule="auto"/>
        <w:tabs>
          <w:tab w:leader="none" w:pos="188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accounting principles, except as may be required to conform to changes in applicable Law or GAAP or regulatory requirements with respect thereto;</w:t>
      </w:r>
    </w:p>
    <w:p>
      <w:pPr>
        <w:spacing w:after="0" w:line="46" w:lineRule="exact"/>
        <w:rPr>
          <w:rFonts w:ascii="Times New Roman" w:cs="Times New Roman" w:eastAsia="Times New Roman" w:hAnsi="Times New Roman"/>
          <w:sz w:val="13"/>
          <w:szCs w:val="13"/>
          <w:color w:val="auto"/>
        </w:rPr>
      </w:pPr>
    </w:p>
    <w:p>
      <w:pPr>
        <w:ind w:left="940" w:right="779" w:firstLine="675"/>
        <w:spacing w:after="0" w:line="251" w:lineRule="auto"/>
        <w:tabs>
          <w:tab w:leader="none" w:pos="19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make any change to any method of accounting for any material Tax, (B) make, revoke, or change any material Tax election, (C) surrender any claim for a refund of a material amount of Taxes, (D) enter into any closing agreement or other ruling or written agreement with a Tax authority with respect to any material Taxes, (E) amend any material Tax Return, or (F) settle or compromise any material Tax liability;</w:t>
      </w:r>
    </w:p>
    <w:p>
      <w:pPr>
        <w:spacing w:after="0" w:line="56" w:lineRule="exact"/>
        <w:rPr>
          <w:rFonts w:ascii="Times New Roman" w:cs="Times New Roman" w:eastAsia="Times New Roman" w:hAnsi="Times New Roman"/>
          <w:sz w:val="13"/>
          <w:szCs w:val="13"/>
          <w:color w:val="auto"/>
        </w:rPr>
      </w:pPr>
    </w:p>
    <w:p>
      <w:pPr>
        <w:ind w:left="940" w:right="799" w:firstLine="675"/>
        <w:spacing w:after="0" w:line="255" w:lineRule="auto"/>
        <w:tabs>
          <w:tab w:leader="none" w:pos="195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release, settle or compromise any Action (A) entailing obligations that would impose any material restrictions on the business operations of the Company or its subsidiaries following the Closing or (B) for an amount required to be paid by the Company and its subsidiaries in excess of $50,000 individually or in the aggregate;</w:t>
      </w:r>
    </w:p>
    <w:p>
      <w:pPr>
        <w:spacing w:after="0" w:line="54" w:lineRule="exact"/>
        <w:rPr>
          <w:rFonts w:ascii="Times New Roman" w:cs="Times New Roman" w:eastAsia="Times New Roman" w:hAnsi="Times New Roman"/>
          <w:sz w:val="13"/>
          <w:szCs w:val="13"/>
          <w:color w:val="auto"/>
        </w:rPr>
      </w:pPr>
    </w:p>
    <w:p>
      <w:pPr>
        <w:ind w:left="940" w:right="979" w:firstLine="675"/>
        <w:spacing w:after="0" w:line="267" w:lineRule="auto"/>
        <w:tabs>
          <w:tab w:leader="none" w:pos="188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any new line of business outside of its existing business as of the date hereof that is material to the Company and its subsidiaries, taken as a whole;</w:t>
      </w:r>
    </w:p>
    <w:p>
      <w:pPr>
        <w:spacing w:after="0" w:line="46" w:lineRule="exact"/>
        <w:rPr>
          <w:rFonts w:ascii="Times New Roman" w:cs="Times New Roman" w:eastAsia="Times New Roman" w:hAnsi="Times New Roman"/>
          <w:sz w:val="13"/>
          <w:szCs w:val="13"/>
          <w:color w:val="auto"/>
        </w:rPr>
      </w:pPr>
    </w:p>
    <w:p>
      <w:pPr>
        <w:jc w:val="both"/>
        <w:ind w:left="940" w:right="919" w:firstLine="675"/>
        <w:spacing w:after="0" w:line="255" w:lineRule="auto"/>
        <w:tabs>
          <w:tab w:leader="none" w:pos="185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materially reduce coverage under, or fail to renew any material insurance policies maintained by the Company or its subsidiaries as of the date hereof, or fail to use commercially reasonable efforts to replace such policies with comparable coverage upon their expiration;</w:t>
      </w:r>
    </w:p>
    <w:p>
      <w:pPr>
        <w:spacing w:after="0" w:line="54"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any action or fail to take any action that would have a material adverse effect on the Yupelri Rights, taken as a whole; or</w:t>
      </w:r>
    </w:p>
    <w:p>
      <w:pPr>
        <w:spacing w:after="0" w:line="89" w:lineRule="exact"/>
        <w:rPr>
          <w:rFonts w:ascii="Times New Roman" w:cs="Times New Roman" w:eastAsia="Times New Roman" w:hAnsi="Times New Roman"/>
          <w:sz w:val="12"/>
          <w:szCs w:val="12"/>
          <w:color w:val="auto"/>
        </w:rPr>
      </w:pPr>
    </w:p>
    <w:p>
      <w:pPr>
        <w:ind w:left="4440" w:right="659" w:hanging="2825"/>
        <w:spacing w:after="0" w:line="434" w:lineRule="auto"/>
        <w:tabs>
          <w:tab w:leader="none" w:pos="192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 authorize or commit to do or take any of the foregoing actions described in </w:t>
      </w:r>
      <w:r>
        <w:rPr>
          <w:rFonts w:ascii="Times New Roman" w:cs="Times New Roman" w:eastAsia="Times New Roman" w:hAnsi="Times New Roman"/>
          <w:sz w:val="13"/>
          <w:szCs w:val="13"/>
          <w:u w:val="single" w:color="auto"/>
          <w:color w:val="auto"/>
        </w:rPr>
        <w:t>Section 5.1(b)(i)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Section 5.1(b)(xxi)</w:t>
      </w:r>
      <w:r>
        <w:rPr>
          <w:rFonts w:ascii="Times New Roman" w:cs="Times New Roman" w:eastAsia="Times New Roman" w:hAnsi="Times New Roman"/>
          <w:sz w:val="13"/>
          <w:szCs w:val="13"/>
          <w:color w:val="auto"/>
        </w:rPr>
        <w:t>. 35</w:t>
      </w:r>
    </w:p>
    <w:p>
      <w:pPr>
        <w:sectPr>
          <w:pgSz w:w="11900" w:h="16838" w:orient="portrait"/>
          <w:cols w:equalWidth="0" w:num="1">
            <w:col w:w="9019"/>
          </w:cols>
          <w:pgMar w:left="1440" w:top="231" w:right="1440" w:bottom="1440" w:gutter="0" w:footer="0" w:header="0"/>
        </w:sectPr>
      </w:pPr>
    </w:p>
    <w:bookmarkStart w:id="46" w:name="page47"/>
    <w:bookmarkEnd w:id="4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5.2 </w:t>
      </w:r>
      <w:r>
        <w:rPr>
          <w:rFonts w:ascii="Times New Roman" w:cs="Times New Roman" w:eastAsia="Times New Roman" w:hAnsi="Times New Roman"/>
          <w:sz w:val="13"/>
          <w:szCs w:val="13"/>
          <w:u w:val="single" w:color="auto"/>
          <w:color w:val="auto"/>
        </w:rPr>
        <w:t>Conduct of Business of the Parties Pending the Merger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693"/>
        <w:spacing w:after="0" w:line="251" w:lineRule="auto"/>
        <w:tabs>
          <w:tab w:leader="none" w:pos="15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agrees that, from the date of this Agreement until the earlier of the Effective Time and the valid termination of this Agreement in accordance with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it shall not take any action or fail to take any action (including any action with respect to a third party) that would, or would reasonably be expected to, individually or in the aggregate, result in any of the conditions to effecting the Merger becoming incapable of being satisfied or have a material adverse effect on the ability of that Party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86" w:lineRule="auto"/>
        <w:tabs>
          <w:tab w:leader="none" w:pos="151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agrees to not engage in an acquisition of assets, merge with another entity, obtain a controlling interest in an entity that is not a wholly owned subsidiary of that Party, or engage in any other activity outside the ordinary course of business that could reasonably be expected to increase the risk, in any material respects, of not obtaining or of materially delaying the obtaining of Required Regulatory Approvals.</w:t>
      </w:r>
    </w:p>
    <w:p>
      <w:pPr>
        <w:spacing w:after="0" w:line="11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No Control of Other Party’s Business</w:t>
      </w:r>
      <w:r>
        <w:rPr>
          <w:rFonts w:ascii="Times New Roman" w:cs="Times New Roman" w:eastAsia="Times New Roman" w:hAnsi="Times New Roman"/>
          <w:sz w:val="13"/>
          <w:szCs w:val="13"/>
          <w:color w:val="auto"/>
        </w:rPr>
        <w:t xml:space="preserve">. Without in any way limiting any Party’s rights or obligations under this Agreement (including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nothing contained in this Agreement shall give Parent or Merger Sub,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ADDITIONAL AGREEMENTS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59" w:firstLine="693"/>
        <w:spacing w:after="0" w:line="246" w:lineRule="auto"/>
        <w:tabs>
          <w:tab w:leader="none" w:pos="15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as soon as reasonably practicable following the date of this Agreement, with the good faith cooperation of Parent and Merger Sub, prepare and furnish to the SEC the Proxy Statement. Each of the Company and Parent shall furnish all information concerning itself and its Affiliates that is required to be included in the Proxy Statement or that is customarily included in proxy statements prepared in connection with transactions of the type contemplated by this Agreement, and each covenants that none of the information supplied or to be supplied by it for inclusion or incorporation in the Proxy Statement will, at the date it or any amendment or supplement thereto is filed with the SEC or first mailed to the Company’s shareholders or at the time of the Shareholders Meeting, contain any untrue statement of a material fact or omit to state any material fact necessary in order to make the statements made therein, in the light of the circumstances under which they were made, not misleading. Parent shall furnish all information concerning itself and its Affiliates and provide such other assistance and cooperation as may be reasonably requested by the Company in connection with the preparation, furnishing and distribution of the definitive Proxy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7" w:name="page48"/>
    <w:bookmarkEnd w:id="47"/>
    <w:p>
      <w:pPr>
        <w:ind w:left="640" w:right="679" w:firstLine="693"/>
        <w:spacing w:after="0" w:line="265"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at any time prior to the Shareholders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with the SEC an appropriate amendment or supplement describing such information, and the Company and Parent shall cooperate in the prompt furnishing to the SEC of any necessary amendment of, or supplement to, the Proxy Statement and, to the extent required by applicable Law, in disseminating the information contained in such amendment or supplement to shareholders of the Company. The Company shall promptly notify Parent upon the receipt of any comments from the SEC or its staff or any request from the SEC or its staff for amendments or supplements to the Proxy Statement. Each of the Company and Parent shall use its respective reasonable best efforts to respond as promptly as practicable to any comments of the SEC with respect to the Proxy Statement, and the Company shall use its reasonable best efforts to cause the definitive Proxy Statement to be mailed to the Company’s shareholders as promptly as practicable after the date on which the Company learns that the Proxy Statement will not be reviewed or that the SEC staff has no further comments thereon. Notwithstanding the foregoing, except as otherwise expressly provided in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as contemplated by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prior to mailing the definitive Proxy Statement or any other proxy or consent solicitation statement with respect to any meeting of the shareholders of the Company in connection with the Merger, the Company shall cooperate and provide Parent and its counsel with a reasonable opportunity to review and comment on such document or response in advance and consider in good faith any comments provided by Parent or any of its Representatives with respect thereto. Nothing in</w:t>
      </w:r>
    </w:p>
    <w:p>
      <w:pPr>
        <w:spacing w:after="0" w:line="1" w:lineRule="exact"/>
        <w:rPr>
          <w:rFonts w:ascii="Times New Roman" w:cs="Times New Roman" w:eastAsia="Times New Roman" w:hAnsi="Times New Roman"/>
          <w:sz w:val="12"/>
          <w:szCs w:val="12"/>
          <w:color w:val="auto"/>
        </w:rPr>
      </w:pPr>
    </w:p>
    <w:p>
      <w:pPr>
        <w:ind w:left="640" w:right="6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shall limit the obligations of any Party under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xml:space="preserve">. For purposes of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any information concerning or related to the Company, its Affiliates or the Shareholders Meeting will be deemed to have been provided by the Company, and any information concerning or related to Parent or its Affiliates will be deemed to have been provided by Parent. Unless the Board of Directors has made a Change of Recommendation in accordance with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or as contemplated by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the Proxy Statement will include the Recommendation.</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Shareholders Meeting; Board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68" w:lineRule="auto"/>
        <w:tabs>
          <w:tab w:leader="none" w:pos="150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the Company shall, as promptly as reasonably practicable following the date on which the SEC confirms that it has no further comments on the Proxy Statement, take all actions required under the Cayman Companies Act, the Memorandum and Articles of Association and the applicable requirements of the Nasdaq Global Market necessary to duly call, give notice of, convene and hold an extraordinary general meeting of the Company for the purpose of approving this Agreement, the Merger and the transactions contemplated hereby (including any adjournment thereof, the “</w:t>
      </w:r>
      <w:r>
        <w:rPr>
          <w:rFonts w:ascii="Times New Roman" w:cs="Times New Roman" w:eastAsia="Times New Roman" w:hAnsi="Times New Roman"/>
          <w:sz w:val="12"/>
          <w:szCs w:val="12"/>
          <w:u w:val="single" w:color="auto"/>
          <w:color w:val="auto"/>
        </w:rPr>
        <w:t>Shareholders Meeting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may postpone or adjourn such meeting (i) to the extent required by Law,</w:t>
      </w:r>
    </w:p>
    <w:p>
      <w:pPr>
        <w:ind w:left="640" w:right="719" w:hanging="3"/>
        <w:spacing w:after="0" w:line="271" w:lineRule="auto"/>
        <w:tabs>
          <w:tab w:leader="none" w:pos="82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allow reasonable additional time to solicit additional proxies to the extent the Company reasonably believes necessary in order to obtain the Company Requisite Vote, or (iii) if as of the time for which the Shareholders Meeting is originally scheduled (as set forth in the Proxy Statement) there are insufficient Ordinary Shares represented (either in person or by proxy) to constitute a quorum necessary to conduct the business of the Shareholders Meeting. Subject to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6.3(d)</w:t>
      </w:r>
      <w:r>
        <w:rPr>
          <w:rFonts w:ascii="Times New Roman" w:cs="Times New Roman" w:eastAsia="Times New Roman" w:hAnsi="Times New Roman"/>
          <w:sz w:val="12"/>
          <w:szCs w:val="12"/>
          <w:color w:val="auto"/>
        </w:rPr>
        <w:t>, the Company shall use its reasonable best efforts to obtain the Company Requisite Vote.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8" w:name="page49"/>
    <w:bookmarkEnd w:id="48"/>
    <w:p>
      <w:pPr>
        <w:ind w:left="640" w:right="699" w:firstLine="693"/>
        <w:spacing w:after="0" w:line="256" w:lineRule="auto"/>
        <w:tabs>
          <w:tab w:leader="none" w:pos="1515"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6.3(d)</w:t>
      </w:r>
      <w:r>
        <w:rPr>
          <w:rFonts w:ascii="Times New Roman" w:cs="Times New Roman" w:eastAsia="Times New Roman" w:hAnsi="Times New Roman"/>
          <w:sz w:val="12"/>
          <w:szCs w:val="12"/>
          <w:color w:val="auto"/>
        </w:rPr>
        <w:t xml:space="preserve">, the Board of Directors shall not (i) fail to include the Recommendation in the definitive Proxy Statement when mailed to the shareholders of the Company, (ii) withdraw, modify, qualify or change, in each case in a manner adverse to Parent or Merger Sub, the Recommendation, (iii) publicly recommend to the shareholders of the Company an Acquisition Proposal or enter into any Alternative Acquisition Agreement, (iv) fail to recommend, in a Solicitation/Recommendation Statement on </w:t>
      </w:r>
      <w:r>
        <w:rPr>
          <w:rFonts w:ascii="Times New Roman" w:cs="Times New Roman" w:eastAsia="Times New Roman" w:hAnsi="Times New Roman"/>
          <w:sz w:val="12"/>
          <w:szCs w:val="12"/>
          <w:u w:val="single" w:color="auto"/>
          <w:color w:val="auto"/>
        </w:rPr>
        <w:t>Schedule 14D-9</w:t>
      </w:r>
      <w:r>
        <w:rPr>
          <w:rFonts w:ascii="Times New Roman" w:cs="Times New Roman" w:eastAsia="Times New Roman" w:hAnsi="Times New Roman"/>
          <w:sz w:val="12"/>
          <w:szCs w:val="12"/>
          <w:color w:val="auto"/>
        </w:rPr>
        <w:t xml:space="preserve">,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any communication made in accordance with </w:t>
      </w:r>
      <w:r>
        <w:rPr>
          <w:rFonts w:ascii="Times New Roman" w:cs="Times New Roman" w:eastAsia="Times New Roman" w:hAnsi="Times New Roman"/>
          <w:sz w:val="12"/>
          <w:szCs w:val="12"/>
          <w:u w:val="single" w:color="auto"/>
          <w:color w:val="auto"/>
        </w:rPr>
        <w:t>Section 6.3(e)</w:t>
      </w:r>
      <w:r>
        <w:rPr>
          <w:rFonts w:ascii="Times New Roman" w:cs="Times New Roman" w:eastAsia="Times New Roman" w:hAnsi="Times New Roman"/>
          <w:sz w:val="12"/>
          <w:szCs w:val="12"/>
          <w:color w:val="auto"/>
        </w:rPr>
        <w:t xml:space="preserve"> with respect to such tender offer or exchange offer, shall not be deemed a Change of Recommendation if such communication is made prior to the tenth (10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Business Day after the commencement (within the meaning of Rule 14d-2 under the Exchange Act) of such tender offer or exchange offer) or (v) resolve to effect or publicly announce an intention or resolution to effect any of the foregoing (any of the actions described in the foregoing clauses (i) through (v), a “</w:t>
      </w:r>
      <w:r>
        <w:rPr>
          <w:rFonts w:ascii="Times New Roman" w:cs="Times New Roman" w:eastAsia="Times New Roman" w:hAnsi="Times New Roman"/>
          <w:sz w:val="12"/>
          <w:szCs w:val="12"/>
          <w:u w:val="single" w:color="auto"/>
          <w:color w:val="auto"/>
        </w:rPr>
        <w:t>Change of Recommendation</w:t>
      </w:r>
      <w:r>
        <w:rPr>
          <w:rFonts w:ascii="Times New Roman" w:cs="Times New Roman" w:eastAsia="Times New Roman" w:hAnsi="Times New Roman"/>
          <w:sz w:val="12"/>
          <w:szCs w:val="12"/>
          <w:color w:val="auto"/>
        </w:rPr>
        <w:t>”).</w:t>
      </w:r>
    </w:p>
    <w:p>
      <w:pPr>
        <w:spacing w:after="0" w:line="134" w:lineRule="exact"/>
        <w:rPr>
          <w:rFonts w:ascii="Times New Roman" w:cs="Times New Roman" w:eastAsia="Times New Roman" w:hAnsi="Times New Roman"/>
          <w:sz w:val="12"/>
          <w:szCs w:val="12"/>
          <w:color w:val="auto"/>
        </w:rPr>
      </w:pPr>
    </w:p>
    <w:p>
      <w:pPr>
        <w:ind w:left="640" w:right="819" w:firstLine="693"/>
        <w:spacing w:after="0" w:line="251" w:lineRule="auto"/>
        <w:tabs>
          <w:tab w:leader="none" w:pos="15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shall have been terminated in accordance with its terms prior to the Shareholders Meeting, in the event the Board of Directors (upon the recommendation of the Strategic Review Committee) makes a Change of Recommendation or provides any notice of its intent to make a Change of Recommendation pursuant to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the Company shall nevertheless continue to submit this Agreement to the holders of Ordinary Shares for approval at the Shareholders Meeting.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No Solicitation.</w:t>
      </w:r>
    </w:p>
    <w:p>
      <w:pPr>
        <w:spacing w:after="0" w:line="154" w:lineRule="exact"/>
        <w:rPr>
          <w:sz w:val="20"/>
          <w:szCs w:val="20"/>
          <w:color w:val="auto"/>
        </w:rPr>
      </w:pPr>
    </w:p>
    <w:p>
      <w:pPr>
        <w:ind w:left="640" w:right="879" w:firstLine="693"/>
        <w:spacing w:after="0" w:line="267" w:lineRule="auto"/>
        <w:tabs>
          <w:tab w:leader="none" w:pos="150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Until the Effective Time or, if earlier, the valid termination of this Agreement in accordance with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6.3(b)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699" w:firstLine="675"/>
        <w:spacing w:after="0" w:line="267" w:lineRule="auto"/>
        <w:tabs>
          <w:tab w:leader="none" w:pos="1759"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shall not, and shall use their reasonable best efforts to direct their respective Representatives not to, directly or indirectly:</w:t>
      </w:r>
    </w:p>
    <w:p>
      <w:pPr>
        <w:spacing w:after="0" w:line="46" w:lineRule="exact"/>
        <w:rPr>
          <w:rFonts w:ascii="Times New Roman" w:cs="Times New Roman" w:eastAsia="Times New Roman" w:hAnsi="Times New Roman"/>
          <w:sz w:val="13"/>
          <w:szCs w:val="13"/>
          <w:color w:val="auto"/>
        </w:rPr>
      </w:pPr>
    </w:p>
    <w:p>
      <w:pPr>
        <w:ind w:left="2180" w:hanging="213"/>
        <w:spacing w:after="0"/>
        <w:tabs>
          <w:tab w:leader="none" w:pos="2180" w:val="left"/>
        </w:tabs>
        <w:numPr>
          <w:ilvl w:val="2"/>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solicit, initiate or take any other action knowingly to facilitate or encourage any Acquisition Proposal;</w:t>
      </w:r>
    </w:p>
    <w:p>
      <w:pPr>
        <w:spacing w:after="0" w:line="77" w:lineRule="exact"/>
        <w:rPr>
          <w:rFonts w:ascii="Times New Roman" w:cs="Times New Roman" w:eastAsia="Times New Roman" w:hAnsi="Times New Roman"/>
          <w:sz w:val="13"/>
          <w:szCs w:val="13"/>
          <w:color w:val="auto"/>
        </w:rPr>
      </w:pPr>
    </w:p>
    <w:p>
      <w:pPr>
        <w:ind w:left="1340" w:right="839" w:firstLine="627"/>
        <w:spacing w:after="0" w:line="255" w:lineRule="auto"/>
        <w:tabs>
          <w:tab w:leader="none" w:pos="2173" w:val="left"/>
        </w:tabs>
        <w:numPr>
          <w:ilvl w:val="2"/>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49" w:name="page50"/>
    <w:bookmarkEnd w:id="49"/>
    <w:p>
      <w:pPr>
        <w:ind w:left="1340" w:right="659" w:firstLine="627"/>
        <w:spacing w:after="0" w:line="255" w:lineRule="auto"/>
        <w:tabs>
          <w:tab w:leader="none" w:pos="2173" w:val="left"/>
        </w:tabs>
        <w:numPr>
          <w:ilvl w:val="3"/>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(the “</w:t>
      </w:r>
      <w:r>
        <w:rPr>
          <w:rFonts w:ascii="Times New Roman" w:cs="Times New Roman" w:eastAsia="Times New Roman" w:hAnsi="Times New Roman"/>
          <w:sz w:val="13"/>
          <w:szCs w:val="13"/>
          <w:u w:val="single" w:color="auto"/>
          <w:color w:val="auto"/>
        </w:rPr>
        <w:t>Alternative Acquisition Agreement</w:t>
      </w:r>
      <w:r>
        <w:rPr>
          <w:rFonts w:ascii="Times New Roman" w:cs="Times New Roman" w:eastAsia="Times New Roman" w:hAnsi="Times New Roman"/>
          <w:sz w:val="13"/>
          <w:szCs w:val="13"/>
          <w:color w:val="auto"/>
        </w:rPr>
        <w:t>”); and</w:t>
      </w:r>
    </w:p>
    <w:p>
      <w:pPr>
        <w:spacing w:after="0" w:line="54"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2"/>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shall, and shall use their reasonable best efforts to direct their respective Representatives to,</w:t>
      </w:r>
    </w:p>
    <w:p>
      <w:pPr>
        <w:spacing w:after="0" w:line="15" w:lineRule="exact"/>
        <w:rPr>
          <w:rFonts w:ascii="Times New Roman" w:cs="Times New Roman" w:eastAsia="Times New Roman" w:hAnsi="Times New Roman"/>
          <w:sz w:val="13"/>
          <w:szCs w:val="13"/>
          <w:color w:val="auto"/>
        </w:rPr>
      </w:pPr>
    </w:p>
    <w:p>
      <w:pPr>
        <w:ind w:left="940" w:right="719" w:firstLine="7"/>
        <w:spacing w:after="0" w:line="244" w:lineRule="auto"/>
        <w:tabs>
          <w:tab w:leader="none" w:pos="114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cease and cause to be terminated any existing activities, discussions or negotiations with any Persons conducted heretofore with respect to any Acquisition Proposal; and (B) use their reasonable best efforts to request each Person that has heretofore executed a confidentiality agreement in connection with such Person’s consideration of an Acquisition Proposal to return (or if permitted by the applicable confidentiality agreement, destroy) all information required to be returned (or, if applicable, destroyed) by such Person under the terms of the applicable confidentiality agreement.</w:t>
      </w:r>
    </w:p>
    <w:p>
      <w:pPr>
        <w:spacing w:after="0" w:line="136"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Agreement, at any time prior to the receipt of the Company Requisite Vote, the Company, its subsidiaries and its and their respective Representatives may, following the receipt of an unsolicited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Acquisition Proposal after the date of this Agreement that did not result from a material breach of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jc w:val="both"/>
        <w:ind w:left="940" w:right="659" w:firstLine="675"/>
        <w:spacing w:after="0" w:line="251" w:lineRule="auto"/>
        <w:tabs>
          <w:tab w:leader="none" w:pos="1759"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contact the Person who has made such Acquisition Proposal to clarify the terms and conditions thereof if the Board of Directors or the Strategic Review Committee shall have determined in good faith that such contact is necessary to clarify ambiguities in the terms or conditions proposed in order to determine whether such Acquisition Proposal constitutes a Superior Proposal or could reasonably be expected to result in a Superior Proposal;</w:t>
      </w:r>
    </w:p>
    <w:p>
      <w:pPr>
        <w:spacing w:after="0" w:line="57" w:lineRule="exact"/>
        <w:rPr>
          <w:sz w:val="20"/>
          <w:szCs w:val="20"/>
          <w:color w:val="auto"/>
        </w:rPr>
      </w:pPr>
    </w:p>
    <w:p>
      <w:pPr>
        <w:ind w:left="940" w:right="659" w:firstLine="675"/>
        <w:spacing w:after="0" w:line="248" w:lineRule="auto"/>
        <w:tabs>
          <w:tab w:leader="none" w:pos="17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provide information (including any non-public information or data concerning the Company or any of its subsidiaries) in response to the request of the Person or group of Persons who has made such Acquisition Proposal, if and only if, prior to providing such information, the Company has received from the Person or group of Persons so requesting such information an executed Acceptable Confidentiality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promptly (and within forty-eight (48) hours) make available to Parent any non-public information concerning the Company or any of its subsidiaries that is provided to any Person or group of Persons making such Acquisition Proposal that is given such access and that was not previously made available to Parent or its Representatives; or</w:t>
      </w:r>
    </w:p>
    <w:p>
      <w:pPr>
        <w:spacing w:after="0" w:line="58"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or participate in any discussions or negotiations with the Person or group of Persons who has made such Acquisition</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w:t>
      </w:r>
    </w:p>
    <w:p>
      <w:pPr>
        <w:spacing w:after="0" w:line="141" w:lineRule="exact"/>
        <w:rPr>
          <w:sz w:val="20"/>
          <w:szCs w:val="20"/>
          <w:color w:val="auto"/>
        </w:rPr>
      </w:pPr>
    </w:p>
    <w:p>
      <w:pPr>
        <w:ind w:left="640" w:right="839"/>
        <w:spacing w:after="0" w:line="251"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prior to taking any action described in </w:t>
      </w:r>
      <w:r>
        <w:rPr>
          <w:rFonts w:ascii="Times New Roman" w:cs="Times New Roman" w:eastAsia="Times New Roman" w:hAnsi="Times New Roman"/>
          <w:sz w:val="13"/>
          <w:szCs w:val="13"/>
          <w:u w:val="single" w:color="auto"/>
          <w:color w:val="auto"/>
        </w:rPr>
        <w:t>Section 6.3(b)(ii)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6.3(b)(iii)</w:t>
      </w:r>
      <w:r>
        <w:rPr>
          <w:rFonts w:ascii="Times New Roman" w:cs="Times New Roman" w:eastAsia="Times New Roman" w:hAnsi="Times New Roman"/>
          <w:sz w:val="13"/>
          <w:szCs w:val="13"/>
          <w:color w:val="auto"/>
        </w:rPr>
        <w:t>, the Board of Directors (upon the recommendation of the Strategic Review Committee) shall have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0" w:name="page51"/>
    <w:bookmarkEnd w:id="50"/>
    <w:p>
      <w:pPr>
        <w:ind w:left="640" w:right="699" w:firstLine="693"/>
        <w:spacing w:after="0" w:line="246" w:lineRule="auto"/>
        <w:tabs>
          <w:tab w:leader="none" w:pos="150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set forth in this Agreement, at any time prior to obtaining the Company Requisite Vote, if the Company shall have received an Acquisition Proposal that did not result from a material breach of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and the Board of Directors determines in its good faith judgment upon the recommendation of the Strategic Review Committee, after consultation with its financial advisor and outside legal counsel, that such Acquisition Proposal constitutes a Superior Proposal and the failure to do so would be inconsistent with the directors’ fiduciary duties under applicable Laws, (x) the Board of Directors (upon the recommendation of the Strategic Review Committee) may effect a Change of Recommendation and/or (y) the Company may terminate this Agreement in accordance with </w:t>
      </w:r>
      <w:r>
        <w:rPr>
          <w:rFonts w:ascii="Times New Roman" w:cs="Times New Roman" w:eastAsia="Times New Roman" w:hAnsi="Times New Roman"/>
          <w:sz w:val="13"/>
          <w:szCs w:val="13"/>
          <w:u w:val="single" w:color="auto"/>
          <w:color w:val="auto"/>
        </w:rPr>
        <w:t>Section 8.1(d)(iii)</w:t>
      </w:r>
      <w:r>
        <w:rPr>
          <w:rFonts w:ascii="Times New Roman" w:cs="Times New Roman" w:eastAsia="Times New Roman" w:hAnsi="Times New Roman"/>
          <w:sz w:val="13"/>
          <w:szCs w:val="13"/>
          <w:color w:val="auto"/>
        </w:rPr>
        <w:t xml:space="preserve"> to enter into an Alternative Acquisition Agreement providing for such Superior Proposal immediately prior to, concurrently with or immediately following such termination, but only if:</w:t>
      </w:r>
    </w:p>
    <w:p>
      <w:pPr>
        <w:spacing w:after="0" w:line="63" w:lineRule="exact"/>
        <w:rPr>
          <w:sz w:val="20"/>
          <w:szCs w:val="20"/>
          <w:color w:val="auto"/>
        </w:rPr>
      </w:pPr>
    </w:p>
    <w:p>
      <w:pPr>
        <w:ind w:left="940" w:right="1359" w:firstLine="675"/>
        <w:spacing w:after="0" w:line="267" w:lineRule="auto"/>
        <w:tabs>
          <w:tab w:leader="none" w:pos="175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complied in all material respects with the requirements of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6.3(b)</w:t>
      </w:r>
      <w:r>
        <w:rPr>
          <w:rFonts w:ascii="Times New Roman" w:cs="Times New Roman" w:eastAsia="Times New Roman" w:hAnsi="Times New Roman"/>
          <w:sz w:val="13"/>
          <w:szCs w:val="13"/>
          <w:color w:val="auto"/>
        </w:rPr>
        <w:t xml:space="preserve"> with respect to such Acquisition Proposal;</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58" w:lineRule="auto"/>
        <w:tabs>
          <w:tab w:leader="none" w:pos="1794"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the Company shall have provided prior written notice (the “</w:t>
      </w:r>
      <w:r>
        <w:rPr>
          <w:rFonts w:ascii="Times New Roman" w:cs="Times New Roman" w:eastAsia="Times New Roman" w:hAnsi="Times New Roman"/>
          <w:sz w:val="12"/>
          <w:szCs w:val="12"/>
          <w:u w:val="single" w:color="auto"/>
          <w:color w:val="auto"/>
        </w:rPr>
        <w:t>Notice of Superior Proposal</w:t>
      </w:r>
      <w:r>
        <w:rPr>
          <w:rFonts w:ascii="Times New Roman" w:cs="Times New Roman" w:eastAsia="Times New Roman" w:hAnsi="Times New Roman"/>
          <w:sz w:val="12"/>
          <w:szCs w:val="12"/>
          <w:color w:val="auto"/>
        </w:rPr>
        <w:t xml:space="preserve">”) to Parent that the Company has received a Superior Proposal, specifying the identity of the party making such Superior Proposal and the material terms thereof and copies of all relevant documents (other than redacted terms of financing documents) relating to such Acquisition Proposal received, indicating that the Company intends to effect a Change of Recommendation or take any other action described in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(it being understood that the Notice of Superior Proposal or any amendment or update thereto or the determination to so deliver such notice shall not, in and of itself, constitute a Change of Recommendation), and (B) during the period beginning from the delivery by the Company to Parent of such Notice of Superior Proposal and ending at 5:00 p.m. Pacific Time on the third (3</w:t>
      </w:r>
      <w:r>
        <w:rPr>
          <w:rFonts w:ascii="Times New Roman" w:cs="Times New Roman" w:eastAsia="Times New Roman" w:hAnsi="Times New Roman"/>
          <w:sz w:val="17"/>
          <w:szCs w:val="17"/>
          <w:color w:val="auto"/>
          <w:vertAlign w:val="superscript"/>
        </w:rPr>
        <w:t>rd</w:t>
      </w:r>
      <w:r>
        <w:rPr>
          <w:rFonts w:ascii="Times New Roman" w:cs="Times New Roman" w:eastAsia="Times New Roman" w:hAnsi="Times New Roman"/>
          <w:sz w:val="12"/>
          <w:szCs w:val="12"/>
          <w:color w:val="auto"/>
        </w:rPr>
        <w:t>) Business Day following such delivery (the “</w:t>
      </w:r>
      <w:r>
        <w:rPr>
          <w:rFonts w:ascii="Times New Roman" w:cs="Times New Roman" w:eastAsia="Times New Roman" w:hAnsi="Times New Roman"/>
          <w:sz w:val="12"/>
          <w:szCs w:val="12"/>
          <w:u w:val="single" w:color="auto"/>
          <w:color w:val="auto"/>
        </w:rPr>
        <w:t>Superior Proposal Notice Period</w:t>
      </w:r>
      <w:r>
        <w:rPr>
          <w:rFonts w:ascii="Times New Roman" w:cs="Times New Roman" w:eastAsia="Times New Roman" w:hAnsi="Times New Roman"/>
          <w:sz w:val="12"/>
          <w:szCs w:val="12"/>
          <w:color w:val="auto"/>
        </w:rPr>
        <w:t xml:space="preserve">”), the Company negotiate with Parent and its Representatives in good faith (if so requested by Parent) any proposed modifications to the terms and conditions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of any material revisions to the Acquisition Proposal following the delivery of the Notice of Superior Proposal, the Company shall deliver a new written notice to Parent and comply again with the requirements of this </w:t>
      </w:r>
      <w:r>
        <w:rPr>
          <w:rFonts w:ascii="Times New Roman" w:cs="Times New Roman" w:eastAsia="Times New Roman" w:hAnsi="Times New Roman"/>
          <w:sz w:val="12"/>
          <w:szCs w:val="12"/>
          <w:u w:val="single" w:color="auto"/>
          <w:color w:val="auto"/>
        </w:rPr>
        <w:t>Section 6.3(c)(ii)</w:t>
      </w:r>
      <w:r>
        <w:rPr>
          <w:rFonts w:ascii="Times New Roman" w:cs="Times New Roman" w:eastAsia="Times New Roman" w:hAnsi="Times New Roman"/>
          <w:sz w:val="12"/>
          <w:szCs w:val="12"/>
          <w:color w:val="auto"/>
        </w:rPr>
        <w:t xml:space="preserve"> with respect to such new written notice;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with respect to each such new written notice to Parent, the Superior Proposal Notice Period shall be deemed to be a two (2) Business Day period rather than the three (3) Business Day period first described above; and</w:t>
      </w:r>
    </w:p>
    <w:p>
      <w:pPr>
        <w:spacing w:after="0" w:line="53" w:lineRule="exact"/>
        <w:rPr>
          <w:rFonts w:ascii="Times New Roman" w:cs="Times New Roman" w:eastAsia="Times New Roman" w:hAnsi="Times New Roman"/>
          <w:sz w:val="12"/>
          <w:szCs w:val="12"/>
          <w:color w:val="auto"/>
        </w:rPr>
      </w:pPr>
    </w:p>
    <w:p>
      <w:pPr>
        <w:ind w:left="940" w:right="779" w:firstLine="675"/>
        <w:spacing w:after="0" w:line="275" w:lineRule="auto"/>
        <w:tabs>
          <w:tab w:leader="none" w:pos="1829"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end of the Superior Proposal Notice Period, the Board of Directors (upon the recommendation of the Strategic Review Committee), shall have determined in its good faith judgment (after consultation with its independent financial advisor and outside legal counsel), after considering the terms of any proposed amendment or modification to this Agreement, that the Acquisition Proposal continues to constitute a Superior Proposal and the failure to effect a Change of Recommendation with respect to such Acquisition Proposal or terminate this Agreement would still reasonably be expected to be inconsistent with the fiduciary duties of the Board of Directors under applicable Laws.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1" w:name="page52"/>
    <w:bookmarkEnd w:id="51"/>
    <w:p>
      <w:pPr>
        <w:ind w:left="640" w:right="719" w:firstLine="693"/>
        <w:spacing w:after="0" w:line="259" w:lineRule="auto"/>
        <w:tabs>
          <w:tab w:leader="none" w:pos="1515"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set forth in this Agreement, at any time prior to obtaining the Company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directors’ fiduciary duties under applicable Law, the Board of Directors (upon the recommendation of the Strategic Review Committee) may effect a Change of Recommendation;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prior to effecting a Change of Recommendation in connection with an Intervening Event in accordance with this </w:t>
      </w:r>
      <w:r>
        <w:rPr>
          <w:rFonts w:ascii="Times New Roman" w:cs="Times New Roman" w:eastAsia="Times New Roman" w:hAnsi="Times New Roman"/>
          <w:sz w:val="12"/>
          <w:szCs w:val="12"/>
          <w:u w:val="single" w:color="auto"/>
          <w:color w:val="auto"/>
        </w:rPr>
        <w:t>Section 6.3(d)</w:t>
      </w:r>
      <w:r>
        <w:rPr>
          <w:rFonts w:ascii="Times New Roman" w:cs="Times New Roman" w:eastAsia="Times New Roman" w:hAnsi="Times New Roman"/>
          <w:sz w:val="12"/>
          <w:szCs w:val="12"/>
          <w:color w:val="auto"/>
        </w:rPr>
        <w:t>, (i) the Company shall have provided a prior written notice (the “</w:t>
      </w:r>
      <w:r>
        <w:rPr>
          <w:rFonts w:ascii="Times New Roman" w:cs="Times New Roman" w:eastAsia="Times New Roman" w:hAnsi="Times New Roman"/>
          <w:sz w:val="12"/>
          <w:szCs w:val="12"/>
          <w:u w:val="single" w:color="auto"/>
          <w:color w:val="auto"/>
        </w:rPr>
        <w:t>Notice of Intervening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Event</w:t>
      </w:r>
      <w:r>
        <w:rPr>
          <w:rFonts w:ascii="Times New Roman" w:cs="Times New Roman" w:eastAsia="Times New Roman" w:hAnsi="Times New Roman"/>
          <w:sz w:val="12"/>
          <w:szCs w:val="12"/>
          <w:color w:val="auto"/>
        </w:rPr>
        <w:t xml:space="preserve">”) to Parent that the Board of Directors intends to effect a Change of Recommendation pursuant to this </w:t>
      </w:r>
      <w:r>
        <w:rPr>
          <w:rFonts w:ascii="Times New Roman" w:cs="Times New Roman" w:eastAsia="Times New Roman" w:hAnsi="Times New Roman"/>
          <w:sz w:val="12"/>
          <w:szCs w:val="12"/>
          <w:u w:val="single" w:color="auto"/>
          <w:color w:val="auto"/>
        </w:rPr>
        <w:t>Section 6.3(d)</w:t>
      </w:r>
      <w:r>
        <w:rPr>
          <w:rFonts w:ascii="Times New Roman" w:cs="Times New Roman" w:eastAsia="Times New Roman" w:hAnsi="Times New Roman"/>
          <w:sz w:val="12"/>
          <w:szCs w:val="12"/>
          <w:color w:val="auto"/>
        </w:rPr>
        <w:t>, describing in reasonable detail the facts of such Intervening Event, and (ii) if requested to do so by Parent, during the period beginning from the delivery by the Company to Parent of such Notice of Intervening Event and ending at 5:00 p.m. Pacific Time on the third (3</w:t>
      </w:r>
      <w:r>
        <w:rPr>
          <w:rFonts w:ascii="Times New Roman" w:cs="Times New Roman" w:eastAsia="Times New Roman" w:hAnsi="Times New Roman"/>
          <w:sz w:val="17"/>
          <w:szCs w:val="17"/>
          <w:color w:val="auto"/>
          <w:vertAlign w:val="superscript"/>
        </w:rPr>
        <w:t>rd</w:t>
      </w:r>
      <w:r>
        <w:rPr>
          <w:rFonts w:ascii="Times New Roman" w:cs="Times New Roman" w:eastAsia="Times New Roman" w:hAnsi="Times New Roman"/>
          <w:sz w:val="12"/>
          <w:szCs w:val="12"/>
          <w:color w:val="auto"/>
        </w:rPr>
        <w:t>) Business Day following such delivery (the “</w:t>
      </w:r>
      <w:r>
        <w:rPr>
          <w:rFonts w:ascii="Times New Roman" w:cs="Times New Roman" w:eastAsia="Times New Roman" w:hAnsi="Times New Roman"/>
          <w:sz w:val="12"/>
          <w:szCs w:val="12"/>
          <w:u w:val="single" w:color="auto"/>
          <w:color w:val="auto"/>
        </w:rPr>
        <w:t>Intervening Event Notice Period</w:t>
      </w:r>
      <w:r>
        <w:rPr>
          <w:rFonts w:ascii="Times New Roman" w:cs="Times New Roman" w:eastAsia="Times New Roman" w:hAnsi="Times New Roman"/>
          <w:sz w:val="12"/>
          <w:szCs w:val="12"/>
          <w:color w:val="auto"/>
        </w:rPr>
        <w:t>”), the Company shall negotiate with Parent and its Representatives in good faith (if so requested by Parent) any proposed modifications to the terms and conditions of this Agreement such that the failure to effect a Change of Recommendation would no longer reasonably be expected to be inconsistent with the fiduciary duties of the Board of Directors under applicable Law, and (iii) following the end of the Intervening Event Notice Period, the Board of Directors (upon the recommendation of the Strategic Review Committee) determines, in its good faith judgment after consultation with its financial advisor and outside legal counsel, that failure to make a Change of Recommendation would still reasonably be expected to be inconsistent with the directors’ fiduciary duties under applicable Law.</w:t>
      </w:r>
    </w:p>
    <w:p>
      <w:pPr>
        <w:spacing w:after="0" w:line="130" w:lineRule="exact"/>
        <w:rPr>
          <w:rFonts w:ascii="Times New Roman" w:cs="Times New Roman" w:eastAsia="Times New Roman" w:hAnsi="Times New Roman"/>
          <w:sz w:val="12"/>
          <w:szCs w:val="12"/>
          <w:color w:val="auto"/>
        </w:rPr>
      </w:pPr>
    </w:p>
    <w:p>
      <w:pPr>
        <w:ind w:left="640" w:right="739" w:firstLine="693"/>
        <w:spacing w:after="0" w:line="247" w:lineRule="auto"/>
        <w:tabs>
          <w:tab w:leader="none" w:pos="150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be deemed to prohibit the Company or its Board of Directors from taking and disclosing to its shareholders a position contemplated by Rule 14d-9, Rule 14e-2(a) or Item 1012 of Regulation M-A promulgated under the Exchange Act (or any similar communication to shareholders in connection with the making or amendment of a tender offer or exchange offer), making a customary “stop-look-and-listen” communication to the shareholders of the Company pursuant to Rule 14d-9(f) under the Exchange Act (or any similar communications to the shareholders of the Company) or from making any disclosure the Board of Directors has determined in good faith to be reasonably required by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shall not be deemed to affect whether any such disclosure as permitted under clause (a), in and of itself, would otherwise be deemed to be a “</w:t>
      </w:r>
      <w:r>
        <w:rPr>
          <w:rFonts w:ascii="Times New Roman" w:cs="Times New Roman" w:eastAsia="Times New Roman" w:hAnsi="Times New Roman"/>
          <w:sz w:val="13"/>
          <w:szCs w:val="13"/>
          <w:u w:val="single" w:color="auto"/>
          <w:color w:val="auto"/>
        </w:rPr>
        <w:t>Change of Recommendation</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19" w:firstLine="693"/>
        <w:spacing w:after="0" w:line="275" w:lineRule="auto"/>
        <w:tabs>
          <w:tab w:leader="none" w:pos="149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that it will as promptly as practicable (and, in any event, within forty-eight (48) hours) notify Parent if it or, to its knowledge, any of its Representatives becomes aware that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is received by the Company, its Representatives or its Board of Directors (or any committee thereof) indicating, in connection with such notice, the identity of the Person or group of Persons making such Acquisition Proposal and the material terms and conditions of such Acquisition Proposal and thereafter shall keep Parent reasonably informed, on a reasonably current basis, of any material change to the terms of any such Acquisition Proposal and the status of any such discussions or negotiations.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2" w:name="page53"/>
    <w:bookmarkEnd w:id="52"/>
    <w:p>
      <w:pPr>
        <w:ind w:left="1520" w:hanging="187"/>
        <w:spacing w:after="0"/>
        <w:tabs>
          <w:tab w:leader="none" w:pos="152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purposes of this Agreement, the following terms shall have the meanings assigned below:</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46" w:lineRule="auto"/>
        <w:tabs>
          <w:tab w:leader="none" w:pos="1759"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Acquisition Proposal</w:t>
      </w:r>
      <w:r>
        <w:rPr>
          <w:rFonts w:ascii="Times New Roman" w:cs="Times New Roman" w:eastAsia="Times New Roman" w:hAnsi="Times New Roman"/>
          <w:sz w:val="13"/>
          <w:szCs w:val="13"/>
          <w:color w:val="auto"/>
        </w:rPr>
        <w:t xml:space="preserve">” means any proposal or offer from any Person (other than Parent and Merger Sub) relating to (1) any direct or indirect acquisition, license or purchase of a business that constitutes 20% or more of the total revenues or total assets of the Company and its subsidiaries, taken as a whole, (2) any direct or indirect acquisition, purchase or issuance of 20% or more of the total voting power of the equity interests of the Company, (3) any tender offer or exchange offer that if consummated would result in any Person beneficially owning 20% or more of the total voting power of the equity interest of the Company, or (4)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(4), in which the shareholders of the Company immediately prior to such transaction will not own, directly or indirectly, at least 80% of the surviving company in the same proportions as immediately prior to such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Merger shall not be deemed an Acquisition Proposal.</w:t>
      </w:r>
    </w:p>
    <w:p>
      <w:pPr>
        <w:spacing w:after="0" w:line="59" w:lineRule="exact"/>
        <w:rPr>
          <w:rFonts w:ascii="Times New Roman" w:cs="Times New Roman" w:eastAsia="Times New Roman" w:hAnsi="Times New Roman"/>
          <w:sz w:val="13"/>
          <w:szCs w:val="13"/>
          <w:color w:val="auto"/>
        </w:rPr>
      </w:pPr>
    </w:p>
    <w:p>
      <w:pPr>
        <w:ind w:left="940" w:right="699" w:firstLine="675"/>
        <w:spacing w:after="0" w:line="248" w:lineRule="auto"/>
        <w:tabs>
          <w:tab w:leader="none" w:pos="1794"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Intervening Event</w:t>
      </w:r>
      <w:r>
        <w:rPr>
          <w:rFonts w:ascii="Times New Roman" w:cs="Times New Roman" w:eastAsia="Times New Roman" w:hAnsi="Times New Roman"/>
          <w:sz w:val="13"/>
          <w:szCs w:val="13"/>
          <w:color w:val="auto"/>
        </w:rPr>
        <w:t xml:space="preserve">” means a material change, event, occurrence or development that occurs or arises after the date of this Agreement affecting or with respect to the Company and its subsidiaries or their business, assets or operations that was not known or reasonably foreseeable to either the Board of Directors or the Strategic Review Committee on the date of this Agreement, which change, event, occurrence or development becomes known to the Board of Directors or the Strategic Review Committee before receipt of the Company Requisite Vote;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no event shall the receipt, existence of or terms of an Acquisition Proposal or a Superior Proposal or the consequences thereof constitute an Intervening Event.</w:t>
      </w:r>
    </w:p>
    <w:p>
      <w:pPr>
        <w:spacing w:after="0" w:line="56" w:lineRule="exact"/>
        <w:rPr>
          <w:rFonts w:ascii="Times New Roman" w:cs="Times New Roman" w:eastAsia="Times New Roman" w:hAnsi="Times New Roman"/>
          <w:sz w:val="13"/>
          <w:szCs w:val="13"/>
          <w:color w:val="auto"/>
        </w:rPr>
      </w:pPr>
    </w:p>
    <w:p>
      <w:pPr>
        <w:ind w:left="940" w:right="659" w:firstLine="675"/>
        <w:spacing w:after="0" w:line="268" w:lineRule="auto"/>
        <w:tabs>
          <w:tab w:leader="none" w:pos="1829"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Superior Proposal</w:t>
      </w:r>
      <w:r>
        <w:rPr>
          <w:rFonts w:ascii="Times New Roman" w:cs="Times New Roman" w:eastAsia="Times New Roman" w:hAnsi="Times New Roman"/>
          <w:sz w:val="12"/>
          <w:szCs w:val="12"/>
          <w:color w:val="auto"/>
        </w:rPr>
        <w:t xml:space="preserve">” means any unsolicited,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and written Acquisition Proposal made after the date of this Agreement that did not result from a material breach of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the definition of “Superior Proposal,” each reference to “20%” in the definition of “Acquisition Proposal” shall be replaced with “</w:t>
      </w:r>
      <w:r>
        <w:rPr>
          <w:rFonts w:ascii="Times New Roman" w:cs="Times New Roman" w:eastAsia="Times New Roman" w:hAnsi="Times New Roman"/>
          <w:sz w:val="12"/>
          <w:szCs w:val="12"/>
          <w:u w:val="single" w:color="auto"/>
          <w:color w:val="auto"/>
        </w:rPr>
        <w:t>50%</w:t>
      </w:r>
      <w:r>
        <w:rPr>
          <w:rFonts w:ascii="Times New Roman" w:cs="Times New Roman" w:eastAsia="Times New Roman" w:hAnsi="Times New Roman"/>
          <w:sz w:val="12"/>
          <w:szCs w:val="12"/>
          <w:color w:val="auto"/>
        </w:rPr>
        <w:t>”)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contemplated hereby, in each case, after</w:t>
      </w:r>
    </w:p>
    <w:p>
      <w:pPr>
        <w:spacing w:after="0" w:line="2" w:lineRule="exact"/>
        <w:rPr>
          <w:rFonts w:ascii="Times New Roman" w:cs="Times New Roman" w:eastAsia="Times New Roman" w:hAnsi="Times New Roman"/>
          <w:sz w:val="12"/>
          <w:szCs w:val="12"/>
          <w:color w:val="auto"/>
        </w:rPr>
      </w:pPr>
    </w:p>
    <w:p>
      <w:pPr>
        <w:ind w:left="940" w:right="879" w:firstLine="7"/>
        <w:spacing w:after="0" w:line="244" w:lineRule="auto"/>
        <w:tabs>
          <w:tab w:leader="none" w:pos="111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consultation with its financial advisor and outside legal counsel and (y) taking into account all such factors and matters deemed relevant in good faith by the Board of Directors, including legal, financial, regulatory or other aspects of such Acquisition Proposal and the transactions contemplated hereby and after taking into account any changes to the terms of this Agreement offered in writing by Parent in response to such Superior Proposal pursuant to, and in accordance with,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3" w:name="page54"/>
    <w:bookmarkEnd w:id="5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6.4 </w:t>
      </w:r>
      <w:r>
        <w:rPr>
          <w:rFonts w:ascii="Times New Roman" w:cs="Times New Roman" w:eastAsia="Times New Roman" w:hAnsi="Times New Roman"/>
          <w:sz w:val="13"/>
          <w:szCs w:val="13"/>
          <w:u w:val="single" w:color="auto"/>
          <w:color w:val="auto"/>
        </w:rPr>
        <w:t>Further Action; Efforts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and conditions of this Agreement, each Party shall use its reasonable best efforts to take, or cause to be taken, all actions and to do, or cause to be done, all things necessary, proper or advisable under applicable Laws to cause the conditions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to be satisfied and to consummate and make effective the Merger and the other transactions contemplated hereby as soon as practicable following the date hereof, including preparing and filing within ten (10) Business Days after the date hereof as to the HSR Act and as promptly as practicable after the date hereof for other Required Regulatory Approvals, all documentation to effect all necessary notices, reports and other filings and obtaining as promptly as practicable all consents, approvals, registrations, authorizations, waivers, permits and Orders necessary or advisable to be obtained from any third party or any Governmental Entity in order to consummate the Merger and the other transactions contemplated hereby. Parent agrees to use reasonable best efforts to take, and to cause to be taken, any and all actions that are necessary, proper or advisable or as may be required by any Governmental Entity to consummate the transactions contemplated hereby as promptly as practicable,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Parent, nor any of its Affiliates shall have any obligation to (v) sell, license or otherwise dispose of, or hold separate and agree to sell, license or otherwise dispose of, any entities, assets or facilities of the Company or any of its subsidiaries after the Closing or any entity, facility or asset of Parent or any of its Affiliates, (w) terminate, amend or assign existing relationships and contractual rights and obligations, (x) amend, assign or terminate existing licenses or other agreements and enter into such new licenses or other agreements, (y) litigate (or defend) against any Action or investigation (including any Action or investigation seeking a temporary restraining order or preliminary injunction) challenge the transactions contemplated hereby as violative of any Law or (z) 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contemplated hereby to close without challenge. The Company hereby agrees not to take any of the foregoing actions without the written consent of Parent (such consent not to be unreasonably withheld, conditioned or delayed). No Party shall be required to agree to any action pursuant to this </w:t>
      </w:r>
      <w:r>
        <w:rPr>
          <w:rFonts w:ascii="Times New Roman" w:cs="Times New Roman" w:eastAsia="Times New Roman" w:hAnsi="Times New Roman"/>
          <w:sz w:val="12"/>
          <w:szCs w:val="12"/>
          <w:u w:val="single" w:color="auto"/>
          <w:color w:val="auto"/>
        </w:rPr>
        <w:t>Section 6.4(a)</w:t>
      </w:r>
      <w:r>
        <w:rPr>
          <w:rFonts w:ascii="Times New Roman" w:cs="Times New Roman" w:eastAsia="Times New Roman" w:hAnsi="Times New Roman"/>
          <w:sz w:val="12"/>
          <w:szCs w:val="12"/>
          <w:color w:val="auto"/>
        </w:rPr>
        <w:t xml:space="preserve"> unless such action is conditioned upon consummation of the transactions contemplated hereby.</w:t>
      </w:r>
    </w:p>
    <w:p>
      <w:pPr>
        <w:spacing w:after="0" w:line="278" w:lineRule="exact"/>
        <w:rPr>
          <w:rFonts w:ascii="Times New Roman" w:cs="Times New Roman" w:eastAsia="Times New Roman" w:hAnsi="Times New Roman"/>
          <w:sz w:val="12"/>
          <w:szCs w:val="12"/>
          <w:color w:val="auto"/>
        </w:rPr>
      </w:pPr>
    </w:p>
    <w:p>
      <w:pPr>
        <w:ind w:left="640" w:right="699" w:firstLine="693"/>
        <w:spacing w:after="0" w:line="269" w:lineRule="auto"/>
        <w:tabs>
          <w:tab w:leader="none" w:pos="1515"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shall have the right to control the overall strategy with respect to the transactions contemplated by this Agreement under the Antitrust Laws;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each of Parent and Merger Sub, on the one hand, and the Company, on the other hand, shall use its reasonable best efforts to (i) cooperate with each other in connection with any filing or submission with any Governmental Entity and in connection with any investigation or other inquiry by any Governmental Entity, including any proceeding before any Governmental Entity that is initiated by a private party;</w:t>
      </w:r>
    </w:p>
    <w:p>
      <w:pPr>
        <w:ind w:left="640" w:right="699" w:hanging="3"/>
        <w:spacing w:after="0" w:line="263" w:lineRule="auto"/>
        <w:tabs>
          <w:tab w:leader="none" w:pos="826"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contemplated by this Agreement;</w:t>
      </w:r>
    </w:p>
    <w:p>
      <w:pPr>
        <w:spacing w:after="0" w:line="1" w:lineRule="exact"/>
        <w:rPr>
          <w:rFonts w:ascii="Times New Roman" w:cs="Times New Roman" w:eastAsia="Times New Roman" w:hAnsi="Times New Roman"/>
          <w:sz w:val="12"/>
          <w:szCs w:val="12"/>
          <w:color w:val="auto"/>
        </w:rPr>
      </w:pPr>
    </w:p>
    <w:p>
      <w:pPr>
        <w:ind w:left="640" w:right="1139" w:hanging="3"/>
        <w:spacing w:after="0" w:line="246" w:lineRule="auto"/>
        <w:tabs>
          <w:tab w:leader="none" w:pos="86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notify the other Party of any material and substantive communication received by such Party from, or given by such Party to, any Governmental Entity regarding any of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4" w:name="page55"/>
    <w:bookmarkEnd w:id="54"/>
    <w:p>
      <w:pPr>
        <w:ind w:left="640" w:right="8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transactions contemplated hereby; (iv) respond as promptly as reasonably practicable to any inquiries received from, and supply as promptly as reasonably practicable any additional information or documentation that may be requested by any Governmental Entity in connection with the transactions contemplated hereby;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contemplated hereby;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each Party shall be entitled to redact materials (1) as necessary to comply with contractual obligations, (2) as necessary to address reasonable legal privilege or confidentiality concerns or (3) to the extent relating to Company valuation and similar matters relating to the Merger.</w:t>
      </w:r>
    </w:p>
    <w:p>
      <w:pPr>
        <w:spacing w:after="0" w:line="136" w:lineRule="exact"/>
        <w:rPr>
          <w:sz w:val="20"/>
          <w:szCs w:val="20"/>
          <w:color w:val="auto"/>
        </w:rPr>
      </w:pPr>
    </w:p>
    <w:p>
      <w:pPr>
        <w:ind w:left="640" w:right="799" w:firstLine="693"/>
        <w:spacing w:after="0" w:line="255" w:lineRule="auto"/>
        <w:tabs>
          <w:tab w:leader="none" w:pos="150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independently participate in any substantive meeting with any Governmental Entity in respect of any filing, investigation or other inquiry relating to the transactions contemplated hereby without giving the other Parties prior notice of such meeting and, to the extent permitted by such Governmental Entity, giving the other Parties the opportunity to attend or participate in such meeting.</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68" w:lineRule="auto"/>
        <w:tabs>
          <w:tab w:leader="none" w:pos="15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give prompt written notice to Parent, and Parent shall give prompt written notice to the Company, of (i) any material written notice or other written communication received by such Party from any Governmental Entity in connection with the Merger or any of the other transactions contemplated hereby, (ii) any written notice or other written communication received by such Party from any Person alleging that the consent of such Person is or may be required in connection with the Merger or any of the other transactions contemplated hereby, if the subject matter of such communication or the failure of such Party to obtain such consent could reasonably be expected to be material to the Company, the Surviving Company or Parent and (iii) any Action commenced or, to such Party’s knowledge, threatened in writing against, relating to or involving or otherwise affecting such Party or any of its subsidiaries or Affiliates which relate to the Merger or any of the other transactions contemplated 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delivery of any notice pursuant to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shall not (i) cure any breach of, or non-compliance with, any other provision of this Agreement or (ii) limit the remedies available to the Party receiving such notice. The Parties agree and acknowledge that the failure to give prompt notice pursuant to this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 xml:space="preserve"> in and of itself shall not constitute a failure of a condition set forth in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color w:val="auto"/>
        </w:rPr>
      </w:pPr>
    </w:p>
    <w:p>
      <w:pPr>
        <w:ind w:left="640" w:right="919" w:firstLine="693"/>
        <w:spacing w:after="0" w:line="267" w:lineRule="auto"/>
        <w:tabs>
          <w:tab w:leader="none" w:pos="151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the generality of the foregoing, the Company shall provide to Parent the information set forth in, and pursuant to, </w:t>
      </w:r>
      <w:r>
        <w:rPr>
          <w:rFonts w:ascii="Times New Roman" w:cs="Times New Roman" w:eastAsia="Times New Roman" w:hAnsi="Times New Roman"/>
          <w:sz w:val="13"/>
          <w:szCs w:val="13"/>
          <w:u w:val="single" w:color="auto"/>
          <w:color w:val="auto"/>
        </w:rPr>
        <w:t>Section 6.5(b)</w:t>
      </w:r>
      <w:r>
        <w:rPr>
          <w:rFonts w:ascii="Times New Roman" w:cs="Times New Roman" w:eastAsia="Times New Roman" w:hAnsi="Times New Roman"/>
          <w:sz w:val="13"/>
          <w:szCs w:val="13"/>
          <w:color w:val="auto"/>
        </w:rPr>
        <w:t xml:space="preserve"> of the Company Disclosure Letter.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5" w:name="page56"/>
    <w:bookmarkEnd w:id="5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6.6 </w:t>
      </w:r>
      <w:r>
        <w:rPr>
          <w:rFonts w:ascii="Times New Roman" w:cs="Times New Roman" w:eastAsia="Times New Roman" w:hAnsi="Times New Roman"/>
          <w:sz w:val="13"/>
          <w:szCs w:val="13"/>
          <w:u w:val="single" w:color="auto"/>
          <w:color w:val="auto"/>
        </w:rPr>
        <w:t>Access to Information; Confidentiality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9" w:lineRule="auto"/>
        <w:tabs>
          <w:tab w:leader="none" w:pos="1508"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the date hereof until the earlier of the Effective Time and the valid termination of this Agreement in accordance with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upon reasonable prior written notice from Parent, the Company shall, and shall, at Parent’s sole cost and expense, use its reasonable best efforts to cause its subsidiaries, officers, directors and employees to, (i) afford Parent and its Representatives reasonable access, consistent with applicable Law, at normal business hours to the Company’s and its subsidiaries’ respective senior officers and key employees, properties, offices, books and records, and</w:t>
      </w:r>
    </w:p>
    <w:p>
      <w:pPr>
        <w:ind w:left="640" w:right="679" w:hanging="3"/>
        <w:spacing w:after="0" w:line="265" w:lineRule="auto"/>
        <w:tabs>
          <w:tab w:leader="none" w:pos="82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to Parent reasonably promptly such existing financial, operating and other data and information concerning the Company’s and its subsidiaries’ businesses and properties as Parent or its Representatives may from time to time reasonably request. Notwithstanding the foregoing, any such investigation or consultation shall be conducted in such a manner as not to interfere unreasonably with the business or operations of the Company or its subsidiaries or the prompt and timely discharge by such officers or employees of their normal duties. Neither the Company nor any of its subsidiaries shall be required to provide access or to disclose information where such access or disclosure would (x) jeopardize any attorney-client privilege, work-product doctrine or other applicable legal privilege of the Company or any of its subsidiaries or contravene any applicable Law or requirements of any Governmental Entity or any binding agreement entered into prior to the date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Parent’s written request, the Company shall, and shall cause its subsidiaries to, use reasonable best efforts to cooperate with Parent in seeking and obtaining any consent or waiver or other arrangement to allow disclosure of such information in a manner that would not result in such violation, contravention, prejudice, or loss of privilege), (y) relate to an Acquisition Proposal, a Change of Recommendation, a Superior Proposal or an Intervening Event (except to the extent required pursuant to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or (z) result in the disclosure of any trade secret to a third party. All requests for information made pursuant to this </w:t>
      </w:r>
      <w:r>
        <w:rPr>
          <w:rFonts w:ascii="Times New Roman" w:cs="Times New Roman" w:eastAsia="Times New Roman" w:hAnsi="Times New Roman"/>
          <w:sz w:val="12"/>
          <w:szCs w:val="12"/>
          <w:u w:val="single" w:color="auto"/>
          <w:color w:val="auto"/>
        </w:rPr>
        <w:t>Section 6.6(a)</w:t>
      </w:r>
      <w:r>
        <w:rPr>
          <w:rFonts w:ascii="Times New Roman" w:cs="Times New Roman" w:eastAsia="Times New Roman" w:hAnsi="Times New Roman"/>
          <w:sz w:val="12"/>
          <w:szCs w:val="12"/>
          <w:color w:val="auto"/>
        </w:rPr>
        <w:t xml:space="preserve"> shall be directed to an officer of the Company or such other Person designated by the Company to Parent.</w:t>
      </w:r>
    </w:p>
    <w:p>
      <w:pPr>
        <w:spacing w:after="0" w:line="129"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15"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the information disclosed pursuant to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each of Parent and Merger Sub shall comply with, and shall cause their respective Representatives to comply with, all of their respective obligations under the confidentiality agreement, dated March 4, 2026, between the Company and Parent (as amended, restated, supplemented or otherwise modified from time to time, the “</w:t>
      </w:r>
      <w:r>
        <w:rPr>
          <w:rFonts w:ascii="Times New Roman" w:cs="Times New Roman" w:eastAsia="Times New Roman" w:hAnsi="Times New Roman"/>
          <w:sz w:val="13"/>
          <w:szCs w:val="13"/>
          <w:u w:val="single" w:color="auto"/>
          <w:color w:val="auto"/>
        </w:rPr>
        <w:t>Confidentiality Agreement</w:t>
      </w:r>
      <w:r>
        <w:rPr>
          <w:rFonts w:ascii="Times New Roman" w:cs="Times New Roman" w:eastAsia="Times New Roman" w:hAnsi="Times New Roman"/>
          <w:sz w:val="13"/>
          <w:szCs w:val="13"/>
          <w:color w:val="auto"/>
        </w:rPr>
        <w:t xml:space="preserve">”), which shall remain in full force and effect in accordance with its terms; it being understood that Parent and Merger Sub may disclose any such information to the Financing Sources;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Financing Sources are subject to the confidentiality arrangements and requirements of “Representatives” under the Confidentiality Agreement. Parent shall be responsible for any unauthorized disclosure of any such information provided or made available pursuant to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xml:space="preserve"> by its Representatives.</w:t>
      </w:r>
    </w:p>
    <w:p>
      <w:pPr>
        <w:spacing w:after="0" w:line="136" w:lineRule="exact"/>
        <w:rPr>
          <w:sz w:val="20"/>
          <w:szCs w:val="20"/>
          <w:color w:val="auto"/>
        </w:rPr>
      </w:pPr>
    </w:p>
    <w:p>
      <w:pPr>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t xml:space="preserve">Section 6.7 </w:t>
      </w:r>
      <w:r>
        <w:rPr>
          <w:rFonts w:ascii="Times New Roman" w:cs="Times New Roman" w:eastAsia="Times New Roman" w:hAnsi="Times New Roman"/>
          <w:sz w:val="12"/>
          <w:szCs w:val="12"/>
          <w:u w:val="single" w:color="auto"/>
          <w:color w:val="auto"/>
        </w:rPr>
        <w:t>Stock Exchange Delisting</w:t>
      </w:r>
      <w:r>
        <w:rPr>
          <w:rFonts w:ascii="Times New Roman" w:cs="Times New Roman" w:eastAsia="Times New Roman" w:hAnsi="Times New Roman"/>
          <w:sz w:val="12"/>
          <w:szCs w:val="12"/>
          <w:color w:val="auto"/>
        </w:rPr>
        <w:t>. Prior to the Effective Time, the Company shall reasonably cooperate with Parent and use its reasonable best efforts to take, or cause to be taken, all actions, and do or cause to be done all things, reasonably necessary, proper or advisable on its part under applicable Laws and rules and policies of the Nasdaq Global Market to enable the delisting by the Surviving Company of the Ordinary Shares from the Nasdaq Global Market and the deregistration of the Ordinary Shares under the Exchange Act as promptly as practicable after the Effective Time.</w:t>
      </w:r>
    </w:p>
    <w:p>
      <w:pPr>
        <w:spacing w:after="0" w:line="116"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Publicity</w:t>
      </w:r>
      <w:r>
        <w:rPr>
          <w:rFonts w:ascii="Times New Roman" w:cs="Times New Roman" w:eastAsia="Times New Roman" w:hAnsi="Times New Roman"/>
          <w:sz w:val="13"/>
          <w:szCs w:val="13"/>
          <w:color w:val="auto"/>
        </w:rPr>
        <w:t xml:space="preserve">. Except as may be required by applicable Law, the press release announcing the execution of this Agreement shall be issued only in such form as shall be mutually agreed upon by the Company and Parent. Thereafter, at any time prior to the earlier of the Effective Time and the valid termination of this Agreement pursuant to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except as may be required by applicable Law, the Company and Parent shall consult with each other before the Company or Parent issues any press release, has any communication with the press, making any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6" w:name="page57"/>
    <w:bookmarkEnd w:id="5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public statement with respect to this Agreement or the transactions (including the Merger) contemplated by this Agreement, and shall provide each other a reasonable opportunity to review and comment on (and reasonably consider such proposed comments), such press releases, communication or public statement. Notwithstanding the foregoing, the restrictions set forth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not apply to any release or announcement made or proposed to be made by the Company, Parent or Merger Sub in connection with a Change of Recommendation made in compliance with this Agreement. Notwithstanding the foregoing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and subject to the compliance with applicable Confidentiality Agreements, Parent, Merger Sub and their respective Affiliates may provide communications regarding this Agreement and the transactions contemplated hereby (to the extent consistent with prior public disclosures by the Parties made in accordance with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to existing or prospective general and limited partners, equity holders, members, managers, investors of any Affiliates of such Person, any Financing Sources or any of their Affiliates or professional advisers, in each case, who are subject to customary confidentiality restrictions.</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6.9 </w:t>
      </w:r>
      <w:r>
        <w:rPr>
          <w:rFonts w:ascii="Times New Roman" w:cs="Times New Roman" w:eastAsia="Times New Roman" w:hAnsi="Times New Roman"/>
          <w:sz w:val="13"/>
          <w:szCs w:val="13"/>
          <w:u w:val="single" w:color="auto"/>
          <w:color w:val="auto"/>
        </w:rPr>
        <w:t>Employee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twelve (12) months following the Effective Time (the “</w:t>
      </w:r>
      <w:r>
        <w:rPr>
          <w:rFonts w:ascii="Times New Roman" w:cs="Times New Roman" w:eastAsia="Times New Roman" w:hAnsi="Times New Roman"/>
          <w:sz w:val="12"/>
          <w:szCs w:val="12"/>
          <w:u w:val="single" w:color="auto"/>
          <w:color w:val="auto"/>
        </w:rPr>
        <w:t>Post-Closing Benefits Continuation Period</w:t>
      </w:r>
      <w:r>
        <w:rPr>
          <w:rFonts w:ascii="Times New Roman" w:cs="Times New Roman" w:eastAsia="Times New Roman" w:hAnsi="Times New Roman"/>
          <w:sz w:val="12"/>
          <w:szCs w:val="12"/>
          <w:color w:val="auto"/>
        </w:rPr>
        <w:t>”), Parent shall provide, or shall cause the Surviving Company or its subsidiaries to provide, to each employee of the Company or its subsidiaries who continues to be employed by the Surviving Company or any subsidiary thereof immediately following the Closing Date (the “</w:t>
      </w:r>
      <w:r>
        <w:rPr>
          <w:rFonts w:ascii="Times New Roman" w:cs="Times New Roman" w:eastAsia="Times New Roman" w:hAnsi="Times New Roman"/>
          <w:sz w:val="12"/>
          <w:szCs w:val="12"/>
          <w:u w:val="single" w:color="auto"/>
          <w:color w:val="auto"/>
        </w:rPr>
        <w:t>Continuing Employees</w:t>
      </w:r>
      <w:r>
        <w:rPr>
          <w:rFonts w:ascii="Times New Roman" w:cs="Times New Roman" w:eastAsia="Times New Roman" w:hAnsi="Times New Roman"/>
          <w:sz w:val="12"/>
          <w:szCs w:val="12"/>
          <w:color w:val="auto"/>
        </w:rPr>
        <w:t>”),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shall, or shall cause the Surviving Company or its subsidiaries to provide each Continuing Employee with severance benefits that are no less favorable than the severance benefits of the Company or any of its subsidiaries set forth on</w:t>
      </w:r>
    </w:p>
    <w:p>
      <w:pPr>
        <w:spacing w:after="0" w:line="4"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6.9(a)</w:t>
      </w:r>
      <w:r>
        <w:rPr>
          <w:rFonts w:ascii="Times New Roman" w:cs="Times New Roman" w:eastAsia="Times New Roman" w:hAnsi="Times New Roman"/>
          <w:sz w:val="13"/>
          <w:szCs w:val="13"/>
          <w:color w:val="auto"/>
        </w:rPr>
        <w:t xml:space="preserve"> of the Company Disclosure Letter.</w:t>
      </w:r>
    </w:p>
    <w:p>
      <w:pPr>
        <w:spacing w:after="0" w:line="140" w:lineRule="exact"/>
        <w:rPr>
          <w:rFonts w:ascii="Times New Roman" w:cs="Times New Roman" w:eastAsia="Times New Roman" w:hAnsi="Times New Roman"/>
          <w:sz w:val="12"/>
          <w:szCs w:val="12"/>
          <w:color w:val="auto"/>
        </w:rPr>
      </w:pPr>
    </w:p>
    <w:p>
      <w:pPr>
        <w:ind w:left="640" w:right="699" w:firstLine="693"/>
        <w:spacing w:after="0" w:line="246" w:lineRule="auto"/>
        <w:tabs>
          <w:tab w:leader="none" w:pos="1515"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w:t>
      </w:r>
      <w:r>
        <w:rPr>
          <w:rFonts w:ascii="Times New Roman" w:cs="Times New Roman" w:eastAsia="Times New Roman" w:hAnsi="Times New Roman"/>
          <w:sz w:val="13"/>
          <w:szCs w:val="13"/>
          <w:u w:val="single" w:color="auto"/>
          <w:color w:val="auto"/>
        </w:rPr>
        <w:t>Parent Plan</w:t>
      </w:r>
      <w:r>
        <w:rPr>
          <w:rFonts w:ascii="Times New Roman" w:cs="Times New Roman" w:eastAsia="Times New Roman" w:hAnsi="Times New Roman"/>
          <w:sz w:val="13"/>
          <w:szCs w:val="13"/>
          <w:color w:val="auto"/>
        </w:rPr>
        <w:t xml:space="preserve">”), for purposes of determining eligibility to participate, level of benefits, benefit accruals and vesting, each Continuing Employee’s service with the Company or any of its subsidiaries (as well as service with any predecessor employer) prior to the Closing Date shall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shall not apply to the extent that it would result in any duplication of benefits, compensation, or coverage for the same period of service.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7" w:name="page58"/>
    <w:bookmarkEnd w:id="57"/>
    <w:p>
      <w:pPr>
        <w:ind w:left="640" w:right="659" w:firstLine="693"/>
        <w:spacing w:after="0" w:line="270" w:lineRule="auto"/>
        <w:tabs>
          <w:tab w:leader="none" w:pos="150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respect to any Parent Plan that provides health benefits, Parent shall, or shall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79" w:lineRule="auto"/>
        <w:tabs>
          <w:tab w:leader="none" w:pos="1515"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prior to the Closing Date, the Company shall have the right to pay, at the higher of (x) target levels and (y) levels based on actual performance as of as soon as practicable prior to the Effective Time calculated by the Board of Directors or a committee thereof, annual bonuses for the calendar year of the Closing (without pro-ration),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payment right shall not apply to the extent that such payment would or could result in a duplication of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bonus amount provided to such recipient under the terms of an applicable Company Plan.</w:t>
      </w:r>
    </w:p>
    <w:p>
      <w:pPr>
        <w:spacing w:after="0" w:line="116" w:lineRule="exact"/>
        <w:rPr>
          <w:rFonts w:ascii="Times New Roman" w:cs="Times New Roman" w:eastAsia="Times New Roman" w:hAnsi="Times New Roman"/>
          <w:sz w:val="12"/>
          <w:szCs w:val="12"/>
          <w:color w:val="auto"/>
        </w:rPr>
      </w:pPr>
    </w:p>
    <w:p>
      <w:pPr>
        <w:ind w:left="640" w:right="679" w:firstLine="693"/>
        <w:spacing w:after="0" w:line="251" w:lineRule="auto"/>
        <w:tabs>
          <w:tab w:leader="none" w:pos="1505"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accrued but unused vacation and paid time off to which any Continuing Employee is entitled pursuant to the vacation and paid time off policies applicable to such Continuing Employee immediately prior to the Effective Time, Parent shall, or shall cause its subsidiaries, including the Surviving Company to, assume the liability for such accrued vacation and paid time off and allow such Continuing Employee to use such accrued vacation and paid time off in accordance with the practice and policies of the Company.</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66" w:lineRule="auto"/>
        <w:tabs>
          <w:tab w:leader="none" w:pos="1494"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Nothing in this Agreement shall confer upon any Continuing Employee or any other Person any right to employment (or any term or condition of employment) or to continue in the employ or service of Parent, the Surviving Company or any subsidiary or Affiliate of Parent or the Surviving Company, or shall interfere with or restrict in any way the rights of Parent, the Surviving Company or any subsidiary or Affiliate of Parent or the Surviving Company, which rights are hereby expressly reserved, to discharge or terminate the services of any Person or any Continuing Employee at any time and for any reason whatsoever, with or without cause, subject to the terms of any applicable Company Plan or Law. Notwithstanding any provision in this Agreement to the contrary, nothing in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shall (i) be deemed or construed to be an amendment, termination or other modification of any Company Plan or any other benefit or compensation plan, program, policy, agreement or arrangement, (ii) prevent Parent, the Surviving Company or any subsidiary or Affiliate of Parent or the Surviving Company from amending or terminating any Company Plans or any benefit or compensation plan, program, policy, agreement or arrangement at any time assumed, established, sponsored or maintained by any of them, or</w:t>
      </w:r>
    </w:p>
    <w:p>
      <w:pPr>
        <w:spacing w:after="0" w:line="1" w:lineRule="exact"/>
        <w:rPr>
          <w:rFonts w:ascii="Times New Roman" w:cs="Times New Roman" w:eastAsia="Times New Roman" w:hAnsi="Times New Roman"/>
          <w:sz w:val="12"/>
          <w:szCs w:val="12"/>
          <w:color w:val="auto"/>
        </w:rPr>
      </w:pPr>
    </w:p>
    <w:p>
      <w:pPr>
        <w:ind w:left="640" w:right="739" w:hanging="3"/>
        <w:spacing w:after="0" w:line="246" w:lineRule="auto"/>
        <w:tabs>
          <w:tab w:leader="none" w:pos="861"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any third-party beneficiary or other rights or remedies in any Person, other than the Parties, including any current or former service provider of the Company or its Affiliates (or any beneficiaries or dependents thereof).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58" w:name="page59"/>
    <w:bookmarkEnd w:id="5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6.10 </w:t>
      </w:r>
      <w:r>
        <w:rPr>
          <w:rFonts w:ascii="Times New Roman" w:cs="Times New Roman" w:eastAsia="Times New Roman" w:hAnsi="Times New Roman"/>
          <w:sz w:val="13"/>
          <w:szCs w:val="13"/>
          <w:u w:val="single" w:color="auto"/>
          <w:color w:val="auto"/>
        </w:rPr>
        <w:t>Directors’ and Officers’ Indemnification and Insurance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Parent shall cause the Surviving Company to indemnify, exculpate and hold harmless each present and former director, officer, member, manager, employee and fiduciary of the Company or any of its subsidiaries (the “</w:t>
      </w:r>
      <w:r>
        <w:rPr>
          <w:rFonts w:ascii="Times New Roman" w:cs="Times New Roman" w:eastAsia="Times New Roman" w:hAnsi="Times New Roman"/>
          <w:sz w:val="13"/>
          <w:szCs w:val="13"/>
          <w:u w:val="single" w:color="auto"/>
          <w:color w:val="auto"/>
        </w:rPr>
        <w:t>Indemnified Parties</w:t>
      </w:r>
      <w:r>
        <w:rPr>
          <w:rFonts w:ascii="Times New Roman" w:cs="Times New Roman" w:eastAsia="Times New Roman" w:hAnsi="Times New Roman"/>
          <w:sz w:val="13"/>
          <w:szCs w:val="13"/>
          <w:color w:val="auto"/>
        </w:rPr>
        <w:t>”), against any costs or expenses (including reasonable attorneys’ fees and expenses), judgments, fines, losses, claims, settlements, damages or liabilities 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Effective Time (including with respect to the approval of this Agreement or the transactions contemplated hereby), whether asserted or claimed prior to, at or after the Effective Time, to the fullest extent permitted by applicable Law. Parent shall, or shall cause the Surviving Company to advance expenses (including reasonable legal fees and expenses) on a current basis as incurred in the defense of any such Action or other matter (but no later than thirty (30) days after the submission of invoices) to the fullest extent permitted by applicable Law. Notwithstanding anything to the contrary in this Agreement, Parent shall not, and shall cause the Surviving Company not to, settle or compromise or consent to the entry of any judgment or otherwise seek termination with respect to any Action or other matter in which an Indemnified Party sought or could have sought indemnification unless such settlement, compromise, consent or termination includes an unconditional release of such Indemnified Party from all liability arising out of such Action or other matter.</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70" w:lineRule="auto"/>
        <w:tabs>
          <w:tab w:leader="none" w:pos="151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Parent shall cause the Surviving Company to honor and perform all indemnification, exculpation and advancement obligations to the Indemnified Parties set forth in the Company’s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shall be no less favorable to such Persons than such provisions contained in the Company’s Memorandum and Articles of Association in effect as of the Effective Time, which provisions shall not be amended, repealed or otherwise modified after the Effective Time in any manner that could adversely affect the rights thereunder of any Indemnified Party except to the extent required by applicable Law.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firstLine="693"/>
        <w:spacing w:after="0" w:line="244" w:lineRule="auto"/>
        <w:tabs>
          <w:tab w:leader="none" w:pos="1508"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a period of six (6) years from the Effective Time, Parent shall maintain, or shall cause the Surviving Company to maintain, at no expense to the insureds thereunder, the Company’s directors’ and officers’ liability, fiduciary liability and employment practices liability insurance policy(ies) in effect as of the Effective Time (“</w:t>
      </w:r>
      <w:r>
        <w:rPr>
          <w:rFonts w:ascii="Times New Roman" w:cs="Times New Roman" w:eastAsia="Times New Roman" w:hAnsi="Times New Roman"/>
          <w:sz w:val="13"/>
          <w:szCs w:val="13"/>
          <w:u w:val="single" w:color="auto"/>
          <w:color w:val="auto"/>
        </w:rPr>
        <w:t>Current Insurance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or the Surviving Company may substitute therefor policies of at least the same coverage containing terms and conditions that are not less advantageous to the insureds thereunder from insurance carrier(s) with the same or better A.M. Best financial strength rating as the insurance carrier(s) of the Current Insurance) with respect to claims and other matters arising out of acts, omissions and other matters existing or occurring at or before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Parent and the Surviving Company shall not be required to expend for such insurance an aggregate premium in excess of three hundred percent (300%) of the aggregate annual premium for the Current Insurance (“</w:t>
      </w:r>
      <w:r>
        <w:rPr>
          <w:rFonts w:ascii="Times New Roman" w:cs="Times New Roman" w:eastAsia="Times New Roman" w:hAnsi="Times New Roman"/>
          <w:sz w:val="13"/>
          <w:szCs w:val="13"/>
          <w:u w:val="single" w:color="auto"/>
          <w:color w:val="auto"/>
        </w:rPr>
        <w:t>Maximum Amount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such insurance is not available for the Maximum Amount, then Parent or the Surviving Company shall obtain directors’ and officers’ liability, fiduciary liability and employment practices liability insurance with the most favorable coverage available for a cost not exceeding the Maximum Amount. 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shall (and Parent shall cause the Surviving Company to) maintain such “tail” insurance in full force and effect and continue to honor their respective obligations thereunder.</w:t>
      </w:r>
    </w:p>
    <w:p>
      <w:pPr>
        <w:spacing w:after="0" w:line="145"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or shall cause the Surviving Company to advance, and cause to be paid, on a current basis (but no later than thirty</w:t>
      </w:r>
    </w:p>
    <w:p>
      <w:pPr>
        <w:spacing w:after="0" w:line="15" w:lineRule="exact"/>
        <w:rPr>
          <w:rFonts w:ascii="Times New Roman" w:cs="Times New Roman" w:eastAsia="Times New Roman" w:hAnsi="Times New Roman"/>
          <w:sz w:val="13"/>
          <w:szCs w:val="13"/>
          <w:color w:val="auto"/>
        </w:rPr>
      </w:pPr>
    </w:p>
    <w:p>
      <w:pPr>
        <w:ind w:left="640" w:right="1039" w:hanging="3"/>
        <w:spacing w:after="0" w:line="246" w:lineRule="auto"/>
        <w:tabs>
          <w:tab w:leader="none" w:pos="88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days after the submission of invoices) all attorneys’ fees, costs and expenses incurred in enforcing such Indemnified Party’s rights under this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jc w:val="both"/>
        <w:ind w:left="640" w:right="659" w:firstLine="693"/>
        <w:spacing w:after="0" w:line="279" w:lineRule="auto"/>
        <w:tabs>
          <w:tab w:leader="none" w:pos="1508" w:val="left"/>
        </w:tabs>
        <w:numPr>
          <w:ilvl w:val="1"/>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Parent or the Surviving Company or any of their respective successors or assigns (i) shall consolidate or amalgamate with or merge into any other corporation or entity and shall not be the continuing, merged or surviving company or entity of such consolidation or merger or (ii) shall transfer all or substantially all of its properties or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w:t>
      </w:r>
    </w:p>
    <w:p>
      <w:pPr>
        <w:spacing w:after="0" w:line="116"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494"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xml:space="preserve"> shall survive the Merger and, following the Effective Time, are intended to be for the benefit of, and shall be enforceable by, each of the Indemnified Parties and each of their respective heirs, estates, executors, representatives, successors and assigns, each of which shall be a third-party beneficiary of the provisions of this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515" w:val="left"/>
        </w:tabs>
        <w:numPr>
          <w:ilvl w:val="1"/>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rights of the Indemnified Parties under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shall be in addition to any rights such Indemnified Parties may have under the Memorandum and Articles of Association of the Company or the comparable governing instruments of any of its subsidiaries, or under any applicable Contracts or Laws. Nothing in this Agreement is intended to, shall be construed to or shall release, waive or impair any rights to insurance under any insurance policy that is or has been in existence with respect to the Company, the Indemnified Parties or any other insured persons, it being understood that the indemnification provided for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is not in substitution for any such claims under any such insurance policies.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0" w:name="page61"/>
    <w:bookmarkEnd w:id="6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6.11 </w:t>
      </w:r>
      <w:r>
        <w:rPr>
          <w:rFonts w:ascii="Times New Roman" w:cs="Times New Roman" w:eastAsia="Times New Roman" w:hAnsi="Times New Roman"/>
          <w:sz w:val="13"/>
          <w:szCs w:val="13"/>
          <w:u w:val="single" w:color="auto"/>
          <w:color w:val="auto"/>
        </w:rPr>
        <w:t>Parent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Merger Sub shall use their respective reasonable best efforts to take, or cause to be taken, all actions and to do, or cause to be done, all things reasonably necessary or advisable to arrange and consummate the Financing on the terms and conditions described in or contemplated by the Financing Commitments, including using reasonable best efforts to (i) maintain in effect the Financing Commitments, (ii) satisfy (or cause to be satisfied) (or obtain waivers to) on a timely basis all conditions applicable to Parent or Merger Sub to funding in the Financing Commitments and the definitive agreements to be entered into pursuant thereto, (iii) negotiate and enter into definitive agreements with respect thereto (the “</w:t>
      </w:r>
      <w:r>
        <w:rPr>
          <w:rFonts w:ascii="Times New Roman" w:cs="Times New Roman" w:eastAsia="Times New Roman" w:hAnsi="Times New Roman"/>
          <w:sz w:val="12"/>
          <w:szCs w:val="12"/>
          <w:u w:val="single" w:color="auto"/>
          <w:color w:val="auto"/>
        </w:rPr>
        <w:t>Definitive Agreements</w:t>
      </w:r>
      <w:r>
        <w:rPr>
          <w:rFonts w:ascii="Times New Roman" w:cs="Times New Roman" w:eastAsia="Times New Roman" w:hAnsi="Times New Roman"/>
          <w:sz w:val="12"/>
          <w:szCs w:val="12"/>
          <w:color w:val="auto"/>
        </w:rPr>
        <w:t xml:space="preserve">”) on terms and conditions described in the Financing Commitments so that such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shall keep the Company informed on a current and timely basis and in reasonable detail of the status of its efforts to obtain the Financing and of developments concerning the timing of the closing of the Financing. Without limiting the generality of the foregoing, Parent and Merger Sub shall give the Company prompt written notice (A) of any actual or, upon receipt of any written notice or other written communication thereof, threatened violation, breach or default (or any event or circumstance that, with or without notice, lapse of time or both, would reasonably be expected to give rise to any violation, breach or default, but solely to the extent that such event, circumstance, violation, breach or default would reasonably be expected to delay or prevent the Closing or result in failure of Parent to obtain, when taken together with other sources of funds immediately available to Parent, the amount sufficient to consummate the transactions contemplated hereby at Closing) by any party to the Financing Commitments or any Definitive Agreement or any termination of the Financing Commitments or any Definitive Agreement, in each case, that Parent and Merger Sub become aware, (B) of any actual or, upon receipt of any written notice or other written communication thereof, threatened reduction, withdrawal, repudiation or termination of the Financing by any party to the Financing Commitments or (C) if at any time for any reason Parent or Merger Sub has determined in good faith that it will not be able to obtain all or any portion of the Financing on the terms, in the manner or from the sources contemplated by the Financing Commitments or any Definitive Agreement. As soon as reasonably practicable, but in any event within two (2) Business Days following delivery by the Company to Parent of written request therefor, Parent shall provide any information reasonably requested by the Company relating to any circumstance referred to in clauses (A) through (C) of the immediately preceding sentence;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Parent or Merger Sub be required to provide access to or disclose information that would jeopardize any attorney-client privilege of, or conflict with any confidentiality requirements applicable to, to Parent or any of its subsidiaries (as reasonably determined in good faith by Parent). In the event any portion of the Financing becomes unavailable on the terms and conditions contemplated in the Financing Commitments or the Definitive Agreements with respect thereto for any reason, Parent and Merger Sub shall promptly in writing so notify the Company and use their reasonable best efforts to arrange to obtain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1" w:name="page62"/>
    <w:bookmarkEnd w:id="61"/>
    <w:p>
      <w:pPr>
        <w:ind w:left="640" w:right="6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alternative financing, including from alternative sources, as promptly as practicable following the occurrence of such event (i) in an amount, when taken together with other sources of funds immediately available to Parent, sufficient to consummate the transactions contemplated by this Agreement, (ii) on terms not materially less favorable to Parent and Merger Sub than the Financing Commitment as of the date hereof (taking into account any flex provisions contained therein), (iii) containing conditions that are not more onerous to Parent or Merger Sub than those conditions contained in the Financing Commitment as of the date hereof and (iv) which does not contain any Prohibited Modification (any such alternative financing, the “</w:t>
      </w:r>
      <w:r>
        <w:rPr>
          <w:rFonts w:ascii="Times New Roman" w:cs="Times New Roman" w:eastAsia="Times New Roman" w:hAnsi="Times New Roman"/>
          <w:sz w:val="12"/>
          <w:szCs w:val="12"/>
          <w:u w:val="single" w:color="auto"/>
          <w:color w:val="auto"/>
        </w:rPr>
        <w:t>Alternative Financing</w:t>
      </w:r>
      <w:r>
        <w:rPr>
          <w:rFonts w:ascii="Times New Roman" w:cs="Times New Roman" w:eastAsia="Times New Roman" w:hAnsi="Times New Roman"/>
          <w:sz w:val="12"/>
          <w:szCs w:val="12"/>
          <w:color w:val="auto"/>
        </w:rPr>
        <w:t>”). None of Parent and Merger Sub shall, without the prior written consent of the Company, (i) terminate the Financing Commitment or any Definitive Agreement or (ii) agree to or permit any amendments, supplements or modifications to, or grant any waivers of, any condition or other provision under the Financing Commitments or any Definitive Agreements with respect thereto or replace all or any portion of the Financing Commitment or any Definitive Agreement, in each case, to the extent that such amendment, modification, supplement, replacement or waiver would reasonably be expected to (A) reduce the aggregate amount of the Financing such that Parent and Merger Sub would not have funds, when taken together with other sources of funds immediately available to Parent, sufficient to consummate the transactions contemplated by this Agreement,</w:t>
      </w:r>
    </w:p>
    <w:p>
      <w:pPr>
        <w:spacing w:after="0" w:line="5" w:lineRule="exact"/>
        <w:rPr>
          <w:sz w:val="20"/>
          <w:szCs w:val="20"/>
          <w:color w:val="auto"/>
        </w:rPr>
      </w:pPr>
    </w:p>
    <w:p>
      <w:pPr>
        <w:ind w:left="640" w:right="699" w:hanging="3"/>
        <w:spacing w:after="0" w:line="243" w:lineRule="auto"/>
        <w:tabs>
          <w:tab w:leader="none" w:pos="84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adversely affect the ability of Parent or Merger Sub to timely consummate the transactions contemplated by this Agreement, (C) add new or additional conditions or expand any of the existing conditions to the Financing, (D) delay, prevent or impede the Closing or make the timely funding of the Financing or satisfaction of the conditions to obtaining the Financing less likely to occur or (E) adversely affect the ability of Parent or Merger Sub, as applicable, to enforce its rights against the other parties to the Financing Commitment or the Definitive Agreements (the effects described in clauses (A) through (E), collectively, the “</w:t>
      </w:r>
      <w:r>
        <w:rPr>
          <w:rFonts w:ascii="Times New Roman" w:cs="Times New Roman" w:eastAsia="Times New Roman" w:hAnsi="Times New Roman"/>
          <w:sz w:val="13"/>
          <w:szCs w:val="13"/>
          <w:u w:val="single" w:color="auto"/>
          <w:color w:val="auto"/>
        </w:rPr>
        <w:t>Prohibited Modifications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and Merger Sub may amend, supplement or modify the Financing Commitments to (i) add or join lenders, lead arrangers, bookrunners, syndication agent or similar entities as parties thereto who have not executed the Financing Commitment as of the date hereof or (ii) upon prior or substantially concurrent written notice to the Company, reduce or terminate the commitments thereunder as a result of the consummation of an Alternative Financing generating, when taken together with other sources of funds immediately available to Parent, sufficient to consummate the transactions contemplated by this Agreement. Upon any amendment, replacement, supplement or modification of the Financing Commitments made in compliance with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Parent shall provide a copy thereof (other than such amendment, replacement, supplement or modification set forth in clause (i) of the immediately preceding proviso) to the Company and the term “</w:t>
      </w:r>
      <w:r>
        <w:rPr>
          <w:rFonts w:ascii="Times New Roman" w:cs="Times New Roman" w:eastAsia="Times New Roman" w:hAnsi="Times New Roman"/>
          <w:sz w:val="13"/>
          <w:szCs w:val="13"/>
          <w:u w:val="single" w:color="auto"/>
          <w:color w:val="auto"/>
        </w:rPr>
        <w:t>Financing Commitments</w:t>
      </w:r>
      <w:r>
        <w:rPr>
          <w:rFonts w:ascii="Times New Roman" w:cs="Times New Roman" w:eastAsia="Times New Roman" w:hAnsi="Times New Roman"/>
          <w:sz w:val="13"/>
          <w:szCs w:val="13"/>
          <w:color w:val="auto"/>
        </w:rPr>
        <w:t>” shall mean the Financing Commitments as so amended, replaced, supplemented or modified, including any Alternative Financing.</w:t>
      </w:r>
    </w:p>
    <w:p>
      <w:pPr>
        <w:spacing w:after="0" w:line="142"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the Company shall use its reasonable best efforts to provide to Parent and Merger Sub, and shall cause its subsidiaries to use reasonable best efforts to provide to Parent and Merger Sub, at Parent’s sole cost and expense, all reasonable cooperation reasonably requested by Parent that is necessary and customary in accordance with the terms of the Financing or any Alternative Financing, including using reasonable best efforts to take the following actions:</w:t>
      </w:r>
    </w:p>
    <w:p>
      <w:pPr>
        <w:spacing w:after="0" w:line="56" w:lineRule="exact"/>
        <w:rPr>
          <w:rFonts w:ascii="Times New Roman" w:cs="Times New Roman" w:eastAsia="Times New Roman" w:hAnsi="Times New Roman"/>
          <w:sz w:val="13"/>
          <w:szCs w:val="13"/>
          <w:color w:val="auto"/>
        </w:rPr>
      </w:pPr>
    </w:p>
    <w:p>
      <w:pPr>
        <w:ind w:left="940" w:right="759" w:firstLine="675"/>
        <w:spacing w:after="0" w:line="251" w:lineRule="auto"/>
        <w:tabs>
          <w:tab w:leader="none" w:pos="1759" w:val="left"/>
        </w:tabs>
        <w:numPr>
          <w:ilvl w:val="2"/>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2" w:name="page63"/>
    <w:bookmarkEnd w:id="62"/>
    <w:p>
      <w:pPr>
        <w:ind w:left="940" w:right="699" w:firstLine="675"/>
        <w:spacing w:after="0" w:line="270" w:lineRule="auto"/>
        <w:tabs>
          <w:tab w:leader="none" w:pos="179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customer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information distributed (including any authorization letters) shall contain customary language which shall exculpate the Company and its Representatives and Affiliates with respect to any liability related to or responsibility for the contents of such information or related marketing materials by the recipients thereof;</w:t>
      </w:r>
    </w:p>
    <w:p>
      <w:pPr>
        <w:spacing w:after="0" w:line="46" w:lineRule="exact"/>
        <w:rPr>
          <w:rFonts w:ascii="Times New Roman" w:cs="Times New Roman" w:eastAsia="Times New Roman" w:hAnsi="Times New Roman"/>
          <w:sz w:val="12"/>
          <w:szCs w:val="12"/>
          <w:color w:val="auto"/>
        </w:rPr>
      </w:pPr>
    </w:p>
    <w:p>
      <w:pPr>
        <w:ind w:left="940" w:right="799" w:firstLine="675"/>
        <w:spacing w:after="0" w:line="267" w:lineRule="auto"/>
        <w:tabs>
          <w:tab w:leader="none" w:pos="1829"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cooperating with the Financing Source’s due diligence efforts, to the extent reasonable and customary for financings similar to the Financing or such other Alternative Financing;</w:t>
      </w:r>
    </w:p>
    <w:p>
      <w:pPr>
        <w:spacing w:after="0" w:line="46"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reasonably assisting with procuring customary payoff letters, lien releases, terminations, deregistrations or filings;</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86" w:lineRule="auto"/>
        <w:tabs>
          <w:tab w:leader="none" w:pos="1787"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w:t>
      </w:r>
    </w:p>
    <w:p>
      <w:pPr>
        <w:spacing w:after="0" w:line="37" w:lineRule="exact"/>
        <w:rPr>
          <w:rFonts w:ascii="Times New Roman" w:cs="Times New Roman" w:eastAsia="Times New Roman" w:hAnsi="Times New Roman"/>
          <w:sz w:val="12"/>
          <w:szCs w:val="12"/>
          <w:color w:val="auto"/>
        </w:rPr>
      </w:pPr>
    </w:p>
    <w:p>
      <w:pPr>
        <w:ind w:left="940" w:right="959" w:firstLine="675"/>
        <w:spacing w:after="0" w:line="274" w:lineRule="auto"/>
        <w:tabs>
          <w:tab w:leader="none" w:pos="1822"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furnishing Parent with customary and reasonably available financial and other information regarding the Company and its subsidiaries as may be reasonably requested by Parent, including the financial statements and information set forth in clauses (a), (b), (c) and</w:t>
      </w:r>
    </w:p>
    <w:p>
      <w:pPr>
        <w:spacing w:after="0" w:line="1"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paragraph 7 of Exhibit C of the Financing Commitments;</w:t>
      </w:r>
    </w:p>
    <w:p>
      <w:pPr>
        <w:spacing w:after="0" w:line="65" w:lineRule="exact"/>
        <w:rPr>
          <w:rFonts w:ascii="Times New Roman" w:cs="Times New Roman" w:eastAsia="Times New Roman" w:hAnsi="Times New Roman"/>
          <w:sz w:val="13"/>
          <w:szCs w:val="13"/>
          <w:color w:val="auto"/>
        </w:rPr>
      </w:pPr>
    </w:p>
    <w:p>
      <w:pPr>
        <w:ind w:left="940" w:right="1019" w:firstLine="675"/>
        <w:spacing w:after="0" w:line="267" w:lineRule="auto"/>
        <w:tabs>
          <w:tab w:leader="none" w:pos="1857"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taking all corporate or other organizational actions, none of which shall become effective prior to the Closing, reasonably requested by Parent to authorize and permit the consummation of the Financing or Alternative Financing;</w:t>
      </w:r>
    </w:p>
    <w:p>
      <w:pPr>
        <w:spacing w:after="0" w:line="46" w:lineRule="exact"/>
        <w:rPr>
          <w:rFonts w:ascii="Times New Roman" w:cs="Times New Roman" w:eastAsia="Times New Roman" w:hAnsi="Times New Roman"/>
          <w:sz w:val="13"/>
          <w:szCs w:val="13"/>
          <w:color w:val="auto"/>
        </w:rPr>
      </w:pPr>
    </w:p>
    <w:p>
      <w:pPr>
        <w:ind w:left="940" w:right="659" w:firstLine="675"/>
        <w:spacing w:after="0" w:line="309" w:lineRule="auto"/>
        <w:tabs>
          <w:tab w:leader="none" w:pos="1892"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information that is readily available to the Company in connection with the preparation of legal opinions that Parent’s legal counsel (or the legal counsel of a Financing Source) may be required to deliver in connection with the Financing or Alternative Financing;</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3" w:name="page64"/>
    <w:bookmarkEnd w:id="63"/>
    <w:p>
      <w:pPr>
        <w:ind w:left="940" w:right="659" w:firstLine="675"/>
        <w:spacing w:after="0" w:line="275" w:lineRule="auto"/>
        <w:tabs>
          <w:tab w:leader="none" w:pos="1822"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assisting in the preparation of, and executing and delivering into escrow, definitive financing documents, including note purchase agreements, credit agreements, guarantee and collateral documents, and customary closing certificates as may be required in connection with the Financing or such Alternative Financing; except as set forth in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it being understood and agreed that no other certificates, resolutions, declarations or otherwise relating to solvency of the Company or any of its affiliates shall be required to be given, in each case, as may be reasonably requested by Parent or the Financing Sources and that, in each case, are not effective until as of, or after, the Closing;</w:t>
      </w:r>
    </w:p>
    <w:p>
      <w:pPr>
        <w:spacing w:after="0" w:line="43" w:lineRule="exact"/>
        <w:rPr>
          <w:rFonts w:ascii="Times New Roman" w:cs="Times New Roman" w:eastAsia="Times New Roman" w:hAnsi="Times New Roman"/>
          <w:sz w:val="12"/>
          <w:szCs w:val="12"/>
          <w:color w:val="auto"/>
        </w:rPr>
      </w:pPr>
    </w:p>
    <w:p>
      <w:pPr>
        <w:ind w:left="940" w:right="739" w:firstLine="675"/>
        <w:spacing w:after="0" w:line="255" w:lineRule="auto"/>
        <w:tabs>
          <w:tab w:leader="none" w:pos="1787"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w:t>
      </w:r>
    </w:p>
    <w:p>
      <w:pPr>
        <w:spacing w:after="0" w:line="54"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taking such actions required by the Financing Reorganization set out in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659"/>
        <w:spacing w:after="0" w:line="244" w:lineRule="auto"/>
        <w:rPr>
          <w:sz w:val="20"/>
          <w:szCs w:val="20"/>
          <w:color w:val="auto"/>
        </w:rPr>
      </w:pPr>
      <w:r>
        <w:rPr>
          <w:rFonts w:ascii="Times New Roman" w:cs="Times New Roman" w:eastAsia="Times New Roman" w:hAnsi="Times New Roman"/>
          <w:sz w:val="13"/>
          <w:szCs w:val="13"/>
          <w:color w:val="auto"/>
        </w:rPr>
        <w:t xml:space="preserve">Nothing in this Agreement (including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will require any such cooperation or action to the extent that it could (A) other than as expressly contemplated by </w:t>
      </w:r>
      <w:r>
        <w:rPr>
          <w:rFonts w:ascii="Times New Roman" w:cs="Times New Roman" w:eastAsia="Times New Roman" w:hAnsi="Times New Roman"/>
          <w:sz w:val="13"/>
          <w:szCs w:val="13"/>
          <w:u w:val="single" w:color="auto"/>
          <w:color w:val="auto"/>
        </w:rPr>
        <w:t>paragraph 2.2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create an obligation to provide any financial statements not described in </w:t>
      </w:r>
      <w:r>
        <w:rPr>
          <w:rFonts w:ascii="Times New Roman" w:cs="Times New Roman" w:eastAsia="Times New Roman" w:hAnsi="Times New Roman"/>
          <w:sz w:val="13"/>
          <w:szCs w:val="13"/>
          <w:u w:val="single" w:color="auto"/>
          <w:color w:val="auto"/>
        </w:rPr>
        <w:t>Section 3.7(b)</w:t>
      </w:r>
      <w:r>
        <w:rPr>
          <w:rFonts w:ascii="Times New Roman" w:cs="Times New Roman" w:eastAsia="Times New Roman" w:hAnsi="Times New Roman"/>
          <w:sz w:val="13"/>
          <w:szCs w:val="13"/>
          <w:color w:val="auto"/>
        </w:rPr>
        <w:t xml:space="preserve"> (unless specifically required by clauses (a), (b), (c) and (d) of paragraph 7 of Exhibit C of the Financing Commitments as in effect on the date hereof or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hereof), (B) 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(C) require the Company or any of its Affiliates or any of their respective subsidiaries or any individual who is a member of the board of directors (or other similar governing body) of such entities (other than those persons appointed as directors of TBIL pursuant to </w:t>
      </w:r>
      <w:r>
        <w:rPr>
          <w:rFonts w:ascii="Times New Roman" w:cs="Times New Roman" w:eastAsia="Times New Roman" w:hAnsi="Times New Roman"/>
          <w:sz w:val="13"/>
          <w:szCs w:val="13"/>
          <w:u w:val="single" w:color="auto"/>
          <w:color w:val="auto"/>
        </w:rPr>
        <w:t>paragraph 3.3(a)</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to pass resolutions or consents to approve, or authorize the execution of, the Financing or any Definitive Agreement (other than any such resolutions or consents that (x) are passed by Persons who will continue as members of the board of directors (or other similar governing body) after the occurrence of the Closing (including those Persons appointed as directors of TBIL pursuant to </w:t>
      </w:r>
      <w:r>
        <w:rPr>
          <w:rFonts w:ascii="Times New Roman" w:cs="Times New Roman" w:eastAsia="Times New Roman" w:hAnsi="Times New Roman"/>
          <w:sz w:val="13"/>
          <w:szCs w:val="13"/>
          <w:u w:val="single" w:color="auto"/>
          <w:color w:val="auto"/>
        </w:rPr>
        <w:t>paragraph 3.3(a)</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and (y) are subject to and conditioned upon, and do not become effective until, the occurrence of the Closing), (D) require the Company or any of its Affiliates or any of their respective subsidiaries or Representatives to enter into, execute or deliver any Contract, solvency certificate or declaration or any other documentation (other than (1) the authorization letter and management representation letters and customary representation letters to auditors referred to in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of this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 xml:space="preserve"> (it being understood that, other than management representation letters and customary representation letters to auditors that are necessary in order to prepare any financial statements or other information that is required to be prepared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4" w:name="page65"/>
    <w:bookmarkEnd w:id="64"/>
    <w:p>
      <w:pPr>
        <w:ind w:left="9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prior to Closing pursuant to </w:t>
      </w:r>
      <w:r>
        <w:rPr>
          <w:rFonts w:ascii="Times New Roman" w:cs="Times New Roman" w:eastAsia="Times New Roman" w:hAnsi="Times New Roman"/>
          <w:sz w:val="12"/>
          <w:szCs w:val="12"/>
          <w:u w:val="single" w:color="auto"/>
          <w:color w:val="auto"/>
        </w:rPr>
        <w:t>paragraph 7</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of the Financing Commitments, any such management representation letters and customary representation letters to auditors shall only be required to be executed or delivered by Persons who will continue as officers of the Company after the occurrence of the Closing), and (2) any such documents that (x) are executed or delivered, as applicable, by Persons who will continue as officers or members of the board of directors (or other similar governing body) of the Company after the occurrence of the Closing (including those Persons appointed as directors of TBIL pursuant to </w:t>
      </w:r>
      <w:r>
        <w:rPr>
          <w:rFonts w:ascii="Times New Roman" w:cs="Times New Roman" w:eastAsia="Times New Roman" w:hAnsi="Times New Roman"/>
          <w:sz w:val="12"/>
          <w:szCs w:val="12"/>
          <w:u w:val="single" w:color="auto"/>
          <w:color w:val="auto"/>
        </w:rPr>
        <w:t>paragraph 3.3(a)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and (y) are subject to and conditioned upon, and do not become effective until, the occurrence of the Closing), (E) impose any personal liability on the officers, directors, managers, employees, advisors, accountants, consultants, auditors, agents or other Representatives of the Company, its Affiliates or its subsidiaries (other than pursuant to the SAP Declaration (as defined in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for those Persons appointed as directors of TBIL pursuant to </w:t>
      </w:r>
      <w:r>
        <w:rPr>
          <w:rFonts w:ascii="Times New Roman" w:cs="Times New Roman" w:eastAsia="Times New Roman" w:hAnsi="Times New Roman"/>
          <w:sz w:val="12"/>
          <w:szCs w:val="12"/>
          <w:u w:val="single" w:color="auto"/>
          <w:color w:val="auto"/>
        </w:rPr>
        <w:t>paragraph 3.3(a)</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ind w:left="940" w:right="699" w:firstLine="7"/>
        <w:spacing w:after="0" w:line="263" w:lineRule="auto"/>
        <w:tabs>
          <w:tab w:leader="none" w:pos="1126"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unreasonably interfere with the operation of the business of the Company or any of its Affiliates or any of their respective subsidiaries or Representatives (it being understood that actions reasonably requested pursuant to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shall be deemed to not unreasonably interfere), (G) cause any representation or warranty in this Agreement to be breached by the Company, its Affiliates or its subsidiaries or require any waiver or amendment of the terms of this Agreement or any Contract to which the Company, its subsidiaries or any of their respective Affiliates is a party, (H) conflict with or result in any violation of the organizational documents of the Company or its subsidiaries or any of their respective Affiliates or any Law, (I) result in the contravention of, or result in a violation or breach of, or a default (with or without notice, lapse of time, or both) under, any Contract to which the Company, its subsidiaries or any of their respective Affiliates is party or by which it is bound, (J) provide access to or disclose information that the Company or its subsidiaries reasonably determines would jeopardize any attorney-client or similar privilege or protection of the Company or any of its Affiliates or any of their respective subsidiaries or Representatives,</w:t>
      </w:r>
    </w:p>
    <w:p>
      <w:pPr>
        <w:spacing w:after="0" w:line="3" w:lineRule="exact"/>
        <w:rPr>
          <w:rFonts w:ascii="Times New Roman" w:cs="Times New Roman" w:eastAsia="Times New Roman" w:hAnsi="Times New Roman"/>
          <w:sz w:val="12"/>
          <w:szCs w:val="12"/>
          <w:color w:val="auto"/>
        </w:rPr>
      </w:pPr>
    </w:p>
    <w:p>
      <w:pPr>
        <w:ind w:left="940" w:right="659" w:firstLine="7"/>
        <w:spacing w:after="0" w:line="243" w:lineRule="auto"/>
        <w:tabs>
          <w:tab w:leader="none" w:pos="114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the SAP Declaration (as defined in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and the solvency certificate required in </w:t>
      </w:r>
      <w:r>
        <w:rPr>
          <w:rFonts w:ascii="Times New Roman" w:cs="Times New Roman" w:eastAsia="Times New Roman" w:hAnsi="Times New Roman"/>
          <w:sz w:val="13"/>
          <w:szCs w:val="13"/>
          <w:u w:val="single" w:color="auto"/>
          <w:color w:val="auto"/>
        </w:rPr>
        <w:t>paragraph 1(b)</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of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shall be provided by those Persons appointed as directors of TBIL pursuant to </w:t>
      </w:r>
      <w:r>
        <w:rPr>
          <w:rFonts w:ascii="Times New Roman" w:cs="Times New Roman" w:eastAsia="Times New Roman" w:hAnsi="Times New Roman"/>
          <w:sz w:val="13"/>
          <w:szCs w:val="13"/>
          <w:u w:val="single" w:color="auto"/>
          <w:color w:val="auto"/>
        </w:rPr>
        <w:t>paragraph 3.3(a)</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(L) other than as expressly contemplated by </w:t>
      </w:r>
      <w:r>
        <w:rPr>
          <w:rFonts w:ascii="Times New Roman" w:cs="Times New Roman" w:eastAsia="Times New Roman" w:hAnsi="Times New Roman"/>
          <w:sz w:val="13"/>
          <w:szCs w:val="13"/>
          <w:u w:val="single" w:color="auto"/>
          <w:color w:val="auto"/>
        </w:rPr>
        <w:t>paragraph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require the Company or any of its Affiliates or their respective subsidiaries or Representatives to provide or prepare any projections, </w:t>
      </w:r>
      <w:r>
        <w:rPr>
          <w:rFonts w:ascii="Times New Roman" w:cs="Times New Roman" w:eastAsia="Times New Roman" w:hAnsi="Times New Roman"/>
          <w:sz w:val="13"/>
          <w:szCs w:val="13"/>
          <w:i w:val="1"/>
          <w:iCs w:val="1"/>
          <w:color w:val="auto"/>
        </w:rPr>
        <w:t>pro forma</w:t>
      </w:r>
      <w:r>
        <w:rPr>
          <w:rFonts w:ascii="Times New Roman" w:cs="Times New Roman" w:eastAsia="Times New Roman" w:hAnsi="Times New Roman"/>
          <w:sz w:val="13"/>
          <w:szCs w:val="13"/>
          <w:color w:val="auto"/>
        </w:rPr>
        <w:t xml:space="preserve"> financial statements or other forward-looking financial information, (M) require the Company or any of its Affiliates or any of their respective subsidiaries or Representatives to deliver or cause to be delivered any opinion of counsel, and (N) other than the assistance contemplated by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of this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 require the Company or any of its Affiliates or any of their respective subsidiaries or Representatives prepare any investor presentations, rating agency presentations, offering documents, private placement memoranda, bank information memoranda (including confidential information memoranda), prospectuses or similar documents.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5" w:name="page66"/>
    <w:bookmarkEnd w:id="65"/>
    <w:p>
      <w:pPr>
        <w:ind w:left="640" w:right="659" w:firstLine="693"/>
        <w:spacing w:after="0" w:line="247" w:lineRule="auto"/>
        <w:tabs>
          <w:tab w:leader="none" w:pos="1508"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(i) shall promptly, upon request by the Company, reimburse the Company for all reasonable and documented out-of-pocket costs incurred by the Company, any of its subsidiaries or their respective Representatives in connection with the cooperation of the Company and its subsidiaries contemplated by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and (ii) shall indemnify and hold harmless the Company and its subsidiaries and their respective Representatives from and against any and all losses suffered or incurred by them in connection with the performance of their respective obligations under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(including any action taken in accordance with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and any information utilized in connection therewith, except in the event such losses arose out of or resulted from written information provided by or on behalf of the Company or its subsidiaries in connection with the Financing.</w:t>
      </w:r>
    </w:p>
    <w:p>
      <w:pPr>
        <w:spacing w:after="0" w:line="136"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hereby consents to the use of the logos of the Company and its subsidiaries by Parent and Merger Sub in connection with the Financing;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and Merger Sub shall ensure that such logos are used solely in a manner that is not reasonably likely to harm or disparage the Company or the Company’s reputation, goodwill or marks.</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5" w:lineRule="auto"/>
        <w:tabs>
          <w:tab w:leader="none" w:pos="150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hereto acknowledge and agree that the provisions contained in </w:t>
      </w:r>
      <w:r>
        <w:rPr>
          <w:rFonts w:ascii="Times New Roman" w:cs="Times New Roman" w:eastAsia="Times New Roman" w:hAnsi="Times New Roman"/>
          <w:sz w:val="12"/>
          <w:szCs w:val="12"/>
          <w:u w:val="single" w:color="auto"/>
          <w:color w:val="auto"/>
        </w:rPr>
        <w:t>Section 6.11(b)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 represent the sole obligation of the Company and its Affiliates and any of their respective subsidiaries or Representatives with respect to cooperation in connection with the arrangement of any financing (including the Financing) to be obtained by Parent or Merger Sub with respect to the transactions contemplated by this Agreement (including the Financing Commitment), and no other provision of this Agreement, any other Transaction Document or the Financing Commitment shall be deemed to expand or modify such obligations. Notwithstanding anything contained in this Agreement to the contrary, Parent expressly acknowledges and agrees that any breach by the Company of </w:t>
      </w:r>
      <w:r>
        <w:rPr>
          <w:rFonts w:ascii="Times New Roman" w:cs="Times New Roman" w:eastAsia="Times New Roman" w:hAnsi="Times New Roman"/>
          <w:sz w:val="12"/>
          <w:szCs w:val="12"/>
          <w:u w:val="single" w:color="auto"/>
          <w:color w:val="auto"/>
        </w:rPr>
        <w:t>Section 6.11(b)</w:t>
      </w:r>
      <w:r>
        <w:rPr>
          <w:rFonts w:ascii="Times New Roman" w:cs="Times New Roman" w:eastAsia="Times New Roman" w:hAnsi="Times New Roman"/>
          <w:sz w:val="12"/>
          <w:szCs w:val="12"/>
          <w:color w:val="auto"/>
        </w:rPr>
        <w:t xml:space="preserve"> shall be deemed not to constitute a breach for all of purposes of this Agreement (including for purposes of </w:t>
      </w:r>
      <w:r>
        <w:rPr>
          <w:rFonts w:ascii="Times New Roman" w:cs="Times New Roman" w:eastAsia="Times New Roman" w:hAnsi="Times New Roman"/>
          <w:sz w:val="12"/>
          <w:szCs w:val="12"/>
          <w:u w:val="single" w:color="auto"/>
          <w:color w:val="auto"/>
        </w:rPr>
        <w:t>Articles VII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VIII</w:t>
      </w:r>
      <w:r>
        <w:rPr>
          <w:rFonts w:ascii="Times New Roman" w:cs="Times New Roman" w:eastAsia="Times New Roman" w:hAnsi="Times New Roman"/>
          <w:sz w:val="12"/>
          <w:szCs w:val="12"/>
          <w:color w:val="auto"/>
        </w:rPr>
        <w:t xml:space="preserve">) unless (w) the Financing or any Alternative Financing, has not been consummated as a result of the failure of any condition precedent to the funding of the Financing or such other financing, (x) the Company has materially breached its obligations under </w:t>
      </w:r>
      <w:r>
        <w:rPr>
          <w:rFonts w:ascii="Times New Roman" w:cs="Times New Roman" w:eastAsia="Times New Roman" w:hAnsi="Times New Roman"/>
          <w:sz w:val="12"/>
          <w:szCs w:val="12"/>
          <w:u w:val="single" w:color="auto"/>
          <w:color w:val="auto"/>
        </w:rPr>
        <w:t>Section 6.11(b)</w:t>
      </w:r>
      <w:r>
        <w:rPr>
          <w:rFonts w:ascii="Times New Roman" w:cs="Times New Roman" w:eastAsia="Times New Roman" w:hAnsi="Times New Roman"/>
          <w:sz w:val="12"/>
          <w:szCs w:val="12"/>
          <w:color w:val="auto"/>
        </w:rPr>
        <w:t>, (y) such breach is the proximate cause of the Financing or such other financing not being consummated and (z) Parent has notified the Company of such breach in writing a reasonably sufficient amount of time prior to the End Date to afford the Company with reasonable opportunity to cure such breach (detailing in good faith (I) reasonable specificity as to the basis for any such breach and</w:t>
      </w:r>
    </w:p>
    <w:p>
      <w:pPr>
        <w:spacing w:after="0" w:line="4"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reasonable steps that comply with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 xml:space="preserve"> in order to cure such breach) and the Company has not taken such steps or otherwise cured such breach within such time as would reasonably permit Parent and Merger Sub to consummate the Financing or such Alternative Financing prior to the End Date.</w:t>
      </w:r>
    </w:p>
    <w:p>
      <w:pPr>
        <w:spacing w:after="0" w:line="135"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494"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or anything else to the contrary in this Agreement, Parent and Merger Sub expressly acknowledge and agree that (i) obtaining the Financing (or any financing) is not a condition to the Closing and (ii) notwithstanding anything contained in this Agreement to the contrary, the obligations of Parent and Merger Sub hereunder are not conditioned in any manner upon Parent obtaining the Financing, or any other financing.</w:t>
      </w:r>
    </w:p>
    <w:p>
      <w:pPr>
        <w:spacing w:after="0" w:line="133"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Takeover Statute is or may become applicable to the Merger or the other transactions contemplated by this Agreement, each of the Company and Parent shall use its reasonable best efforts to take such actions as are necessary so that such transactions may be consummated as promptly as practicable on the terms contemplated by this Agreement and otherwise act to eliminate or minimize the effects of such Takeover Statute on such transactions.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6" w:name="page67"/>
    <w:bookmarkEnd w:id="66"/>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6.13 </w:t>
      </w:r>
      <w:r>
        <w:rPr>
          <w:rFonts w:ascii="Times New Roman" w:cs="Times New Roman" w:eastAsia="Times New Roman" w:hAnsi="Times New Roman"/>
          <w:sz w:val="13"/>
          <w:szCs w:val="13"/>
          <w:u w:val="single" w:color="auto"/>
          <w:color w:val="auto"/>
        </w:rPr>
        <w:t>Transaction Litigation</w:t>
      </w:r>
      <w:r>
        <w:rPr>
          <w:rFonts w:ascii="Times New Roman" w:cs="Times New Roman" w:eastAsia="Times New Roman" w:hAnsi="Times New Roman"/>
          <w:sz w:val="13"/>
          <w:szCs w:val="13"/>
          <w:color w:val="auto"/>
        </w:rPr>
        <w:t>. In the event that any shareholder litigation related to this Agreement, the Merger or the other transactions contemplated by this Agreement is brought or, to the knowledge of the Company, threatened in writing, against the Company, its officers or any members of the Board of Directors prior to the Effective Time (the “</w:t>
      </w:r>
      <w:r>
        <w:rPr>
          <w:rFonts w:ascii="Times New Roman" w:cs="Times New Roman" w:eastAsia="Times New Roman" w:hAnsi="Times New Roman"/>
          <w:sz w:val="13"/>
          <w:szCs w:val="13"/>
          <w:u w:val="single" w:color="auto"/>
          <w:color w:val="auto"/>
        </w:rPr>
        <w:t>Transaction Litigation</w:t>
      </w:r>
      <w:r>
        <w:rPr>
          <w:rFonts w:ascii="Times New Roman" w:cs="Times New Roman" w:eastAsia="Times New Roman" w:hAnsi="Times New Roman"/>
          <w:sz w:val="13"/>
          <w:szCs w:val="13"/>
          <w:color w:val="auto"/>
        </w:rPr>
        <w:t>”), the Company shall promptly notify Parent of any such Transaction Litigation and shall keep Parent reasonably informed with respect to the status thereof. The Company shall give Parent reasonable opportunity to participate in the defense or settlement of any Transaction Litigation and shall consider in good faith Parent’s advice with respect to such Transaction Litigation. The Company shall not settle or agree to settle any Transaction Litigation, or take any action to settle, without Parent’s prior written consent (which consent shall not be unreasonably withheld, delayed or conditioned).</w:t>
      </w:r>
    </w:p>
    <w:p>
      <w:pPr>
        <w:spacing w:after="0" w:line="136"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u w:val="single" w:color="auto"/>
          <w:color w:val="auto"/>
        </w:rPr>
        <w:t>Resignation of Directors</w:t>
      </w:r>
      <w:r>
        <w:rPr>
          <w:rFonts w:ascii="Times New Roman" w:cs="Times New Roman" w:eastAsia="Times New Roman" w:hAnsi="Times New Roman"/>
          <w:sz w:val="13"/>
          <w:szCs w:val="13"/>
          <w:color w:val="auto"/>
        </w:rPr>
        <w:t xml:space="preserve">. To the extent requested by Parent in writing at least five (5) Business Days prior to the Closing, at the Closing, the Company shall use its reasonable best efforts to cause to be delivered to Parent the resignation of all members of the Board of Directors who are in office immediately prior to the Effective Time (other than those Persons appointed to the board of directors of TBIL pursuant to </w:t>
      </w:r>
      <w:r>
        <w:rPr>
          <w:rFonts w:ascii="Times New Roman" w:cs="Times New Roman" w:eastAsia="Times New Roman" w:hAnsi="Times New Roman"/>
          <w:sz w:val="13"/>
          <w:szCs w:val="13"/>
          <w:u w:val="single" w:color="auto"/>
          <w:color w:val="auto"/>
        </w:rPr>
        <w:t>paragraph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3.3(a)</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which resignations shall be effective at, and subject to the occurrence of, the Effective Time.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u w:val="single" w:color="auto"/>
          <w:color w:val="auto"/>
        </w:rPr>
        <w:t>Obligations of Merger Sub; Obligations of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shall take all actions necessary to cause Merger Sub and the Surviving Company to perform their respective obligations under</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this Agreement.</w:t>
      </w:r>
    </w:p>
    <w:p>
      <w:pPr>
        <w:spacing w:after="0" w:line="140"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take all actions necessary to cause its subsidiaries to perform their respective obligations under this Agreement.</w:t>
      </w:r>
    </w:p>
    <w:p>
      <w:pPr>
        <w:spacing w:after="0" w:line="165"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u w:val="single" w:color="auto"/>
          <w:color w:val="auto"/>
        </w:rPr>
        <w:t>Actions Taken at Direction of Parent or Merger Sub</w:t>
      </w:r>
      <w:r>
        <w:rPr>
          <w:rFonts w:ascii="Times New Roman" w:cs="Times New Roman" w:eastAsia="Times New Roman" w:hAnsi="Times New Roman"/>
          <w:sz w:val="13"/>
          <w:szCs w:val="13"/>
          <w:color w:val="auto"/>
        </w:rPr>
        <w:t>. Notwithstanding anything herein to the contrary, the Company shall not be deemed to be in breach of any representation, warranty, covenant or agreement hereunder, if such breach or alleged breach is the proximate result of action or inaction by the Company (i) required by this Agreement or (ii) taken or not taken, as applicable, at the direction of Parent or Merger Sub, regardless of whether there is any approval or direction of the Board of Directors.</w:t>
      </w:r>
    </w:p>
    <w:p>
      <w:pPr>
        <w:spacing w:after="0" w:line="133"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6.17 </w:t>
      </w:r>
      <w:r>
        <w:rPr>
          <w:rFonts w:ascii="Times New Roman" w:cs="Times New Roman" w:eastAsia="Times New Roman" w:hAnsi="Times New Roman"/>
          <w:sz w:val="12"/>
          <w:szCs w:val="12"/>
          <w:u w:val="single" w:color="auto"/>
          <w:color w:val="auto"/>
        </w:rPr>
        <w:t>TBIL</w:t>
      </w:r>
      <w:r>
        <w:rPr>
          <w:rFonts w:ascii="Times New Roman" w:cs="Times New Roman" w:eastAsia="Times New Roman" w:hAnsi="Times New Roman"/>
          <w:sz w:val="12"/>
          <w:szCs w:val="12"/>
          <w:color w:val="auto"/>
        </w:rPr>
        <w:t xml:space="preserve">. Notwithstanding anything to the contrary in this Agreement, during the period from the date of this Agreement until the earlier of the Effective Time and the valid termination of this Agreement in accordance with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TBIL shall (i) use its reasonable best efforts to continue to have three or more full-time employees based in Ireland whose primary role is to carry out research and development activities, and until September 15, 2026, one or more full-time employee based in Ireland whose primary role is to carry out general, administrative and finance activities;</w:t>
      </w:r>
    </w:p>
    <w:p>
      <w:pPr>
        <w:spacing w:after="0" w:line="1" w:lineRule="exact"/>
        <w:rPr>
          <w:sz w:val="20"/>
          <w:szCs w:val="20"/>
          <w:color w:val="auto"/>
        </w:rPr>
      </w:pPr>
    </w:p>
    <w:p>
      <w:pPr>
        <w:ind w:left="640" w:right="719" w:hanging="3"/>
        <w:spacing w:after="0" w:line="245" w:lineRule="auto"/>
        <w:tabs>
          <w:tab w:leader="none" w:pos="826"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reasonable best efforts to hire a new full-time employee based in Ireland to carry out alliance management activities, and shall consult with Parent in good faith to hire such an employee; (iii) use reasonable best efforts to maintain the license arrangement for appropriate office space for TBIL in Ireland in effect as of the date hereof; (iv) continue to carry on research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7" w:name="page68"/>
    <w:bookmarkEnd w:id="67"/>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and development activities and alliance management activities in the manner set out in the minutes of the meeting of the board of directors of TBIL held on or before the date hereof and (v) not purchase or acquire any Intellectual Property assets exceeding $250,000 in the aggregate. In respect of employees involved in research and development, (A) the Company shall use its reasonable best efforts to retain existing staff and to hire replacement employees as reasonably required to maintain the number of research and development employees as set forth in this </w:t>
      </w:r>
      <w:r>
        <w:rPr>
          <w:rFonts w:ascii="Times New Roman" w:cs="Times New Roman" w:eastAsia="Times New Roman" w:hAnsi="Times New Roman"/>
          <w:sz w:val="13"/>
          <w:szCs w:val="13"/>
          <w:u w:val="single" w:color="auto"/>
          <w:color w:val="auto"/>
        </w:rPr>
        <w:t>Section 6.17</w:t>
      </w:r>
      <w:r>
        <w:rPr>
          <w:rFonts w:ascii="Times New Roman" w:cs="Times New Roman" w:eastAsia="Times New Roman" w:hAnsi="Times New Roman"/>
          <w:sz w:val="13"/>
          <w:szCs w:val="13"/>
          <w:color w:val="auto"/>
        </w:rPr>
        <w:t>, and shall consult with Parent in good faith in connection with such retention and hiring and (B) if prior to the cessation date of any research and development employee the Company has not been able to replace such employee, the Company shall accept a secondee from Parent or its Affiliates as may be reasonably proposed by the Parent and the compensation and benefits related to such secondee shall be borne by Parent, for the period of time until the Company hires a replacement employee.</w:t>
      </w:r>
    </w:p>
    <w:p>
      <w:pPr>
        <w:spacing w:after="0" w:line="139"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6.18 </w:t>
      </w:r>
      <w:r>
        <w:rPr>
          <w:rFonts w:ascii="Times New Roman" w:cs="Times New Roman" w:eastAsia="Times New Roman" w:hAnsi="Times New Roman"/>
          <w:sz w:val="13"/>
          <w:szCs w:val="13"/>
          <w:u w:val="single" w:color="auto"/>
          <w:color w:val="auto"/>
        </w:rPr>
        <w:t>Financing Reorganization</w:t>
      </w:r>
      <w:r>
        <w:rPr>
          <w:rFonts w:ascii="Times New Roman" w:cs="Times New Roman" w:eastAsia="Times New Roman" w:hAnsi="Times New Roman"/>
          <w:sz w:val="13"/>
          <w:szCs w:val="13"/>
          <w:color w:val="auto"/>
        </w:rPr>
        <w:t xml:space="preserve">. Each of Parent and the Company shall comply with the terms set out in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to this Agreement (such transactions on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being the “</w:t>
      </w:r>
      <w:r>
        <w:rPr>
          <w:rFonts w:ascii="Times New Roman" w:cs="Times New Roman" w:eastAsia="Times New Roman" w:hAnsi="Times New Roman"/>
          <w:sz w:val="13"/>
          <w:szCs w:val="13"/>
          <w:u w:val="single" w:color="auto"/>
          <w:color w:val="auto"/>
        </w:rPr>
        <w:t>Financing Reorganization</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6.19 </w:t>
      </w:r>
      <w:r>
        <w:rPr>
          <w:rFonts w:ascii="Times New Roman" w:cs="Times New Roman" w:eastAsia="Times New Roman" w:hAnsi="Times New Roman"/>
          <w:sz w:val="13"/>
          <w:szCs w:val="13"/>
          <w:u w:val="single" w:color="auto"/>
          <w:color w:val="auto"/>
        </w:rPr>
        <w:t>CVR Agreement; Company License Representative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72" w:lineRule="auto"/>
        <w:tabs>
          <w:tab w:leader="none" w:pos="15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in </w:t>
      </w:r>
      <w:r>
        <w:rPr>
          <w:rFonts w:ascii="Times New Roman" w:cs="Times New Roman" w:eastAsia="Times New Roman" w:hAnsi="Times New Roman"/>
          <w:sz w:val="12"/>
          <w:szCs w:val="12"/>
          <w:u w:val="single" w:color="auto"/>
          <w:color w:val="auto"/>
        </w:rPr>
        <w:t>Section 5.1(b)</w:t>
      </w:r>
      <w:r>
        <w:rPr>
          <w:rFonts w:ascii="Times New Roman" w:cs="Times New Roman" w:eastAsia="Times New Roman" w:hAnsi="Times New Roman"/>
          <w:sz w:val="12"/>
          <w:szCs w:val="12"/>
          <w:color w:val="auto"/>
        </w:rPr>
        <w:t>, during the period from the date of this Agreement until the earlier of the Effective Time and the termination of this Agreement, the Company and its subsidiaries may solicit, initiate, encourage, facilitate, discuss and negotiate (“</w:t>
      </w:r>
      <w:r>
        <w:rPr>
          <w:rFonts w:ascii="Times New Roman" w:cs="Times New Roman" w:eastAsia="Times New Roman" w:hAnsi="Times New Roman"/>
          <w:sz w:val="12"/>
          <w:szCs w:val="12"/>
          <w:u w:val="single" w:color="auto"/>
          <w:color w:val="auto"/>
        </w:rPr>
        <w:t>Negotiating</w:t>
      </w:r>
      <w:r>
        <w:rPr>
          <w:rFonts w:ascii="Times New Roman" w:cs="Times New Roman" w:eastAsia="Times New Roman" w:hAnsi="Times New Roman"/>
          <w:sz w:val="12"/>
          <w:szCs w:val="12"/>
          <w:color w:val="auto"/>
        </w:rPr>
        <w:t>”) a CVR Product License (as defined in the CVR Agreement) for a third party to research, develop, manufacture, commercialize or otherwise exploit any CVR Product (as defined in the CVR Agreement), including a license under Intellectual Property owned by the Company and its Subsidiaries (such third party, the “</w:t>
      </w:r>
      <w:r>
        <w:rPr>
          <w:rFonts w:ascii="Times New Roman" w:cs="Times New Roman" w:eastAsia="Times New Roman" w:hAnsi="Times New Roman"/>
          <w:sz w:val="12"/>
          <w:szCs w:val="12"/>
          <w:u w:val="single" w:color="auto"/>
          <w:color w:val="auto"/>
        </w:rPr>
        <w:t>Licensee</w:t>
      </w:r>
      <w:r>
        <w:rPr>
          <w:rFonts w:ascii="Times New Roman" w:cs="Times New Roman" w:eastAsia="Times New Roman" w:hAnsi="Times New Roman"/>
          <w:sz w:val="12"/>
          <w:szCs w:val="12"/>
          <w:color w:val="auto"/>
        </w:rPr>
        <w:t>” and such transaction, a “</w:t>
      </w:r>
      <w:r>
        <w:rPr>
          <w:rFonts w:ascii="Times New Roman" w:cs="Times New Roman" w:eastAsia="Times New Roman" w:hAnsi="Times New Roman"/>
          <w:sz w:val="12"/>
          <w:szCs w:val="12"/>
          <w:u w:val="single" w:color="auto"/>
          <w:color w:val="auto"/>
        </w:rPr>
        <w:t>CVR License Transaction</w:t>
      </w:r>
      <w:r>
        <w:rPr>
          <w:rFonts w:ascii="Times New Roman" w:cs="Times New Roman" w:eastAsia="Times New Roman" w:hAnsi="Times New Roman"/>
          <w:sz w:val="12"/>
          <w:szCs w:val="12"/>
          <w:color w:val="auto"/>
        </w:rPr>
        <w:t>” and the definitive agreement providing for a CVR License Transaction, a “</w:t>
      </w:r>
      <w:r>
        <w:rPr>
          <w:rFonts w:ascii="Times New Roman" w:cs="Times New Roman" w:eastAsia="Times New Roman" w:hAnsi="Times New Roman"/>
          <w:sz w:val="12"/>
          <w:szCs w:val="12"/>
          <w:u w:val="single" w:color="auto"/>
          <w:color w:val="auto"/>
        </w:rPr>
        <w:t>CVR License Agreement</w:t>
      </w:r>
      <w:r>
        <w:rPr>
          <w:rFonts w:ascii="Times New Roman" w:cs="Times New Roman" w:eastAsia="Times New Roman" w:hAnsi="Times New Roman"/>
          <w:sz w:val="12"/>
          <w:szCs w:val="12"/>
          <w:color w:val="auto"/>
        </w:rPr>
        <w:t xml:space="preserve">”), subject to the terms and conditions set forth in </w:t>
      </w:r>
      <w:r>
        <w:rPr>
          <w:rFonts w:ascii="Times New Roman" w:cs="Times New Roman" w:eastAsia="Times New Roman" w:hAnsi="Times New Roman"/>
          <w:sz w:val="12"/>
          <w:szCs w:val="12"/>
          <w:u w:val="single" w:color="auto"/>
          <w:color w:val="auto"/>
        </w:rPr>
        <w:t>Section 6.19(a)</w:t>
      </w:r>
      <w:r>
        <w:rPr>
          <w:rFonts w:ascii="Times New Roman" w:cs="Times New Roman" w:eastAsia="Times New Roman" w:hAnsi="Times New Roman"/>
          <w:sz w:val="12"/>
          <w:szCs w:val="12"/>
          <w:color w:val="auto"/>
        </w:rPr>
        <w:t xml:space="preserve"> of the Company Disclosure Letter.</w:t>
      </w:r>
    </w:p>
    <w:p>
      <w:pPr>
        <w:spacing w:after="0" w:line="123" w:lineRule="exact"/>
        <w:rPr>
          <w:rFonts w:ascii="Times New Roman" w:cs="Times New Roman" w:eastAsia="Times New Roman" w:hAnsi="Times New Roman"/>
          <w:sz w:val="12"/>
          <w:szCs w:val="12"/>
          <w:color w:val="auto"/>
        </w:rPr>
      </w:pPr>
    </w:p>
    <w:p>
      <w:pPr>
        <w:ind w:left="640" w:right="699" w:firstLine="693"/>
        <w:spacing w:after="0" w:line="249" w:lineRule="auto"/>
        <w:tabs>
          <w:tab w:leader="none" w:pos="151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execute the CVR Agreement pursuant to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xml:space="preserve">, and, upon the consummation of the transactions contemplated by such CVR License Agreement, Parent shall pay, or cause to be paid, to the Rights Agent for the benefit of Holders (as defined in the CVR Agreement) the amounts payable under the CVR Agreement, in accordance with the terms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no event shall Parent, the Surviving Company or any of their respective Affiliates be required to pay any amount in respect of such CVR License Agreement in excess of the CVR License Proceeds (as defined in the CVR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no CVR License Agreement has been executed prior to the Effective Time, then Parent shall enter into a consultation agreement that is reasonably satisfactory in form to Parent (the “</w:t>
      </w:r>
      <w:r>
        <w:rPr>
          <w:rFonts w:ascii="Times New Roman" w:cs="Times New Roman" w:eastAsia="Times New Roman" w:hAnsi="Times New Roman"/>
          <w:sz w:val="13"/>
          <w:szCs w:val="13"/>
          <w:u w:val="single" w:color="auto"/>
          <w:color w:val="auto"/>
        </w:rPr>
        <w:t>Consultation Agreement</w:t>
      </w:r>
      <w:r>
        <w:rPr>
          <w:rFonts w:ascii="Times New Roman" w:cs="Times New Roman" w:eastAsia="Times New Roman" w:hAnsi="Times New Roman"/>
          <w:sz w:val="13"/>
          <w:szCs w:val="13"/>
          <w:color w:val="auto"/>
        </w:rPr>
        <w:t>”) at the Closing with an individual to be appointed by the Company (the “</w:t>
      </w:r>
      <w:r>
        <w:rPr>
          <w:rFonts w:ascii="Times New Roman" w:cs="Times New Roman" w:eastAsia="Times New Roman" w:hAnsi="Times New Roman"/>
          <w:sz w:val="13"/>
          <w:szCs w:val="13"/>
          <w:u w:val="single" w:color="auto"/>
          <w:color w:val="auto"/>
        </w:rPr>
        <w:t>License Representative</w:t>
      </w:r>
      <w:r>
        <w:rPr>
          <w:rFonts w:ascii="Times New Roman" w:cs="Times New Roman" w:eastAsia="Times New Roman" w:hAnsi="Times New Roman"/>
          <w:sz w:val="13"/>
          <w:szCs w:val="13"/>
          <w:color w:val="auto"/>
        </w:rPr>
        <w:t>”). The form of the Consultation Agreement shall provide (i) that the License Representative shall have the primary responsibility of Negotiating Parent’s or any of its subsidiaries’ entry into a CVR License Transaction, (ii) a consultancy term of twelve (12) months after the Closing Date, (iii) that the delegation of responsibility and authority to the License Representative hereunder and thereunder shall not be revoked or modified at any time during such twelve (12) month period, (iv) that the License Representative shall have no obligation or liability to any party to this Agreement,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68" w:name="page69"/>
    <w:bookmarkEnd w:id="68"/>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CVR Agreement or to the Holders, for any reason whatsoever, (v) that the License Representative shall not be compensated for any services performed pursuant to the Consultation Agreement and (vi) that Parent shall irrevocably, unconditionally and forever acquits, releases, waives and discharges, and completely waives and relinquishes, the License Representative against any and all claims with respect to, directly or indirectly, any and all actions taken by the License Representative in connection with or resulting from the Consultation Agreement.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CONDITIONS OF MERGER</w:t>
      </w:r>
    </w:p>
    <w:p>
      <w:pPr>
        <w:spacing w:after="0" w:line="156"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Conditions to Obligations of Each Party to Effect the Merger</w:t>
      </w:r>
      <w:r>
        <w:rPr>
          <w:rFonts w:ascii="Times New Roman" w:cs="Times New Roman" w:eastAsia="Times New Roman" w:hAnsi="Times New Roman"/>
          <w:sz w:val="13"/>
          <w:szCs w:val="13"/>
          <w:color w:val="auto"/>
        </w:rPr>
        <w:t>. The respective obligations of each Party to effect the Merger shall be subject to the satisfaction (or written waiver, if permissible under Law, by Parent and the Company) of the following conditions:</w:t>
      </w:r>
    </w:p>
    <w:p>
      <w:pPr>
        <w:spacing w:after="0" w:line="46" w:lineRule="exact"/>
        <w:rPr>
          <w:sz w:val="20"/>
          <w:szCs w:val="20"/>
          <w:color w:val="auto"/>
        </w:rPr>
      </w:pPr>
    </w:p>
    <w:p>
      <w:pPr>
        <w:ind w:left="1500" w:hanging="167"/>
        <w:spacing w:after="0"/>
        <w:tabs>
          <w:tab w:leader="none" w:pos="15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w:t>
      </w:r>
      <w:r>
        <w:rPr>
          <w:rFonts w:ascii="Times New Roman" w:cs="Times New Roman" w:eastAsia="Times New Roman" w:hAnsi="Times New Roman"/>
          <w:sz w:val="13"/>
          <w:szCs w:val="13"/>
          <w:color w:val="auto"/>
        </w:rPr>
        <w:t>. The Company Requisite Vote shall have been obtained.</w:t>
      </w:r>
    </w:p>
    <w:p>
      <w:pPr>
        <w:spacing w:after="0" w:line="153" w:lineRule="exact"/>
        <w:rPr>
          <w:rFonts w:ascii="Times New Roman" w:cs="Times New Roman" w:eastAsia="Times New Roman" w:hAnsi="Times New Roman"/>
          <w:sz w:val="13"/>
          <w:szCs w:val="13"/>
          <w:color w:val="auto"/>
        </w:rPr>
      </w:pPr>
    </w:p>
    <w:p>
      <w:pPr>
        <w:ind w:left="640" w:right="1279" w:firstLine="693"/>
        <w:spacing w:after="0" w:line="267" w:lineRule="auto"/>
        <w:tabs>
          <w:tab w:leader="none" w:pos="1515"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Orders</w:t>
      </w:r>
      <w:r>
        <w:rPr>
          <w:rFonts w:ascii="Times New Roman" w:cs="Times New Roman" w:eastAsia="Times New Roman" w:hAnsi="Times New Roman"/>
          <w:sz w:val="13"/>
          <w:szCs w:val="13"/>
          <w:color w:val="auto"/>
        </w:rPr>
        <w:t>. No Order has been issued which permanently prohibits, restrains, makes illegal or enjoins the consummation of the transactions (including the Merger) contemplated by this Agreement and remains in effect.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Required Regulatory Approvals</w:t>
      </w:r>
      <w:r>
        <w:rPr>
          <w:rFonts w:ascii="Times New Roman" w:cs="Times New Roman" w:eastAsia="Times New Roman" w:hAnsi="Times New Roman"/>
          <w:sz w:val="13"/>
          <w:szCs w:val="13"/>
          <w:color w:val="auto"/>
        </w:rPr>
        <w:t>. (i) The waiting period (and any extensions thereof) applicable to the consummation of the Merger and the other transactions contemplated by this Agreement under the HSR Act shall have expired or been terminated and (ii) the other Required Regulatory Approvals shall have been obtained and shall remain in full force and effect and all statutory waiting periods in respect thereof shall have expired or been terminated.</w:t>
      </w:r>
    </w:p>
    <w:p>
      <w:pPr>
        <w:spacing w:after="0" w:line="133"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Conditions to Obligations of Parent and Merger Sub</w:t>
      </w:r>
      <w:r>
        <w:rPr>
          <w:rFonts w:ascii="Times New Roman" w:cs="Times New Roman" w:eastAsia="Times New Roman" w:hAnsi="Times New Roman"/>
          <w:sz w:val="13"/>
          <w:szCs w:val="13"/>
          <w:color w:val="auto"/>
        </w:rPr>
        <w:t>. The obligations of Parent and Merger Sub to effect the Merger shall be further subject to the satisfaction (or written waiver by Parent) at or prior to the Closing Date of the following conditions:</w:t>
      </w:r>
    </w:p>
    <w:p>
      <w:pPr>
        <w:spacing w:after="0" w:line="46" w:lineRule="exact"/>
        <w:rPr>
          <w:sz w:val="20"/>
          <w:szCs w:val="20"/>
          <w:color w:val="auto"/>
        </w:rPr>
      </w:pPr>
    </w:p>
    <w:p>
      <w:pPr>
        <w:ind w:left="640" w:right="659" w:firstLine="693"/>
        <w:spacing w:after="0" w:line="246" w:lineRule="auto"/>
        <w:tabs>
          <w:tab w:leader="none" w:pos="150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(i) Other than the representations and warranties of the Company set forth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 xml:space="preserve">, the first sentence of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(other than </w:t>
      </w:r>
      <w:r>
        <w:rPr>
          <w:rFonts w:ascii="Times New Roman" w:cs="Times New Roman" w:eastAsia="Times New Roman" w:hAnsi="Times New Roman"/>
          <w:sz w:val="13"/>
          <w:szCs w:val="13"/>
          <w:u w:val="single" w:color="auto"/>
          <w:color w:val="auto"/>
        </w:rPr>
        <w:t>Section 3.9(a)(i)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the representations and warranties of the Company contained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(without giving effect to any qualification as to “materiality” or “Material Adverse Effect” set forth therein) shall be true and correct as of the date hereof and as of the Closing Date as though made on and as of such date (except to the extent that any such representation or warranty is expressly made as of a specified date, in which case such representation and warranty shall be true and correct as of such specified date), except where the failures of any such representations and warranties to be so true and correct, individually or in the aggregate, does not constitute a Material Adverse Effect, (ii) the representations and warranties of the Company set forth in </w:t>
      </w:r>
      <w:r>
        <w:rPr>
          <w:rFonts w:ascii="Times New Roman" w:cs="Times New Roman" w:eastAsia="Times New Roman" w:hAnsi="Times New Roman"/>
          <w:sz w:val="13"/>
          <w:szCs w:val="13"/>
          <w:u w:val="single" w:color="auto"/>
          <w:color w:val="auto"/>
        </w:rPr>
        <w:t>Section 3.9(b)</w:t>
      </w:r>
      <w:r>
        <w:rPr>
          <w:rFonts w:ascii="Times New Roman" w:cs="Times New Roman" w:eastAsia="Times New Roman" w:hAnsi="Times New Roman"/>
          <w:sz w:val="13"/>
          <w:szCs w:val="13"/>
          <w:color w:val="auto"/>
        </w:rPr>
        <w:t xml:space="preserve">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(iii) the representations and warranties of the Company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(solely with respect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69" w:name="page70"/>
    <w:bookmarkEnd w:id="69"/>
    <w:p>
      <w:pPr>
        <w:ind w:left="640" w:right="81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Company and Ordinary Shares)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except in each case for de minimis inaccuracies, and (iv) the representations and warranties of the Company set forth in </w:t>
      </w:r>
      <w:r>
        <w:rPr>
          <w:rFonts w:ascii="Times New Roman" w:cs="Times New Roman" w:eastAsia="Times New Roman" w:hAnsi="Times New Roman"/>
          <w:sz w:val="12"/>
          <w:szCs w:val="12"/>
          <w:u w:val="single" w:color="auto"/>
          <w:color w:val="auto"/>
        </w:rPr>
        <w:t>Section 3.1(a)</w:t>
      </w:r>
      <w:r>
        <w:rPr>
          <w:rFonts w:ascii="Times New Roman" w:cs="Times New Roman" w:eastAsia="Times New Roman" w:hAnsi="Times New Roman"/>
          <w:sz w:val="12"/>
          <w:szCs w:val="12"/>
          <w:color w:val="auto"/>
        </w:rPr>
        <w:t xml:space="preserve">, the first sentence of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3.9(a)(ii)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3.9(c)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3.20</w:t>
      </w:r>
      <w:r>
        <w:rPr>
          <w:rFonts w:ascii="Times New Roman" w:cs="Times New Roman" w:eastAsia="Times New Roman" w:hAnsi="Times New Roman"/>
          <w:sz w:val="12"/>
          <w:szCs w:val="12"/>
          <w:color w:val="auto"/>
        </w:rPr>
        <w:t xml:space="preserve"> (without giving effect to any qualification as to “materiality” or “Material Adverse Effect” set forth therein) shall be true and correct in all material respects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w:t>
      </w:r>
    </w:p>
    <w:p>
      <w:pPr>
        <w:spacing w:after="0" w:line="122" w:lineRule="exact"/>
        <w:rPr>
          <w:sz w:val="20"/>
          <w:szCs w:val="20"/>
          <w:color w:val="auto"/>
        </w:rPr>
      </w:pPr>
    </w:p>
    <w:p>
      <w:pPr>
        <w:ind w:left="640" w:right="1059" w:firstLine="693"/>
        <w:spacing w:after="0" w:line="267" w:lineRule="auto"/>
        <w:tabs>
          <w:tab w:leader="none" w:pos="151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Obligations of the Company</w:t>
      </w:r>
      <w:r>
        <w:rPr>
          <w:rFonts w:ascii="Times New Roman" w:cs="Times New Roman" w:eastAsia="Times New Roman" w:hAnsi="Times New Roman"/>
          <w:sz w:val="13"/>
          <w:szCs w:val="13"/>
          <w:color w:val="auto"/>
        </w:rPr>
        <w:t>. The Company shall have performed and complied in all material respects with the agreements and covenants required to be performed or complied with by it under this Agreement at or prior to the Effective Time.</w:t>
      </w:r>
    </w:p>
    <w:p>
      <w:pPr>
        <w:spacing w:after="0" w:line="12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MAE</w:t>
      </w:r>
      <w:r>
        <w:rPr>
          <w:rFonts w:ascii="Times New Roman" w:cs="Times New Roman" w:eastAsia="Times New Roman" w:hAnsi="Times New Roman"/>
          <w:sz w:val="13"/>
          <w:szCs w:val="13"/>
          <w:color w:val="auto"/>
        </w:rPr>
        <w:t>. Since the date of this Agreement, there shall not have occurred any Material Adverse Effect that is continuing.</w:t>
      </w:r>
    </w:p>
    <w:p>
      <w:pPr>
        <w:spacing w:after="0" w:line="153"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1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w:t>
      </w:r>
      <w:r>
        <w:rPr>
          <w:rFonts w:ascii="Times New Roman" w:cs="Times New Roman" w:eastAsia="Times New Roman" w:hAnsi="Times New Roman"/>
          <w:sz w:val="13"/>
          <w:szCs w:val="13"/>
          <w:color w:val="auto"/>
        </w:rPr>
        <w:t xml:space="preserve">. Parent shall have received a certificate of an executive officer of the Company, dated as of the Closing Date, certifying that the conditions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have been satisfied.</w:t>
      </w:r>
    </w:p>
    <w:p>
      <w:pPr>
        <w:spacing w:after="0" w:line="122" w:lineRule="exact"/>
        <w:rPr>
          <w:sz w:val="20"/>
          <w:szCs w:val="20"/>
          <w:color w:val="auto"/>
        </w:rPr>
      </w:pPr>
    </w:p>
    <w:p>
      <w:pPr>
        <w:ind w:left="640" w:right="11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Conditions to Obligations of the Company</w:t>
      </w:r>
      <w:r>
        <w:rPr>
          <w:rFonts w:ascii="Times New Roman" w:cs="Times New Roman" w:eastAsia="Times New Roman" w:hAnsi="Times New Roman"/>
          <w:sz w:val="13"/>
          <w:szCs w:val="13"/>
          <w:color w:val="auto"/>
        </w:rPr>
        <w:t>. The obligation of the Company to effect the Merger shall be further subject to the satisfaction (or written waiver by the Company) at or prior to the Closing Date of the following conditions:</w:t>
      </w:r>
    </w:p>
    <w:p>
      <w:pPr>
        <w:spacing w:after="0" w:line="46" w:lineRule="exact"/>
        <w:rPr>
          <w:sz w:val="20"/>
          <w:szCs w:val="20"/>
          <w:color w:val="auto"/>
        </w:rPr>
      </w:pPr>
    </w:p>
    <w:p>
      <w:pPr>
        <w:ind w:left="640" w:right="719" w:firstLine="693"/>
        <w:spacing w:after="0" w:line="268" w:lineRule="auto"/>
        <w:tabs>
          <w:tab w:leader="none" w:pos="1508"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The representations and warranties of Parent and Merger Sub set forth in this Agreement shall be true and correct, in each case as of the date hereof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contemplated by this Agreement or</w:t>
      </w:r>
    </w:p>
    <w:p>
      <w:pPr>
        <w:ind w:left="640" w:right="659" w:hanging="3"/>
        <w:spacing w:after="0" w:line="246" w:lineRule="auto"/>
        <w:tabs>
          <w:tab w:leader="none" w:pos="826"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have a material adverse effect on the ability of Parent or Merger Sub to perform their obligations under this Agreement (a “</w:t>
      </w:r>
      <w:r>
        <w:rPr>
          <w:rFonts w:ascii="Times New Roman" w:cs="Times New Roman" w:eastAsia="Times New Roman" w:hAnsi="Times New Roman"/>
          <w:sz w:val="13"/>
          <w:szCs w:val="13"/>
          <w:u w:val="single" w:color="auto"/>
          <w:color w:val="auto"/>
        </w:rPr>
        <w:t>Parent Material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Adverse Effect</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899" w:firstLine="693"/>
        <w:spacing w:after="0" w:line="255" w:lineRule="auto"/>
        <w:tabs>
          <w:tab w:leader="none" w:pos="1515"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Obligations of Parent and Merger Sub</w:t>
      </w:r>
      <w:r>
        <w:rPr>
          <w:rFonts w:ascii="Times New Roman" w:cs="Times New Roman" w:eastAsia="Times New Roman" w:hAnsi="Times New Roman"/>
          <w:sz w:val="13"/>
          <w:szCs w:val="13"/>
          <w:color w:val="auto"/>
        </w:rPr>
        <w:t>. Each of Parent and Merger Sub shall have performed and complied in all material respects the obligations, and complied in all material respects with the agreements and covenants, required to be performed by, or complied with by, it under this Agreement at or prior to the Closing Date; and</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w:t>
      </w:r>
      <w:r>
        <w:rPr>
          <w:rFonts w:ascii="Times New Roman" w:cs="Times New Roman" w:eastAsia="Times New Roman" w:hAnsi="Times New Roman"/>
          <w:sz w:val="13"/>
          <w:szCs w:val="13"/>
          <w:color w:val="auto"/>
        </w:rPr>
        <w:t xml:space="preserve">. The Company shall have received a certificate of an executive officer of Parent, dated as of the Closing Date, certifying that the conditions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have been satisfied.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0" w:name="page71"/>
    <w:bookmarkEnd w:id="70"/>
    <w:p>
      <w:pPr>
        <w:ind w:left="640" w:right="739" w:firstLine="693"/>
        <w:spacing w:after="0" w:line="267" w:lineRule="auto"/>
        <w:tabs>
          <w:tab w:leader="none" w:pos="151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CVR Agreement</w:t>
      </w:r>
      <w:r>
        <w:rPr>
          <w:rFonts w:ascii="Times New Roman" w:cs="Times New Roman" w:eastAsia="Times New Roman" w:hAnsi="Times New Roman"/>
          <w:sz w:val="13"/>
          <w:szCs w:val="13"/>
          <w:color w:val="auto"/>
        </w:rPr>
        <w:t>. Parent shall execute and deliver to the Company, and Parent shall deliver to the Company a counterpart signature of the Rights Agent to, the CVR Agreement.</w:t>
      </w:r>
    </w:p>
    <w:p>
      <w:pPr>
        <w:spacing w:after="0" w:line="122" w:lineRule="exact"/>
        <w:rPr>
          <w:rFonts w:ascii="Times New Roman" w:cs="Times New Roman" w:eastAsia="Times New Roman" w:hAnsi="Times New Roman"/>
          <w:sz w:val="13"/>
          <w:szCs w:val="13"/>
          <w:color w:val="auto"/>
        </w:rPr>
      </w:pPr>
    </w:p>
    <w:p>
      <w:pPr>
        <w:ind w:left="640" w:right="1059" w:firstLine="693"/>
        <w:spacing w:after="0" w:line="267" w:lineRule="auto"/>
        <w:tabs>
          <w:tab w:leader="none" w:pos="150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Consultation Agreement</w:t>
      </w:r>
      <w:r>
        <w:rPr>
          <w:rFonts w:ascii="Times New Roman" w:cs="Times New Roman" w:eastAsia="Times New Roman" w:hAnsi="Times New Roman"/>
          <w:sz w:val="13"/>
          <w:szCs w:val="13"/>
          <w:color w:val="auto"/>
        </w:rPr>
        <w:t xml:space="preserve">. Subject to the terms and conditions set forth in </w:t>
      </w:r>
      <w:r>
        <w:rPr>
          <w:rFonts w:ascii="Times New Roman" w:cs="Times New Roman" w:eastAsia="Times New Roman" w:hAnsi="Times New Roman"/>
          <w:sz w:val="13"/>
          <w:szCs w:val="13"/>
          <w:u w:val="single" w:color="auto"/>
          <w:color w:val="auto"/>
        </w:rPr>
        <w:t>Section 6.19(c)</w:t>
      </w:r>
      <w:r>
        <w:rPr>
          <w:rFonts w:ascii="Times New Roman" w:cs="Times New Roman" w:eastAsia="Times New Roman" w:hAnsi="Times New Roman"/>
          <w:sz w:val="13"/>
          <w:szCs w:val="13"/>
          <w:color w:val="auto"/>
        </w:rPr>
        <w:t>, Parent shall execute and deliver to the Company the Consultation Agreement.</w:t>
      </w:r>
    </w:p>
    <w:p>
      <w:pPr>
        <w:spacing w:after="0" w:line="122"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Frustration of Closing Conditions</w:t>
      </w:r>
      <w:r>
        <w:rPr>
          <w:rFonts w:ascii="Times New Roman" w:cs="Times New Roman" w:eastAsia="Times New Roman" w:hAnsi="Times New Roman"/>
          <w:sz w:val="13"/>
          <w:szCs w:val="13"/>
          <w:color w:val="auto"/>
        </w:rPr>
        <w:t xml:space="preserve">. Prior to the End Date, none of the Company, Parent or Merger Sub may rely on the failure of any condition set forth in this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to be satisfied if such failure was caused by such Party’s failure to act in good faith to comply with this Agreement and consummate the transactions contemplated hereby.</w:t>
      </w:r>
    </w:p>
    <w:p>
      <w:pPr>
        <w:spacing w:after="0" w:line="2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and the Merger may be abandoned:</w:t>
      </w:r>
    </w:p>
    <w:p>
      <w:pPr>
        <w:spacing w:after="0" w:line="78" w:lineRule="exact"/>
        <w:rPr>
          <w:sz w:val="20"/>
          <w:szCs w:val="20"/>
          <w:color w:val="auto"/>
        </w:rPr>
      </w:pPr>
    </w:p>
    <w:p>
      <w:pPr>
        <w:ind w:left="1500" w:hanging="167"/>
        <w:spacing w:after="0"/>
        <w:tabs>
          <w:tab w:leader="none" w:pos="150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 at any time prior to the Effective Time;</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written notice from either Parent or the Company at any time prior to the Effective Time if any Order having the effect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shall have become final and non-appealable or any Governmental Entity that must grant an approval as specified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has denied such approval, and such denial has become final and non-appealable;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right to terminate this Agreement pursuant to this </w:t>
      </w:r>
      <w:r>
        <w:rPr>
          <w:rFonts w:ascii="Times New Roman" w:cs="Times New Roman" w:eastAsia="Times New Roman" w:hAnsi="Times New Roman"/>
          <w:sz w:val="13"/>
          <w:szCs w:val="13"/>
          <w:u w:val="single" w:color="auto"/>
          <w:color w:val="auto"/>
        </w:rPr>
        <w:t>Section 8.1(b)</w:t>
      </w:r>
      <w:r>
        <w:rPr>
          <w:rFonts w:ascii="Times New Roman" w:cs="Times New Roman" w:eastAsia="Times New Roman" w:hAnsi="Times New Roman"/>
          <w:sz w:val="13"/>
          <w:szCs w:val="13"/>
          <w:color w:val="auto"/>
        </w:rPr>
        <w:t xml:space="preserve"> shall not be available to the Party seeking to terminate if such Party (or, in the case of Parent, Parent or Merger Sub) is in breach of, or has breached, any of its obligations under this Agreement, which breach has been the primary cause of such Order;</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508"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written notice from either Parent or the Company at any time prior to the Effective Time if the Merger shall not have been consummated on or before December 28, 2026 (such date, as it may be extended in accordance with the following proviso, the “</w:t>
      </w:r>
      <w:r>
        <w:rPr>
          <w:rFonts w:ascii="Times New Roman" w:cs="Times New Roman" w:eastAsia="Times New Roman" w:hAnsi="Times New Roman"/>
          <w:sz w:val="12"/>
          <w:szCs w:val="12"/>
          <w:u w:val="single" w:color="auto"/>
          <w:color w:val="auto"/>
        </w:rPr>
        <w:t>End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on the End Date, the conditions to Closing set forth in </w:t>
      </w:r>
      <w:r>
        <w:rPr>
          <w:rFonts w:ascii="Times New Roman" w:cs="Times New Roman" w:eastAsia="Times New Roman" w:hAnsi="Times New Roman"/>
          <w:sz w:val="12"/>
          <w:szCs w:val="12"/>
          <w:u w:val="single" w:color="auto"/>
          <w:color w:val="auto"/>
        </w:rPr>
        <w:t>Section 7.1(c)</w:t>
      </w:r>
      <w:r>
        <w:rPr>
          <w:rFonts w:ascii="Times New Roman" w:cs="Times New Roman" w:eastAsia="Times New Roman" w:hAnsi="Times New Roman"/>
          <w:sz w:val="12"/>
          <w:szCs w:val="12"/>
          <w:color w:val="auto"/>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automatically extended to March 28, 2027, which date shall become the End Date for purposes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if on the End Date, as extended pursuant to the immediately foregoing clause, the conditions to closing set forth in </w:t>
      </w:r>
      <w:r>
        <w:rPr>
          <w:rFonts w:ascii="Times New Roman" w:cs="Times New Roman" w:eastAsia="Times New Roman" w:hAnsi="Times New Roman"/>
          <w:sz w:val="12"/>
          <w:szCs w:val="12"/>
          <w:u w:val="single" w:color="auto"/>
          <w:color w:val="auto"/>
        </w:rPr>
        <w:t>Section 7.1(c)</w:t>
      </w:r>
      <w:r>
        <w:rPr>
          <w:rFonts w:ascii="Times New Roman" w:cs="Times New Roman" w:eastAsia="Times New Roman" w:hAnsi="Times New Roman"/>
          <w:sz w:val="12"/>
          <w:szCs w:val="12"/>
          <w:color w:val="auto"/>
        </w:rPr>
        <w:t xml:space="preserve"> (as relates to any Required Regulatory Approvals), shall not have been satisfied or waived but all other conditions to Closing shall have been satisfied or waived (or, in the case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1" w:name="page72"/>
    <w:bookmarkEnd w:id="71"/>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those conditions that by their nature are to be satisfied at the Closing or on the Closing Date, shall be capable of being satisfied on such date), then the End Date shall be further automatically extended to June 28, 2027, which date shall become the End Date for all purposes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End Date may be extended by mutual written agreement of Parent and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right to terminate this Agreement pursuant to this </w:t>
      </w:r>
      <w:r>
        <w:rPr>
          <w:rFonts w:ascii="Times New Roman" w:cs="Times New Roman" w:eastAsia="Times New Roman" w:hAnsi="Times New Roman"/>
          <w:sz w:val="13"/>
          <w:szCs w:val="13"/>
          <w:u w:val="single" w:color="auto"/>
          <w:color w:val="auto"/>
        </w:rPr>
        <w:t>Section 8.1(c)</w:t>
      </w:r>
      <w:r>
        <w:rPr>
          <w:rFonts w:ascii="Times New Roman" w:cs="Times New Roman" w:eastAsia="Times New Roman" w:hAnsi="Times New Roman"/>
          <w:sz w:val="13"/>
          <w:szCs w:val="13"/>
          <w:color w:val="auto"/>
        </w:rPr>
        <w:t xml:space="preserve"> shall not be available to the Party seeking to terminate if such Party (or, in the case of Parent, Parent or Merger Sub) is in breach of, or has breached, any of its obligations under this Agreement, which breach has been the primary cause of the failure of the Merger to be consummated on or before the End Date;</w:t>
      </w:r>
    </w:p>
    <w:p>
      <w:pPr>
        <w:spacing w:after="0" w:line="135" w:lineRule="exact"/>
        <w:rPr>
          <w:sz w:val="20"/>
          <w:szCs w:val="20"/>
          <w:color w:val="auto"/>
        </w:rPr>
      </w:pPr>
    </w:p>
    <w:p>
      <w:pPr>
        <w:ind w:left="1520" w:hanging="187"/>
        <w:spacing w:after="0"/>
        <w:tabs>
          <w:tab w:leader="none" w:pos="15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from the Company:</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47" w:lineRule="auto"/>
        <w:tabs>
          <w:tab w:leader="none" w:pos="1759"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time prior to the Effective Time if there shall have been a breach of any representation, warranty, covenant or agreement on the part of Parent or Merger Sub contained in this Agreement, or any such representation or warranty shall be untrue, such that the conditions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would not be satisfied and, in either such case, such breach is not curable or, if curable, is not cured prior to the earlier of (A) thirty (30) days after written notice thereof is given by the Company to Parent or (B) the End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have the right to terminate this Agreement pursuant to this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if the Company is then in breach of any of its representations, warranties, covenants or agreements contained in this Agreement that would cause a condition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not to be satisfied;</w:t>
      </w:r>
    </w:p>
    <w:p>
      <w:pPr>
        <w:spacing w:after="0" w:line="60" w:lineRule="exact"/>
        <w:rPr>
          <w:rFonts w:ascii="Times New Roman" w:cs="Times New Roman" w:eastAsia="Times New Roman" w:hAnsi="Times New Roman"/>
          <w:sz w:val="13"/>
          <w:szCs w:val="13"/>
          <w:color w:val="auto"/>
        </w:rPr>
      </w:pPr>
    </w:p>
    <w:p>
      <w:pPr>
        <w:ind w:left="940" w:right="659" w:firstLine="675"/>
        <w:spacing w:after="0" w:line="272" w:lineRule="auto"/>
        <w:tabs>
          <w:tab w:leader="none" w:pos="1794"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the conditions set forth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(other than those conditions that by their nature are to be satisfied at the Closing, but each of which was at the time of termination capable of being satisfied as if such time were the Closing) have been and continue to be satisfied or waived in accordance with this Agreement, (B) the Company has given Parent a written notice that all of the conditions set forth in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have been satisfied or waived (other than those conditions that by their nature are to be satisfied at the Closing) or that it is willing to waive any unsatisfied condition and that the Company is ready, willing and able to consummate the Merger on such date and (C) Parent and Merger Sub fail to consummate the Merger on the date on which the Closing should have occurred pursuant to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or</w:t>
      </w:r>
    </w:p>
    <w:p>
      <w:pPr>
        <w:spacing w:after="0" w:line="47" w:lineRule="exact"/>
        <w:rPr>
          <w:rFonts w:ascii="Times New Roman" w:cs="Times New Roman" w:eastAsia="Times New Roman" w:hAnsi="Times New Roman"/>
          <w:sz w:val="12"/>
          <w:szCs w:val="12"/>
          <w:color w:val="auto"/>
        </w:rPr>
      </w:pPr>
    </w:p>
    <w:p>
      <w:pPr>
        <w:ind w:left="940" w:right="719" w:firstLine="675"/>
        <w:spacing w:after="0" w:line="249" w:lineRule="auto"/>
        <w:tabs>
          <w:tab w:leader="none" w:pos="1829"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obtaining the Company Requisite Vote if (A) the Board of Directors has authorized the Company to effect a Change of Recommendation pursuant to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 xml:space="preserve"> due to a Superior Proposal and (B) immediately prior to, concurrently with or immediately following the termination of this Agreement, the Company enters into an Alternative Acquisition Agreement in respect of such Superior Proposal;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(x) shall have complied in all material respects with the requirements of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and (y) shall prior to or substantially concurrently with such termination pay the Company Termination Fee pursuant to </w:t>
      </w:r>
      <w:r>
        <w:rPr>
          <w:rFonts w:ascii="Times New Roman" w:cs="Times New Roman" w:eastAsia="Times New Roman" w:hAnsi="Times New Roman"/>
          <w:sz w:val="13"/>
          <w:szCs w:val="13"/>
          <w:u w:val="single" w:color="auto"/>
          <w:color w:val="auto"/>
        </w:rPr>
        <w:t>Section 8.2(b)(i)</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2" w:name="page73"/>
    <w:bookmarkEnd w:id="72"/>
    <w:p>
      <w:pPr>
        <w:ind w:left="1500" w:hanging="167"/>
        <w:spacing w:after="0"/>
        <w:tabs>
          <w:tab w:leader="none" w:pos="15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written notice from Parent:</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47" w:lineRule="auto"/>
        <w:tabs>
          <w:tab w:leader="none" w:pos="1759"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time prior to the Effective Time if there has been a breach of any representation, warranty, covenant or agreement on the part of the Company contained in this Agreement, or any such representation or warranty shall be untrue, such that the conditions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would not be satisfied and, in either such case, such breach is not curable or, if curable, is not cured prior to the earlier of (A) thirty (30) days after written notice thereof is given by Parent to the Company or (B) the End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shall not have the right to terminate this Agreement pursuant to this </w:t>
      </w:r>
      <w:r>
        <w:rPr>
          <w:rFonts w:ascii="Times New Roman" w:cs="Times New Roman" w:eastAsia="Times New Roman" w:hAnsi="Times New Roman"/>
          <w:sz w:val="13"/>
          <w:szCs w:val="13"/>
          <w:u w:val="single" w:color="auto"/>
          <w:color w:val="auto"/>
        </w:rPr>
        <w:t>Section 8.1(e)(i)</w:t>
      </w:r>
      <w:r>
        <w:rPr>
          <w:rFonts w:ascii="Times New Roman" w:cs="Times New Roman" w:eastAsia="Times New Roman" w:hAnsi="Times New Roman"/>
          <w:sz w:val="13"/>
          <w:szCs w:val="13"/>
          <w:color w:val="auto"/>
        </w:rPr>
        <w:t xml:space="preserve"> if Parent or Merger Sub is then in breach of any of its representations, warranties, covenants or agreements contained in this Agreement that would cause a condition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not to be satisfied; or</w:t>
      </w:r>
    </w:p>
    <w:p>
      <w:pPr>
        <w:spacing w:after="0" w:line="60"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obtaining the Company Requisite Vote, if the Board of Directors shall have made a Change of Recommendation; or</w:t>
      </w:r>
    </w:p>
    <w:p>
      <w:pPr>
        <w:spacing w:after="0" w:line="153"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494"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from either Parent or the Company at any time prior to the Effective Time if the Company Requisite Vote shall not have been obtained at the Shareholders Meeting duly convened therefor or at any adjournment thereof, in each case, at which a vote on the approval of this Agreement, the Merger and the other transactions contemplated hereby was taken.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1" w:lineRule="auto"/>
        <w:tabs>
          <w:tab w:leader="none" w:pos="1508"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the valid termination of this Agreement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written notice thereof shall be given to the other Party or Parties hereto, specifying the provision hereof pursuant to which such termination is made and this Agreement shall forthwith become void and have no further legal effect and there shall be no liability or obligation under this Agreement on the part of any Party hereto, except as provided in </w:t>
      </w:r>
      <w:r>
        <w:rPr>
          <w:rFonts w:ascii="Times New Roman" w:cs="Times New Roman" w:eastAsia="Times New Roman" w:hAnsi="Times New Roman"/>
          <w:sz w:val="12"/>
          <w:szCs w:val="12"/>
          <w:u w:val="single" w:color="auto"/>
          <w:color w:val="auto"/>
        </w:rPr>
        <w:t>Section 6.6(b)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the expense reimbursement and indemnification provisions of </w:t>
      </w:r>
      <w:r>
        <w:rPr>
          <w:rFonts w:ascii="Times New Roman" w:cs="Times New Roman" w:eastAsia="Times New Roman" w:hAnsi="Times New Roman"/>
          <w:sz w:val="12"/>
          <w:szCs w:val="12"/>
          <w:u w:val="single" w:color="auto"/>
          <w:color w:val="auto"/>
        </w:rPr>
        <w:t>Section 6.11(c)</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which shall survive such valid termination in accordance with their terms and conditions;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termination shall not relieve any Party for any and all liabilities and damages incurred or suffered by the other Party as a result of intentional fraud by such first Party. The Parties acknowledge and agree that nothing in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shall limit or prevent any Party from exercising any rights or remedies it may have under </w:t>
      </w:r>
      <w:r>
        <w:rPr>
          <w:rFonts w:ascii="Times New Roman" w:cs="Times New Roman" w:eastAsia="Times New Roman" w:hAnsi="Times New Roman"/>
          <w:sz w:val="12"/>
          <w:szCs w:val="12"/>
          <w:u w:val="single" w:color="auto"/>
          <w:color w:val="auto"/>
        </w:rPr>
        <w:t>Section 9.12</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69" w:lineRule="auto"/>
        <w:tabs>
          <w:tab w:leader="none" w:pos="1759" w:val="left"/>
        </w:tabs>
        <w:numPr>
          <w:ilvl w:val="2"/>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is validly terminated by Parent pursuant to </w:t>
      </w:r>
      <w:r>
        <w:rPr>
          <w:rFonts w:ascii="Times New Roman" w:cs="Times New Roman" w:eastAsia="Times New Roman" w:hAnsi="Times New Roman"/>
          <w:sz w:val="12"/>
          <w:szCs w:val="12"/>
          <w:u w:val="single" w:color="auto"/>
          <w:color w:val="auto"/>
        </w:rPr>
        <w:t>Section 8.1(e)(ii)</w:t>
      </w:r>
      <w:r>
        <w:rPr>
          <w:rFonts w:ascii="Times New Roman" w:cs="Times New Roman" w:eastAsia="Times New Roman" w:hAnsi="Times New Roman"/>
          <w:sz w:val="12"/>
          <w:szCs w:val="12"/>
          <w:color w:val="auto"/>
        </w:rPr>
        <w:t xml:space="preserve">, or by the Company pursuant to </w:t>
      </w:r>
      <w:r>
        <w:rPr>
          <w:rFonts w:ascii="Times New Roman" w:cs="Times New Roman" w:eastAsia="Times New Roman" w:hAnsi="Times New Roman"/>
          <w:sz w:val="12"/>
          <w:szCs w:val="12"/>
          <w:u w:val="single" w:color="auto"/>
          <w:color w:val="auto"/>
        </w:rPr>
        <w:t>Section 8.1(d)(iii)</w:t>
      </w:r>
      <w:r>
        <w:rPr>
          <w:rFonts w:ascii="Times New Roman" w:cs="Times New Roman" w:eastAsia="Times New Roman" w:hAnsi="Times New Roman"/>
          <w:sz w:val="12"/>
          <w:szCs w:val="12"/>
          <w:color w:val="auto"/>
        </w:rPr>
        <w:t xml:space="preserve"> (or pursuant to </w:t>
      </w:r>
      <w:r>
        <w:rPr>
          <w:rFonts w:ascii="Times New Roman" w:cs="Times New Roman" w:eastAsia="Times New Roman" w:hAnsi="Times New Roman"/>
          <w:sz w:val="12"/>
          <w:szCs w:val="12"/>
          <w:u w:val="single" w:color="auto"/>
          <w:color w:val="auto"/>
        </w:rPr>
        <w:t>Section 8.1(c)</w:t>
      </w:r>
      <w:r>
        <w:rPr>
          <w:rFonts w:ascii="Times New Roman" w:cs="Times New Roman" w:eastAsia="Times New Roman" w:hAnsi="Times New Roman"/>
          <w:sz w:val="12"/>
          <w:szCs w:val="12"/>
          <w:color w:val="auto"/>
        </w:rPr>
        <w:t xml:space="preserve"> under circumstances in which Parent would have been entitled to terminate pursuant to </w:t>
      </w:r>
      <w:r>
        <w:rPr>
          <w:rFonts w:ascii="Times New Roman" w:cs="Times New Roman" w:eastAsia="Times New Roman" w:hAnsi="Times New Roman"/>
          <w:sz w:val="12"/>
          <w:szCs w:val="12"/>
          <w:u w:val="single" w:color="auto"/>
          <w:color w:val="auto"/>
        </w:rPr>
        <w:t>Section 8.1(e)(ii))</w:t>
      </w:r>
      <w:r>
        <w:rPr>
          <w:rFonts w:ascii="Times New Roman" w:cs="Times New Roman" w:eastAsia="Times New Roman" w:hAnsi="Times New Roman"/>
          <w:sz w:val="12"/>
          <w:szCs w:val="12"/>
          <w:color w:val="auto"/>
        </w:rPr>
        <w:t>, then the Company shall pay to Parent a fee of $32,515,000 (the “</w:t>
      </w:r>
      <w:r>
        <w:rPr>
          <w:rFonts w:ascii="Times New Roman" w:cs="Times New Roman" w:eastAsia="Times New Roman" w:hAnsi="Times New Roman"/>
          <w:sz w:val="12"/>
          <w:szCs w:val="12"/>
          <w:u w:val="single" w:color="auto"/>
          <w:color w:val="auto"/>
        </w:rPr>
        <w:t>Company Termination Fee</w:t>
      </w:r>
      <w:r>
        <w:rPr>
          <w:rFonts w:ascii="Times New Roman" w:cs="Times New Roman" w:eastAsia="Times New Roman" w:hAnsi="Times New Roman"/>
          <w:sz w:val="12"/>
          <w:szCs w:val="12"/>
          <w:color w:val="auto"/>
        </w:rPr>
        <w:t xml:space="preserve">”) by wire transfer of immediately available funds, such payment to be made (A) prior to or substantially concurrently with such termination in the case of a termination pursuant to </w:t>
      </w:r>
      <w:r>
        <w:rPr>
          <w:rFonts w:ascii="Times New Roman" w:cs="Times New Roman" w:eastAsia="Times New Roman" w:hAnsi="Times New Roman"/>
          <w:sz w:val="12"/>
          <w:szCs w:val="12"/>
          <w:u w:val="single" w:color="auto"/>
          <w:color w:val="auto"/>
        </w:rPr>
        <w:t>Section 8.1(d)(iii)</w:t>
      </w:r>
      <w:r>
        <w:rPr>
          <w:rFonts w:ascii="Times New Roman" w:cs="Times New Roman" w:eastAsia="Times New Roman" w:hAnsi="Times New Roman"/>
          <w:sz w:val="12"/>
          <w:szCs w:val="12"/>
          <w:color w:val="auto"/>
        </w:rPr>
        <w:t xml:space="preserve"> or</w:t>
      </w:r>
    </w:p>
    <w:p>
      <w:pPr>
        <w:ind w:left="1140" w:hanging="193"/>
        <w:spacing w:after="0"/>
        <w:tabs>
          <w:tab w:leader="none" w:pos="11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reasonably practicable (and in any event within five Business Days following such termination) in the case of a termination</w:t>
      </w:r>
    </w:p>
    <w:p>
      <w:pPr>
        <w:spacing w:after="0" w:line="2" w:lineRule="exact"/>
        <w:rPr>
          <w:rFonts w:ascii="Times New Roman" w:cs="Times New Roman" w:eastAsia="Times New Roman" w:hAnsi="Times New Roman"/>
          <w:sz w:val="13"/>
          <w:szCs w:val="13"/>
          <w:color w:val="auto"/>
        </w:rPr>
      </w:pPr>
    </w:p>
    <w:p>
      <w:pPr>
        <w:ind w:left="940" w:right="67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pursuant to </w:t>
      </w:r>
      <w:r>
        <w:rPr>
          <w:rFonts w:ascii="Times New Roman" w:cs="Times New Roman" w:eastAsia="Times New Roman" w:hAnsi="Times New Roman"/>
          <w:sz w:val="13"/>
          <w:szCs w:val="13"/>
          <w:u w:val="single" w:color="auto"/>
          <w:color w:val="auto"/>
        </w:rPr>
        <w:t>Section 8.1(e)(ii)</w:t>
      </w:r>
      <w:r>
        <w:rPr>
          <w:rFonts w:ascii="Times New Roman" w:cs="Times New Roman" w:eastAsia="Times New Roman" w:hAnsi="Times New Roman"/>
          <w:sz w:val="13"/>
          <w:szCs w:val="13"/>
          <w:color w:val="auto"/>
        </w:rPr>
        <w:t xml:space="preserve"> (or pursuant to </w:t>
      </w:r>
      <w:r>
        <w:rPr>
          <w:rFonts w:ascii="Times New Roman" w:cs="Times New Roman" w:eastAsia="Times New Roman" w:hAnsi="Times New Roman"/>
          <w:sz w:val="13"/>
          <w:szCs w:val="13"/>
          <w:u w:val="single" w:color="auto"/>
          <w:color w:val="auto"/>
        </w:rPr>
        <w:t>Section 8.1(c)</w:t>
      </w:r>
      <w:r>
        <w:rPr>
          <w:rFonts w:ascii="Times New Roman" w:cs="Times New Roman" w:eastAsia="Times New Roman" w:hAnsi="Times New Roman"/>
          <w:sz w:val="13"/>
          <w:szCs w:val="13"/>
          <w:color w:val="auto"/>
        </w:rPr>
        <w:t xml:space="preserve"> under circumstances in which Parent would have been entitled to terminate pursuant to </w:t>
      </w:r>
      <w:r>
        <w:rPr>
          <w:rFonts w:ascii="Times New Roman" w:cs="Times New Roman" w:eastAsia="Times New Roman" w:hAnsi="Times New Roman"/>
          <w:sz w:val="13"/>
          <w:szCs w:val="13"/>
          <w:u w:val="single" w:color="auto"/>
          <w:color w:val="auto"/>
        </w:rPr>
        <w:t>Section 8.1(e)(ii)</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3" w:name="page74"/>
    <w:bookmarkEnd w:id="73"/>
    <w:p>
      <w:pPr>
        <w:ind w:left="940" w:right="859" w:firstLine="675"/>
        <w:spacing w:after="0" w:line="274" w:lineRule="auto"/>
        <w:tabs>
          <w:tab w:leader="none" w:pos="1794" w:val="left"/>
        </w:tabs>
        <w:numPr>
          <w:ilvl w:val="2"/>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Agreement is validly terminated by either Parent or the Company pursuant to </w:t>
      </w:r>
      <w:r>
        <w:rPr>
          <w:rFonts w:ascii="Times New Roman" w:cs="Times New Roman" w:eastAsia="Times New Roman" w:hAnsi="Times New Roman"/>
          <w:sz w:val="12"/>
          <w:szCs w:val="12"/>
          <w:u w:val="single" w:color="auto"/>
          <w:color w:val="auto"/>
        </w:rPr>
        <w:t>Section 8.1(f),</w:t>
      </w:r>
      <w:r>
        <w:rPr>
          <w:rFonts w:ascii="Times New Roman" w:cs="Times New Roman" w:eastAsia="Times New Roman" w:hAnsi="Times New Roman"/>
          <w:sz w:val="12"/>
          <w:szCs w:val="12"/>
          <w:color w:val="auto"/>
        </w:rPr>
        <w:t xml:space="preserve"> by Parent pursuant to </w:t>
      </w:r>
      <w:r>
        <w:rPr>
          <w:rFonts w:ascii="Times New Roman" w:cs="Times New Roman" w:eastAsia="Times New Roman" w:hAnsi="Times New Roman"/>
          <w:sz w:val="12"/>
          <w:szCs w:val="12"/>
          <w:u w:val="single" w:color="auto"/>
          <w:color w:val="auto"/>
        </w:rPr>
        <w:t>Section 8.1(e)(i)</w:t>
      </w:r>
      <w:r>
        <w:rPr>
          <w:rFonts w:ascii="Times New Roman" w:cs="Times New Roman" w:eastAsia="Times New Roman" w:hAnsi="Times New Roman"/>
          <w:sz w:val="12"/>
          <w:szCs w:val="12"/>
          <w:color w:val="auto"/>
        </w:rPr>
        <w:t xml:space="preserve"> or by the Company pursuant to </w:t>
      </w:r>
      <w:r>
        <w:rPr>
          <w:rFonts w:ascii="Times New Roman" w:cs="Times New Roman" w:eastAsia="Times New Roman" w:hAnsi="Times New Roman"/>
          <w:sz w:val="12"/>
          <w:szCs w:val="12"/>
          <w:u w:val="single" w:color="auto"/>
          <w:color w:val="auto"/>
        </w:rPr>
        <w:t>Section 8.1(b)</w:t>
      </w:r>
      <w:r>
        <w:rPr>
          <w:rFonts w:ascii="Times New Roman" w:cs="Times New Roman" w:eastAsia="Times New Roman" w:hAnsi="Times New Roman"/>
          <w:sz w:val="12"/>
          <w:szCs w:val="12"/>
          <w:color w:val="auto"/>
        </w:rPr>
        <w:t xml:space="preserve"> (if such termination occurs prior to obtaining the Company Requisite Vote) and</w:t>
      </w:r>
    </w:p>
    <w:p>
      <w:pPr>
        <w:spacing w:after="0" w:line="1" w:lineRule="exact"/>
        <w:rPr>
          <w:rFonts w:ascii="Times New Roman" w:cs="Times New Roman" w:eastAsia="Times New Roman" w:hAnsi="Times New Roman"/>
          <w:sz w:val="12"/>
          <w:szCs w:val="12"/>
          <w:color w:val="auto"/>
        </w:rPr>
      </w:pPr>
    </w:p>
    <w:p>
      <w:pPr>
        <w:ind w:left="940" w:right="659" w:firstLine="7"/>
        <w:spacing w:after="0" w:line="243" w:lineRule="auto"/>
        <w:tabs>
          <w:tab w:leader="none" w:pos="1147"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time after the date of this Agreement and prior to the Shareholders Meeting (or prior to the termination of this Agreement if there has been no Shareholders Meeting) a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Acquisition Proposal shall have been publicly announced and not withdrawn at least one (1) Business Day prior to the Shareholders Meeting, and (B) prior to the date that is twelve (12) months following the date of such termination, the Company or any of its subsidiaries enters into a definitive agreement with respect to (which Acquisition Proposal is subsequently consummated), or an Acquisition Proposal shall have been consummated, then, within five (5) Business Days of the date on which such Acquisition Proposal is consummated, the Company shall pay to Parent the Company Termination Fee by wire transfer of immediately available funds. For the purpose of this </w:t>
      </w:r>
      <w:r>
        <w:rPr>
          <w:rFonts w:ascii="Times New Roman" w:cs="Times New Roman" w:eastAsia="Times New Roman" w:hAnsi="Times New Roman"/>
          <w:sz w:val="13"/>
          <w:szCs w:val="13"/>
          <w:u w:val="single" w:color="auto"/>
          <w:color w:val="auto"/>
        </w:rPr>
        <w:t>Section 8.2(b)(ii)</w:t>
      </w:r>
      <w:r>
        <w:rPr>
          <w:rFonts w:ascii="Times New Roman" w:cs="Times New Roman" w:eastAsia="Times New Roman" w:hAnsi="Times New Roman"/>
          <w:sz w:val="13"/>
          <w:szCs w:val="13"/>
          <w:color w:val="auto"/>
        </w:rPr>
        <w:t>, all references in the definition of the term Acquisition Proposal to “20% or more” will be deemed to be references to “more than 50%.”</w:t>
      </w:r>
    </w:p>
    <w:p>
      <w:pPr>
        <w:spacing w:after="0" w:line="65" w:lineRule="exact"/>
        <w:rPr>
          <w:rFonts w:ascii="Times New Roman" w:cs="Times New Roman" w:eastAsia="Times New Roman" w:hAnsi="Times New Roman"/>
          <w:sz w:val="13"/>
          <w:szCs w:val="13"/>
          <w:color w:val="auto"/>
        </w:rPr>
      </w:pPr>
    </w:p>
    <w:p>
      <w:pPr>
        <w:ind w:left="940" w:right="699" w:firstLine="675"/>
        <w:spacing w:after="0" w:line="246" w:lineRule="auto"/>
        <w:tabs>
          <w:tab w:leader="none" w:pos="1829" w:val="left"/>
        </w:tabs>
        <w:numPr>
          <w:ilvl w:val="2"/>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is validly terminated by either Party pursuant to </w:t>
      </w:r>
      <w:r>
        <w:rPr>
          <w:rFonts w:ascii="Times New Roman" w:cs="Times New Roman" w:eastAsia="Times New Roman" w:hAnsi="Times New Roman"/>
          <w:sz w:val="13"/>
          <w:szCs w:val="13"/>
          <w:u w:val="single" w:color="auto"/>
          <w:color w:val="auto"/>
        </w:rPr>
        <w:t>Section 8.1(b)</w:t>
      </w:r>
      <w:r>
        <w:rPr>
          <w:rFonts w:ascii="Times New Roman" w:cs="Times New Roman" w:eastAsia="Times New Roman" w:hAnsi="Times New Roman"/>
          <w:sz w:val="13"/>
          <w:szCs w:val="13"/>
          <w:color w:val="auto"/>
        </w:rPr>
        <w:t xml:space="preserve"> (to the extent related to any Antitrust Laws), </w:t>
      </w:r>
      <w:r>
        <w:rPr>
          <w:rFonts w:ascii="Times New Roman" w:cs="Times New Roman" w:eastAsia="Times New Roman" w:hAnsi="Times New Roman"/>
          <w:sz w:val="13"/>
          <w:szCs w:val="13"/>
          <w:u w:val="single" w:color="auto"/>
          <w:color w:val="auto"/>
        </w:rPr>
        <w:t>Section 8.1(c)</w:t>
      </w:r>
      <w:r>
        <w:rPr>
          <w:rFonts w:ascii="Times New Roman" w:cs="Times New Roman" w:eastAsia="Times New Roman" w:hAnsi="Times New Roman"/>
          <w:sz w:val="13"/>
          <w:szCs w:val="13"/>
          <w:color w:val="auto"/>
        </w:rPr>
        <w:t xml:space="preserve"> and at the time of such termination, one or more of the conditions to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(only to the extent related to any Antitrust Laws) have not been satisfied or waived, but all other conditions to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have been satisfied or waived (except for those conditions that by their nature are to be satisfied at the Closing (so long as such conditions are capable of being satisfied if the Closing were to occur on such date)) or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color w:val="auto"/>
        </w:rPr>
        <w:t>, Parent shall pay to the Company a fee of $32,515,000 (the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by wire transfer of immediately available funds, such payment to be made (A) prior to or substantially concurrently with such termination in the case of a termination by Parent or (B) within five (5) Business Days of such termination in the case of a termination by the Company.</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508"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acknowledge and hereby agree that each of the Parent Termination Fee and the Company Termination Fee, as applicable, if, as and when required pursuant to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either the Company be required to pay the Company Termination Fee or Parent be required to pay the Parent Termination Fee, as the case may be, on more than one occasion.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firstLine="693"/>
        <w:spacing w:after="0" w:line="246" w:lineRule="auto"/>
        <w:tabs>
          <w:tab w:leader="none" w:pos="151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Each of the Company, Parent and Merger Sub acknowledges that the agreements contained in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are an integral part of the transactions contemplated by this Agreement and that, without these agreements, the Parties would not enter into this Agreement. If the Company fails to timely pay an amount due pursuant to </w:t>
      </w:r>
      <w:r>
        <w:rPr>
          <w:rFonts w:ascii="Times New Roman" w:cs="Times New Roman" w:eastAsia="Times New Roman" w:hAnsi="Times New Roman"/>
          <w:sz w:val="13"/>
          <w:szCs w:val="13"/>
          <w:u w:val="single" w:color="auto"/>
          <w:color w:val="auto"/>
        </w:rPr>
        <w:t>Section 8.2(b)(i)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8.2(b)(ii)</w:t>
      </w:r>
      <w:r>
        <w:rPr>
          <w:rFonts w:ascii="Times New Roman" w:cs="Times New Roman" w:eastAsia="Times New Roman" w:hAnsi="Times New Roman"/>
          <w:sz w:val="13"/>
          <w:szCs w:val="13"/>
          <w:color w:val="auto"/>
        </w:rPr>
        <w:t xml:space="preserve">, or Parent fails to timely pay an amount due pursuant to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xml:space="preserve">, the Company shall pay to Parent, or Parent shall pay to the Company, its reasonable and documented out-of-pocket costs and expenses (including reasonable and documented out-of-pocket attorneys’ fees and the reasonable and documented out-of-pocket fees and expenses of any expert or consultant engaged by Parent or the Company (as applicable)) in connection with the collection and enforcement of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together with interest on the unpaid amount of such payment under </w:t>
      </w:r>
      <w:r>
        <w:rPr>
          <w:rFonts w:ascii="Times New Roman" w:cs="Times New Roman" w:eastAsia="Times New Roman" w:hAnsi="Times New Roman"/>
          <w:sz w:val="13"/>
          <w:szCs w:val="13"/>
          <w:u w:val="single" w:color="auto"/>
          <w:color w:val="auto"/>
        </w:rPr>
        <w:t>Section 8.2(b)(i)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8.2(b)(ii)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8.2(b)(iii)</w:t>
      </w:r>
      <w:r>
        <w:rPr>
          <w:rFonts w:ascii="Times New Roman" w:cs="Times New Roman" w:eastAsia="Times New Roman" w:hAnsi="Times New Roman"/>
          <w:sz w:val="13"/>
          <w:szCs w:val="13"/>
          <w:color w:val="auto"/>
        </w:rPr>
        <w:t xml:space="preserve">, as the case may be, from the date such payment was required to be made at the prime rate as published in </w:t>
      </w:r>
      <w:r>
        <w:rPr>
          <w:rFonts w:ascii="Times New Roman" w:cs="Times New Roman" w:eastAsia="Times New Roman" w:hAnsi="Times New Roman"/>
          <w:sz w:val="13"/>
          <w:szCs w:val="13"/>
          <w:i w:val="1"/>
          <w:iCs w:val="1"/>
          <w:color w:val="auto"/>
        </w:rPr>
        <w:t>Wall Street Journal Table of Money Rates</w:t>
      </w:r>
      <w:r>
        <w:rPr>
          <w:rFonts w:ascii="Times New Roman" w:cs="Times New Roman" w:eastAsia="Times New Roman" w:hAnsi="Times New Roman"/>
          <w:sz w:val="13"/>
          <w:szCs w:val="13"/>
          <w:color w:val="auto"/>
        </w:rPr>
        <w:t xml:space="preserve"> on such date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3%. Such collection expenses shall not otherwise diminish in any way the payment obligations hereunder.</w:t>
      </w:r>
    </w:p>
    <w:p>
      <w:pPr>
        <w:spacing w:after="0" w:line="137"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08"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Agreement, but subject to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if the Company fails to effect the Closing for any reason or no reason or otherwise breaches this Agreement (whether willfully, intentionally, unintentionally or otherwise) or fails to perform hereunder (whether willfully, intentionally, unintentionally or otherwise), then Parent’s right to terminate this Agreement and receive the Company Termination Fee pursuant to </w:t>
      </w:r>
      <w:r>
        <w:rPr>
          <w:rFonts w:ascii="Times New Roman" w:cs="Times New Roman" w:eastAsia="Times New Roman" w:hAnsi="Times New Roman"/>
          <w:sz w:val="13"/>
          <w:szCs w:val="13"/>
          <w:u w:val="single" w:color="auto"/>
          <w:color w:val="auto"/>
        </w:rPr>
        <w:t>Section 8.2(b)(i)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8.2(b)(ii)</w:t>
      </w:r>
      <w:r>
        <w:rPr>
          <w:rFonts w:ascii="Times New Roman" w:cs="Times New Roman" w:eastAsia="Times New Roman" w:hAnsi="Times New Roman"/>
          <w:sz w:val="13"/>
          <w:szCs w:val="13"/>
          <w:color w:val="auto"/>
        </w:rPr>
        <w:t xml:space="preserve"> and, if and to the extent applicable, the costs and expenses of Parent pursuant to </w:t>
      </w:r>
      <w:r>
        <w:rPr>
          <w:rFonts w:ascii="Times New Roman" w:cs="Times New Roman" w:eastAsia="Times New Roman" w:hAnsi="Times New Roman"/>
          <w:sz w:val="13"/>
          <w:szCs w:val="13"/>
          <w:u w:val="single" w:color="auto"/>
          <w:color w:val="auto"/>
        </w:rPr>
        <w:t>Section 8.2(d)</w:t>
      </w:r>
      <w:r>
        <w:rPr>
          <w:rFonts w:ascii="Times New Roman" w:cs="Times New Roman" w:eastAsia="Times New Roman" w:hAnsi="Times New Roman"/>
          <w:sz w:val="13"/>
          <w:szCs w:val="13"/>
          <w:color w:val="auto"/>
        </w:rPr>
        <w:t>, shall be the sole and exclusive remedies (whether at law, in equity, in contract, in tort or otherwise) of Parent Related Parties and the Financing Sources against the Company and its subsidiaries,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 w:cs="Times New Roman" w:eastAsia="Times New Roman" w:hAnsi="Times New Roman"/>
          <w:sz w:val="13"/>
          <w:szCs w:val="13"/>
          <w:u w:val="single" w:color="auto"/>
          <w:color w:val="auto"/>
        </w:rPr>
        <w:t>Company Related Party</w:t>
      </w:r>
      <w:r>
        <w:rPr>
          <w:rFonts w:ascii="Times New Roman" w:cs="Times New Roman" w:eastAsia="Times New Roman" w:hAnsi="Times New Roman"/>
          <w:sz w:val="13"/>
          <w:szCs w:val="13"/>
          <w:color w:val="auto"/>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no event shall Company Related Party be subject to monetary damages in excess of the amount of the Company Termination Fee in the aggregate (and any costs, expenses, interest and other amounts payable pursuant to </w:t>
      </w:r>
      <w:r>
        <w:rPr>
          <w:rFonts w:ascii="Times New Roman" w:cs="Times New Roman" w:eastAsia="Times New Roman" w:hAnsi="Times New Roman"/>
          <w:sz w:val="13"/>
          <w:szCs w:val="13"/>
          <w:u w:val="single" w:color="auto"/>
          <w:color w:val="auto"/>
        </w:rPr>
        <w:t>Section 8.2(d)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8.2(e)</w:t>
      </w:r>
      <w:r>
        <w:rPr>
          <w:rFonts w:ascii="Times New Roman" w:cs="Times New Roman" w:eastAsia="Times New Roman" w:hAnsi="Times New Roman"/>
          <w:sz w:val="13"/>
          <w:szCs w:val="13"/>
          <w:color w:val="auto"/>
        </w:rPr>
        <w:t xml:space="preserve"> shall limit the rights of Parent in the case of intentional fraud by the Company.</w:t>
      </w:r>
    </w:p>
    <w:p>
      <w:pPr>
        <w:spacing w:after="0" w:line="137" w:lineRule="exact"/>
        <w:rPr>
          <w:rFonts w:ascii="Times New Roman" w:cs="Times New Roman" w:eastAsia="Times New Roman" w:hAnsi="Times New Roman"/>
          <w:sz w:val="13"/>
          <w:szCs w:val="13"/>
          <w:color w:val="auto"/>
        </w:rPr>
      </w:pPr>
    </w:p>
    <w:p>
      <w:pPr>
        <w:ind w:left="640" w:right="779" w:firstLine="693"/>
        <w:spacing w:after="0" w:line="246" w:lineRule="auto"/>
        <w:tabs>
          <w:tab w:leader="none" w:pos="149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Agreement, but subject to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if Parent or Merger Sub fails to effect the Closing for any reason or no reason or breaches this Agreement (whether willfully, intentionally, unintentionally or otherwise) or fails to perform hereunder (whether willfully, intentionally, unintentionally or otherwise), then the Company’s right to terminate this Agreement and receive the Parent Termination Fee pursuant to </w:t>
      </w:r>
      <w:r>
        <w:rPr>
          <w:rFonts w:ascii="Times New Roman" w:cs="Times New Roman" w:eastAsia="Times New Roman" w:hAnsi="Times New Roman"/>
          <w:sz w:val="13"/>
          <w:szCs w:val="13"/>
          <w:u w:val="single" w:color="auto"/>
          <w:color w:val="auto"/>
        </w:rPr>
        <w:t>Section 8.2(b)(iii)</w:t>
      </w:r>
      <w:r>
        <w:rPr>
          <w:rFonts w:ascii="Times New Roman" w:cs="Times New Roman" w:eastAsia="Times New Roman" w:hAnsi="Times New Roman"/>
          <w:sz w:val="13"/>
          <w:szCs w:val="13"/>
          <w:color w:val="auto"/>
        </w:rPr>
        <w:t xml:space="preserve"> and, if and to the extent applicable, the costs and expenses of the Company pursuant to </w:t>
      </w:r>
      <w:r>
        <w:rPr>
          <w:rFonts w:ascii="Times New Roman" w:cs="Times New Roman" w:eastAsia="Times New Roman" w:hAnsi="Times New Roman"/>
          <w:sz w:val="13"/>
          <w:szCs w:val="13"/>
          <w:u w:val="single" w:color="auto"/>
          <w:color w:val="auto"/>
        </w:rPr>
        <w:t>Section 8.2(d)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6.11(c)</w:t>
      </w:r>
      <w:r>
        <w:rPr>
          <w:rFonts w:ascii="Times New Roman" w:cs="Times New Roman" w:eastAsia="Times New Roman" w:hAnsi="Times New Roman"/>
          <w:sz w:val="13"/>
          <w:szCs w:val="13"/>
          <w:color w:val="auto"/>
        </w:rPr>
        <w:t xml:space="preserve"> shall be the sole and exclusive remedies (whether at law, in equity, in contract, in tort or otherwise) against Parent and Merger Sub and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5" w:name="page76"/>
    <w:bookmarkEnd w:id="75"/>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shareholder, controlling Person, manager, member, director, officer, employee, Affiliate, representative, agent, assignee or successor of any of the foregoing (each a “</w:t>
      </w:r>
      <w:r>
        <w:rPr>
          <w:rFonts w:ascii="Times New Roman" w:cs="Times New Roman" w:eastAsia="Times New Roman" w:hAnsi="Times New Roman"/>
          <w:sz w:val="13"/>
          <w:szCs w:val="13"/>
          <w:u w:val="single" w:color="auto"/>
          <w:color w:val="auto"/>
        </w:rPr>
        <w:t>Parent Related Party</w:t>
      </w:r>
      <w:r>
        <w:rPr>
          <w:rFonts w:ascii="Times New Roman" w:cs="Times New Roman" w:eastAsia="Times New Roman" w:hAnsi="Times New Roman"/>
          <w:sz w:val="13"/>
          <w:szCs w:val="13"/>
          <w:color w:val="auto"/>
        </w:rPr>
        <w:t xml:space="preserve">”) or any Financing Source and any of their respective Affiliates (other than Parent or Merger Sub) for any breach, loss, damage or failure to perform under or otherwise arising from or in connection with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no event shall Parent Related Party be subject to monetary damages in excess of the amount of the Parent Termination Fee in the aggregate (and any costs, expenses, interest and other amounts payable pursuant to </w:t>
      </w:r>
      <w:r>
        <w:rPr>
          <w:rFonts w:ascii="Times New Roman" w:cs="Times New Roman" w:eastAsia="Times New Roman" w:hAnsi="Times New Roman"/>
          <w:sz w:val="13"/>
          <w:szCs w:val="13"/>
          <w:u w:val="single" w:color="auto"/>
          <w:color w:val="auto"/>
        </w:rPr>
        <w:t>Section 6.6(b)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6.11(c)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8.2(d)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8.2(f)</w:t>
      </w:r>
      <w:r>
        <w:rPr>
          <w:rFonts w:ascii="Times New Roman" w:cs="Times New Roman" w:eastAsia="Times New Roman" w:hAnsi="Times New Roman"/>
          <w:sz w:val="13"/>
          <w:szCs w:val="13"/>
          <w:color w:val="auto"/>
        </w:rPr>
        <w:t xml:space="preserve"> shall limit the rights of the Company in the case of intentional fraud by Parent or Merger Sub.</w:t>
      </w:r>
    </w:p>
    <w:p>
      <w:pPr>
        <w:spacing w:after="0" w:line="139"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otherwise specifically provided herein, each Party shall bear its own expenses in connection with this Agreement and the transactions contemplated hereby.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GENERAL PROVISIONS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Non-Survival of Representations, Warranties, Covenants and Agreements</w:t>
      </w:r>
      <w:r>
        <w:rPr>
          <w:rFonts w:ascii="Times New Roman" w:cs="Times New Roman" w:eastAsia="Times New Roman" w:hAnsi="Times New Roman"/>
          <w:sz w:val="13"/>
          <w:szCs w:val="13"/>
          <w:color w:val="auto"/>
        </w:rPr>
        <w:t>. None of the representations and warranties in this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or in any instrument delivered pursuant to this Agreement shall survive the Effective Time. None of the covenants or agreements of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Parties in this Agreement shall survive the Effective Time, except for (a) the covenants and agreements contained in this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and (b) those other covenants and agreements contained herein that by their terms apply or are to be performed in whole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part after the Effective Time, which shall survive the Effective Time until fully performed.</w:t>
      </w:r>
    </w:p>
    <w:p>
      <w:pPr>
        <w:spacing w:after="0" w:line="141"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9.2 </w:t>
      </w:r>
      <w:r>
        <w:rPr>
          <w:rFonts w:ascii="Times New Roman" w:cs="Times New Roman" w:eastAsia="Times New Roman" w:hAnsi="Times New Roman"/>
          <w:sz w:val="13"/>
          <w:szCs w:val="13"/>
          <w:u w:val="single" w:color="auto"/>
          <w:color w:val="auto"/>
        </w:rPr>
        <w:t>Modification or Amendment</w:t>
      </w:r>
      <w:r>
        <w:rPr>
          <w:rFonts w:ascii="Times New Roman" w:cs="Times New Roman" w:eastAsia="Times New Roman" w:hAnsi="Times New Roman"/>
          <w:sz w:val="13"/>
          <w:szCs w:val="13"/>
          <w:color w:val="auto"/>
        </w:rPr>
        <w:t xml:space="preserve">. Subject to the provisions of applicable Law, at any time prior to the Effective Time, the Parties may modify or amend this Agreement by written agreement, executed and delivered by duly authorized officers of the respective Parties.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 nor shall any single or partial exercise thereof preclude any other or further exercise of any other right or remedy hereunder.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6" w:name="page77"/>
    <w:bookmarkEnd w:id="76"/>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9.4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requests, claims, demands and other communications hereunder shall be in writing and shall be given by delivery in person, by facsimile or email or by registered or certified mail (postage prepaid, return receipt requested and providing proof of delivery) to the respective Parties at the following addresses or email addresses as follows (or at such other address or email address for a Party as shall be specified by like notice):</w:t>
      </w:r>
    </w:p>
    <w:p>
      <w:pPr>
        <w:spacing w:after="0" w:line="152" w:lineRule="exact"/>
        <w:rPr>
          <w:sz w:val="20"/>
          <w:szCs w:val="20"/>
          <w:color w:val="auto"/>
        </w:rPr>
      </w:pPr>
    </w:p>
    <w:p>
      <w:pPr>
        <w:ind w:left="1640" w:hanging="311"/>
        <w:spacing w:after="0"/>
        <w:tabs>
          <w:tab w:leader="none" w:pos="164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Parent or Merger Sub:</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Zymeworks Inc.</w:t>
      </w:r>
    </w:p>
    <w:p>
      <w:pPr>
        <w:spacing w:after="0" w:line="15"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114 East 4th Avenue, Suite 800</w:t>
      </w:r>
    </w:p>
    <w:p>
      <w:pPr>
        <w:spacing w:after="0" w:line="292" w:lineRule="exact"/>
        <w:rPr>
          <w:sz w:val="20"/>
          <w:szCs w:val="20"/>
          <w:color w:val="auto"/>
        </w:rPr>
      </w:pPr>
    </w:p>
    <w:tbl>
      <w:tblPr>
        <w:tblLayout w:type="fixed"/>
        <w:tblInd w:w="1640" w:type="dxa"/>
        <w:tblCellMar>
          <w:top w:w="0" w:type="dxa"/>
          <w:left w:w="0" w:type="dxa"/>
          <w:bottom w:w="0" w:type="dxa"/>
          <w:right w:w="0" w:type="dxa"/>
        </w:tblCellMar>
      </w:tblP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4"/>
              </w:rPr>
              <w:t>  Kristin Stafford</w:t>
            </w:r>
          </w:p>
        </w:tc>
      </w:tr>
      <w:tr>
        <w:trPr>
          <w:trHeight w:val="152"/>
        </w:trPr>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3"/>
                <w:szCs w:val="13"/>
                <w:color w:val="auto"/>
              </w:rPr>
              <w:t xml:space="preserve">             </w:t>
            </w: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  Paul Schneider</w:t>
            </w:r>
          </w:p>
        </w:tc>
      </w:tr>
      <w:tr>
        <w:trPr>
          <w:trHeight w:val="152"/>
        </w:trPr>
        <w:tc>
          <w:tcPr>
            <w:tcW w:w="4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86"/>
              </w:rPr>
              <w:t>Email:  </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5"/>
                <w:szCs w:val="5"/>
                <w:color w:val="auto"/>
                <w:w w:val="79"/>
              </w:rPr>
              <w:t> </w:t>
            </w:r>
          </w:p>
        </w:tc>
        <w:tc>
          <w:tcPr>
            <w:tcW w:w="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r>
      <w:tr>
        <w:trPr>
          <w:trHeight w:val="165"/>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r>
    </w:tbl>
    <w:p>
      <w:pPr>
        <w:spacing w:after="0" w:line="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Kirkland &amp; Ellis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200 Clarendon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02116</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Graham Robinson</w:t>
      </w:r>
    </w:p>
    <w:tbl>
      <w:tblPr>
        <w:tblLayout w:type="fixed"/>
        <w:tblInd w:w="1640" w:type="dxa"/>
        <w:tblCellMar>
          <w:top w:w="0" w:type="dxa"/>
          <w:left w:w="0" w:type="dxa"/>
          <w:bottom w:w="0" w:type="dxa"/>
          <w:right w:w="0" w:type="dxa"/>
        </w:tblCellMar>
      </w:tblPr>
      <w:tr>
        <w:trPr>
          <w:trHeight w:val="141"/>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8"/>
                <w:szCs w:val="8"/>
                <w:color w:val="auto"/>
                <w:w w:val="74"/>
              </w:rPr>
              <w:t> </w:t>
            </w:r>
          </w:p>
        </w:tc>
        <w:tc>
          <w:tcPr>
            <w:tcW w:w="1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auto"/>
              </w:rPr>
              <w:t>  Rachael G. Coffey</w:t>
            </w:r>
          </w:p>
        </w:tc>
      </w:tr>
      <w:tr>
        <w:trPr>
          <w:trHeight w:val="152"/>
        </w:trPr>
        <w:tc>
          <w:tcPr>
            <w:tcW w:w="580" w:type="dxa"/>
            <w:vAlign w:val="bottom"/>
            <w:gridSpan w:val="5"/>
          </w:tcPr>
          <w:p>
            <w:pPr>
              <w:jc w:val="right"/>
              <w:ind w:right="3"/>
              <w:spacing w:after="0"/>
              <w:rPr>
                <w:sz w:val="20"/>
                <w:szCs w:val="20"/>
                <w:color w:val="auto"/>
              </w:rPr>
            </w:pPr>
            <w:r>
              <w:rPr>
                <w:rFonts w:ascii="Times New Roman" w:cs="Times New Roman" w:eastAsia="Times New Roman" w:hAnsi="Times New Roman"/>
                <w:sz w:val="13"/>
                <w:szCs w:val="13"/>
                <w:color w:val="auto"/>
              </w:rPr>
              <w:t xml:space="preserve">             </w:t>
            </w:r>
          </w:p>
        </w:tc>
        <w:tc>
          <w:tcPr>
            <w:tcW w:w="1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 Dan Li</w:t>
            </w:r>
          </w:p>
        </w:tc>
      </w:tr>
      <w:tr>
        <w:trPr>
          <w:trHeight w:val="152"/>
        </w:trPr>
        <w:tc>
          <w:tcPr>
            <w:tcW w:w="4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86"/>
              </w:rPr>
              <w:t>Email:  </w:t>
            </w:r>
          </w:p>
        </w:tc>
        <w:tc>
          <w:tcPr>
            <w:tcW w:w="120" w:type="dxa"/>
            <w:vAlign w:val="bottom"/>
          </w:tcPr>
          <w:p>
            <w:pPr>
              <w:jc w:val="right"/>
              <w:ind w:right="23"/>
              <w:spacing w:after="0"/>
              <w:rPr>
                <w:sz w:val="20"/>
                <w:szCs w:val="20"/>
                <w:color w:val="auto"/>
              </w:rPr>
            </w:pPr>
            <w:r>
              <w:rPr>
                <w:rFonts w:ascii="Times New Roman" w:cs="Times New Roman" w:eastAsia="Times New Roman" w:hAnsi="Times New Roman"/>
                <w:sz w:val="5"/>
                <w:szCs w:val="5"/>
                <w:color w:val="auto"/>
                <w:w w:val="79"/>
              </w:rPr>
              <w:t> </w:t>
            </w:r>
          </w:p>
        </w:tc>
        <w:tc>
          <w:tcPr>
            <w:tcW w:w="17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5"/>
              </w:rPr>
              <w:t>  graham.robinson@kirkland.com;</w:t>
            </w:r>
          </w:p>
        </w:tc>
      </w:tr>
      <w:tr>
        <w:trPr>
          <w:trHeight w:val="165"/>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8"/>
                <w:szCs w:val="8"/>
                <w:color w:val="auto"/>
                <w:w w:val="74"/>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 rachael.coffey@kirkland.com</w:t>
            </w:r>
          </w:p>
        </w:tc>
      </w:tr>
    </w:tbl>
    <w:p>
      <w:pPr>
        <w:ind w:left="1640"/>
        <w:spacing w:after="0"/>
        <w:rPr>
          <w:sz w:val="20"/>
          <w:szCs w:val="20"/>
          <w:color w:val="auto"/>
        </w:rPr>
      </w:pPr>
      <w:r>
        <w:rPr>
          <w:rFonts w:ascii="Times New Roman" w:cs="Times New Roman" w:eastAsia="Times New Roman" w:hAnsi="Times New Roman"/>
          <w:sz w:val="13"/>
          <w:szCs w:val="13"/>
          <w:color w:val="auto"/>
        </w:rPr>
        <w:t>                 dan.li@kirkland.com</w:t>
      </w:r>
    </w:p>
    <w:p>
      <w:pPr>
        <w:spacing w:after="0" w:line="74" w:lineRule="exact"/>
        <w:rPr>
          <w:sz w:val="20"/>
          <w:szCs w:val="20"/>
          <w:color w:val="auto"/>
        </w:rPr>
      </w:pPr>
    </w:p>
    <w:p>
      <w:pPr>
        <w:ind w:left="1640" w:hanging="311"/>
        <w:spacing w:after="0"/>
        <w:tabs>
          <w:tab w:leader="none" w:pos="16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Theravance Biopharma, Inc.</w:t>
      </w:r>
    </w:p>
    <w:p>
      <w:pPr>
        <w:spacing w:after="0" w:line="15" w:lineRule="exact"/>
        <w:rPr>
          <w:rFonts w:ascii="Times New Roman" w:cs="Times New Roman" w:eastAsia="Times New Roman" w:hAnsi="Times New Roman"/>
          <w:sz w:val="13"/>
          <w:szCs w:val="13"/>
          <w:color w:val="auto"/>
        </w:rPr>
      </w:pPr>
    </w:p>
    <w:p>
      <w:pPr>
        <w:ind w:left="1640" w:right="551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 Theravance Biopharma US, LLC 901 Gateway Boulevard</w:t>
      </w:r>
    </w:p>
    <w:p>
      <w:pPr>
        <w:ind w:left="1640" w:right="50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South San Francisco, CA 94080 Attention:      Brett Grimaud, General Counsel Email:       [***]</w:t>
      </w:r>
    </w:p>
    <w:p>
      <w:pPr>
        <w:spacing w:after="0" w:line="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an additional copy (which shall not constitute notice)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Skadden, Arps, Slate, Meagher &amp; Flom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525 University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Palo Alto, California 94301</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Amr Razzak</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 Amr.Razzak@skadden.com</w:t>
      </w:r>
    </w:p>
    <w:p>
      <w:pPr>
        <w:spacing w:after="0" w:line="141" w:lineRule="exact"/>
        <w:rPr>
          <w:sz w:val="20"/>
          <w:szCs w:val="20"/>
          <w:color w:val="auto"/>
        </w:rPr>
      </w:pPr>
    </w:p>
    <w:p>
      <w:pPr>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t xml:space="preserve">All such notices, requests and other communications shall be deemed properly delivered, given and received (a) upon receipt when delivered by hand, (b) on the next Business Day after being sent by courier or express delivery service (with confirmation of delivery), (c) if sent by email transmission prior to 5:00 p.m. recipient’s local time, upon transmission thereof or (d) if sent by email transmission after 5:00 p.m. recipient’s local time, the day following the date of transmission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“bounce back” or similar message of non-delivery is received with respect thereto.</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7" w:name="page78"/>
    <w:bookmarkEnd w:id="7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9.5 </w:t>
      </w: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For purposes of this Agreement:</w:t>
      </w:r>
    </w:p>
    <w:p>
      <w:pPr>
        <w:spacing w:after="0" w:line="78" w:lineRule="exact"/>
        <w:rPr>
          <w:sz w:val="20"/>
          <w:szCs w:val="20"/>
          <w:color w:val="auto"/>
        </w:rPr>
      </w:pPr>
    </w:p>
    <w:p>
      <w:pPr>
        <w:jc w:val="both"/>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Acceptable Confidentiality Agreement</w:t>
      </w:r>
      <w:r>
        <w:rPr>
          <w:rFonts w:ascii="Times New Roman" w:cs="Times New Roman" w:eastAsia="Times New Roman" w:hAnsi="Times New Roman"/>
          <w:sz w:val="13"/>
          <w:szCs w:val="13"/>
          <w:color w:val="auto"/>
        </w:rPr>
        <w:t>” means a confidentiality agreement that is no less favorable in the aggregate to the Company than the Confidentiality Agreement (except for such changes specifically necessary in order for the Company to be able to comply with its obligations under this Agreement, including that such confidentiality agreements need not contain a standstill provision);</w:t>
      </w:r>
    </w:p>
    <w:p>
      <w:pPr>
        <w:spacing w:after="0" w:line="130" w:lineRule="exact"/>
        <w:rPr>
          <w:sz w:val="20"/>
          <w:szCs w:val="20"/>
          <w:color w:val="auto"/>
        </w:rPr>
      </w:pPr>
    </w:p>
    <w:p>
      <w:pPr>
        <w:ind w:left="640" w:right="7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with respect to any Person, any other Person that is directly or indirectly, controlling, controlled by, or under common control with, such Person;</w:t>
      </w:r>
    </w:p>
    <w:p>
      <w:pPr>
        <w:spacing w:after="0" w:line="122"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Antitrust Laws</w:t>
      </w:r>
      <w:r>
        <w:rPr>
          <w:rFonts w:ascii="Times New Roman" w:cs="Times New Roman" w:eastAsia="Times New Roman" w:hAnsi="Times New Roman"/>
          <w:sz w:val="13"/>
          <w:szCs w:val="13"/>
          <w:color w:val="auto"/>
        </w:rPr>
        <w:t>” means the HSR Act, the Sherman Act, the Clayton Act, the Federal Trade Commission Act, and any other United States federal or state or foreign Laws that are designed to prohibit, restrict or regulate actions having the purpose or effect of monopolization or restraint of trade;</w:t>
      </w:r>
    </w:p>
    <w:p>
      <w:pPr>
        <w:spacing w:after="0" w:line="130"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or Sunday and other than a day on which banks are required or authorized to close in the Cayman Islands, San Francisco, California or Ireland;</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CA2014</w:t>
      </w:r>
      <w:r>
        <w:rPr>
          <w:rFonts w:ascii="Times New Roman" w:cs="Times New Roman" w:eastAsia="Times New Roman" w:hAnsi="Times New Roman"/>
          <w:sz w:val="13"/>
          <w:szCs w:val="13"/>
          <w:color w:val="auto"/>
        </w:rPr>
        <w:t>” means the Companies Act 2014 of Ireland (as amended);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means the U.S. Internal Revenue Code of 1986, as amended;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Equity Award</w:t>
      </w:r>
      <w:r>
        <w:rPr>
          <w:rFonts w:ascii="Times New Roman" w:cs="Times New Roman" w:eastAsia="Times New Roman" w:hAnsi="Times New Roman"/>
          <w:sz w:val="13"/>
          <w:szCs w:val="13"/>
          <w:color w:val="auto"/>
        </w:rPr>
        <w:t>” means any Company Option, Company RSU Award, or Company PSU Award;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ESPP</w:t>
      </w:r>
      <w:r>
        <w:rPr>
          <w:rFonts w:ascii="Times New Roman" w:cs="Times New Roman" w:eastAsia="Times New Roman" w:hAnsi="Times New Roman"/>
          <w:sz w:val="13"/>
          <w:szCs w:val="13"/>
          <w:color w:val="auto"/>
        </w:rPr>
        <w:t>” means the Company’s 2013 Employee Share Purchase Plan, as may be amended from time to time;</w:t>
      </w:r>
    </w:p>
    <w:p>
      <w:pPr>
        <w:spacing w:after="0" w:line="154" w:lineRule="exact"/>
        <w:rPr>
          <w:sz w:val="20"/>
          <w:szCs w:val="20"/>
          <w:color w:val="auto"/>
        </w:rPr>
      </w:pPr>
    </w:p>
    <w:p>
      <w:pPr>
        <w:ind w:left="640" w:right="7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Intellectual Property</w:t>
      </w:r>
      <w:r>
        <w:rPr>
          <w:rFonts w:ascii="Times New Roman" w:cs="Times New Roman" w:eastAsia="Times New Roman" w:hAnsi="Times New Roman"/>
          <w:sz w:val="13"/>
          <w:szCs w:val="13"/>
          <w:color w:val="auto"/>
        </w:rPr>
        <w:t>” means any Intellectual Property that is owned (or purported to be owned) by the Company or any of its wholly owned subsidiaries;</w:t>
      </w:r>
    </w:p>
    <w:p>
      <w:pPr>
        <w:spacing w:after="0" w:line="122"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Option</w:t>
      </w:r>
      <w:r>
        <w:rPr>
          <w:rFonts w:ascii="Times New Roman" w:cs="Times New Roman" w:eastAsia="Times New Roman" w:hAnsi="Times New Roman"/>
          <w:sz w:val="13"/>
          <w:szCs w:val="13"/>
          <w:color w:val="auto"/>
        </w:rPr>
        <w:t>” means each outstanding option to purchase Ordinary Shares granted by the Company pursuant to any Company Share Plan except the Company ESPP;</w:t>
      </w:r>
    </w:p>
    <w:p>
      <w:pPr>
        <w:spacing w:after="0" w:line="122" w:lineRule="exact"/>
        <w:rPr>
          <w:sz w:val="20"/>
          <w:szCs w:val="20"/>
          <w:color w:val="auto"/>
        </w:rPr>
      </w:pPr>
    </w:p>
    <w:p>
      <w:pPr>
        <w:jc w:val="both"/>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PSU Award</w:t>
      </w:r>
      <w:r>
        <w:rPr>
          <w:rFonts w:ascii="Times New Roman" w:cs="Times New Roman" w:eastAsia="Times New Roman" w:hAnsi="Times New Roman"/>
          <w:sz w:val="13"/>
          <w:szCs w:val="13"/>
          <w:color w:val="auto"/>
        </w:rPr>
        <w:t>” means each outstanding award of restricted share units granted by the Company pursuant to any Company Share Plan that was granted subject to performance-based vesting conditions;</w:t>
      </w:r>
    </w:p>
    <w:p>
      <w:pPr>
        <w:spacing w:after="0" w:line="122"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RSU Award</w:t>
      </w:r>
      <w:r>
        <w:rPr>
          <w:rFonts w:ascii="Times New Roman" w:cs="Times New Roman" w:eastAsia="Times New Roman" w:hAnsi="Times New Roman"/>
          <w:sz w:val="13"/>
          <w:szCs w:val="13"/>
          <w:color w:val="auto"/>
        </w:rPr>
        <w:t>” means each outstanding award of restricted share units granted by the Company pursuant to any Company Share Plan other than Company PSU Awards;</w:t>
      </w:r>
    </w:p>
    <w:p>
      <w:pPr>
        <w:spacing w:after="0" w:line="122" w:lineRule="exact"/>
        <w:rPr>
          <w:sz w:val="20"/>
          <w:szCs w:val="20"/>
          <w:color w:val="auto"/>
        </w:rPr>
      </w:pPr>
    </w:p>
    <w:p>
      <w:pPr>
        <w:jc w:val="both"/>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Share Plans</w:t>
      </w:r>
      <w:r>
        <w:rPr>
          <w:rFonts w:ascii="Times New Roman" w:cs="Times New Roman" w:eastAsia="Times New Roman" w:hAnsi="Times New Roman"/>
          <w:sz w:val="13"/>
          <w:szCs w:val="13"/>
          <w:color w:val="auto"/>
        </w:rPr>
        <w:t>” means, collectively, the Company’s Amended and Restated 2013 Equity Incentive Plan, the Company ESPP and the Company’s 2014 New Employee Equity Incentive Plan (each as may be amended from time to time), and a “</w:t>
      </w:r>
      <w:r>
        <w:rPr>
          <w:rFonts w:ascii="Times New Roman" w:cs="Times New Roman" w:eastAsia="Times New Roman" w:hAnsi="Times New Roman"/>
          <w:sz w:val="13"/>
          <w:szCs w:val="13"/>
          <w:u w:val="single" w:color="auto"/>
          <w:color w:val="auto"/>
        </w:rPr>
        <w:t>Company Share Plan</w:t>
      </w:r>
      <w:r>
        <w:rPr>
          <w:rFonts w:ascii="Times New Roman" w:cs="Times New Roman" w:eastAsia="Times New Roman" w:hAnsi="Times New Roman"/>
          <w:sz w:val="13"/>
          <w:szCs w:val="13"/>
          <w:color w:val="auto"/>
        </w:rPr>
        <w:t>” means any one of the foregoing plans;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78" w:name="page79"/>
    <w:bookmarkEnd w:id="78"/>
    <w:p>
      <w:pPr>
        <w:ind w:left="640" w:right="759" w:firstLine="696"/>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Company Systems</w:t>
      </w:r>
      <w:r>
        <w:rPr>
          <w:rFonts w:ascii="Times New Roman" w:cs="Times New Roman" w:eastAsia="Times New Roman" w:hAnsi="Times New Roman"/>
          <w:sz w:val="12"/>
          <w:szCs w:val="12"/>
          <w:color w:val="auto"/>
        </w:rPr>
        <w:t>” means all computers, computer software, firmware, middleware, servers, workstations, routers, hubs, switches, data communications lines and all other information technology equipment owned by, or licensed or leased to, the Company or any of its subsidiaries;</w:t>
      </w:r>
    </w:p>
    <w:p>
      <w:pPr>
        <w:spacing w:after="0" w:line="100"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means any note, bond, mortgage, indenture, contract, agreement, lease, license, permit or other written instrument that, in each case, is legally binding;</w:t>
      </w:r>
    </w:p>
    <w:p>
      <w:pPr>
        <w:spacing w:after="0" w:line="122" w:lineRule="exact"/>
        <w:rPr>
          <w:sz w:val="20"/>
          <w:szCs w:val="20"/>
          <w:color w:val="auto"/>
        </w:rPr>
      </w:pPr>
    </w:p>
    <w:p>
      <w:pPr>
        <w:jc w:val="both"/>
        <w:ind w:left="640" w:right="9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 control with</w:t>
      </w:r>
      <w:r>
        <w:rPr>
          <w:rFonts w:ascii="Times New Roman" w:cs="Times New Roman" w:eastAsia="Times New Roman" w:hAnsi="Times New Roman"/>
          <w:sz w:val="13"/>
          <w:szCs w:val="13"/>
          <w:color w:val="auto"/>
        </w:rPr>
        <w:t>”) means the possession, directly or indirectly, of the power to direct or cause the direction of the management policies of a Person, whether through the ownership of voting securities, by contract or otherwise;</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Data Privacy Requirements</w:t>
      </w:r>
      <w:r>
        <w:rPr>
          <w:rFonts w:ascii="Times New Roman" w:cs="Times New Roman" w:eastAsia="Times New Roman" w:hAnsi="Times New Roman"/>
          <w:sz w:val="13"/>
          <w:szCs w:val="13"/>
          <w:color w:val="auto"/>
        </w:rPr>
        <w:t>” mean (i) applicable Laws governing data privacy, data protection, data security, or the Processing of Personal Data (“</w:t>
      </w:r>
      <w:r>
        <w:rPr>
          <w:rFonts w:ascii="Times New Roman" w:cs="Times New Roman" w:eastAsia="Times New Roman" w:hAnsi="Times New Roman"/>
          <w:sz w:val="13"/>
          <w:szCs w:val="13"/>
          <w:u w:val="single" w:color="auto"/>
          <w:color w:val="auto"/>
        </w:rPr>
        <w:t>Data Privacy Laws</w:t>
      </w:r>
      <w:r>
        <w:rPr>
          <w:rFonts w:ascii="Times New Roman" w:cs="Times New Roman" w:eastAsia="Times New Roman" w:hAnsi="Times New Roman"/>
          <w:sz w:val="13"/>
          <w:szCs w:val="13"/>
          <w:color w:val="auto"/>
        </w:rPr>
        <w:t>”); (ii) the Company’s and its subsidiaries’ internal or external written privacy policies; and (iii) written contractual obligations of the Company or any of its subsidiaries to the extent related to data privacy, data protection, data security or the Processing of Personal Data;</w:t>
      </w:r>
    </w:p>
    <w:p>
      <w:pPr>
        <w:spacing w:after="0" w:line="133" w:lineRule="exact"/>
        <w:rPr>
          <w:sz w:val="20"/>
          <w:szCs w:val="20"/>
          <w:color w:val="auto"/>
        </w:rPr>
      </w:pPr>
    </w:p>
    <w:p>
      <w:pPr>
        <w:ind w:left="640" w:right="12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shall mean all applicable Laws regarding pollution or protection of the environment, or the effect of the environment on public or worker health or safety;</w:t>
      </w:r>
    </w:p>
    <w:p>
      <w:pPr>
        <w:spacing w:after="0" w:line="122" w:lineRule="exact"/>
        <w:rPr>
          <w:sz w:val="20"/>
          <w:szCs w:val="20"/>
          <w:color w:val="auto"/>
        </w:rPr>
      </w:pPr>
    </w:p>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Financing Sources</w:t>
      </w:r>
      <w:r>
        <w:rPr>
          <w:rFonts w:ascii="Times New Roman" w:cs="Times New Roman" w:eastAsia="Times New Roman" w:hAnsi="Times New Roman"/>
          <w:sz w:val="13"/>
          <w:szCs w:val="13"/>
          <w:color w:val="auto"/>
        </w:rPr>
        <w:t>” means any lender, arranger, bookrunner, administrative agent, syndication agent, underwriter, initial purchaser, placement agent, trustee or other person providing any portion of, or engaged in connection with, the Financing or any other financing consummated or proposed to be consummated by Parent or any of its subsidiaries in connection with the transactions contemplated by this Agreement, including the entities party to the Financing Commitments, any Person party any other commitment letters, engagement letters, underwriting agreements, securities purchase agreements, sales agreements, indentures, credit agreements or other agreements entered in connection with the Financing or such other financing and any of such Person’s Affiliates and any of such Person’s or any of its Affiliates’ respective former, current or future officers, directors, employees, agents, advisors, representatives, shareholders, limited partners, managers, members or partners and their respective successors and assigns, other than in each case Parent or Merger Sub or any of their Affiliates;</w:t>
      </w:r>
    </w:p>
    <w:p>
      <w:pPr>
        <w:spacing w:after="0" w:line="139"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means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as applicable, as of the time of the relevant financial statements referred to herein;</w:t>
      </w:r>
    </w:p>
    <w:p>
      <w:pPr>
        <w:spacing w:after="0" w:line="133" w:lineRule="exact"/>
        <w:rPr>
          <w:sz w:val="20"/>
          <w:szCs w:val="20"/>
          <w:color w:val="auto"/>
        </w:rPr>
      </w:pPr>
    </w:p>
    <w:p>
      <w:pPr>
        <w:ind w:left="640" w:right="85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Hazardous Material</w:t>
      </w:r>
      <w:r>
        <w:rPr>
          <w:rFonts w:ascii="Times New Roman" w:cs="Times New Roman" w:eastAsia="Times New Roman" w:hAnsi="Times New Roman"/>
          <w:sz w:val="12"/>
          <w:szCs w:val="12"/>
          <w:color w:val="auto"/>
        </w:rPr>
        <w:t>” shall mean any substance, material or waste that is defined or regulated as “hazardous,” “toxic,” “a pollutant” “a contaminant,” or words of similar meaning, or for which liability or standards of conduct may be imposed, under any Environmental Law;</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79" w:name="page80"/>
    <w:bookmarkEnd w:id="7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HSR Act</w:t>
      </w:r>
      <w:r>
        <w:rPr>
          <w:rFonts w:ascii="Times New Roman" w:cs="Times New Roman" w:eastAsia="Times New Roman" w:hAnsi="Times New Roman"/>
          <w:sz w:val="13"/>
          <w:szCs w:val="13"/>
          <w:color w:val="auto"/>
        </w:rPr>
        <w:t>” means the Hart-Scott-Rodino Antitrust Improvements Act of 1976;</w:t>
      </w:r>
    </w:p>
    <w:p>
      <w:pPr>
        <w:spacing w:after="0" w:line="154" w:lineRule="exact"/>
        <w:rPr>
          <w:sz w:val="20"/>
          <w:szCs w:val="20"/>
          <w:color w:val="auto"/>
        </w:rPr>
      </w:pPr>
    </w:p>
    <w:p>
      <w:pPr>
        <w:ind w:left="640" w:right="679" w:firstLine="696"/>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all intellectual property in any jurisdiction in the world, including rights in and to all: (i) patents, patent applications, and all related continuations, continuations-in-part, divisionals, reissues, re-examinations, substitutions, and extensions thereof (“</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640" w:right="699" w:hanging="3"/>
        <w:spacing w:after="0" w:line="271" w:lineRule="auto"/>
        <w:tabs>
          <w:tab w:leader="none" w:pos="82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copyrights and copyrightable subject matter (“</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(iii) trademarks, service marks, names, corporate names, trade names, domain names, favicons, social media addresses, logos, slogans, trade dress, design rights, and other similar designations of source or origin, together with the goodwill symbolized by any of the foregoing (“</w:t>
      </w:r>
      <w:r>
        <w:rPr>
          <w:rFonts w:ascii="Times New Roman" w:cs="Times New Roman" w:eastAsia="Times New Roman" w:hAnsi="Times New Roman"/>
          <w:sz w:val="12"/>
          <w:szCs w:val="12"/>
          <w:u w:val="single" w:color="auto"/>
          <w:color w:val="auto"/>
        </w:rPr>
        <w:t>Trademarks</w:t>
      </w:r>
      <w:r>
        <w:rPr>
          <w:rFonts w:ascii="Times New Roman" w:cs="Times New Roman" w:eastAsia="Times New Roman" w:hAnsi="Times New Roman"/>
          <w:sz w:val="12"/>
          <w:szCs w:val="12"/>
          <w:color w:val="auto"/>
        </w:rPr>
        <w:t>”); (iv) trade secrets and all other confidential information, ideas, know-how, inventions, proprietary processes, formulae, models, and methodologies; and (v) registrations, applications and renewals related to any of the foregoing;</w:t>
      </w:r>
    </w:p>
    <w:p>
      <w:pPr>
        <w:spacing w:after="0" w:line="122"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knowledge</w:t>
      </w:r>
      <w:r>
        <w:rPr>
          <w:rFonts w:ascii="Times New Roman" w:cs="Times New Roman" w:eastAsia="Times New Roman" w:hAnsi="Times New Roman"/>
          <w:sz w:val="13"/>
          <w:szCs w:val="13"/>
          <w:color w:val="auto"/>
        </w:rPr>
        <w:t xml:space="preserve">” (i) with respect to the Company means the actual knowledge of any of the individuals listed in </w:t>
      </w:r>
      <w:r>
        <w:rPr>
          <w:rFonts w:ascii="Times New Roman" w:cs="Times New Roman" w:eastAsia="Times New Roman" w:hAnsi="Times New Roman"/>
          <w:sz w:val="13"/>
          <w:szCs w:val="13"/>
          <w:u w:val="single" w:color="auto"/>
          <w:color w:val="auto"/>
        </w:rPr>
        <w:t>Section 9.5(a)</w:t>
      </w:r>
      <w:r>
        <w:rPr>
          <w:rFonts w:ascii="Times New Roman" w:cs="Times New Roman" w:eastAsia="Times New Roman" w:hAnsi="Times New Roman"/>
          <w:sz w:val="13"/>
          <w:szCs w:val="13"/>
          <w:color w:val="auto"/>
        </w:rPr>
        <w:t xml:space="preserve"> of the Company Disclosure Letter;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with respect to Intellectual Property, such inquiry is not required to include freedom to operate analyses, clearance searches, validity or noninfringement analyses or opinions, or any other similar analyses or opinions of counsel and (ii) with respect to Parent or Merger Sub means the actual knowledge of any of the individuals listed in </w:t>
      </w:r>
      <w:r>
        <w:rPr>
          <w:rFonts w:ascii="Times New Roman" w:cs="Times New Roman" w:eastAsia="Times New Roman" w:hAnsi="Times New Roman"/>
          <w:sz w:val="13"/>
          <w:szCs w:val="13"/>
          <w:u w:val="single" w:color="auto"/>
          <w:color w:val="auto"/>
        </w:rPr>
        <w:t>Section 9.5(a)</w:t>
      </w:r>
      <w:r>
        <w:rPr>
          <w:rFonts w:ascii="Times New Roman" w:cs="Times New Roman" w:eastAsia="Times New Roman" w:hAnsi="Times New Roman"/>
          <w:sz w:val="13"/>
          <w:szCs w:val="13"/>
          <w:color w:val="auto"/>
        </w:rPr>
        <w:t xml:space="preserve"> of the Parent Disclosure Letter;</w:t>
      </w:r>
    </w:p>
    <w:p>
      <w:pPr>
        <w:spacing w:after="0" w:line="133" w:lineRule="exact"/>
        <w:rPr>
          <w:sz w:val="20"/>
          <w:szCs w:val="20"/>
          <w:color w:val="auto"/>
        </w:rPr>
      </w:pPr>
    </w:p>
    <w:p>
      <w:pPr>
        <w:jc w:val="both"/>
        <w:ind w:left="640" w:right="8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Law</w:t>
      </w:r>
      <w:r>
        <w:rPr>
          <w:rFonts w:ascii="Times New Roman" w:cs="Times New Roman" w:eastAsia="Times New Roman" w:hAnsi="Times New Roman"/>
          <w:sz w:val="13"/>
          <w:szCs w:val="13"/>
          <w:color w:val="auto"/>
        </w:rPr>
        <w:t>” means any federal, state, local, municipal, foreign or other law, statute, constitution, principle of common law, ordinance, code, decree, order, judgment, rule, regulation, ruling or requirement issued, enacted, adopted, promulgated, implemented or otherwise put into effect by or under the authority of any Governmental Entity;</w:t>
      </w:r>
    </w:p>
    <w:p>
      <w:pPr>
        <w:spacing w:after="0" w:line="130" w:lineRule="exact"/>
        <w:rPr>
          <w:sz w:val="20"/>
          <w:szCs w:val="20"/>
          <w:color w:val="auto"/>
        </w:rPr>
      </w:pPr>
    </w:p>
    <w:p>
      <w:pPr>
        <w:ind w:left="640" w:right="979" w:firstLine="6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Lease</w:t>
      </w:r>
      <w:r>
        <w:rPr>
          <w:rFonts w:ascii="Times New Roman" w:cs="Times New Roman" w:eastAsia="Times New Roman" w:hAnsi="Times New Roman"/>
          <w:sz w:val="12"/>
          <w:szCs w:val="12"/>
          <w:color w:val="auto"/>
        </w:rPr>
        <w:t>” means any and all leases, subleases, licenses, concessions, sale/leaseback arrangements or similar arrangements and other occupancy agreements pursuant to which the Company or any of its subsidiaries holds any Leased Real Property, including the right to all security deposits and other amounts and instruments deposited by or on behalf of the Company or any of the Company’s subsidiaries thereunder;</w:t>
      </w:r>
    </w:p>
    <w:p>
      <w:pPr>
        <w:spacing w:after="0" w:line="113" w:lineRule="exact"/>
        <w:rPr>
          <w:sz w:val="20"/>
          <w:szCs w:val="20"/>
          <w:color w:val="auto"/>
        </w:rPr>
      </w:pPr>
    </w:p>
    <w:p>
      <w:pPr>
        <w:ind w:left="640" w:right="8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Leased Real Property</w:t>
      </w:r>
      <w:r>
        <w:rPr>
          <w:rFonts w:ascii="Times New Roman" w:cs="Times New Roman" w:eastAsia="Times New Roman" w:hAnsi="Times New Roman"/>
          <w:sz w:val="13"/>
          <w:szCs w:val="13"/>
          <w:color w:val="auto"/>
        </w:rPr>
        <w:t>” means the real property leased, subleased, licensed or otherwise occupied by the Company or any of its subsidiaries as tenant, sublessee, licensee or occupier, together with, to the extent leased by the Company or any of its subsidiaries, all buildings and other structures, facilities, improvements or fixtures currently or hereafter located thereon;</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Lien</w:t>
      </w:r>
      <w:r>
        <w:rPr>
          <w:rFonts w:ascii="Times New Roman" w:cs="Times New Roman" w:eastAsia="Times New Roman" w:hAnsi="Times New Roman"/>
          <w:sz w:val="13"/>
          <w:szCs w:val="13"/>
          <w:color w:val="auto"/>
        </w:rPr>
        <w:t>” means any lien, pledge, security interest, encumbrance, covenant not to sue, option or charge;</w:t>
      </w:r>
    </w:p>
    <w:p>
      <w:pPr>
        <w:spacing w:after="0" w:line="154"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made available</w:t>
      </w:r>
      <w:r>
        <w:rPr>
          <w:rFonts w:ascii="Times New Roman" w:cs="Times New Roman" w:eastAsia="Times New Roman" w:hAnsi="Times New Roman"/>
          <w:sz w:val="13"/>
          <w:szCs w:val="13"/>
          <w:color w:val="auto"/>
        </w:rPr>
        <w:t>” means, with respect to any document or other information mean such document or other information was (i) provided by one Party or its Representatives to the other Party or its Representatives, (ii) uploaded by a Party or its Representatives to the virtual data room of such Party available to the other Party or its Representatives or (iii) filed by a Party with the SEC and publicly available on EDGAR, in each case, through the date 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0" w:name="page81"/>
    <w:bookmarkEnd w:id="80"/>
    <w:p>
      <w:pPr>
        <w:ind w:left="640" w:right="679" w:firstLine="696"/>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means any event, development, change, effect, circumstance or occurrence (each an “</w:t>
      </w:r>
      <w:r>
        <w:rPr>
          <w:rFonts w:ascii="Times New Roman" w:cs="Times New Roman" w:eastAsia="Times New Roman" w:hAnsi="Times New Roman"/>
          <w:sz w:val="12"/>
          <w:szCs w:val="12"/>
          <w:u w:val="single" w:color="auto"/>
          <w:color w:val="auto"/>
        </w:rPr>
        <w:t>Effect</w:t>
      </w:r>
      <w:r>
        <w:rPr>
          <w:rFonts w:ascii="Times New Roman" w:cs="Times New Roman" w:eastAsia="Times New Roman" w:hAnsi="Times New Roman"/>
          <w:sz w:val="12"/>
          <w:szCs w:val="12"/>
          <w:color w:val="auto"/>
        </w:rPr>
        <w:t>,” and collectively, “</w:t>
      </w:r>
      <w:r>
        <w:rPr>
          <w:rFonts w:ascii="Times New Roman" w:cs="Times New Roman" w:eastAsia="Times New Roman" w:hAnsi="Times New Roman"/>
          <w:sz w:val="12"/>
          <w:szCs w:val="12"/>
          <w:u w:val="single" w:color="auto"/>
          <w:color w:val="auto"/>
        </w:rPr>
        <w:t>Effects</w:t>
      </w:r>
      <w:r>
        <w:rPr>
          <w:rFonts w:ascii="Times New Roman" w:cs="Times New Roman" w:eastAsia="Times New Roman" w:hAnsi="Times New Roman"/>
          <w:sz w:val="12"/>
          <w:szCs w:val="12"/>
          <w:color w:val="auto"/>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Effects relating to, arising out of or in connection with or resulting from any of the following shall be deemed, either alone or in combination, to constitute or be taken into account when determining whether there is, or would reasonably be expected to be, a Material Adverse Effect: (i) (A) general changes or developments in the economy or the financial, debt, capital, credit or securities markets in the United States or elsewhere in the world in which the Company or its subsidiaries have operations, including as a result of changes in geopolitical conditions and (B) changes or developments in or affecting regional, domestic or any foreign interest or exchange rates, (ii) general changes or developments in the industries in which the Company or its subsidiaries operate, (iii) (A) the execution and delivery of this Agreement or the public announcement or pendency of the Merger or other transactions contemplated hereby,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contained in </w:t>
      </w:r>
      <w:r>
        <w:rPr>
          <w:rFonts w:ascii="Times New Roman" w:cs="Times New Roman" w:eastAsia="Times New Roman" w:hAnsi="Times New Roman"/>
          <w:sz w:val="12"/>
          <w:szCs w:val="12"/>
          <w:u w:val="single" w:color="auto"/>
          <w:color w:val="auto"/>
        </w:rPr>
        <w:t>Section 3.5</w:t>
      </w:r>
      <w:r>
        <w:rPr>
          <w:rFonts w:ascii="Times New Roman" w:cs="Times New Roman" w:eastAsia="Times New Roman" w:hAnsi="Times New Roman"/>
          <w:sz w:val="12"/>
          <w:szCs w:val="12"/>
          <w:color w:val="auto"/>
        </w:rPr>
        <w:t>, to the extent that such representation or warranty expressly addresses consequences resulting from the negotiation, execution or delivery of this Agreement or the permitted announcement of this Agreement and the related conditions to Closing),</w:t>
      </w:r>
    </w:p>
    <w:p>
      <w:pPr>
        <w:spacing w:after="0" w:line="3" w:lineRule="exact"/>
        <w:rPr>
          <w:sz w:val="20"/>
          <w:szCs w:val="20"/>
          <w:color w:val="auto"/>
        </w:rPr>
      </w:pPr>
    </w:p>
    <w:p>
      <w:pPr>
        <w:ind w:left="640" w:right="659" w:hanging="3"/>
        <w:spacing w:after="0" w:line="243" w:lineRule="auto"/>
        <w:tabs>
          <w:tab w:leader="none" w:pos="8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of this Agreement and the transactions contemplated hereby, including compliance with the covenants set forth herein and (C) any action taken or omitted by the Company at the request of or with the consent of Parent or Merger Sub, (iv) changes in any applicable Laws or regulations or GAAP or other applicable accounting regulations or principles or interpretation or enforcement thereof, (v) any hurricane, tornado, earthquake, flood, tsunami, natural disaster, act of God, pandemic, epidemic, disease outbreak (including the COVID-19 virus pandemic) and government responses thereto or other comparable events or outbreak or escalation or general worsening of any of the foregoing or of hostilities or war (whether or not declared), military actions or any act of sabotage or terrorism the occurrence in any place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this Agreement, (vi) 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hereunder), (vii) 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forecasts of its revenues, earnings or other financial performance or results of operations (but not the underlying cause of such failure to the extent such underlying cause is not otherwise excluded from the definition of “Material Adverse Effect” hereunder), or (viii) any Action threatened, made or brought by any of the current or former shareholders of the Company (or on their behalf or on behalf of the Company) against the Company or any of its directors, officers or employees arising out of this Agreement or the Merger, or (ix) the availability or cost of equity, debt or other financing to Parent or Merger Sub; except in the cases of clauses (i), (ii), (iv) or (v)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1" w:name="page82"/>
    <w:bookmarkEnd w:id="81"/>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Material Contract</w:t>
      </w:r>
      <w:r>
        <w:rPr>
          <w:rFonts w:ascii="Times New Roman" w:cs="Times New Roman" w:eastAsia="Times New Roman" w:hAnsi="Times New Roman"/>
          <w:sz w:val="13"/>
          <w:szCs w:val="13"/>
          <w:color w:val="auto"/>
        </w:rPr>
        <w:t xml:space="preserve">” means each Contract required to be set forth in </w:t>
      </w:r>
      <w:r>
        <w:rPr>
          <w:rFonts w:ascii="Times New Roman" w:cs="Times New Roman" w:eastAsia="Times New Roman" w:hAnsi="Times New Roman"/>
          <w:sz w:val="13"/>
          <w:szCs w:val="13"/>
          <w:u w:val="single" w:color="auto"/>
          <w:color w:val="auto"/>
        </w:rPr>
        <w:t>Section 3.8(a)</w:t>
      </w:r>
      <w:r>
        <w:rPr>
          <w:rFonts w:ascii="Times New Roman" w:cs="Times New Roman" w:eastAsia="Times New Roman" w:hAnsi="Times New Roman"/>
          <w:sz w:val="13"/>
          <w:szCs w:val="13"/>
          <w:color w:val="auto"/>
        </w:rPr>
        <w:t xml:space="preserve"> of the Company Disclosure Letter or filed as an exhibit to the Company’s most recently filed annual report on Form 10-K as a “material contract” pursuant to Item 601(b)(10) of Regulation S-K under the Securities Act (in each case, excluding any Company Share Plan or other Company Plan);</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OFAC</w:t>
      </w:r>
      <w:r>
        <w:rPr>
          <w:rFonts w:ascii="Times New Roman" w:cs="Times New Roman" w:eastAsia="Times New Roman" w:hAnsi="Times New Roman"/>
          <w:sz w:val="13"/>
          <w:szCs w:val="13"/>
          <w:color w:val="auto"/>
        </w:rPr>
        <w:t>” means the U.S. Department of Treasury’s Office of Foreign Assets Control;</w:t>
      </w:r>
    </w:p>
    <w:p>
      <w:pPr>
        <w:spacing w:after="0" w:line="154" w:lineRule="exact"/>
        <w:rPr>
          <w:sz w:val="20"/>
          <w:szCs w:val="20"/>
          <w:color w:val="auto"/>
        </w:rPr>
      </w:pPr>
    </w:p>
    <w:p>
      <w:pPr>
        <w:ind w:left="640" w:right="10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Off-the-Shelf Software Licenses</w:t>
      </w:r>
      <w:r>
        <w:rPr>
          <w:rFonts w:ascii="Times New Roman" w:cs="Times New Roman" w:eastAsia="Times New Roman" w:hAnsi="Times New Roman"/>
          <w:sz w:val="13"/>
          <w:szCs w:val="13"/>
          <w:color w:val="auto"/>
        </w:rPr>
        <w:t>” means licenses granted to the Company or its subsidiaries for standard, commercially available, off-the-shelf software for the Company’s or its subsidiaries’ use;</w:t>
      </w:r>
    </w:p>
    <w:p>
      <w:pPr>
        <w:spacing w:after="0" w:line="122"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means any Law, order, judgment, injunction, award, decision, determination, stipulation, ruling, subpoena, writ, decree or verdict enacted, issued, promulgated, enforced or entered by or with any competent Governmental Entity;</w:t>
      </w:r>
    </w:p>
    <w:p>
      <w:pPr>
        <w:spacing w:after="0" w:line="122" w:lineRule="exact"/>
        <w:rPr>
          <w:sz w:val="20"/>
          <w:szCs w:val="20"/>
          <w:color w:val="auto"/>
        </w:rPr>
      </w:pPr>
    </w:p>
    <w:p>
      <w:pPr>
        <w:ind w:left="640" w:right="7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Owned Real Property</w:t>
      </w:r>
      <w:r>
        <w:rPr>
          <w:rFonts w:ascii="Times New Roman" w:cs="Times New Roman" w:eastAsia="Times New Roman" w:hAnsi="Times New Roman"/>
          <w:sz w:val="13"/>
          <w:szCs w:val="13"/>
          <w:color w:val="auto"/>
        </w:rPr>
        <w:t>” means all land, together with all buildings, structures, improvements and fixtures located thereon, owned by the Company or any subsidiary of the Company;</w:t>
      </w:r>
    </w:p>
    <w:p>
      <w:pPr>
        <w:spacing w:after="0" w:line="122"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(A) statutory liens securing payments not yet due and payable as of the Closing Date, including liens of lessors pursuant to the terms of any lease and sublease, (B) covenants, conditions, restrictions, easements, rights of way or other similar matters of record affecting title to real property, and zoning, building and other similar restrictions, in each case which do not materially impair the use or occupancy of such real property in the operation of the business of the Company or any of its subsidiaries conducted thereon, (C) Taxes, assessments and other governmental levies, fees or charges which are not due and payable as of the Closing Date or which are being contested in good faith by appropriate proceedings and for which adequate reserves have been provided in accordance with GAAP, (D) pledges or deposits made in the ordinary course of business to secure obligations under workers’ compensation, unemployment insurance, social security, retirement and similar Laws or similar legislation or to secure public or statutory obligations, (E) mechanics’, carriers’, workmen’s, repairmen’s or other like encumbrances arising or incurred in the ordinary course of business for amounts which are not yet past due or which are being contested by appropriate proceedings, (F) licenses and other grants of rights or obligations with respect to Intellectual Property granted by the Company or its subsidiaries which, after the date hereof, were entered into in accordance with this Agreement, and (G) Liens securing indebtedness or liabilities that (x) are reflected in the SEC Reports filed or furnished prior to the date hereof and (y) that have otherwise been disclosed to Parent as of the date of this Agreement;</w:t>
      </w:r>
    </w:p>
    <w:p>
      <w:pPr>
        <w:spacing w:after="0" w:line="129"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 individual, corporation (including not-for-profit), general or limited partnership, limited liability company, joint venture, estate, trust, association, organization, unincorporated organization, other entity or group (as defined in Section 13(d)(3) of the Exchange Act), including, for the avoidance of doubt, any group of Persons;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2" w:name="page83"/>
    <w:bookmarkEnd w:id="82"/>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Personal Data</w:t>
      </w:r>
      <w:r>
        <w:rPr>
          <w:rFonts w:ascii="Times New Roman" w:cs="Times New Roman" w:eastAsia="Times New Roman" w:hAnsi="Times New Roman"/>
          <w:sz w:val="13"/>
          <w:szCs w:val="13"/>
          <w:color w:val="auto"/>
        </w:rPr>
        <w:t>” means any data or other information that (a) can be used, directly or indirectly, alone or in combination with other information, to identify an individual or (b) is defined as “personally identifiable information,” “personal information,” “personal data” or other similar terms under any Data Privacy Laws;</w:t>
      </w:r>
    </w:p>
    <w:p>
      <w:pPr>
        <w:spacing w:after="0" w:line="130" w:lineRule="exact"/>
        <w:rPr>
          <w:sz w:val="20"/>
          <w:szCs w:val="20"/>
          <w:color w:val="auto"/>
        </w:rPr>
      </w:pPr>
    </w:p>
    <w:p>
      <w:pPr>
        <w:ind w:left="640" w:right="99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means any operation or set of operations performed on Personal Data, including creating, collecting, procuring, obtaining, accessing, recording, organizing, storing, adapting, altering, retrieving, consulting, using or disclosing, disseminating or destroying;</w:t>
      </w:r>
    </w:p>
    <w:p>
      <w:pPr>
        <w:spacing w:after="0" w:line="100"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Registered Intellectual Property</w:t>
      </w:r>
      <w:r>
        <w:rPr>
          <w:rFonts w:ascii="Times New Roman" w:cs="Times New Roman" w:eastAsia="Times New Roman" w:hAnsi="Times New Roman"/>
          <w:sz w:val="13"/>
          <w:szCs w:val="13"/>
          <w:color w:val="auto"/>
        </w:rPr>
        <w:t>” means any Intellectual Property that is registered, filed, issued or granted under the authority of, with or by, any Governmental Entity (or other registrar in the case of domain names), including any issued Patents and Patent applications, Copyright registrations and applications and Trademark registrations and applications;</w:t>
      </w:r>
    </w:p>
    <w:p>
      <w:pPr>
        <w:spacing w:after="0" w:line="130" w:lineRule="exact"/>
        <w:rPr>
          <w:sz w:val="20"/>
          <w:szCs w:val="20"/>
          <w:color w:val="auto"/>
        </w:rPr>
      </w:pPr>
    </w:p>
    <w:p>
      <w:pPr>
        <w:ind w:left="640" w:right="10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of a Person means such Person’s officers, directors, employees, accountants, consultants, legal counsel, financial advisors, agents and other representatives;</w:t>
      </w:r>
    </w:p>
    <w:p>
      <w:pPr>
        <w:spacing w:after="0" w:line="122"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Required Regulatory Approvals</w:t>
      </w:r>
      <w:r>
        <w:rPr>
          <w:rFonts w:ascii="Times New Roman" w:cs="Times New Roman" w:eastAsia="Times New Roman" w:hAnsi="Times New Roman"/>
          <w:sz w:val="13"/>
          <w:szCs w:val="13"/>
          <w:color w:val="auto"/>
        </w:rPr>
        <w:t xml:space="preserve">” means any consent, decision, declaration, approval, clearance or waiver, or expiration or termination of a waiting period listed on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of the Company Disclosure Letter;</w:t>
      </w:r>
    </w:p>
    <w:p>
      <w:pPr>
        <w:spacing w:after="0" w:line="122"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Country</w:t>
      </w:r>
      <w:r>
        <w:rPr>
          <w:rFonts w:ascii="Times New Roman" w:cs="Times New Roman" w:eastAsia="Times New Roman" w:hAnsi="Times New Roman"/>
          <w:sz w:val="13"/>
          <w:szCs w:val="13"/>
          <w:color w:val="auto"/>
        </w:rPr>
        <w:t>” means a country or territory that is itself the subject or target of any Sanctions (at the time of this Agreement, Cuba, Iran, North Korea, the so-called Donetsk People’s Republic, the so-called Luhansk People’s Republic and the Crimea regions of Ukraine, and the non– government controlled areas of the Kherson and Zaporizhzhia oblasts of Ukraine, and, until July 1, 2025, Syria);</w:t>
      </w:r>
    </w:p>
    <w:p>
      <w:pPr>
        <w:spacing w:after="0" w:line="130"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Person</w:t>
      </w:r>
      <w:r>
        <w:rPr>
          <w:rFonts w:ascii="Times New Roman" w:cs="Times New Roman" w:eastAsia="Times New Roman" w:hAnsi="Times New Roman"/>
          <w:sz w:val="13"/>
          <w:szCs w:val="13"/>
          <w:color w:val="auto"/>
        </w:rPr>
        <w:t>” means (a) any Person listed on any Sanctions-related list of designated Persons maintained by OFAC, the U.S. Department of State, the United Nations Security Council, the European Union, any EU Member State, or His Majesty’s Treasury of the United Kingdom; (b) the Government of Venezuela or any Person that is located, organized, or resident in a Sanctioned Country; or (c) any Person owned 50% or more by any such Person or Persons described in the foregoing clauses (a)-(b);</w:t>
      </w:r>
    </w:p>
    <w:p>
      <w:pPr>
        <w:spacing w:after="0" w:line="133" w:lineRule="exact"/>
        <w:rPr>
          <w:sz w:val="20"/>
          <w:szCs w:val="20"/>
          <w:color w:val="auto"/>
        </w:rPr>
      </w:pPr>
    </w:p>
    <w:p>
      <w:pPr>
        <w:jc w:val="both"/>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means economic or financial sanctions or trade embargoes imposed, administered or enforced from time to time by OFAC, the U.S. Department of State, the United Nations Security Council, His Majesty’s Treasury of the United Kingdom, the European Union or any EU Member State;</w:t>
      </w:r>
    </w:p>
    <w:p>
      <w:pPr>
        <w:spacing w:after="0" w:line="130"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3" w:name="page84"/>
    <w:bookmarkEnd w:id="83"/>
    <w:p>
      <w:pPr>
        <w:ind w:left="640" w:right="7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Person or a combination thereof (including through any contractual arrangement) and (B) any partnership,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through any contractual arrangement or otherwise, or</w:t>
      </w:r>
    </w:p>
    <w:p>
      <w:pPr>
        <w:spacing w:after="0" w:line="1" w:lineRule="exact"/>
        <w:rPr>
          <w:sz w:val="20"/>
          <w:szCs w:val="20"/>
          <w:color w:val="auto"/>
        </w:rPr>
      </w:pPr>
    </w:p>
    <w:p>
      <w:pPr>
        <w:ind w:left="640" w:right="779" w:hanging="3"/>
        <w:spacing w:after="0" w:line="245" w:lineRule="auto"/>
        <w:tabs>
          <w:tab w:leader="none" w:pos="826"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 or any subsidiary of such Person is a controlling general partner or otherwise controls such entity (including through any contractual arrangement). For the avoidance of doubt, for purposes of this Agreement, each branch office of any subsidiary of the Company, whether registered or not as required by the applicable laws of the jurisdiction of its operation, shall be deemed as a subsidiary of the Company;</w:t>
      </w:r>
    </w:p>
    <w:p>
      <w:pPr>
        <w:spacing w:after="0" w:line="136"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Transaction Documents</w:t>
      </w:r>
      <w:r>
        <w:rPr>
          <w:rFonts w:ascii="Times New Roman" w:cs="Times New Roman" w:eastAsia="Times New Roman" w:hAnsi="Times New Roman"/>
          <w:sz w:val="13"/>
          <w:szCs w:val="13"/>
          <w:color w:val="auto"/>
        </w:rPr>
        <w:t>” means, collectively, this Agreement, the Confidentiality Agreement, the Financing Commitments and any other agreement or document contemplated thereby or any document or instrument delivered in connection hereunder or thereunder;</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means Treasury regulations promulgated under the Code; and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United States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U.S.</w:t>
      </w:r>
      <w:r>
        <w:rPr>
          <w:rFonts w:ascii="Times New Roman" w:cs="Times New Roman" w:eastAsia="Times New Roman" w:hAnsi="Times New Roman"/>
          <w:sz w:val="13"/>
          <w:szCs w:val="13"/>
          <w:color w:val="auto"/>
        </w:rPr>
        <w:t>” means the United States of America.</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 </w:t>
      </w:r>
      <w:r>
        <w:rPr>
          <w:rFonts w:ascii="Times New Roman" w:cs="Times New Roman" w:eastAsia="Times New Roman" w:hAnsi="Times New Roman"/>
          <w:sz w:val="13"/>
          <w:szCs w:val="13"/>
          <w:u w:val="single" w:color="auto"/>
          <w:color w:val="auto"/>
        </w:rPr>
        <w:t>Other Defined Terms</w:t>
      </w:r>
      <w:r>
        <w:rPr>
          <w:rFonts w:ascii="Times New Roman" w:cs="Times New Roman" w:eastAsia="Times New Roman" w:hAnsi="Times New Roman"/>
          <w:sz w:val="13"/>
          <w:szCs w:val="13"/>
          <w:color w:val="auto"/>
        </w:rPr>
        <w:t>. The following terms have the meanings set forth in the Sections set forth below:</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41"/>
        </w:trPr>
        <w:tc>
          <w:tcPr>
            <w:tcW w:w="28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Defined Term</w:t>
            </w:r>
          </w:p>
        </w:tc>
        <w:tc>
          <w:tcPr>
            <w:tcW w:w="3300" w:type="dxa"/>
            <w:vAlign w:val="bottom"/>
          </w:tcPr>
          <w:p>
            <w:pPr>
              <w:spacing w:after="0"/>
              <w:rPr>
                <w:sz w:val="12"/>
                <w:szCs w:val="12"/>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118"/>
        </w:trPr>
        <w:tc>
          <w:tcPr>
            <w:tcW w:w="6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auto"/>
              </w:rPr>
              <w:t>50%</w:t>
            </w:r>
          </w:p>
        </w:tc>
        <w:tc>
          <w:tcPr>
            <w:tcW w:w="22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Section 6.3(g)(iii)</w:t>
            </w:r>
          </w:p>
        </w:tc>
        <w:tc>
          <w:tcPr>
            <w:tcW w:w="20" w:type="dxa"/>
            <w:vAlign w:val="bottom"/>
          </w:tcPr>
          <w:p>
            <w:pPr>
              <w:spacing w:after="0"/>
              <w:rPr>
                <w:sz w:val="10"/>
                <w:szCs w:val="10"/>
                <w:color w:val="auto"/>
              </w:rPr>
            </w:pP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Acceptable Confidentiality Agreement</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Proposal</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6.3(g)(i)</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Action</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3.10</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Affiliate</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Alternative Acquisition Agreement</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6.3(a)(i)(C)</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Alternative Financing</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6.11(a)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Anti-Corruption Laws</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3.6(b)</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Antitrust Laws</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Applicable Date</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3.7(a)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Auditor’s Report</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Bankruptcy and Equity Exception</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3.4</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Board of Directors</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Book-Entry Shares</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2.3(b)(i)</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Day</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CA2014</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Canceled Shares</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2.1(b)</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Cayman Companies Act</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CBA</w:t>
            </w:r>
          </w:p>
        </w:tc>
        <w:tc>
          <w:tcPr>
            <w:tcW w:w="330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3.8(a)(ix)</w:t>
            </w:r>
          </w:p>
        </w:tc>
      </w:tr>
      <w:tr>
        <w:trPr>
          <w:trHeight w:val="165"/>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Certificates</w:t>
            </w:r>
          </w:p>
        </w:tc>
        <w:tc>
          <w:tcPr>
            <w:tcW w:w="3300" w:type="dxa"/>
            <w:vAlign w:val="bottom"/>
          </w:tcPr>
          <w:p>
            <w:pPr>
              <w:spacing w:after="0"/>
              <w:rPr>
                <w:sz w:val="14"/>
                <w:szCs w:val="14"/>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Section 2.3(b)(i)</w:t>
            </w:r>
          </w:p>
        </w:tc>
      </w:tr>
      <w:tr>
        <w:trPr>
          <w:trHeight w:val="256"/>
        </w:trPr>
        <w:tc>
          <w:tcPr>
            <w:tcW w:w="6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300" w:type="dxa"/>
            <w:vAlign w:val="bottom"/>
          </w:tcPr>
          <w:p>
            <w:pPr>
              <w:jc w:val="right"/>
              <w:ind w:right="2197"/>
              <w:spacing w:after="0"/>
              <w:rPr>
                <w:sz w:val="20"/>
                <w:szCs w:val="20"/>
                <w:color w:val="auto"/>
              </w:rPr>
            </w:pPr>
            <w:r>
              <w:rPr>
                <w:rFonts w:ascii="Times New Roman" w:cs="Times New Roman" w:eastAsia="Times New Roman" w:hAnsi="Times New Roman"/>
                <w:sz w:val="13"/>
                <w:szCs w:val="13"/>
                <w:color w:val="auto"/>
              </w:rPr>
              <w:t>73</w:t>
            </w: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Change in Control Payment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3.8(a)(xiv)</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Change of Recommendation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6.2(b), Section 6.3(e)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Closing</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Code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Disclosure Letter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Article III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Equity Award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ESPP</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Intellectual Property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Option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Plan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PSU Award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Registered Intellectual Property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3.17(a)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Related Party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8.2(e)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Requisite Vote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3.4</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RSU Award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Securities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Service Providers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Share Plan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Share Plans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Systems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Company Termination Fee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8.2(b)(i)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Confidentiality Agreement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6.6(b)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Consultation Agreement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Continuing Employees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6.9(a)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Contract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control</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controlled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controlled by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controlling</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Copyrights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Current Insurance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6.10(c)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CVR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CVR License Agreement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CVR License Transaction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CVRs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Data Privacy Laws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Data Privacy Requirements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Definitive Agreements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Dissenter Rights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Shareholder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Effect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1.3</w:t>
            </w:r>
          </w:p>
        </w:tc>
      </w:tr>
      <w:tr>
        <w:trPr>
          <w:trHeight w:val="256"/>
        </w:trPr>
        <w:tc>
          <w:tcPr>
            <w:tcW w:w="2960" w:type="dxa"/>
            <w:vAlign w:val="bottom"/>
          </w:tcPr>
          <w:p>
            <w:pPr>
              <w:spacing w:after="0"/>
              <w:rPr>
                <w:sz w:val="22"/>
                <w:szCs w:val="22"/>
                <w:color w:val="auto"/>
              </w:rPr>
            </w:pPr>
          </w:p>
        </w:tc>
        <w:tc>
          <w:tcPr>
            <w:tcW w:w="478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74</w:t>
            </w:r>
          </w:p>
        </w:tc>
      </w:tr>
    </w:tbl>
    <w:p>
      <w:pPr>
        <w:sectPr>
          <w:pgSz w:w="11900" w:h="16838" w:orient="portrait"/>
          <w:cols w:equalWidth="0" w:num="1">
            <w:col w:w="9019"/>
          </w:cols>
          <w:pgMar w:left="1440" w:top="231" w:right="1440" w:bottom="144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Effects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End Date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8.1(c)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Laws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ERISA</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Exchange Act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3.5(b)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Financial Advisor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3.19</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Financing</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4.7(a)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Financing Commitments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4.7(a), Section 6.11(a)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Financing Reorganization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6.18</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Financing Sources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GAAP</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Governmental Entity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3.5(b)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Hazardous Material</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HSR Act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Indemnified Parties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6.10(a)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Intellectual Property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Intervening Event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6.3(g)(ii)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Intervening Event Notice Period</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knowledge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Law</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Lease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Leased Real Property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License Representative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Licensee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3.6(a)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Lien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made available</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Material Adverse Effect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Material Contract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Material Leases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3.14(b)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Maximum Amount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6.10(c)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Memorandum and Articles of Association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 Sub</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Negotiating</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6.19(a)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Notice of Intervening Event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Notice of Superior Proposal</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6.3(c)(ii)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OFAC</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Off-the-Shelf Software Licenses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Order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Owned Real Property</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Disclosure Letter</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Article IV</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Material Adverse Effect</w:t>
            </w:r>
          </w:p>
        </w:tc>
        <w:tc>
          <w:tcPr>
            <w:tcW w:w="4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7.3(a)</w:t>
            </w:r>
          </w:p>
        </w:tc>
      </w:tr>
      <w:tr>
        <w:trPr>
          <w:trHeight w:val="256"/>
        </w:trPr>
        <w:tc>
          <w:tcPr>
            <w:tcW w:w="2960" w:type="dxa"/>
            <w:vAlign w:val="bottom"/>
          </w:tcPr>
          <w:p>
            <w:pPr>
              <w:spacing w:after="0"/>
              <w:rPr>
                <w:sz w:val="22"/>
                <w:szCs w:val="22"/>
                <w:color w:val="auto"/>
              </w:rPr>
            </w:pPr>
          </w:p>
        </w:tc>
        <w:tc>
          <w:tcPr>
            <w:tcW w:w="478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75</w:t>
            </w:r>
          </w:p>
        </w:tc>
      </w:tr>
    </w:tbl>
    <w:p>
      <w:pPr>
        <w:sectPr>
          <w:pgSz w:w="11900" w:h="16838" w:orient="portrait"/>
          <w:cols w:equalWidth="0" w:num="1">
            <w:col w:w="9019"/>
          </w:cols>
          <w:pgMar w:left="1440" w:top="231" w:right="1440"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Parent Plan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6.9(b)</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Parent Related Party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8.2(f)</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Parent Termination Fee</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8.2(b)(iii)</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Parties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Party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Patents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Paying Agent</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2.3(a)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Per Share Cash Consideration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Per Share Merger Consideration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2.1(a)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Permitted Liens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Person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Personal Data</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Plan of Merger</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1.3</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Post-Closing Benefits Continuation Period</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6.9(a)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Preferred Shares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3.3(a)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Process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Prohibited Modifications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6.11(a)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Proxy Statement</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3.16</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Recommendation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3.4</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Registered Intellectual Property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Registrar of Companies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1.3</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Relevant Sum</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Reorganization Steps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Representatives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Required Regulatory Approvals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Restricted Activity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Sanctioned Country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Sanctioned Person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Sanctions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SAP</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SAP Auditor</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SAP Declaration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Exhibit C</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SEC</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3.7(a)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SEC Reports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3.7(a)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Securities Act</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3.5(b)</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Meeting</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6.2(a)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Strategic Review Committee</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subsidiaries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subsidiary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Superior Proposal</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6.3(g)(iii)</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Superior Proposal Notice Period</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6.3(c)(ii)</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Surviving Company</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1.1</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Takeover Statute</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3.21</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Tax Law</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3.15(m)(ii)</w:t>
            </w:r>
          </w:p>
        </w:tc>
      </w:tr>
      <w:tr>
        <w:trPr>
          <w:trHeight w:val="152"/>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Tax Return</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3.15(m)(iii)</w:t>
            </w:r>
          </w:p>
        </w:tc>
      </w:tr>
      <w:tr>
        <w:trPr>
          <w:trHeight w:val="165"/>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Taxes</w:t>
            </w:r>
          </w:p>
        </w:tc>
        <w:tc>
          <w:tcPr>
            <w:tcW w:w="4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3.15(m)(i)</w:t>
            </w:r>
          </w:p>
        </w:tc>
      </w:tr>
      <w:tr>
        <w:trPr>
          <w:trHeight w:val="256"/>
        </w:trPr>
        <w:tc>
          <w:tcPr>
            <w:tcW w:w="2980" w:type="dxa"/>
            <w:vAlign w:val="bottom"/>
          </w:tcPr>
          <w:p>
            <w:pPr>
              <w:spacing w:after="0"/>
              <w:rPr>
                <w:sz w:val="22"/>
                <w:szCs w:val="22"/>
                <w:color w:val="auto"/>
              </w:rPr>
            </w:pPr>
          </w:p>
        </w:tc>
        <w:tc>
          <w:tcPr>
            <w:tcW w:w="476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76</w:t>
            </w:r>
          </w:p>
        </w:tc>
      </w:tr>
    </w:tbl>
    <w:p>
      <w:pPr>
        <w:sectPr>
          <w:pgSz w:w="11900" w:h="16838" w:orient="portrait"/>
          <w:cols w:equalWidth="0" w:num="1">
            <w:col w:w="9019"/>
          </w:cols>
          <w:pgMar w:left="1440" w:top="231" w:right="1440"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Trademarks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Transaction Documents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6.13</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Treasury Regulations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under common control with</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9.5(a)</w:t>
            </w:r>
          </w:p>
        </w:tc>
      </w:tr>
      <w:tr>
        <w:trPr>
          <w:trHeight w:val="15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Yupelri Agreements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3.8(a)(xvii)</w:t>
            </w:r>
          </w:p>
        </w:tc>
      </w:tr>
      <w:tr>
        <w:trPr>
          <w:trHeight w:val="16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Yupelri Rights</w:t>
            </w: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Section 3.9</w:t>
            </w:r>
          </w:p>
        </w:tc>
      </w:tr>
    </w:tbl>
    <w:p>
      <w:pPr>
        <w:spacing w:after="0" w:line="139"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9.6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greatest extent possible.</w:t>
      </w:r>
    </w:p>
    <w:p>
      <w:pPr>
        <w:spacing w:after="0" w:line="135"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9.7 </w:t>
      </w:r>
      <w:r>
        <w:rPr>
          <w:rFonts w:ascii="Times New Roman" w:cs="Times New Roman" w:eastAsia="Times New Roman" w:hAnsi="Times New Roman"/>
          <w:sz w:val="13"/>
          <w:szCs w:val="13"/>
          <w:u w:val="single" w:color="auto"/>
          <w:color w:val="auto"/>
        </w:rPr>
        <w:t>Entire Agreement; Assignment</w:t>
      </w:r>
      <w:r>
        <w:rPr>
          <w:rFonts w:ascii="Times New Roman" w:cs="Times New Roman" w:eastAsia="Times New Roman" w:hAnsi="Times New Roman"/>
          <w:sz w:val="13"/>
          <w:szCs w:val="13"/>
          <w:color w:val="auto"/>
        </w:rPr>
        <w:t>. This Agreement (including the Exhibits hereto and the Company Disclosure Letter and the Parent Disclosure Letter), the CVR Agreement and the Confidentiality Agreements constitute the entire agreement among the Parties with respect to the subject matter hereof and supersede all prior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w:t>
      </w:r>
    </w:p>
    <w:p>
      <w:pPr>
        <w:spacing w:after="0" w:line="134"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9.8 </w:t>
      </w:r>
      <w:r>
        <w:rPr>
          <w:rFonts w:ascii="Times New Roman" w:cs="Times New Roman" w:eastAsia="Times New Roman" w:hAnsi="Times New Roman"/>
          <w:sz w:val="13"/>
          <w:szCs w:val="13"/>
          <w:u w:val="single" w:color="auto"/>
          <w:color w:val="auto"/>
        </w:rPr>
        <w:t>Parties in Interest</w:t>
      </w:r>
      <w:r>
        <w:rPr>
          <w:rFonts w:ascii="Times New Roman" w:cs="Times New Roman" w:eastAsia="Times New Roman" w:hAnsi="Times New Roman"/>
          <w:sz w:val="13"/>
          <w:szCs w:val="13"/>
          <w:color w:val="auto"/>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other than (a) at and after the Effective Time, with respect to the provisions of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xml:space="preserve"> which shall inure to the benefit of the Persons or entities benefiting therefrom who are intended to be third-party beneficiaries thereof, (b) at and after the Effective Time, the rights of the holders of Ordinary Shares to receive the Per Share Merger Consideration in accordance with the terms and conditions of this Agreement and the CVR Agreement, (c) at and after the Effective Time, the rights of the holders of Company Options, the Company RSU Awards and the Company PSU Awards to receive the payments contemplated by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and the CVR Agreement, (d) each Company Related Party shall be a third-party beneficiary of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(e) the rights of the Financing Sources set forth in </w:t>
      </w:r>
      <w:r>
        <w:rPr>
          <w:rFonts w:ascii="Times New Roman" w:cs="Times New Roman" w:eastAsia="Times New Roman" w:hAnsi="Times New Roman"/>
          <w:sz w:val="13"/>
          <w:szCs w:val="13"/>
          <w:u w:val="single" w:color="auto"/>
          <w:color w:val="auto"/>
        </w:rPr>
        <w:t>Section 9.16</w:t>
      </w:r>
      <w:r>
        <w:rPr>
          <w:rFonts w:ascii="Times New Roman" w:cs="Times New Roman" w:eastAsia="Times New Roman" w:hAnsi="Times New Roman"/>
          <w:sz w:val="13"/>
          <w:szCs w:val="13"/>
          <w:color w:val="auto"/>
        </w:rPr>
        <w:t xml:space="preserve">, which are intended for the benefit of the Financing Sources and (f) at and after the Effective Time, solely with respect to the provisions relating to Parent’s execution of the CVR Agreement (including pursuant to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xml:space="preserve">) and the Company’s appointment of the License Representative pursuant to </w:t>
      </w:r>
      <w:r>
        <w:rPr>
          <w:rFonts w:ascii="Times New Roman" w:cs="Times New Roman" w:eastAsia="Times New Roman" w:hAnsi="Times New Roman"/>
          <w:sz w:val="13"/>
          <w:szCs w:val="13"/>
          <w:u w:val="single" w:color="auto"/>
          <w:color w:val="auto"/>
        </w:rPr>
        <w:t>Section 6.19(c)</w:t>
      </w:r>
      <w:r>
        <w:rPr>
          <w:rFonts w:ascii="Times New Roman" w:cs="Times New Roman" w:eastAsia="Times New Roman" w:hAnsi="Times New Roman"/>
          <w:sz w:val="13"/>
          <w:szCs w:val="13"/>
          <w:color w:val="auto"/>
        </w:rPr>
        <w:t>, which shall inure to the benefit of the 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88" w:name="page89"/>
    <w:bookmarkEnd w:id="8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9.9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1" w:lineRule="auto"/>
        <w:tabs>
          <w:tab w:leader="none" w:pos="150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(other than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and with respect to matters relating to fiduciary duties of the Board of Directors) and all claims or causes of action (whether in contract, tort or otherwise) that may be based upon, arise out of or relate to this Agreement (other than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and with respect to matters relating to fiduciary duties of the Board of Directors) or the negotiation, execution or performance of this Agreement (other than </w:t>
      </w:r>
      <w:r>
        <w:rPr>
          <w:rFonts w:ascii="Times New Roman" w:cs="Times New Roman" w:eastAsia="Times New Roman" w:hAnsi="Times New Roman"/>
          <w:sz w:val="12"/>
          <w:szCs w:val="12"/>
          <w:u w:val="single" w:color="auto"/>
          <w:color w:val="auto"/>
        </w:rPr>
        <w:t>Article I</w:t>
      </w:r>
      <w:r>
        <w:rPr>
          <w:rFonts w:ascii="Times New Roman" w:cs="Times New Roman" w:eastAsia="Times New Roman" w:hAnsi="Times New Roman"/>
          <w:sz w:val="12"/>
          <w:szCs w:val="12"/>
          <w:color w:val="auto"/>
        </w:rPr>
        <w:t xml:space="preserve"> and with respect to matters relating to fiduciary duties of the Board of Directors) (including any claim or cause of action based upon, arising out of or related to any representation or warranty made in or in connection with this Agreement or as an inducement to enter into this Agreement), shall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15"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foregoing, any provisions of this Agreement and matters arising out of or relating to this Agreement which are required to be governed by the Cayman Companies Act or other Laws of the Cayman Islands, including the following matters shall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hereby irrevocably submit to the exclusive jurisdiction of the courts of the Cayman Islands: the Merger; the second sentence of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1.6</w:t>
      </w:r>
      <w:r>
        <w:rPr>
          <w:rFonts w:ascii="Times New Roman" w:cs="Times New Roman" w:eastAsia="Times New Roman" w:hAnsi="Times New Roman"/>
          <w:sz w:val="12"/>
          <w:szCs w:val="12"/>
          <w:color w:val="auto"/>
        </w:rPr>
        <w:t xml:space="preserve">; the second sentence of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(with respect to Company Equity Awards granted under the Company’s Amended and Restated 2013 Equity Incentive Plan and the Company’s 2014 New Employee Equity Incentive Plan, as they may be amended from time to time); the cancellation of the Ordinary Shares; the striking-off the Register of Companies of Merger Sub following the Closing;</w:t>
      </w:r>
    </w:p>
    <w:p>
      <w:pPr>
        <w:spacing w:after="0" w:line="2" w:lineRule="exact"/>
        <w:rPr>
          <w:rFonts w:ascii="Times New Roman" w:cs="Times New Roman" w:eastAsia="Times New Roman" w:hAnsi="Times New Roman"/>
          <w:sz w:val="12"/>
          <w:szCs w:val="12"/>
          <w:color w:val="auto"/>
        </w:rPr>
      </w:pPr>
    </w:p>
    <w:p>
      <w:pPr>
        <w:ind w:left="640" w:right="87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 xml:space="preserve"> and the rights provided for in Section 238 of the Cayman Companies Act with respect to any Dissenting Shares; the fiduciary or other duties of the Board of Directors and the directors of Merger Sub; and the internal corporate affairs of the Company and Merger Sub.</w:t>
      </w:r>
    </w:p>
    <w:p>
      <w:pPr>
        <w:spacing w:after="0" w:line="136"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9.10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descriptive headings contained in this Agreement are included for convenience of reference only and shall not affect in any way the meaning or interpretation of this Agreement.</w:t>
      </w:r>
    </w:p>
    <w:p>
      <w:pPr>
        <w:spacing w:after="0" w:line="122"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and delivered (including by facsimile transmission, “.pdf,” or other electronic transmission) in one or more counterparts, and by the different Parties in separate counterparts, each of which when executed shall be deemed to be an original but all of which taken together shall constitute one and the same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9.12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51" w:lineRule="auto"/>
        <w:tabs>
          <w:tab w:leader="none" w:pos="150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agree that irreparable damage, for which monetary damages (even if available) would not be an adequate remedy, would occur in the event that the Parties do not perform the provisions of this Agreement in accordance with its specified terms or otherwise breach such provisions. The Parties acknowledge and agree that, subject in all respects to the terms and conditions of this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the Parties shall be entitled to an injunction, specific</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89" w:name="page90"/>
    <w:bookmarkEnd w:id="89"/>
    <w:p>
      <w:pPr>
        <w:ind w:left="640" w:right="6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performance and other equitable relief to prevent breaches of this Agreement and to enforce specifically the terms and provisions hereof, without any requirement for the posting of any bond or other security, this being in addition to any other remedy to which they are entitled at law or in equity. The Parties hereby further acknowledge and agree that prior to the Closing, the Company shall be entitled to specific performance to enforce specifically the terms and provisions of, and to prevent or cure breaches of this Agreement, including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6.10(b)</w:t>
      </w:r>
      <w:r>
        <w:rPr>
          <w:rFonts w:ascii="Times New Roman" w:cs="Times New Roman" w:eastAsia="Times New Roman" w:hAnsi="Times New Roman"/>
          <w:sz w:val="12"/>
          <w:szCs w:val="12"/>
          <w:color w:val="auto"/>
        </w:rPr>
        <w:t>, by Parent or Merger Sub.</w:t>
      </w:r>
    </w:p>
    <w:p>
      <w:pPr>
        <w:spacing w:after="0" w:line="116" w:lineRule="exact"/>
        <w:rPr>
          <w:sz w:val="20"/>
          <w:szCs w:val="20"/>
          <w:color w:val="auto"/>
        </w:rPr>
      </w:pPr>
    </w:p>
    <w:p>
      <w:pPr>
        <w:ind w:left="640" w:right="679" w:firstLine="693"/>
        <w:spacing w:after="0" w:line="246" w:lineRule="auto"/>
        <w:tabs>
          <w:tab w:leader="none" w:pos="1515"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or anything herein to the contrary, it is hereby acknowledged and agreed that the Company shall be entitled to obtain an injunction, specific performance or other equitable remedies to cause Parent and Merger Sub to consummate the Closing in accordance with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if, but only if, (i) all conditions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(other than those conditions that by their nature are to be satisfied at the Closing, but subject to the satisfaction or waiver of such conditions) have been satisfied or, if permissible, waived in accordance with this Agreement, (ii) Parent fails to complete the Closing by the date the Closing is required to have occurred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(iii) the financing provided for by the Financing Commitment (or any Alternative Financing, if applicable) has been funded in full, and (iv) the Company has irrevocably confirmed in writing that the Company is ready, willing and able to consummate the Closing, and if specific performance is granted and the Financing (or any Alternative Financing, if applicable) are funded, then the Closing would occur.</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08"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on its behalf and on behalf of its Affiliates, hereby agrees that it will not, and will cause its Affiliates not to,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else to the contrary in this Agreement, for the avoidance of doubt, while the Company may concurrently seek (i) specific performance or other equitable relief, subject in all respects to this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and (ii) payment of the Parent Termination Fee pursuant to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under no circumstances shall the Company be permitted or entitled to receive both (1) a grant of specific performance or other equitable relief that results in a Closing, and (2) payment of the Parent Termination Fee.</w:t>
      </w:r>
    </w:p>
    <w:p>
      <w:pPr>
        <w:spacing w:after="0" w:line="132" w:lineRule="exact"/>
        <w:rPr>
          <w:rFonts w:ascii="Times New Roman" w:cs="Times New Roman" w:eastAsia="Times New Roman" w:hAnsi="Times New Roman"/>
          <w:sz w:val="13"/>
          <w:szCs w:val="13"/>
          <w:color w:val="auto"/>
        </w:rPr>
      </w:pPr>
    </w:p>
    <w:p>
      <w:pPr>
        <w:jc w:val="both"/>
        <w:ind w:left="640" w:right="799" w:firstLine="693"/>
        <w:spacing w:after="0" w:line="251" w:lineRule="auto"/>
        <w:tabs>
          <w:tab w:leader="none" w:pos="1508"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else to the contrary in this Agreement, for the avoidance of doubt, while Parent or Merger Sub may concurrently seek (i) specific performance or other equitable relief, subject in all respects to this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and (ii) payment of the Company Termination Fee pursuant to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under no circumstances shall Parent and Merger Sub be permitted or entitled to receive both (1) a grant of specific performance or other equitable relief that results in a Closing, and (2) payment of the Company Termination Fee.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0" w:name="page91"/>
    <w:bookmarkEnd w:id="90"/>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9.13 </w:t>
      </w:r>
      <w:r>
        <w:rPr>
          <w:rFonts w:ascii="Times New Roman" w:cs="Times New Roman" w:eastAsia="Times New Roman" w:hAnsi="Times New Roman"/>
          <w:sz w:val="13"/>
          <w:szCs w:val="13"/>
          <w:u w:val="single" w:color="auto"/>
          <w:color w:val="auto"/>
        </w:rPr>
        <w:t>Jurisdiction</w:t>
      </w:r>
      <w:r>
        <w:rPr>
          <w:rFonts w:ascii="Times New Roman" w:cs="Times New Roman" w:eastAsia="Times New Roman" w:hAnsi="Times New Roman"/>
          <w:sz w:val="13"/>
          <w:szCs w:val="13"/>
          <w:color w:val="auto"/>
        </w:rPr>
        <w:t xml:space="preserve">. The Parties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shall be deemed effective service of process on such party. The Parties agree that a final judgment in any such suit, action or proceeding shall be conclusive and may be enforced in other jurisdictions by suit on the judgment or in any other manner provided by applicable Law.</w:t>
      </w:r>
    </w:p>
    <w:p>
      <w:pPr>
        <w:spacing w:after="0" w:line="141" w:lineRule="exact"/>
        <w:rPr>
          <w:sz w:val="20"/>
          <w:szCs w:val="20"/>
          <w:color w:val="auto"/>
        </w:rPr>
      </w:pPr>
    </w:p>
    <w:p>
      <w:pPr>
        <w:ind w:left="640" w:right="7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9.14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EACH OF PARENT, MERGER SUB AND THE COMPANY HEREBY IRREVOCABLY WAIVES ANY AND ALL RIGHT TO TRIAL BY JURY IN ANY ACTION, PROCEEDING OR COUNTERCLAIM (WHETHER BASED ON CONTRACT, TORT OR OTHERWISE) ARISING OUT OF OR RELATING TO THIS AGREEMENT OR THE TRANSACTIONS CONTEMPLATED HEREBY (INCLUDING ANY SUCH ACTION INVOLVING ANY FINANCING SOURCE) OR THE ACTIONS OF PARENT, MERGER SUB OR THE COMPANY IN THE NEGOTIATION, ADMINISTRATION, PERFORMANCE AND ENFORCEMENT HEREOF OR THEREOF.</w:t>
      </w:r>
    </w:p>
    <w:p>
      <w:pPr>
        <w:spacing w:after="0" w:line="119"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9.15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Each of the Parties has participated in the drafting and negotiating of this Agreement. If an ambiguity or question of intent or interpretation arises, this Agreement shall be construed as if it is drafted by all the Parties and without regard to any presumption or rule requiring construction or interpretation against the Party drafting or causing any instrument to be drafted.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1" w:name="page92"/>
    <w:bookmarkEnd w:id="91"/>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9.16 </w:t>
      </w:r>
      <w:r>
        <w:rPr>
          <w:rFonts w:ascii="Times New Roman" w:cs="Times New Roman" w:eastAsia="Times New Roman" w:hAnsi="Times New Roman"/>
          <w:sz w:val="13"/>
          <w:szCs w:val="13"/>
          <w:u w:val="single" w:color="auto"/>
          <w:color w:val="auto"/>
        </w:rPr>
        <w:t>Financing Sources</w:t>
      </w:r>
      <w:r>
        <w:rPr>
          <w:rFonts w:ascii="Times New Roman" w:cs="Times New Roman" w:eastAsia="Times New Roman" w:hAnsi="Times New Roman"/>
          <w:sz w:val="13"/>
          <w:szCs w:val="13"/>
          <w:color w:val="auto"/>
        </w:rPr>
        <w:t>. Notwithstanding anything in this Agreement to the contrary (but in all cases subject to and without in any way limiting the rights, remedies and claims of Parent under or pursuant to any Financing Commitment or any other agreement entered into with respect to the Financing):</w:t>
      </w:r>
    </w:p>
    <w:p>
      <w:pPr>
        <w:spacing w:after="0" w:line="54" w:lineRule="exact"/>
        <w:rPr>
          <w:sz w:val="20"/>
          <w:szCs w:val="20"/>
          <w:color w:val="auto"/>
        </w:rPr>
      </w:pPr>
    </w:p>
    <w:p>
      <w:pPr>
        <w:ind w:left="640" w:right="679" w:firstLine="693"/>
        <w:spacing w:after="0" w:line="245"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on its behalf and on behalf of its Company Related Parties and Parent Related Parties (as applicable), hereby irrevocably and unconditionally agrees that it will not, and will cause its Company Related Parties and Parent Related Parties (as applicable) not to, bring or support any claim, action, suit, legal proceeding, investigation, arbitration, litigation, whether in law or in equity, whether in contract or in tort or otherwise, against any Financing Source or under the Financing (or any Alternative Financing) in any way relating to this Agreement or the Financing Commitments or any of the transactions contemplated hereby or thereby, including any dispute arising out of or relating in any way to the Financing or the performance thereof, in any forum other than a Federal court of competent jurisdiction sitting in the Borough of Manhattan of the City of New York, or, if that court does not have subject matter jurisdiction, in any state court located in the City and County of New York, and any appellate court thereof, and each Party, on its behalf and on behalf of its Company Related Parties and Parent Related Parties (as applicable), irrevocably submits itself and its property with respect to any such action to the exclusive jurisdiction of such court, and that the provisions of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xml:space="preserve"> relating to the waiver of jury trial shall apply to any such claim, action, suit, legal proceeding, investigation, arbitration or litigation. The Parties, on its behalf and on behalf of its Company Related Parties and Parent Related Parties (as applicable), further agree to waive and hereby irrevocably waive, to the fullest extent permitted by law, any objection which it may now have or hereafter have to the laying of venue of, and the defense of an inconvenient forum to the maintenance of, any such action in any such court and makes the agreements, waivers and consents set forth in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but with respect to the courts specified in this </w:t>
      </w:r>
      <w:r>
        <w:rPr>
          <w:rFonts w:ascii="Times New Roman" w:cs="Times New Roman" w:eastAsia="Times New Roman" w:hAnsi="Times New Roman"/>
          <w:sz w:val="13"/>
          <w:szCs w:val="13"/>
          <w:u w:val="single" w:color="auto"/>
          <w:color w:val="auto"/>
        </w:rPr>
        <w:t>Section 9.16</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79" w:lineRule="auto"/>
        <w:tabs>
          <w:tab w:leader="none" w:pos="1515"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specifically set forth in the Financing Commitments, all claims or causes of action (whether at law, in equity, in contract, in tort or otherwise) against any of the Financing Sources in any way relating to this Agreement, the Financing Commitments or the performance hereof or thereof or the transactions contemplated hereby or thereby shall be exclusively governed by, and construed in accordance with, the internal laws of the State of New York, without giving effect to conflict of laws principles that would require or permit the application of Laws of another jurisdiction.</w:t>
      </w:r>
    </w:p>
    <w:p>
      <w:pPr>
        <w:spacing w:after="0" w:line="116"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on its behalf and on behalf of its Company Related Parties and Parent Related Parties (as applicable), hereby irrevocably and unconditionally agrees that (i) neither the Company nor any Company Related Party shall have any rights or claims against any Financing Source, in any way relating to this Agreement, the Financing Commitments or the transactions contemplated hereby or thereby, or in respect of any representations or warranties made or alleged to have been made in connection herewith or therewith, including any dispute arising out of or relating in any way to the Financing Commitments or the performance thereof or the Financing, whether at law or equity, in contract, in tort or otherwise, (ii) the Company (on behalf of itself and the Company Related Parties) agrees not to commence or support any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2" w:name="page93"/>
    <w:bookmarkEnd w:id="92"/>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against any Financing Source (including any Action, whether in law or in equity, whether in contract or in tort or otherwise) with respect to the foregoing and agrees not to commence or support any Action against any Financing Source with respect to the foregoing and otherwise waives any claims or rights against any Financing Source relating to or arising out of this Agreement, the Financing, or any of the agreements entered into in connection therewith (including, for the avoidance of doubt, the Financing Commitments and the definitive documents governing the Financing) or any of the transactions contemplated hereby or thereby or the performance of any services thereunder, whether at law or in equity and whether in tort, contract or otherwise and (iii) no Financing Source shall have any liability to the Company nor any of the Company Related Parties for any obligations or liabilities of any party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the Financing Commitments or the performance thereof or the Financing, whether at law or equity, in contract, in tort or otherwise.</w:t>
      </w:r>
    </w:p>
    <w:p>
      <w:pPr>
        <w:spacing w:after="0" w:line="136" w:lineRule="exact"/>
        <w:rPr>
          <w:sz w:val="20"/>
          <w:szCs w:val="20"/>
          <w:color w:val="auto"/>
        </w:rPr>
      </w:pPr>
    </w:p>
    <w:p>
      <w:pPr>
        <w:ind w:left="640" w:right="819" w:firstLine="693"/>
        <w:spacing w:after="0" w:line="267" w:lineRule="auto"/>
        <w:tabs>
          <w:tab w:leader="none" w:pos="1515"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(or any of its Affiliates) may pledge its rights hereunder as security to any of its Financing Sources (or any agent or collateral trustee for any such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assignment shall relieve Parent of any of its obligations hereunder.</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0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Financing Source shall be a third-party beneficiary of, and may enforce, any of the provisions in,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(including </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w:t>
      </w:r>
      <w:r>
        <w:rPr>
          <w:rFonts w:ascii="Times New Roman" w:cs="Times New Roman" w:eastAsia="Times New Roman" w:hAnsi="Times New Roman"/>
          <w:sz w:val="13"/>
          <w:szCs w:val="13"/>
          <w:color w:val="auto"/>
        </w:rPr>
        <w:t xml:space="preserve"> hereof),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9.8(e)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9.16</w:t>
      </w:r>
      <w:r>
        <w:rPr>
          <w:rFonts w:ascii="Times New Roman" w:cs="Times New Roman" w:eastAsia="Times New Roman" w:hAnsi="Times New Roman"/>
          <w:sz w:val="13"/>
          <w:szCs w:val="13"/>
          <w:color w:val="auto"/>
        </w:rPr>
        <w:t xml:space="preserve">. To the extent any amendments, supplements, waivers or other modifications to any provision of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(including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hereof),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9.8(e)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xml:space="preserve"> or this </w:t>
      </w:r>
      <w:r>
        <w:rPr>
          <w:rFonts w:ascii="Times New Roman" w:cs="Times New Roman" w:eastAsia="Times New Roman" w:hAnsi="Times New Roman"/>
          <w:sz w:val="13"/>
          <w:szCs w:val="13"/>
          <w:u w:val="single" w:color="auto"/>
          <w:color w:val="auto"/>
        </w:rPr>
        <w:t>Section 9.16</w:t>
      </w:r>
      <w:r>
        <w:rPr>
          <w:rFonts w:ascii="Times New Roman" w:cs="Times New Roman" w:eastAsia="Times New Roman" w:hAnsi="Times New Roman"/>
          <w:sz w:val="13"/>
          <w:szCs w:val="13"/>
          <w:color w:val="auto"/>
        </w:rPr>
        <w:t xml:space="preserve"> (or, solely as they relate to such Section, the definitions of any terms used in such provisions) are adverse to the Financing Sources in their capacities as such, such provisions shall not be amended, supplemented, waived or otherwise modified without the prior written consent of the applicable Financing Sources.</w:t>
      </w:r>
    </w:p>
    <w:p>
      <w:pPr>
        <w:spacing w:after="0" w:line="135"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Notwithstanding anything contained herein to the contrary, nothing in this </w:t>
      </w:r>
      <w:r>
        <w:rPr>
          <w:rFonts w:ascii="Times New Roman" w:cs="Times New Roman" w:eastAsia="Times New Roman" w:hAnsi="Times New Roman"/>
          <w:sz w:val="13"/>
          <w:szCs w:val="13"/>
          <w:u w:val="single" w:color="auto"/>
          <w:color w:val="auto"/>
        </w:rPr>
        <w:t>Section 9.16</w:t>
      </w:r>
      <w:r>
        <w:rPr>
          <w:rFonts w:ascii="Times New Roman" w:cs="Times New Roman" w:eastAsia="Times New Roman" w:hAnsi="Times New Roman"/>
          <w:sz w:val="13"/>
          <w:szCs w:val="13"/>
          <w:color w:val="auto"/>
        </w:rPr>
        <w:t xml:space="preserve"> shall in any way affect the rights and remedies under any definitive agreement relating to the Financing or an Alternative Financing between a Financing Source and the party to such definitive agreement and Parent or such party to such definitive agreement may enforce and seek remedies thereunder.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3" w:name="page94"/>
    <w:bookmarkEnd w:id="93"/>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Company, Parent and Merger Sub and have caused this Agreement to be executed as of the date first written above by their respective officers thereunto duly authorized.</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THERAVANCE BIOPHARMA,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 Rick E Winningham</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PARENT: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ZYMEWORKS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 Kenneth Galbraith</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MERGER SUB:</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ZYMEWORKS MERGER SUB 1</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Catherine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 Catherine Graham</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 Director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Merger Agreement]</w:t>
      </w:r>
    </w:p>
    <w:p>
      <w:pPr>
        <w:sectPr>
          <w:pgSz w:w="11900" w:h="16838" w:orient="portrait"/>
          <w:cols w:equalWidth="0" w:num="1">
            <w:col w:w="9019"/>
          </w:cols>
          <w:pgMar w:left="1440" w:top="231" w:right="1440" w:bottom="1440" w:gutter="0" w:footer="0" w:header="0"/>
        </w:sectPr>
      </w:pPr>
    </w:p>
    <w:bookmarkStart w:id="94" w:name="page95"/>
    <w:bookmarkEnd w:id="9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CONTINGENT VALUE RIGHTS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[Attached.]</w:t>
      </w:r>
    </w:p>
    <w:p>
      <w:pPr>
        <w:sectPr>
          <w:pgSz w:w="11900" w:h="16838" w:orient="portrait"/>
          <w:cols w:equalWidth="0" w:num="1">
            <w:col w:w="9019"/>
          </w:cols>
          <w:pgMar w:left="1440" w:top="229" w:right="1440" w:bottom="1440" w:gutter="0" w:footer="0" w:header="0"/>
        </w:sectPr>
      </w:pPr>
    </w:p>
    <w:bookmarkStart w:id="95" w:name="page96"/>
    <w:bookmarkEnd w:id="9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PLAN OF MERGER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THERAVANCE BIOPHARMA,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ZYMEWORKS MERGER SUB 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PLAN OF MERGER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[date]</w:t>
      </w:r>
    </w:p>
    <w:p>
      <w:pPr>
        <w:sectPr>
          <w:pgSz w:w="11900" w:h="16838" w:orient="portrait"/>
          <w:cols w:equalWidth="0" w:num="1">
            <w:col w:w="9019"/>
          </w:cols>
          <w:pgMar w:left="1440" w:top="229" w:right="1440" w:bottom="1440" w:gutter="0" w:footer="0" w:header="0"/>
        </w:sectPr>
      </w:pPr>
    </w:p>
    <w:bookmarkStart w:id="96" w:name="page97"/>
    <w:bookmarkEnd w:id="96"/>
    <w:tbl>
      <w:tblPr>
        <w:tblLayout w:type="fixed"/>
        <w:tblInd w:w="64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4280" w:type="dxa"/>
            <w:vAlign w:val="bottom"/>
            <w:gridSpan w:val="2"/>
          </w:tcPr>
          <w:p>
            <w:pPr>
              <w:jc w:val="center"/>
              <w:ind w:left="2937"/>
              <w:spacing w:after="0"/>
              <w:rPr>
                <w:sz w:val="20"/>
                <w:szCs w:val="20"/>
                <w:color w:val="auto"/>
              </w:rPr>
            </w:pPr>
            <w:r>
              <w:rPr>
                <w:rFonts w:ascii="Times New Roman" w:cs="Times New Roman" w:eastAsia="Times New Roman" w:hAnsi="Times New Roman"/>
                <w:sz w:val="13"/>
                <w:szCs w:val="13"/>
                <w:color w:val="auto"/>
                <w:w w:val="96"/>
              </w:rPr>
              <w:t>TABLE OF CONTENTS</w:t>
            </w:r>
          </w:p>
        </w:tc>
        <w:tc>
          <w:tcPr>
            <w:tcW w:w="2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3"/>
        </w:trPr>
        <w:tc>
          <w:tcPr>
            <w:tcW w:w="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w w:val="91"/>
              </w:rPr>
              <w:t>PAGE</w:t>
            </w:r>
          </w:p>
        </w:tc>
      </w:tr>
      <w:tr>
        <w:trPr>
          <w:trHeight w:val="195"/>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Definitions and Interpretation</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Plan of Merger</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Approvals</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Termination and Amendment</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5.</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Counterparts</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Governing Law</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79"/>
        </w:trPr>
        <w:tc>
          <w:tcPr>
            <w:tcW w:w="4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APPENDICES</w:t>
            </w:r>
          </w:p>
        </w:tc>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4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Schedule 1.   Merger Agreement</w:t>
            </w:r>
          </w:p>
        </w:tc>
        <w:tc>
          <w:tcPr>
            <w:tcW w:w="246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w w:val="93"/>
              </w:rPr>
              <w:t>Schedule 1 - 1</w:t>
            </w:r>
          </w:p>
        </w:tc>
      </w:tr>
      <w:tr>
        <w:trPr>
          <w:trHeight w:val="20"/>
        </w:trPr>
        <w:tc>
          <w:tcPr>
            <w:tcW w:w="45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Schedule 2.   Memorandum and Articles of Association of the Surviving Company</w:t>
            </w:r>
          </w:p>
        </w:tc>
        <w:tc>
          <w:tcPr>
            <w:tcW w:w="246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w w:val="93"/>
              </w:rPr>
              <w:t>Schedule 2 - 1</w:t>
            </w:r>
          </w:p>
        </w:tc>
      </w:tr>
      <w:tr>
        <w:trPr>
          <w:trHeight w:val="264"/>
        </w:trPr>
        <w:tc>
          <w:tcPr>
            <w:tcW w:w="2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w:t>
            </w:r>
          </w:p>
        </w:tc>
        <w:tc>
          <w:tcPr>
            <w:tcW w:w="246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1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97" w:name="page98"/>
    <w:bookmarkEnd w:id="9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PLAN OF MERGER </w:t>
      </w:r>
      <w:r>
        <w:rPr>
          <w:rFonts w:ascii="Times New Roman" w:cs="Times New Roman" w:eastAsia="Times New Roman" w:hAnsi="Times New Roman"/>
          <w:sz w:val="13"/>
          <w:szCs w:val="13"/>
          <w:color w:val="auto"/>
        </w:rPr>
        <w:t>is made on [date]</w:t>
      </w:r>
      <w:r>
        <w:rPr>
          <w:rFonts w:ascii="Times New Roman" w:cs="Times New Roman" w:eastAsia="Times New Roman" w:hAnsi="Times New Roman"/>
          <w:sz w:val="13"/>
          <w:szCs w:val="13"/>
          <w:b w:val="1"/>
          <w:bCs w:val="1"/>
          <w:color w:val="auto"/>
        </w:rPr>
        <w:t xml:space="preserve"> BETWEEN</w:t>
      </w:r>
    </w:p>
    <w:p>
      <w:pPr>
        <w:spacing w:after="0" w:line="87" w:lineRule="exact"/>
        <w:rPr>
          <w:sz w:val="20"/>
          <w:szCs w:val="20"/>
          <w:color w:val="auto"/>
        </w:rPr>
      </w:pPr>
    </w:p>
    <w:p>
      <w:pPr>
        <w:ind w:left="940" w:right="759" w:hanging="303"/>
        <w:spacing w:after="0" w:line="257" w:lineRule="auto"/>
        <w:tabs>
          <w:tab w:leader="none" w:pos="940" w:val="left"/>
        </w:tabs>
        <w:numPr>
          <w:ilvl w:val="0"/>
          <w:numId w:val="1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THERAVANCE BIOPHARMA, INC.</w:t>
      </w:r>
      <w:r>
        <w:rPr>
          <w:rFonts w:ascii="Times New Roman" w:cs="Times New Roman" w:eastAsia="Times New Roman" w:hAnsi="Times New Roman"/>
          <w:sz w:val="13"/>
          <w:szCs w:val="13"/>
          <w:color w:val="auto"/>
        </w:rPr>
        <w:t>, an exempted company with limited liability incorporated under the Laws of the Cayman Islands having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its registered office at c/o Maples Corporate Services Limited, PO Box 309, Ugland House, Grand Cayman, KY1-1104, Cayman Islands (the </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and</w:t>
      </w:r>
    </w:p>
    <w:p>
      <w:pPr>
        <w:spacing w:after="0" w:line="59" w:lineRule="exact"/>
        <w:rPr>
          <w:rFonts w:ascii="Times New Roman" w:cs="Times New Roman" w:eastAsia="Times New Roman" w:hAnsi="Times New Roman"/>
          <w:sz w:val="13"/>
          <w:szCs w:val="13"/>
          <w:b w:val="1"/>
          <w:bCs w:val="1"/>
          <w:color w:val="auto"/>
        </w:rPr>
      </w:pPr>
    </w:p>
    <w:p>
      <w:pPr>
        <w:ind w:left="940" w:right="799" w:hanging="303"/>
        <w:spacing w:after="0" w:line="257" w:lineRule="auto"/>
        <w:tabs>
          <w:tab w:leader="none" w:pos="940" w:val="left"/>
        </w:tabs>
        <w:numPr>
          <w:ilvl w:val="0"/>
          <w:numId w:val="1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ZYMEWORKS MERGER SUB 1</w:t>
      </w:r>
      <w:r>
        <w:rPr>
          <w:rFonts w:ascii="Times New Roman" w:cs="Times New Roman" w:eastAsia="Times New Roman" w:hAnsi="Times New Roman"/>
          <w:sz w:val="13"/>
          <w:szCs w:val="13"/>
          <w:color w:val="auto"/>
        </w:rPr>
        <w:t>, an exempted company with limited liability incorporated under the Laws of the Cayman Islands having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registered office at Appleby Global Services (Cayman) Limited, Suite 210, 2nd Floor, Windward III, Regatta Office Park, PO Box 500, Grand Cayman, KY1-1106, Cayman Islands (the </w:t>
      </w:r>
      <w:r>
        <w:rPr>
          <w:rFonts w:ascii="Times New Roman" w:cs="Times New Roman" w:eastAsia="Times New Roman" w:hAnsi="Times New Roman"/>
          <w:sz w:val="13"/>
          <w:szCs w:val="13"/>
          <w:u w:val="single" w:color="auto"/>
          <w:color w:val="auto"/>
        </w:rPr>
        <w:t>Merging Company</w:t>
      </w:r>
      <w:r>
        <w:rPr>
          <w:rFonts w:ascii="Times New Roman" w:cs="Times New Roman" w:eastAsia="Times New Roman" w:hAnsi="Times New Roman"/>
          <w:sz w:val="13"/>
          <w:szCs w:val="13"/>
          <w:color w:val="auto"/>
        </w:rPr>
        <w:t>), (together the Constituent Companies).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89" w:lineRule="exact"/>
        <w:rPr>
          <w:sz w:val="20"/>
          <w:szCs w:val="20"/>
          <w:color w:val="auto"/>
        </w:rPr>
      </w:pPr>
    </w:p>
    <w:p>
      <w:pPr>
        <w:ind w:left="940" w:right="799" w:hanging="303"/>
        <w:spacing w:after="0" w:line="249" w:lineRule="auto"/>
        <w:tabs>
          <w:tab w:leader="none" w:pos="940"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board of directors of the Surviving Company and the sole director of the Merging Company have approved the merger of the Constituent Companies, with the Surviving Company continuing as the surviving company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upon the terms and subject to the conditions of the agreement and plan of merger dated June 28, 2026 among Zymeworks Inc, the Surviving Company and the Merging Company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xml:space="preserve">) and this Plan of Merger and pursuant to, and in accordance with, the provisions of Part 16 of the Companies Act (as revised) of the Cayman Islands (the </w:t>
      </w:r>
      <w:r>
        <w:rPr>
          <w:rFonts w:ascii="Times New Roman" w:cs="Times New Roman" w:eastAsia="Times New Roman" w:hAnsi="Times New Roman"/>
          <w:sz w:val="13"/>
          <w:szCs w:val="13"/>
          <w:u w:val="single" w:color="auto"/>
          <w:color w:val="auto"/>
        </w:rPr>
        <w:t>Companies Act</w:t>
      </w:r>
      <w:r>
        <w:rPr>
          <w:rFonts w:ascii="Times New Roman" w:cs="Times New Roman" w:eastAsia="Times New Roman" w:hAnsi="Times New Roman"/>
          <w:sz w:val="13"/>
          <w:szCs w:val="13"/>
          <w:color w:val="auto"/>
        </w:rPr>
        <w:t>).</w:t>
      </w:r>
    </w:p>
    <w:p>
      <w:pPr>
        <w:spacing w:after="0" w:line="67" w:lineRule="exact"/>
        <w:rPr>
          <w:rFonts w:ascii="Times New Roman" w:cs="Times New Roman" w:eastAsia="Times New Roman" w:hAnsi="Times New Roman"/>
          <w:sz w:val="13"/>
          <w:szCs w:val="13"/>
          <w:b w:val="1"/>
          <w:bCs w:val="1"/>
          <w:color w:val="auto"/>
        </w:rPr>
      </w:pPr>
    </w:p>
    <w:p>
      <w:pPr>
        <w:ind w:left="940" w:right="839" w:hanging="303"/>
        <w:spacing w:after="0" w:line="267" w:lineRule="auto"/>
        <w:tabs>
          <w:tab w:leader="none" w:pos="940"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shareholders of the Surviving Company and the sole shareholder of the Merging Company have approved this Plan of Merger on the terms and subject to the conditions set forth herein and otherwise in accordance with the Companies Act.</w:t>
      </w:r>
    </w:p>
    <w:p>
      <w:pPr>
        <w:spacing w:after="0" w:line="55" w:lineRule="exact"/>
        <w:rPr>
          <w:rFonts w:ascii="Times New Roman" w:cs="Times New Roman" w:eastAsia="Times New Roman" w:hAnsi="Times New Roman"/>
          <w:sz w:val="13"/>
          <w:szCs w:val="13"/>
          <w:b w:val="1"/>
          <w:bCs w:val="1"/>
          <w:color w:val="auto"/>
        </w:rPr>
      </w:pPr>
    </w:p>
    <w:p>
      <w:pPr>
        <w:ind w:left="940" w:right="839" w:hanging="303"/>
        <w:spacing w:after="0" w:line="267" w:lineRule="auto"/>
        <w:tabs>
          <w:tab w:leader="none" w:pos="940"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of the Surviving Company and the Merging Company wishes to enter into this Plan of Merger pursuant to the provisions of Part 16 of the Companies Act.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IT IS AGREED </w:t>
      </w:r>
      <w:r>
        <w:rPr>
          <w:rFonts w:ascii="Times New Roman" w:cs="Times New Roman" w:eastAsia="Times New Roman" w:hAnsi="Times New Roman"/>
          <w:sz w:val="13"/>
          <w:szCs w:val="13"/>
          <w:color w:val="auto"/>
        </w:rPr>
        <w:t>as follows:</w:t>
      </w:r>
    </w:p>
    <w:p>
      <w:pPr>
        <w:spacing w:after="0" w:line="87" w:lineRule="exact"/>
        <w:rPr>
          <w:sz w:val="20"/>
          <w:szCs w:val="20"/>
          <w:color w:val="auto"/>
        </w:rPr>
      </w:pPr>
    </w:p>
    <w:p>
      <w:pPr>
        <w:ind w:left="940" w:hanging="303"/>
        <w:spacing w:after="0"/>
        <w:tabs>
          <w:tab w:leader="none" w:pos="940" w:val="left"/>
        </w:tabs>
        <w:numPr>
          <w:ilvl w:val="0"/>
          <w:numId w:val="1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 and Interpretation</w:t>
      </w:r>
    </w:p>
    <w:p>
      <w:pPr>
        <w:spacing w:after="0" w:line="89" w:lineRule="exact"/>
        <w:rPr>
          <w:sz w:val="20"/>
          <w:szCs w:val="20"/>
          <w:color w:val="auto"/>
        </w:rPr>
      </w:pPr>
    </w:p>
    <w:p>
      <w:pPr>
        <w:ind w:left="940" w:right="779" w:hanging="302"/>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1.1</w:t>
        <w:tab/>
        <w:t xml:space="preserve">Terms not otherwise defined in this Plan of Merger shall have the meanings given to them in the Merger Agreement, a copy of which is annexed hereto as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940" w:hanging="303"/>
        <w:spacing w:after="0"/>
        <w:tabs>
          <w:tab w:leader="none" w:pos="940" w:val="left"/>
        </w:tabs>
        <w:numPr>
          <w:ilvl w:val="0"/>
          <w:numId w:val="1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Plan of Merger</w:t>
      </w:r>
    </w:p>
    <w:p>
      <w:pPr>
        <w:spacing w:after="0" w:line="89"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2"/>
          <w:szCs w:val="12"/>
          <w:u w:val="single" w:color="auto"/>
          <w:color w:val="auto"/>
        </w:rPr>
        <w:t>Constituent Companies</w:t>
      </w:r>
    </w:p>
    <w:p>
      <w:pPr>
        <w:spacing w:after="0" w:line="87" w:lineRule="exact"/>
        <w:rPr>
          <w:sz w:val="20"/>
          <w:szCs w:val="20"/>
          <w:color w:val="auto"/>
        </w:rPr>
      </w:pPr>
    </w:p>
    <w:p>
      <w:pPr>
        <w:ind w:left="1320" w:right="1159" w:hanging="379"/>
        <w:spacing w:after="0" w:line="267" w:lineRule="auto"/>
        <w:tabs>
          <w:tab w:leader="none" w:pos="13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constituent companies (as defined in the Companies Act) to this Plan of Merger are the Surviving Company and the Merging Company.</w:t>
      </w:r>
    </w:p>
    <w:p>
      <w:pPr>
        <w:spacing w:after="0" w:line="55" w:lineRule="exact"/>
        <w:rPr>
          <w:rFonts w:ascii="Times New Roman" w:cs="Times New Roman" w:eastAsia="Times New Roman" w:hAnsi="Times New Roman"/>
          <w:sz w:val="13"/>
          <w:szCs w:val="13"/>
          <w:color w:val="auto"/>
        </w:rPr>
      </w:pPr>
    </w:p>
    <w:p>
      <w:pPr>
        <w:ind w:left="1320" w:right="1019" w:hanging="379"/>
        <w:spacing w:after="0" w:line="267" w:lineRule="auto"/>
        <w:tabs>
          <w:tab w:leader="none" w:pos="13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company (as defined in the Companies Act) is the Surviving Company, which shall continue to be named Theravance Biopharma, Inc.</w:t>
      </w:r>
    </w:p>
    <w:p>
      <w:pPr>
        <w:sectPr>
          <w:pgSz w:w="11900" w:h="16838" w:orient="portrait"/>
          <w:cols w:equalWidth="0" w:num="1">
            <w:col w:w="9019"/>
          </w:cols>
          <w:pgMar w:left="1440" w:top="229" w:right="1440" w:bottom="1440" w:gutter="0" w:footer="0" w:header="0"/>
        </w:sectPr>
      </w:pPr>
    </w:p>
    <w:bookmarkStart w:id="98" w:name="page99"/>
    <w:bookmarkEnd w:id="98"/>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2"/>
          <w:szCs w:val="12"/>
          <w:u w:val="single" w:color="auto"/>
          <w:color w:val="auto"/>
        </w:rPr>
        <w:t>Registered Office</w:t>
      </w:r>
    </w:p>
    <w:p>
      <w:pPr>
        <w:spacing w:after="0" w:line="87" w:lineRule="exact"/>
        <w:rPr>
          <w:sz w:val="20"/>
          <w:szCs w:val="20"/>
          <w:color w:val="auto"/>
        </w:rPr>
      </w:pPr>
    </w:p>
    <w:p>
      <w:pPr>
        <w:ind w:left="1320" w:hanging="379"/>
        <w:spacing w:after="0"/>
        <w:tabs>
          <w:tab w:leader="none" w:pos="132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the Effective Time:</w:t>
      </w:r>
    </w:p>
    <w:p>
      <w:pPr>
        <w:spacing w:after="0" w:line="87" w:lineRule="exact"/>
        <w:rPr>
          <w:rFonts w:ascii="Times New Roman" w:cs="Times New Roman" w:eastAsia="Times New Roman" w:hAnsi="Times New Roman"/>
          <w:sz w:val="13"/>
          <w:szCs w:val="13"/>
          <w:color w:val="auto"/>
        </w:rPr>
      </w:pPr>
    </w:p>
    <w:p>
      <w:pPr>
        <w:ind w:left="1640" w:right="859" w:hanging="311"/>
        <w:spacing w:after="0" w:line="267" w:lineRule="auto"/>
        <w:tabs>
          <w:tab w:leader="none" w:pos="1640"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Surviving Company is at c/o Maples Corporate Services Limited, PO Box 309, Ugland House, Grand Cayman, KY1-1104, Cayman Islands; and</w:t>
      </w:r>
    </w:p>
    <w:p>
      <w:pPr>
        <w:spacing w:after="0" w:line="55" w:lineRule="exact"/>
        <w:rPr>
          <w:rFonts w:ascii="Times New Roman" w:cs="Times New Roman" w:eastAsia="Times New Roman" w:hAnsi="Times New Roman"/>
          <w:sz w:val="13"/>
          <w:szCs w:val="13"/>
          <w:color w:val="auto"/>
        </w:rPr>
      </w:pPr>
    </w:p>
    <w:p>
      <w:pPr>
        <w:ind w:left="1640" w:right="1199" w:hanging="311"/>
        <w:spacing w:after="0" w:line="267" w:lineRule="auto"/>
        <w:tabs>
          <w:tab w:leader="none" w:pos="1640"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Merging Company is at c/o Appleby Global Services (Cayman) Limited, Suite 210, 2nd Floor, Windward III, Regatta Office Park, PO Box 500, Grand Cayman, KY1-1106, Cayman Islands.</w:t>
      </w:r>
    </w:p>
    <w:p>
      <w:pPr>
        <w:spacing w:after="0" w:line="5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2"/>
          <w:szCs w:val="12"/>
          <w:u w:val="single" w:color="auto"/>
          <w:color w:val="auto"/>
        </w:rPr>
        <w:t>Authorized and Issued Share Capital</w:t>
      </w:r>
    </w:p>
    <w:p>
      <w:pPr>
        <w:spacing w:after="0" w:line="87" w:lineRule="exact"/>
        <w:rPr>
          <w:sz w:val="20"/>
          <w:szCs w:val="20"/>
          <w:color w:val="auto"/>
        </w:rPr>
      </w:pPr>
    </w:p>
    <w:p>
      <w:pPr>
        <w:ind w:left="1320" w:hanging="379"/>
        <w:spacing w:after="0"/>
        <w:tabs>
          <w:tab w:leader="none" w:pos="132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the Effective Time:</w:t>
      </w:r>
    </w:p>
    <w:p>
      <w:pPr>
        <w:spacing w:after="0" w:line="87" w:lineRule="exact"/>
        <w:rPr>
          <w:rFonts w:ascii="Times New Roman" w:cs="Times New Roman" w:eastAsia="Times New Roman" w:hAnsi="Times New Roman"/>
          <w:sz w:val="13"/>
          <w:szCs w:val="13"/>
          <w:color w:val="auto"/>
        </w:rPr>
      </w:pPr>
    </w:p>
    <w:p>
      <w:pPr>
        <w:ind w:left="1640" w:right="699" w:hanging="311"/>
        <w:spacing w:after="0" w:line="267" w:lineRule="auto"/>
        <w:tabs>
          <w:tab w:leader="none" w:pos="164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share capital of the Surviving Company was US$2,002.30 divided into 200,000,000 Ordinary Shares of a nominal or par value of US$0.00001 each and 230,000 Preferred Shares of a nominal or par value of US$0.00001 each;</w:t>
      </w:r>
    </w:p>
    <w:p>
      <w:pPr>
        <w:spacing w:after="0" w:line="55" w:lineRule="exact"/>
        <w:rPr>
          <w:rFonts w:ascii="Times New Roman" w:cs="Times New Roman" w:eastAsia="Times New Roman" w:hAnsi="Times New Roman"/>
          <w:sz w:val="13"/>
          <w:szCs w:val="13"/>
          <w:color w:val="auto"/>
        </w:rPr>
      </w:pPr>
    </w:p>
    <w:p>
      <w:pPr>
        <w:ind w:left="1640" w:right="1079" w:hanging="311"/>
        <w:spacing w:after="0" w:line="267" w:lineRule="auto"/>
        <w:tabs>
          <w:tab w:leader="none" w:pos="164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Ordinary Shares were issued and outstanding, and [        ] Ordinary Shares were held by the Company in its treasury; and</w:t>
      </w:r>
    </w:p>
    <w:p>
      <w:pPr>
        <w:spacing w:after="0" w:line="55"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Preferred Shares were issued and outstanding;</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the Effective Time:</w:t>
      </w:r>
    </w:p>
    <w:p>
      <w:pPr>
        <w:spacing w:after="0" w:line="87" w:lineRule="exact"/>
        <w:rPr>
          <w:rFonts w:ascii="Times New Roman" w:cs="Times New Roman" w:eastAsia="Times New Roman" w:hAnsi="Times New Roman"/>
          <w:sz w:val="13"/>
          <w:szCs w:val="13"/>
          <w:color w:val="auto"/>
        </w:rPr>
      </w:pPr>
    </w:p>
    <w:p>
      <w:pPr>
        <w:ind w:left="1640" w:right="819" w:hanging="311"/>
        <w:spacing w:after="0" w:line="267" w:lineRule="auto"/>
        <w:tabs>
          <w:tab w:leader="none" w:pos="164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share capital of the Merging Company was $50,000.00 divided into 50,000 ordinary shares of a par value of $1.00 each; and</w:t>
      </w:r>
    </w:p>
    <w:p>
      <w:pPr>
        <w:spacing w:after="0" w:line="55"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ordinary share was issued and outstanding</w:t>
      </w:r>
    </w:p>
    <w:p>
      <w:pPr>
        <w:spacing w:after="0" w:line="87" w:lineRule="exact"/>
        <w:rPr>
          <w:rFonts w:ascii="Times New Roman" w:cs="Times New Roman" w:eastAsia="Times New Roman" w:hAnsi="Times New Roman"/>
          <w:sz w:val="13"/>
          <w:szCs w:val="13"/>
          <w:color w:val="auto"/>
        </w:rPr>
      </w:pPr>
    </w:p>
    <w:p>
      <w:pPr>
        <w:ind w:left="1320" w:right="879" w:hanging="379"/>
        <w:spacing w:after="0" w:line="255" w:lineRule="auto"/>
        <w:tabs>
          <w:tab w:leader="none" w:pos="132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the authorized share capital of the Surviving Company shall be increased from US$2,002.30 divided into 200,000,000 Ordinary Shares of a nominal or par value of US$0.00001 each and 230,000 Preferred Shares of a nominal or par value of US$0.00001 each to</w:t>
      </w:r>
    </w:p>
    <w:p>
      <w:pPr>
        <w:spacing w:after="0" w:line="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$50,000.00 divided into 50,000 ordinary shares of a nominal or par value $1.00 each,</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by:</w:t>
      </w:r>
    </w:p>
    <w:p>
      <w:pPr>
        <w:spacing w:after="0" w:line="87" w:lineRule="exact"/>
        <w:rPr>
          <w:sz w:val="20"/>
          <w:szCs w:val="20"/>
          <w:color w:val="auto"/>
        </w:rPr>
      </w:pPr>
    </w:p>
    <w:p>
      <w:pPr>
        <w:ind w:left="1640" w:right="1319" w:hanging="311"/>
        <w:spacing w:after="0" w:line="267" w:lineRule="auto"/>
        <w:tabs>
          <w:tab w:leader="none" w:pos="164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decrease in the authorized share capital by cancellation of the unissued Preferred Shares of a nominal or par value of US$0.00001 each:</w:t>
      </w:r>
    </w:p>
    <w:p>
      <w:pPr>
        <w:spacing w:after="0" w:line="46" w:lineRule="exact"/>
        <w:rPr>
          <w:rFonts w:ascii="Times New Roman" w:cs="Times New Roman" w:eastAsia="Times New Roman" w:hAnsi="Times New Roman"/>
          <w:sz w:val="13"/>
          <w:szCs w:val="13"/>
          <w:color w:val="auto"/>
        </w:rPr>
      </w:pPr>
    </w:p>
    <w:p>
      <w:pPr>
        <w:ind w:left="1640" w:right="73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US$2,002.30 divided into 200,000,000 Ordinary Shares of a nominal or par value of US$0.00001 each and 230,000 Preferred Shares of a nominal or par value of US$0.00001 each</w:t>
      </w:r>
    </w:p>
    <w:p>
      <w:pPr>
        <w:spacing w:after="0" w:line="46"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US$2,000.00 divided into 200,000,000 Ordinary Shares of a nominal or par value of US$0.00001 each;</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consolidation of the authorized Ordinary Shares:</w:t>
      </w:r>
    </w:p>
    <w:p>
      <w:pPr>
        <w:spacing w:after="0" w:line="77" w:lineRule="exact"/>
        <w:rPr>
          <w:rFonts w:ascii="Times New Roman" w:cs="Times New Roman" w:eastAsia="Times New Roman" w:hAnsi="Times New Roman"/>
          <w:sz w:val="13"/>
          <w:szCs w:val="13"/>
          <w:color w:val="auto"/>
        </w:rPr>
      </w:pPr>
    </w:p>
    <w:p>
      <w:pPr>
        <w:ind w:left="1640" w:right="1899"/>
        <w:spacing w:after="0" w:line="3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US$2,000.00 divided into 200,000,000 Ordinary Shares of a nominal or par value of US$0.00001 each to US$2,000.00 divided into 2,000 Ordinary Shares of a nominal or par value of US$1.00 each;</w:t>
      </w:r>
    </w:p>
    <w:p>
      <w:pPr>
        <w:ind w:left="1640" w:right="959" w:hanging="311"/>
        <w:spacing w:after="0" w:line="267" w:lineRule="auto"/>
        <w:tabs>
          <w:tab w:leader="none" w:pos="164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increase in the authorized share capital by the creation of an additional 48,000 Ordinary Shares of a nominal or par value of US$1.00 each:</w:t>
      </w:r>
    </w:p>
    <w:p>
      <w:pPr>
        <w:spacing w:after="0" w:line="46"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US$2,000.00 divided into 2,000 Ordinary Shares of a nominal or par value of US$1.00 each</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US$50,000.00 divided into 50,000 Ordinary Shares of a nominal or par value of US$1.00 each; and</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redesignation of the authorized share capital:</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US$50,000.00 divided into 50,000 Ordinary Shares of a nominal or par value of US$1.00 each</w:t>
      </w:r>
    </w:p>
    <w:p>
      <w:pPr>
        <w:spacing w:after="0" w:line="77" w:lineRule="exact"/>
        <w:rPr>
          <w:rFonts w:ascii="Times New Roman" w:cs="Times New Roman" w:eastAsia="Times New Roman" w:hAnsi="Times New Roman"/>
          <w:sz w:val="13"/>
          <w:szCs w:val="13"/>
          <w:color w:val="auto"/>
        </w:rPr>
      </w:pPr>
    </w:p>
    <w:p>
      <w:pPr>
        <w:ind w:left="1640" w:right="73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US$50,000.00 ordinary shares of a nominal or par value of US$1.00 each, having the rights and subject to the restrictions set out in the M&amp;A (as defined below).</w:t>
      </w:r>
    </w:p>
    <w:p>
      <w:pPr>
        <w:spacing w:after="0" w:line="5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2"/>
          <w:szCs w:val="12"/>
          <w:u w:val="single" w:color="auto"/>
          <w:color w:val="auto"/>
        </w:rPr>
        <w:t>Effective Time</w:t>
      </w:r>
    </w:p>
    <w:p>
      <w:pPr>
        <w:spacing w:after="0" w:line="78" w:lineRule="exact"/>
        <w:rPr>
          <w:sz w:val="20"/>
          <w:szCs w:val="20"/>
          <w:color w:val="auto"/>
        </w:rPr>
      </w:pPr>
    </w:p>
    <w:p>
      <w:pPr>
        <w:ind w:left="940" w:right="739"/>
        <w:spacing w:after="0" w:line="251" w:lineRule="auto"/>
        <w:rPr>
          <w:sz w:val="20"/>
          <w:szCs w:val="20"/>
          <w:color w:val="auto"/>
        </w:rPr>
      </w:pPr>
      <w:r>
        <w:rPr>
          <w:rFonts w:ascii="Times New Roman" w:cs="Times New Roman" w:eastAsia="Times New Roman" w:hAnsi="Times New Roman"/>
          <w:sz w:val="13"/>
          <w:szCs w:val="13"/>
          <w:color w:val="auto"/>
        </w:rPr>
        <w:t xml:space="preserve">In accordance with section 233(13) of the Companies Act, the Merger shall be effective on the date that this Plan of Merger is registered by the Registrar, unless the Constituent Companies shall deliver a notice to the Registrar signed by a director of each Constituent Company specifying a later date in accordance with section 234 of the Companies Act in which case the Merger shall be effective on the date specified in such notice to the Registrar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99" w:name="page100"/>
    <w:bookmarkEnd w:id="99"/>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2"/>
          <w:szCs w:val="12"/>
          <w:u w:val="single" w:color="auto"/>
          <w:color w:val="auto"/>
        </w:rPr>
        <w:t>Terms and Conditions</w:t>
      </w:r>
    </w:p>
    <w:p>
      <w:pPr>
        <w:spacing w:after="0" w:line="78"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The terms and conditions of the Merger, including the manner and basis of converting shares in each Constituent Company into shares in the Surviving Company or into other property, are set out in the Merger Agreement.</w:t>
      </w:r>
    </w:p>
    <w:p>
      <w:pPr>
        <w:spacing w:after="0" w:line="5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2"/>
          <w:szCs w:val="12"/>
          <w:u w:val="single" w:color="auto"/>
          <w:color w:val="auto"/>
        </w:rPr>
        <w:t>Registered Office and Share Rights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From the Effective Time:</w:t>
      </w:r>
    </w:p>
    <w:p>
      <w:pPr>
        <w:spacing w:after="0" w:line="87" w:lineRule="exact"/>
        <w:rPr>
          <w:sz w:val="20"/>
          <w:szCs w:val="20"/>
          <w:color w:val="auto"/>
        </w:rPr>
      </w:pPr>
    </w:p>
    <w:p>
      <w:pPr>
        <w:ind w:left="1320" w:right="1139" w:hanging="379"/>
        <w:spacing w:after="0" w:line="267" w:lineRule="auto"/>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Surviving Company shall be at c/o Appleby Global Services (Cayman) Limited, Suite 210, 2nd Floor, Windward III, Regatta Office Park, PO Box 500, Grand Cayman, KY1-1106, Cayman Islands;</w:t>
      </w:r>
    </w:p>
    <w:p>
      <w:pPr>
        <w:spacing w:after="0" w:line="55" w:lineRule="exact"/>
        <w:rPr>
          <w:rFonts w:ascii="Times New Roman" w:cs="Times New Roman" w:eastAsia="Times New Roman" w:hAnsi="Times New Roman"/>
          <w:sz w:val="13"/>
          <w:szCs w:val="13"/>
          <w:color w:val="auto"/>
        </w:rPr>
      </w:pPr>
    </w:p>
    <w:p>
      <w:pPr>
        <w:ind w:left="1320" w:right="779" w:hanging="379"/>
        <w:spacing w:after="0" w:line="255" w:lineRule="auto"/>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memorandum of association and the articles of association of the Surviving Company shall be amended and restated by their deletion in their entirety and the substitution in their place of the amended and restated memorandum and articles of association in the form annexed hereto as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M&amp;A</w:t>
      </w:r>
      <w:r>
        <w:rPr>
          <w:rFonts w:ascii="Times New Roman" w:cs="Times New Roman" w:eastAsia="Times New Roman" w:hAnsi="Times New Roman"/>
          <w:sz w:val="13"/>
          <w:szCs w:val="13"/>
          <w:color w:val="auto"/>
        </w:rPr>
        <w:t>); and</w:t>
      </w:r>
    </w:p>
    <w:p>
      <w:pPr>
        <w:spacing w:after="0" w:line="63"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and restrictions attaching to the shares in the Surviving Company shall be as set out in the M&amp;A.</w:t>
      </w:r>
    </w:p>
    <w:p>
      <w:pPr>
        <w:spacing w:after="0" w:line="87"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2"/>
          <w:szCs w:val="12"/>
          <w:u w:val="single" w:color="auto"/>
          <w:color w:val="auto"/>
        </w:rPr>
        <w:t>Property</w:t>
      </w:r>
    </w:p>
    <w:p>
      <w:pPr>
        <w:spacing w:after="0" w:line="78" w:lineRule="exact"/>
        <w:rPr>
          <w:sz w:val="20"/>
          <w:szCs w:val="20"/>
          <w:color w:val="auto"/>
        </w:rPr>
      </w:pPr>
    </w:p>
    <w:p>
      <w:pPr>
        <w:ind w:left="940" w:right="819"/>
        <w:spacing w:after="0" w:line="251" w:lineRule="auto"/>
        <w:rPr>
          <w:sz w:val="20"/>
          <w:szCs w:val="20"/>
          <w:color w:val="auto"/>
        </w:rPr>
      </w:pPr>
      <w:r>
        <w:rPr>
          <w:rFonts w:ascii="Times New Roman" w:cs="Times New Roman" w:eastAsia="Times New Roman" w:hAnsi="Times New Roman"/>
          <w:sz w:val="13"/>
          <w:szCs w:val="13"/>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each of the Constituent Companies, to all mortgages, charges, or security interests and all contracts, obligations, claims, debts and liabilities of each of the Constituent Companies.</w:t>
      </w:r>
    </w:p>
    <w:p>
      <w:pPr>
        <w:spacing w:after="0" w:line="6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2"/>
          <w:szCs w:val="12"/>
          <w:u w:val="single" w:color="auto"/>
          <w:color w:val="auto"/>
        </w:rPr>
        <w:t>Directors’ Interests in the Merger</w:t>
      </w:r>
    </w:p>
    <w:p>
      <w:pPr>
        <w:spacing w:after="0" w:line="87" w:lineRule="exact"/>
        <w:rPr>
          <w:sz w:val="20"/>
          <w:szCs w:val="20"/>
          <w:color w:val="auto"/>
        </w:rPr>
      </w:pPr>
    </w:p>
    <w:p>
      <w:pPr>
        <w:ind w:left="1320" w:hanging="379"/>
        <w:spacing w:after="0"/>
        <w:tabs>
          <w:tab w:leader="none" w:pos="13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names and addresses of the Director(s) of the Surviving Company after the Merger becomes effective are as follows:</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of [address]; and</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of [address].</w:t>
      </w:r>
    </w:p>
    <w:p>
      <w:pPr>
        <w:spacing w:after="0" w:line="87" w:lineRule="exact"/>
        <w:rPr>
          <w:rFonts w:ascii="Times New Roman" w:cs="Times New Roman" w:eastAsia="Times New Roman" w:hAnsi="Times New Roman"/>
          <w:sz w:val="13"/>
          <w:szCs w:val="13"/>
          <w:color w:val="auto"/>
        </w:rPr>
      </w:pPr>
    </w:p>
    <w:p>
      <w:pPr>
        <w:ind w:left="1320" w:right="759" w:hanging="379"/>
        <w:spacing w:after="0" w:line="267" w:lineRule="auto"/>
        <w:tabs>
          <w:tab w:leader="none" w:pos="13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amounts or benefits are or will be paid or become payable to any director of either of the Constituent Companies consequent upon the Merger.</w:t>
      </w:r>
    </w:p>
    <w:p>
      <w:pPr>
        <w:spacing w:after="0" w:line="5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2"/>
          <w:szCs w:val="12"/>
          <w:u w:val="single" w:color="auto"/>
          <w:color w:val="auto"/>
        </w:rPr>
        <w:t>Secured Creditors</w:t>
      </w:r>
    </w:p>
    <w:p>
      <w:pPr>
        <w:spacing w:after="0" w:line="87" w:lineRule="exact"/>
        <w:rPr>
          <w:sz w:val="20"/>
          <w:szCs w:val="20"/>
          <w:color w:val="auto"/>
        </w:rPr>
      </w:pPr>
    </w:p>
    <w:p>
      <w:pPr>
        <w:ind w:left="1320" w:right="699" w:hanging="379"/>
        <w:spacing w:after="0" w:line="267" w:lineRule="auto"/>
        <w:tabs>
          <w:tab w:leader="none" w:pos="132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Merging Company has no secured creditors and has granted no fixed or floating security interests that are outstanding as at the date of this Plan of Merger.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0" w:name="page101"/>
    <w:bookmarkEnd w:id="100"/>
    <w:p>
      <w:pPr>
        <w:ind w:left="1320" w:right="759" w:hanging="379"/>
        <w:spacing w:after="0" w:line="267" w:lineRule="auto"/>
        <w:tabs>
          <w:tab w:leader="none" w:pos="1320"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Surviving Company has no secured creditors and has granted no fixed or floating security interests that are outstanding as at the date of this Plan of Merger.</w:t>
      </w:r>
    </w:p>
    <w:p>
      <w:pPr>
        <w:spacing w:after="0" w:line="224"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Approvals</w:t>
      </w:r>
    </w:p>
    <w:p>
      <w:pPr>
        <w:spacing w:after="0" w:line="89" w:lineRule="exact"/>
        <w:rPr>
          <w:sz w:val="20"/>
          <w:szCs w:val="20"/>
          <w:color w:val="auto"/>
        </w:rPr>
      </w:pPr>
    </w:p>
    <w:p>
      <w:pPr>
        <w:ind w:left="940" w:right="1119" w:hanging="302"/>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3.1</w:t>
        <w:tab/>
        <w:t>This Plan of Merger has been approved by the Boards of Directors of both of the Constituent Companies pursuant to section 233(3) of the Companies Act.</w:t>
      </w:r>
    </w:p>
    <w:p>
      <w:pPr>
        <w:spacing w:after="0" w:line="56" w:lineRule="exact"/>
        <w:rPr>
          <w:sz w:val="20"/>
          <w:szCs w:val="20"/>
          <w:color w:val="auto"/>
        </w:rPr>
      </w:pPr>
    </w:p>
    <w:p>
      <w:pPr>
        <w:jc w:val="both"/>
        <w:ind w:left="940" w:right="799" w:hanging="302"/>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3.2</w:t>
        <w:tab/>
        <w:t>This Plan of Merger has been authorized by the shareholders of both of the Constituent Companies pursuant to section 233(6) of the Companies Act.</w:t>
      </w:r>
    </w:p>
    <w:p>
      <w:pPr>
        <w:spacing w:after="0" w:line="56" w:lineRule="exact"/>
        <w:rPr>
          <w:sz w:val="20"/>
          <w:szCs w:val="20"/>
          <w:color w:val="auto"/>
        </w:rPr>
      </w:pPr>
    </w:p>
    <w:p>
      <w:pPr>
        <w:jc w:val="both"/>
        <w:ind w:left="940" w:right="779" w:hanging="302"/>
        <w:spacing w:after="0" w:line="286" w:lineRule="auto"/>
        <w:tabs>
          <w:tab w:leader="none" w:pos="92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2"/>
          <w:szCs w:val="12"/>
          <w:color w:val="auto"/>
        </w:rPr>
        <w:t>Each of the Constituent Companies agrees and undertakes with the other that it will, and will procure that one of its Directors will, give, execute and file with the Registrar of Companies of the Cayman Islands such certificates, documents, declarations, undertakings and confirmations, and pay such fees, as may be required to be filed pursuant to section 233 of the Companies Act in order to consummate the Merger.</w:t>
      </w:r>
    </w:p>
    <w:p>
      <w:pPr>
        <w:spacing w:after="0" w:line="215" w:lineRule="exact"/>
        <w:rPr>
          <w:sz w:val="20"/>
          <w:szCs w:val="20"/>
          <w:color w:val="auto"/>
        </w:rPr>
      </w:pPr>
    </w:p>
    <w:p>
      <w:pPr>
        <w:ind w:left="940" w:hanging="303"/>
        <w:spacing w:after="0"/>
        <w:tabs>
          <w:tab w:leader="none" w:pos="940"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Termination and Amendment</w:t>
      </w:r>
    </w:p>
    <w:p>
      <w:pPr>
        <w:spacing w:after="0" w:line="89" w:lineRule="exact"/>
        <w:rPr>
          <w:sz w:val="20"/>
          <w:szCs w:val="20"/>
          <w:color w:val="auto"/>
        </w:rPr>
      </w:pPr>
    </w:p>
    <w:p>
      <w:pPr>
        <w:ind w:left="940" w:right="1259" w:hanging="302"/>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4.1</w:t>
        <w:tab/>
        <w:t>At any time prior to the Effective Time, this Plan of Merger may be terminated or amended in accordance with the terms of the Merger Agreement.</w:t>
      </w:r>
    </w:p>
    <w:p>
      <w:pPr>
        <w:spacing w:after="0" w:line="56"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2"/>
          <w:szCs w:val="12"/>
          <w:color w:val="auto"/>
        </w:rPr>
        <w:t>This Plan of Merger may be amended by the Board of Directors of both of the Constituent Companies to:</w:t>
      </w:r>
    </w:p>
    <w:p>
      <w:pPr>
        <w:spacing w:after="0" w:line="87" w:lineRule="exact"/>
        <w:rPr>
          <w:sz w:val="20"/>
          <w:szCs w:val="20"/>
          <w:color w:val="auto"/>
        </w:rPr>
      </w:pPr>
    </w:p>
    <w:p>
      <w:pPr>
        <w:ind w:left="1320" w:right="819" w:hanging="379"/>
        <w:spacing w:after="0" w:line="267" w:lineRule="auto"/>
        <w:tabs>
          <w:tab w:leader="none" w:pos="1320"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Effective Time provided that such changed date shall not be a date later than the ninetieth day after the date of registration of this Plan of Merger with the Registrar; and/or</w:t>
      </w:r>
    </w:p>
    <w:p>
      <w:pPr>
        <w:spacing w:after="0" w:line="55" w:lineRule="exact"/>
        <w:rPr>
          <w:rFonts w:ascii="Times New Roman" w:cs="Times New Roman" w:eastAsia="Times New Roman" w:hAnsi="Times New Roman"/>
          <w:sz w:val="13"/>
          <w:szCs w:val="13"/>
          <w:color w:val="auto"/>
        </w:rPr>
      </w:pPr>
    </w:p>
    <w:p>
      <w:pPr>
        <w:ind w:left="1320" w:right="679" w:hanging="379"/>
        <w:spacing w:after="0" w:line="255" w:lineRule="auto"/>
        <w:tabs>
          <w:tab w:leader="none" w:pos="1320"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effect any other changes to this Plan of Merger which the directors of both of the Constituent Companies deem advisable;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changes do not materially adversely affect any rights of the shareholders of either of the Constituent Companies, as determined by the directors of the respective Constituent Companies.</w:t>
      </w:r>
    </w:p>
    <w:p>
      <w:pPr>
        <w:spacing w:after="0" w:line="23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Counterparts</w:t>
      </w:r>
    </w:p>
    <w:p>
      <w:pPr>
        <w:spacing w:after="0" w:line="89" w:lineRule="exact"/>
        <w:rPr>
          <w:sz w:val="20"/>
          <w:szCs w:val="20"/>
          <w:color w:val="auto"/>
        </w:rPr>
      </w:pPr>
    </w:p>
    <w:p>
      <w:pPr>
        <w:ind w:left="940" w:right="659" w:hanging="302"/>
        <w:spacing w:after="0" w:line="255" w:lineRule="auto"/>
        <w:tabs>
          <w:tab w:leader="none" w:pos="920" w:val="left"/>
        </w:tabs>
        <w:rPr>
          <w:sz w:val="20"/>
          <w:szCs w:val="20"/>
          <w:color w:val="auto"/>
        </w:rPr>
      </w:pPr>
      <w:r>
        <w:rPr>
          <w:rFonts w:ascii="Times New Roman" w:cs="Times New Roman" w:eastAsia="Times New Roman" w:hAnsi="Times New Roman"/>
          <w:sz w:val="13"/>
          <w:szCs w:val="13"/>
          <w:color w:val="auto"/>
        </w:rPr>
        <w:t>5.1</w:t>
        <w:tab/>
        <w:t>This Plan of Merger may be executed in any number of counterparts, all of which taken together shall constitute one and the same instrument. Any party may enter into this Plan of Merger by executing any such counterpart. Delivery of an executed counterpart of this Plan of Merger by email (PDF) or facsimile shall be effective as delivery of a manually executed counterpart of this Plan of Merger.</w:t>
      </w:r>
    </w:p>
    <w:p>
      <w:pPr>
        <w:spacing w:after="0" w:line="232" w:lineRule="exact"/>
        <w:rPr>
          <w:sz w:val="20"/>
          <w:szCs w:val="20"/>
          <w:color w:val="auto"/>
        </w:rPr>
      </w:pPr>
    </w:p>
    <w:p>
      <w:pPr>
        <w:ind w:left="940" w:hanging="303"/>
        <w:spacing w:after="0"/>
        <w:tabs>
          <w:tab w:leader="none" w:pos="940" w:val="left"/>
        </w:tabs>
        <w:numPr>
          <w:ilvl w:val="0"/>
          <w:numId w:val="1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Governing Law</w:t>
      </w:r>
    </w:p>
    <w:p>
      <w:pPr>
        <w:spacing w:after="0" w:line="89" w:lineRule="exact"/>
        <w:rPr>
          <w:sz w:val="20"/>
          <w:szCs w:val="20"/>
          <w:color w:val="auto"/>
        </w:rPr>
      </w:pPr>
    </w:p>
    <w:p>
      <w:pPr>
        <w:ind w:left="940" w:right="919" w:hanging="302"/>
        <w:spacing w:after="0" w:line="267" w:lineRule="auto"/>
        <w:tabs>
          <w:tab w:leader="none" w:pos="920" w:val="left"/>
        </w:tabs>
        <w:rPr>
          <w:sz w:val="20"/>
          <w:szCs w:val="20"/>
          <w:color w:val="auto"/>
        </w:rPr>
      </w:pPr>
      <w:r>
        <w:rPr>
          <w:rFonts w:ascii="Times New Roman" w:cs="Times New Roman" w:eastAsia="Times New Roman" w:hAnsi="Times New Roman"/>
          <w:sz w:val="13"/>
          <w:szCs w:val="13"/>
          <w:color w:val="auto"/>
        </w:rPr>
        <w:t>6.1</w:t>
        <w:tab/>
        <w:t>This Plan of Merger and the rights and obligations of the parties hereto shall be governed by and construed in accordance with the laws of the Cayman Islands.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01" w:name="page102"/>
    <w:bookmarkEnd w:id="101"/>
    <w:p>
      <w:pPr>
        <w:jc w:val="both"/>
        <w:ind w:left="940" w:right="739" w:hanging="302"/>
        <w:spacing w:after="0" w:line="255" w:lineRule="auto"/>
        <w:tabs>
          <w:tab w:leader="none" w:pos="92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6.2</w:t>
        <w:tab/>
        <w:t>Each of the parties agrees that the courts of the Cayman Islands shall have jurisdiction to hear and determine any action or proceeding arising out of or in connection with this Plan of Merger only, and any non-contractual obligations arising out of or in connection with it, and for that purpose each party irrevocably submits to the jurisdiction of the courts of the Cayman Islands.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t>
      </w:r>
      <w:r>
        <w:rPr>
          <w:rFonts w:ascii="Times New Roman" w:cs="Times New Roman" w:eastAsia="Times New Roman" w:hAnsi="Times New Roman"/>
          <w:sz w:val="13"/>
          <w:szCs w:val="13"/>
          <w:color w:val="auto"/>
        </w:rPr>
        <w:t>whereof this Plan of Merger has been entered into by the parties on the day and year first above written.</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Name:                             </w:t>
            </w: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2"/>
                <w:szCs w:val="12"/>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45"/>
        </w:trPr>
        <w:tc>
          <w:tcPr>
            <w:tcW w:w="15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Executed for and on behalf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right"/>
              <w:ind w:right="677"/>
              <w:spacing w:after="0" w:line="146" w:lineRule="exact"/>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2"/>
                <w:szCs w:val="12"/>
                <w:color w:val="auto"/>
              </w:rPr>
            </w:pPr>
          </w:p>
        </w:tc>
      </w:tr>
      <w:tr>
        <w:trPr>
          <w:trHeight w:val="154"/>
        </w:trPr>
        <w:tc>
          <w:tcPr>
            <w:tcW w:w="20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7"/>
              </w:rPr>
              <w:t>THERAVANCE BIOPHARMA, INC.</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3"/>
                <w:szCs w:val="13"/>
                <w:color w:val="auto"/>
              </w:rPr>
            </w:pPr>
          </w:p>
        </w:tc>
      </w:tr>
      <w:tr>
        <w:trPr>
          <w:trHeight w:val="161"/>
        </w:trPr>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4"/>
                <w:szCs w:val="14"/>
                <w:color w:val="auto"/>
              </w:rPr>
            </w:pPr>
          </w:p>
        </w:tc>
      </w:tr>
      <w:tr>
        <w:trPr>
          <w:trHeight w:val="164"/>
        </w:trPr>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Borders>
              <w:bottom w:val="single" w:sz="8" w:color="auto"/>
            </w:tcBorders>
          </w:tcPr>
          <w:p>
            <w:pPr>
              <w:spacing w:after="0"/>
              <w:rPr>
                <w:sz w:val="14"/>
                <w:szCs w:val="14"/>
                <w:color w:val="auto"/>
              </w:rPr>
            </w:pPr>
          </w:p>
        </w:tc>
      </w:tr>
      <w:tr>
        <w:trPr>
          <w:trHeight w:val="154"/>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 its director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r>
        <w:trPr>
          <w:trHeight w:val="27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Name:                             </w:t>
            </w: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23"/>
                <w:szCs w:val="23"/>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45"/>
        </w:trPr>
        <w:tc>
          <w:tcPr>
            <w:tcW w:w="15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Executed for and on behalf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right"/>
              <w:ind w:right="677"/>
              <w:spacing w:after="0" w:line="146" w:lineRule="exact"/>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2"/>
                <w:szCs w:val="12"/>
                <w:color w:val="auto"/>
              </w:rPr>
            </w:pPr>
          </w:p>
        </w:tc>
      </w:tr>
      <w:tr>
        <w:trPr>
          <w:trHeight w:val="154"/>
        </w:trPr>
        <w:tc>
          <w:tcPr>
            <w:tcW w:w="1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ZYMEWORKS MERGER SUB 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3"/>
                <w:szCs w:val="13"/>
                <w:color w:val="auto"/>
              </w:rPr>
            </w:pPr>
          </w:p>
        </w:tc>
      </w:tr>
      <w:tr>
        <w:trPr>
          <w:trHeight w:val="152"/>
        </w:trPr>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13"/>
                <w:szCs w:val="13"/>
                <w:color w:val="auto"/>
              </w:rPr>
            </w:pPr>
          </w:p>
        </w:tc>
      </w:tr>
      <w:tr>
        <w:trPr>
          <w:trHeight w:val="164"/>
        </w:trPr>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Borders>
              <w:bottom w:val="single" w:sz="8" w:color="auto"/>
            </w:tcBorders>
          </w:tcPr>
          <w:p>
            <w:pPr>
              <w:spacing w:after="0"/>
              <w:rPr>
                <w:sz w:val="14"/>
                <w:szCs w:val="14"/>
                <w:color w:val="auto"/>
              </w:rPr>
            </w:pPr>
          </w:p>
        </w:tc>
      </w:tr>
      <w:tr>
        <w:trPr>
          <w:trHeight w:val="154"/>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 its director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Plan of Merger]</w:t>
      </w:r>
    </w:p>
    <w:p>
      <w:pPr>
        <w:sectPr>
          <w:pgSz w:w="11900" w:h="16838" w:orient="portrait"/>
          <w:cols w:equalWidth="0" w:num="1">
            <w:col w:w="9019"/>
          </w:cols>
          <w:pgMar w:left="1440" w:top="229"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 Merger Agreement</w:t>
      </w:r>
    </w:p>
    <w:p>
      <w:pPr>
        <w:sectPr>
          <w:pgSz w:w="11900" w:h="16838" w:orient="portrait"/>
          <w:cols w:equalWidth="0" w:num="1">
            <w:col w:w="9019"/>
          </w:cols>
          <w:pgMar w:left="1440" w:top="229"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Schedule 1 - 1</w:t>
      </w:r>
    </w:p>
    <w:p>
      <w:pPr>
        <w:sectPr>
          <w:pgSz w:w="11900" w:h="16838" w:orient="portrait"/>
          <w:cols w:equalWidth="0" w:num="1">
            <w:col w:w="9019"/>
          </w:cols>
          <w:pgMar w:left="1440" w:top="229" w:right="1440"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 Memorandum and Articles of Association of the Surviving Company</w:t>
      </w:r>
    </w:p>
    <w:p>
      <w:pPr>
        <w:sectPr>
          <w:pgSz w:w="11900" w:h="16838" w:orient="portrait"/>
          <w:cols w:equalWidth="0" w:num="1">
            <w:col w:w="9019"/>
          </w:cols>
          <w:pgMar w:left="1440" w:top="229"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Schedule 2 – 1</w:t>
      </w:r>
    </w:p>
    <w:p>
      <w:pPr>
        <w:sectPr>
          <w:pgSz w:w="11900" w:h="16838" w:orient="portrait"/>
          <w:cols w:equalWidth="0" w:num="1">
            <w:col w:w="9019"/>
          </w:cols>
          <w:pgMar w:left="1440" w:top="229" w:right="1440" w:bottom="1440" w:gutter="0" w:footer="0" w:header="0"/>
          <w:type w:val="continuous"/>
        </w:sectPr>
      </w:pPr>
    </w:p>
    <w:bookmarkStart w:id="105" w:name="page106"/>
    <w:bookmarkEnd w:id="10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FINANCING REORGANIZATION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intentionally omitted</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06" w:name="page107"/>
    <w:bookmarkEnd w:id="10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CONTINGENT VALUE RIGHTS AGREEMENT</w:t>
      </w:r>
    </w:p>
    <w:p>
      <w:pPr>
        <w:sectPr>
          <w:pgSz w:w="11900" w:h="16838" w:orient="portrait"/>
          <w:cols w:equalWidth="0" w:num="1">
            <w:col w:w="9019"/>
          </w:cols>
          <w:pgMar w:left="1440" w:top="125" w:right="1440" w:bottom="1440" w:gutter="0" w:footer="0" w:header="0"/>
        </w:sectPr>
      </w:pPr>
    </w:p>
    <w:p>
      <w:pPr>
        <w:spacing w:after="0" w:line="167" w:lineRule="exact"/>
        <w:rPr>
          <w:sz w:val="20"/>
          <w:szCs w:val="20"/>
          <w:color w:val="auto"/>
        </w:rPr>
      </w:pPr>
    </w:p>
    <w:p>
      <w:pPr>
        <w:ind w:left="640" w:firstLine="309"/>
        <w:spacing w:after="0" w:line="267" w:lineRule="auto"/>
        <w:rPr>
          <w:sz w:val="20"/>
          <w:szCs w:val="20"/>
          <w:color w:val="auto"/>
        </w:rPr>
      </w:pPr>
      <w:r>
        <w:rPr>
          <w:rFonts w:ascii="Times New Roman" w:cs="Times New Roman" w:eastAsia="Times New Roman" w:hAnsi="Times New Roman"/>
          <w:sz w:val="13"/>
          <w:szCs w:val="13"/>
          <w:color w:val="auto"/>
        </w:rPr>
        <w:t>THIS CONTINGENT VALUE RIGHTS AGREEMENT, dated as of [      Zymeworks Inc., a Delaware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xml:space="preserve">”), and [        ], a [ 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8" w:right="919" w:firstLine="48"/>
        <w:spacing w:after="0" w:line="359" w:lineRule="auto"/>
        <w:tabs>
          <w:tab w:leader="none" w:pos="118"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202[  ] (this “</w:t>
      </w:r>
      <w:r>
        <w:rPr>
          <w:rFonts w:ascii="Times New Roman" w:cs="Times New Roman" w:eastAsia="Times New Roman" w:hAnsi="Times New Roman"/>
          <w:sz w:val="11"/>
          <w:szCs w:val="11"/>
          <w:u w:val="single" w:color="auto"/>
          <w:color w:val="auto"/>
        </w:rPr>
        <w:t>Agreement</w:t>
      </w:r>
      <w:r>
        <w:rPr>
          <w:rFonts w:ascii="Times New Roman" w:cs="Times New Roman" w:eastAsia="Times New Roman" w:hAnsi="Times New Roman"/>
          <w:sz w:val="11"/>
          <w:szCs w:val="11"/>
          <w:color w:val="auto"/>
        </w:rPr>
        <w:t>”), is entered into by and between ], as Rights Agent.</w:t>
      </w:r>
    </w:p>
    <w:p>
      <w:pPr>
        <w:spacing w:after="0" w:line="200" w:lineRule="exact"/>
        <w:rPr>
          <w:sz w:val="20"/>
          <w:szCs w:val="20"/>
          <w:color w:val="auto"/>
        </w:rPr>
      </w:pPr>
    </w:p>
    <w:p>
      <w:pPr>
        <w:sectPr>
          <w:pgSz w:w="11900" w:h="16838" w:orient="portrait"/>
          <w:cols w:equalWidth="0" w:num="2">
            <w:col w:w="4780" w:space="88"/>
            <w:col w:w="4152"/>
          </w:cols>
          <w:pgMar w:left="1440" w:top="125" w:right="1440" w:bottom="1440" w:gutter="0" w:footer="0" w:header="0"/>
          <w:type w:val="continuous"/>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WHEREAS, Parent, Theravance Biopharma, Inc., an exempted company with limited liability incorporated under the laws of the Cayman Islands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Zymeworks Merger Sub I, an exempted company with limited liability incorporated under the laws of the Cayman Islands and a wholly owned subsidiary of Parent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the Agreement and Plan of Merger, dated as of June 28, 2026 (as it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Merger Sub will merge with and into the Company with the Company surviving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as a wholly owned subsidiary of Parent, on the terms and subject to the conditions set forth therein; and</w:t>
      </w:r>
    </w:p>
    <w:p>
      <w:pPr>
        <w:spacing w:after="0" w:line="135"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w:t>
      </w:r>
    </w:p>
    <w:p>
      <w:pPr>
        <w:spacing w:after="0" w:line="134"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consummation of the transactions referred to above, Parent and Rights Agent agree, for the equal and proportionate benefit of all Holders (as hereinafter defined),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 CERTAIN RULES OF CONSTRUCTION</w:t>
      </w:r>
    </w:p>
    <w:p>
      <w:pPr>
        <w:spacing w:after="0" w:line="15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Capitalized terms used in and not otherwise defined in this Agreement will have the meanings given to such terms in the Merger Agreement. As used in this Agreement, the capitalized terms below have the following meanings:</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Acting Holders</w:t>
      </w:r>
      <w:r>
        <w:rPr>
          <w:rFonts w:ascii="Times New Roman" w:cs="Times New Roman" w:eastAsia="Times New Roman" w:hAnsi="Times New Roman"/>
          <w:sz w:val="12"/>
          <w:szCs w:val="12"/>
          <w:color w:val="auto"/>
        </w:rPr>
        <w:t>” means, at the time of determination, Holders of not less than a majority of the outstanding CVRs, as set out in the CVR Register.</w:t>
      </w:r>
    </w:p>
    <w:p>
      <w:pPr>
        <w:spacing w:after="0" w:line="165"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with respect to any Person, any other Person that is directly or indirectly, controlling, controlled by, or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w:t>
      </w:r>
    </w:p>
    <w:p>
      <w:pPr>
        <w:sectPr>
          <w:pgSz w:w="11900" w:h="16838" w:orient="portrait"/>
          <w:cols w:equalWidth="0" w:num="1">
            <w:col w:w="9019"/>
          </w:cols>
          <w:pgMar w:left="1440" w:top="125" w:right="1440" w:bottom="1440" w:gutter="0" w:footer="0" w:header="0"/>
          <w:type w:val="continuous"/>
        </w:sectPr>
      </w:pPr>
    </w:p>
    <w:bookmarkStart w:id="107" w:name="page108"/>
    <w:bookmarkEnd w:id="10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or Sunday and other than a day on which banks are required or authorized to close in the Cayman Islands, San Francisco, California or Ireland.</w:t>
      </w:r>
    </w:p>
    <w:p>
      <w:pPr>
        <w:spacing w:after="0" w:line="122"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one transaction or a series of related transactions, or the (c) acquisition of beneficial ownership by any Person or group of more than fifty percent (50%) of the outstanding voting securities of such Person.</w:t>
      </w:r>
    </w:p>
    <w:p>
      <w:pPr>
        <w:spacing w:after="0" w:line="119"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w:t>
      </w:r>
      <w:r>
        <w:rPr>
          <w:rFonts w:ascii="Times New Roman" w:cs="Times New Roman" w:eastAsia="Times New Roman" w:hAnsi="Times New Roman"/>
          <w:sz w:val="13"/>
          <w:szCs w:val="13"/>
          <w:color w:val="auto"/>
        </w:rPr>
        <w:t>”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CVRs</w:t>
      </w:r>
      <w:r>
        <w:rPr>
          <w:rFonts w:ascii="Times New Roman" w:cs="Times New Roman" w:eastAsia="Times New Roman" w:hAnsi="Times New Roman"/>
          <w:sz w:val="13"/>
          <w:szCs w:val="13"/>
          <w:color w:val="auto"/>
        </w:rPr>
        <w:t>” means the rights of Holders to receive contingent cash payments pursuant to this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CVR License Proceeds</w:t>
      </w:r>
      <w:r>
        <w:rPr>
          <w:rFonts w:ascii="Times New Roman" w:cs="Times New Roman" w:eastAsia="Times New Roman" w:hAnsi="Times New Roman"/>
          <w:sz w:val="13"/>
          <w:szCs w:val="13"/>
          <w:color w:val="auto"/>
        </w:rPr>
        <w:t>” means eighty percent (80%) of any Net License Proceeds.</w:t>
      </w:r>
    </w:p>
    <w:p>
      <w:pPr>
        <w:spacing w:after="0" w:line="15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CVR Payment Amount</w:t>
      </w:r>
      <w:r>
        <w:rPr>
          <w:rFonts w:ascii="Times New Roman" w:cs="Times New Roman" w:eastAsia="Times New Roman" w:hAnsi="Times New Roman"/>
          <w:sz w:val="13"/>
          <w:szCs w:val="13"/>
          <w:color w:val="auto"/>
        </w:rPr>
        <w:t xml:space="preserve">” means (a) in respect of any CVR License Proceeds to be paid by Parent or any of its Affiliates (including the Surviving Company) to any given Holder per CVR, the amount of (i) such CVR License Proceeds,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total number of CVRs outstanding as of the close of business on the date of the applicable Payment Notice, (b) in respect of the First Commercial Sale Milestone, the First Commercial Sale Milestone Payment and (c) in respect of any Royalties to be paid by Parent or any of its Affiliates (including the Surviving Company) to any given Holder per CVR, the amount of (i) such Royalties,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total number of CVRs outstanding as of the close of business on the date of the applicable Payment Notice;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a CVR Payment Date will occur more than five (5) years after the Effective Time, the total number of CVRs outstanding as of the close of business on the relevant date for purposes of prong (a), (b) and (c) shall exclude any Equity Award CVRs that are ineligible for such payments due to the Section 409A Condition.</w:t>
      </w:r>
    </w:p>
    <w:p>
      <w:pPr>
        <w:spacing w:after="0" w:line="139" w:lineRule="exact"/>
        <w:rPr>
          <w:sz w:val="20"/>
          <w:szCs w:val="20"/>
          <w:color w:val="auto"/>
        </w:rPr>
      </w:pPr>
    </w:p>
    <w:p>
      <w:pPr>
        <w:ind w:left="640" w:right="919" w:firstLine="30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CVR Payment Date</w:t>
      </w:r>
      <w:r>
        <w:rPr>
          <w:rFonts w:ascii="Times New Roman" w:cs="Times New Roman" w:eastAsia="Times New Roman" w:hAnsi="Times New Roman"/>
          <w:sz w:val="12"/>
          <w:szCs w:val="12"/>
          <w:color w:val="auto"/>
        </w:rPr>
        <w:t>”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08" w:name="page109"/>
    <w:bookmarkEnd w:id="108"/>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CVR Product</w:t>
      </w:r>
      <w:r>
        <w:rPr>
          <w:rFonts w:ascii="Times New Roman" w:cs="Times New Roman" w:eastAsia="Times New Roman" w:hAnsi="Times New Roman"/>
          <w:sz w:val="13"/>
          <w:szCs w:val="13"/>
          <w:color w:val="auto"/>
        </w:rPr>
        <w:t>” means any therapeutic product that contains ampreloxetine or any salt, ester, prodrug, metabolite, solvate, polymorph, free-base, hydrate, or isomer thereof, including all forms, presentations, doses, or formulations of the foregoing.</w:t>
      </w:r>
    </w:p>
    <w:p>
      <w:pPr>
        <w:spacing w:after="0" w:line="122"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CVR Product License</w:t>
      </w:r>
      <w:r>
        <w:rPr>
          <w:rFonts w:ascii="Times New Roman" w:cs="Times New Roman" w:eastAsia="Times New Roman" w:hAnsi="Times New Roman"/>
          <w:sz w:val="13"/>
          <w:szCs w:val="13"/>
          <w:color w:val="auto"/>
        </w:rPr>
        <w:t>” means a license, sublicense, sale, transfer, divestiture, disposition or other monetization transaction of any CVR Product for use for any indication in any country, or any rights (including intellectual property) related thereto (a “</w:t>
      </w:r>
      <w:r>
        <w:rPr>
          <w:rFonts w:ascii="Times New Roman" w:cs="Times New Roman" w:eastAsia="Times New Roman" w:hAnsi="Times New Roman"/>
          <w:sz w:val="13"/>
          <w:szCs w:val="13"/>
          <w:u w:val="single" w:color="auto"/>
          <w:color w:val="auto"/>
        </w:rPr>
        <w:t>Disposition</w:t>
      </w:r>
      <w:r>
        <w:rPr>
          <w:rFonts w:ascii="Times New Roman" w:cs="Times New Roman" w:eastAsia="Times New Roman" w:hAnsi="Times New Roman"/>
          <w:sz w:val="13"/>
          <w:szCs w:val="13"/>
          <w:color w:val="auto"/>
        </w:rPr>
        <w:t xml:space="preserve">”), entered into with a third party prior to the License Expiration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CVR Product License does not include any Contract providing for (a) the mere right to distribute or purchase the CVR Product from Parent or its Affiliates, (b) third-party subcontractors that act on behalf of Parent or its Affiliates in the supply chain or that perform discrete services on behalf of Parent or its Affiliates, (c) any license or sublicense granted by Parent or its Affiliates to settle any litigation or a dispute in connection with which no license fee royalty, upfront, milestone or other similar payments for rights to exploit the applicable Intellectual Property is paid or payable, or (d) compulsory licenses to the extent required by any Governmental Entity (it being understood with respect to the inclusion of a “sale” in this definition that in certain circumstances such a transaction could create financial concerns for Parent that may cause it to exercise its right not to consent to such transaction).</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CVR Register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means The Depository Trust Company or any successor thereto.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Award CVR</w:t>
      </w:r>
      <w:r>
        <w:rPr>
          <w:rFonts w:ascii="Times New Roman" w:cs="Times New Roman" w:eastAsia="Times New Roman" w:hAnsi="Times New Roman"/>
          <w:sz w:val="13"/>
          <w:szCs w:val="13"/>
          <w:color w:val="auto"/>
        </w:rPr>
        <w:t>” means a CVR issued to a Holder in respect of a Company Equity Award.</w:t>
      </w:r>
    </w:p>
    <w:p>
      <w:pPr>
        <w:spacing w:after="0" w:line="154"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Final Determination</w:t>
      </w:r>
      <w:r>
        <w:rPr>
          <w:rFonts w:ascii="Times New Roman" w:cs="Times New Roman" w:eastAsia="Times New Roman" w:hAnsi="Times New Roman"/>
          <w:sz w:val="13"/>
          <w:szCs w:val="13"/>
          <w:color w:val="auto"/>
        </w:rPr>
        <w:t>”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spacing w:after="0" w:line="134" w:lineRule="exact"/>
        <w:rPr>
          <w:sz w:val="20"/>
          <w:szCs w:val="20"/>
          <w:color w:val="auto"/>
        </w:rPr>
      </w:pPr>
    </w:p>
    <w:p>
      <w:pPr>
        <w:ind w:left="640" w:right="73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First Commercial Sale</w:t>
      </w:r>
      <w:r>
        <w:rPr>
          <w:rFonts w:ascii="Times New Roman" w:cs="Times New Roman" w:eastAsia="Times New Roman" w:hAnsi="Times New Roman"/>
          <w:sz w:val="13"/>
          <w:szCs w:val="13"/>
          <w:color w:val="auto"/>
        </w:rPr>
        <w:t>” means, with respect to a CVR Product, the first bona fide sale in an arm’s length transaction in a country to a third party by or on behalf of Parent or any of its Affiliates (but not by or on behalf of the counterparty to any CVR Product License or any of its Affiliates exercising rights under such CVR Product License) following receipt of approval from the applicable Governmental Authority to market and sell such CVR Product in such country, including, where required as a legal prerequisite to sale, applicable pricing and reimbursement approvals. For the avoidance of doubt, a first sale for compassionate use or named patient program sales, for use in clinical trials or other research and development activities, as samples, or for testing, validation or regulatory purposes, or supply that is made free of charge, by donation, or at or below cost, shall not constitute a First Commercial Sale for purposes of this Agreement.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First Commercial Sale Milestone</w:t>
      </w:r>
      <w:r>
        <w:rPr>
          <w:rFonts w:ascii="Times New Roman" w:cs="Times New Roman" w:eastAsia="Times New Roman" w:hAnsi="Times New Roman"/>
          <w:sz w:val="13"/>
          <w:szCs w:val="13"/>
          <w:color w:val="auto"/>
        </w:rPr>
        <w:t>” means the First Commercial Sale of any CVR Product in any Major Market; provided that such sale occurs on or prior to the License Expiration Date.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First Commercial Sale Milestone Payment</w:t>
      </w:r>
      <w:r>
        <w:rPr>
          <w:rFonts w:ascii="Times New Roman" w:cs="Times New Roman" w:eastAsia="Times New Roman" w:hAnsi="Times New Roman"/>
          <w:sz w:val="13"/>
          <w:szCs w:val="13"/>
          <w:color w:val="auto"/>
        </w:rPr>
        <w:t>” means $[___]</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per CVR.</w:t>
      </w:r>
    </w:p>
    <w:p>
      <w:pPr>
        <w:spacing w:after="0" w:line="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Holder</w:t>
      </w:r>
      <w:r>
        <w:rPr>
          <w:rFonts w:ascii="Times New Roman" w:cs="Times New Roman" w:eastAsia="Times New Roman" w:hAnsi="Times New Roman"/>
          <w:sz w:val="13"/>
          <w:szCs w:val="13"/>
          <w:color w:val="auto"/>
        </w:rPr>
        <w:t>” means a Person in whose name a CVR is registered in the CVR Register at the applicable time.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License Expiration Date</w:t>
      </w:r>
      <w:r>
        <w:rPr>
          <w:rFonts w:ascii="Times New Roman" w:cs="Times New Roman" w:eastAsia="Times New Roman" w:hAnsi="Times New Roman"/>
          <w:sz w:val="13"/>
          <w:szCs w:val="13"/>
          <w:color w:val="auto"/>
        </w:rPr>
        <w:t>” means the date that is ten (10) years after the Closing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Major Market</w:t>
      </w:r>
      <w:r>
        <w:rPr>
          <w:rFonts w:ascii="Times New Roman" w:cs="Times New Roman" w:eastAsia="Times New Roman" w:hAnsi="Times New Roman"/>
          <w:sz w:val="13"/>
          <w:szCs w:val="13"/>
          <w:color w:val="auto"/>
        </w:rPr>
        <w:t>” means any of the United States, United Kingdom, Spain, France, Germany and Italy.</w:t>
      </w:r>
    </w:p>
    <w:p>
      <w:pPr>
        <w:spacing w:after="0" w:line="154"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Net License Proceeds</w:t>
      </w:r>
      <w:r>
        <w:rPr>
          <w:rFonts w:ascii="Times New Roman" w:cs="Times New Roman" w:eastAsia="Times New Roman" w:hAnsi="Times New Roman"/>
          <w:sz w:val="12"/>
          <w:szCs w:val="12"/>
          <w:color w:val="auto"/>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 w:cs="Times New Roman" w:eastAsia="Times New Roman" w:hAnsi="Times New Roman"/>
          <w:sz w:val="12"/>
          <w:szCs w:val="12"/>
          <w:u w:val="single" w:color="auto"/>
          <w:color w:val="auto"/>
        </w:rPr>
        <w:t>License Proceeds</w:t>
      </w:r>
      <w:r>
        <w:rPr>
          <w:rFonts w:ascii="Times New Roman" w:cs="Times New Roman" w:eastAsia="Times New Roman" w:hAnsi="Times New Roman"/>
          <w:sz w:val="12"/>
          <w:szCs w:val="12"/>
          <w:color w:val="auto"/>
        </w:rPr>
        <w:t>”),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w:t>
      </w:r>
    </w:p>
    <w:p>
      <w:pPr>
        <w:spacing w:after="0" w:line="12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Net Sales</w:t>
      </w:r>
      <w:r>
        <w:rPr>
          <w:rFonts w:ascii="Times New Roman" w:cs="Times New Roman" w:eastAsia="Times New Roman" w:hAnsi="Times New Roman"/>
          <w:sz w:val="13"/>
          <w:szCs w:val="13"/>
          <w:color w:val="auto"/>
        </w:rPr>
        <w:t>”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w:t>
      </w:r>
    </w:p>
    <w:p>
      <w:pPr>
        <w:spacing w:after="0" w:line="57" w:lineRule="exact"/>
        <w:rPr>
          <w:sz w:val="20"/>
          <w:szCs w:val="20"/>
          <w:color w:val="auto"/>
        </w:rPr>
      </w:pPr>
    </w:p>
    <w:p>
      <w:pPr>
        <w:ind w:left="640" w:right="899" w:firstLine="309"/>
        <w:spacing w:after="0" w:line="309" w:lineRule="auto"/>
        <w:rPr>
          <w:sz w:val="20"/>
          <w:szCs w:val="20"/>
          <w:color w:val="auto"/>
        </w:rPr>
      </w:pPr>
      <w:r>
        <w:rPr>
          <w:rFonts w:ascii="Times New Roman" w:cs="Times New Roman" w:eastAsia="Times New Roman" w:hAnsi="Times New Roman"/>
          <w:sz w:val="12"/>
          <w:szCs w:val="12"/>
          <w:color w:val="auto"/>
        </w:rPr>
        <w:t>(a) trade, cash and quantity discounts, cash and non-cash coupons, and chargeback payments and rebates granted to trade customers, managed health care organizations, pharmaceutical benefit managers, group purchasing organizations, or federal, state, or local Governmental Authorities;</w:t>
      </w:r>
    </w:p>
    <w:p>
      <w:pPr>
        <w:spacing w:after="0" w:line="100"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(b) credits, allowances and chargebacks for claims, spoiled, damaged or outdated goods, rejections or returns, including product returned in connection with recalls or withdrawals;</w:t>
      </w:r>
    </w:p>
    <w:p>
      <w:pPr>
        <w:spacing w:after="0" w:line="122"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(c) Taxes (other than income Taxes) levied directly or indirectly on the sale, export or import, including VAT (net of any reimbursement of VAT actually received);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actual freight and insurance costs incurred, but not reimbursed by customers, in transportation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75565</wp:posOffset>
            </wp:positionV>
            <wp:extent cx="54165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61"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3"/>
          <w:szCs w:val="13"/>
          <w:color w:val="auto"/>
        </w:rPr>
        <w:t>Note to Draft: To be $50 million in the aggregate for the total number of CVRs.</w:t>
      </w:r>
    </w:p>
    <w:p>
      <w:pPr>
        <w:spacing w:after="0" w:line="9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10" w:name="page111"/>
    <w:bookmarkEnd w:id="110"/>
    <w:p>
      <w:pPr>
        <w:jc w:val="both"/>
        <w:ind w:left="640" w:right="699" w:firstLine="307"/>
        <w:spacing w:after="0" w:line="251" w:lineRule="auto"/>
        <w:tabs>
          <w:tab w:leader="none" w:pos="1121"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fees or other charges that become due in connection with any healthcare reform, change in government pricing or discounting schemes, or other action of a Governmental Authority, including that portion of the annual fee on prescription drug manufacturers imposed by the Patient Protection and Affordable Care Act, Pub. L. No. 111-148 or similar sales-based fees adopted in the future, in each case, to the extent reasonably allocable to sales of the applicable product; and</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07"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that are written off as uncollectible in accordance with the accounting procedures of the applicable Seller; provided that if any such written-off amounts are subsequently collected, such collected amounts shall be included in Net Sales in the period in which they are subsequently collected.</w:t>
      </w:r>
    </w:p>
    <w:p>
      <w:pPr>
        <w:spacing w:after="0" w:line="13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For the avoidance of doubt, if a single item falls into more than one of the categories set forth in clauses (a)-(f) above, such item may not be deducted more than once. Unless otherwise specified herein, Net Sales shall be calculated in accordance with GAAP.</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Sales of the applicable CVR Product by a Parent to any of its Affiliates for subsequent resale by such Affiliate (or vice versa) to a third party will not be a sale for purposes of “Net Sales.” Net Sales shall include any monetary damages from a third party in an action brought for such third party’s infringement of any Patents that Cover any CVR Product, less any out-of-pocket, unreimbursed expenses incurred by the Parent or any of its Affiliates in bringing such action.</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w:t>
      </w:r>
    </w:p>
    <w:p>
      <w:pPr>
        <w:spacing w:after="0" w:line="13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Officer’s Certificate</w:t>
      </w:r>
      <w:r>
        <w:rPr>
          <w:rFonts w:ascii="Times New Roman" w:cs="Times New Roman" w:eastAsia="Times New Roman" w:hAnsi="Times New Roman"/>
          <w:sz w:val="13"/>
          <w:szCs w:val="13"/>
          <w:color w:val="auto"/>
        </w:rPr>
        <w:t>” means a certificate signed by the chief executive officer, president, chief financial officer, or other Person duly authorized to act on behalf of Parent for such purpose or for any general purpose.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Deductions</w:t>
      </w:r>
      <w:r>
        <w:rPr>
          <w:rFonts w:ascii="Times New Roman" w:cs="Times New Roman" w:eastAsia="Times New Roman" w:hAnsi="Times New Roman"/>
          <w:sz w:val="13"/>
          <w:szCs w:val="13"/>
          <w:color w:val="auto"/>
        </w:rPr>
        <w:t>” means the sum, without duplication, of the following costs or expenses:</w:t>
      </w:r>
    </w:p>
    <w:p>
      <w:pPr>
        <w:spacing w:after="0" w:line="78" w:lineRule="exact"/>
        <w:rPr>
          <w:sz w:val="20"/>
          <w:szCs w:val="20"/>
          <w:color w:val="auto"/>
        </w:rPr>
      </w:pPr>
    </w:p>
    <w:p>
      <w:pPr>
        <w:ind w:left="640" w:right="719" w:firstLine="307"/>
        <w:spacing w:after="0" w:line="255" w:lineRule="auto"/>
        <w:tabs>
          <w:tab w:leader="none" w:pos="1121"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59" w:firstLine="307"/>
        <w:spacing w:after="0" w:line="245" w:lineRule="auto"/>
        <w:tabs>
          <w:tab w:leader="none" w:pos="1128"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any applicable Taxes (including any applicable value added or sales Taxes) imposed on the CVR Product License or with respect to the License Proceeds (and which are either imposed on Parent, the Company or their Affiliates or otherwise reduce the amount of License Proceeds received by Parent, the Company or their Affiliates) that would not have been incurred by Parent, the Company or their Affiliates but for (i) the consummation of the CVR Product License, (ii) the License Proceeds having been received or accrued by the Company, the Surviving Company or its or their applicable subsidiaries or (iii) in connection with the distribution of the License Proceeds to Parent for the performance of its obligations under this Agreement (in each case, regardless of the due date of such Taxes);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purposes of calculating income Taxes payable by Parent, the Company or their Affiliates in respect of the License Proceeds, such income Taxes shall be calculated without taking into account any net operating losses or other tax attributes (including Tax credits and capital loss carryovers) or any deductions generated by Parent, the Company or any of their Affiliates at any time before or following the Closing, other than, in each case, (x) any Tax basis that Parent, the Company or their Affiliates may have in the rights or assets licensed pursuant to a CVR Product License that is available for offset against the License Proceeds or (y) any Tax attributes generated by a Permitted Deduction otherwise taken into account under this Agreement;</w:t>
      </w:r>
    </w:p>
    <w:p>
      <w:pPr>
        <w:spacing w:after="0" w:line="140" w:lineRule="exact"/>
        <w:rPr>
          <w:rFonts w:ascii="Times New Roman" w:cs="Times New Roman" w:eastAsia="Times New Roman" w:hAnsi="Times New Roman"/>
          <w:sz w:val="13"/>
          <w:szCs w:val="13"/>
          <w:color w:val="auto"/>
        </w:rPr>
      </w:pPr>
    </w:p>
    <w:p>
      <w:pPr>
        <w:ind w:left="640" w:right="759" w:firstLine="307"/>
        <w:spacing w:after="0" w:line="247" w:lineRule="auto"/>
        <w:tabs>
          <w:tab w:leader="none" w:pos="1121"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unreimbursed out-of-pocket costs and expenses directly incurred in good faith solely in the Disposition of such CVR Product and actually paid by Parent or any of its Affiliates (including the Surviving Company) to a third party during the term of this Agreement, including research and development costs for such CVR Product, costs of required technology transfer activities for such CVR Product pursuant to the CVR Product License, costs in respect of head licenses for sublicensed technology that claims, covers or is otherwise incorporated in such CVR Product, and prosecution, maintenance, or enforcement by Parent or any of its Affiliates of Intellectual Property that covers claims or is otherwise used with such CVR Product, but excluding any costs related to a breach of this Agreement by Parent or any of its Affiliates, including costs incurred in litigation in respect of the same;</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75" w:lineRule="auto"/>
        <w:tabs>
          <w:tab w:leader="none" w:pos="1121"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12" w:name="page113"/>
    <w:bookmarkEnd w:id="112"/>
    <w:p>
      <w:pPr>
        <w:ind w:left="640" w:right="69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w:t>
      </w:r>
    </w:p>
    <w:p>
      <w:pPr>
        <w:spacing w:after="0" w:line="117" w:lineRule="exact"/>
        <w:rPr>
          <w:sz w:val="20"/>
          <w:szCs w:val="20"/>
          <w:color w:val="auto"/>
        </w:rPr>
      </w:pPr>
    </w:p>
    <w:p>
      <w:pPr>
        <w:ind w:left="640" w:right="7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xml:space="preserve">” means a transfer of CVRs (a) upon death of a Holder by will or intestacy; (b) made by instrument to an </w:t>
      </w:r>
      <w:r>
        <w:rPr>
          <w:rFonts w:ascii="Times New Roman" w:cs="Times New Roman" w:eastAsia="Times New Roman" w:hAnsi="Times New Roman"/>
          <w:sz w:val="13"/>
          <w:szCs w:val="13"/>
          <w:i w:val="1"/>
          <w:iCs w:val="1"/>
          <w:color w:val="auto"/>
        </w:rPr>
        <w:t>inter vivos</w:t>
      </w:r>
      <w:r>
        <w:rPr>
          <w:rFonts w:ascii="Times New Roman" w:cs="Times New Roman" w:eastAsia="Times New Roman" w:hAnsi="Times New Roman"/>
          <w:sz w:val="13"/>
          <w:szCs w:val="13"/>
          <w:color w:val="auto"/>
        </w:rPr>
        <w:t xml:space="preserve"> or testamentary trust in which the CVRs are to be passed to beneficiaries upon the death of the trustee; (c) made pursuant to a court order; (d) made by operation of law (including by consolidation or merger) or without consideration in connection with the dissolution, liquidation or termination of any corporation, limited liability company, partnership or other entity; or (e) in the case of CVRs held in book-entry or other similar nominee form, from a nominee to a beneficial owner and, if applicable, through an intermediary, or from such nominee to another nominee for the same beneficial owner, to the extent allowable by DTC.</w:t>
      </w:r>
    </w:p>
    <w:p>
      <w:pPr>
        <w:spacing w:after="0" w:line="137"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Authority</w:t>
      </w:r>
      <w:r>
        <w:rPr>
          <w:rFonts w:ascii="Times New Roman" w:cs="Times New Roman" w:eastAsia="Times New Roman" w:hAnsi="Times New Roman"/>
          <w:sz w:val="13"/>
          <w:szCs w:val="13"/>
          <w:color w:val="auto"/>
        </w:rPr>
        <w:t>” means, with respect to a particular country, the Governmental Authority(ies) responsible for granting approval for the commercial marketing and sale (including pricing and reimbursement approval) of a drug product, including U.S. Food and Drug Administration (or any successor thereto) in the U.S.</w:t>
      </w:r>
    </w:p>
    <w:p>
      <w:pPr>
        <w:spacing w:after="0" w:line="130"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Exclusivity</w:t>
      </w:r>
      <w:r>
        <w:rPr>
          <w:rFonts w:ascii="Times New Roman" w:cs="Times New Roman" w:eastAsia="Times New Roman" w:hAnsi="Times New Roman"/>
          <w:sz w:val="13"/>
          <w:szCs w:val="13"/>
          <w:color w:val="auto"/>
        </w:rPr>
        <w:t>” means any exclusive marketing rights or data exclusivity rights conferred by any Regulatory Authority with respect to a CVR Product other than Patents, including rights conferred in the U.S. under the Hatch-Waxman Act or the FDA Modernization Act of 1997 (including pediatric exclusivity), and rights similar thereto outside the U.S.</w:t>
      </w:r>
    </w:p>
    <w:p>
      <w:pPr>
        <w:spacing w:after="0" w:line="130"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Rights Agent</w:t>
      </w:r>
      <w:r>
        <w:rPr>
          <w:rFonts w:ascii="Times New Roman" w:cs="Times New Roman" w:eastAsia="Times New Roman" w:hAnsi="Times New Roman"/>
          <w:sz w:val="13"/>
          <w:szCs w:val="13"/>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20"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Royalties</w:t>
      </w:r>
      <w:r>
        <w:rPr>
          <w:rFonts w:ascii="Times New Roman" w:cs="Times New Roman" w:eastAsia="Times New Roman" w:hAnsi="Times New Roman"/>
          <w:sz w:val="13"/>
          <w:szCs w:val="13"/>
          <w:color w:val="auto"/>
        </w:rPr>
        <w:t xml:space="preserve">” means the product obtained by </w:t>
      </w:r>
      <w:r>
        <w:rPr>
          <w:rFonts w:ascii="Times New Roman" w:cs="Times New Roman" w:eastAsia="Times New Roman" w:hAnsi="Times New Roman"/>
          <w:sz w:val="13"/>
          <w:szCs w:val="13"/>
          <w:i w:val="1"/>
          <w:iCs w:val="1"/>
          <w:color w:val="auto"/>
        </w:rPr>
        <w:t>multiplying</w:t>
      </w:r>
      <w:r>
        <w:rPr>
          <w:rFonts w:ascii="Times New Roman" w:cs="Times New Roman" w:eastAsia="Times New Roman" w:hAnsi="Times New Roman"/>
          <w:sz w:val="13"/>
          <w:szCs w:val="13"/>
          <w:color w:val="auto"/>
        </w:rPr>
        <w:t xml:space="preserve"> (1) ten percent (10%) by (2) the aggregate amount of Net Sales of the CVR Products during the applicable period.</w:t>
      </w:r>
    </w:p>
    <w:p>
      <w:pPr>
        <w:spacing w:after="0" w:line="121"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Royalty Term</w:t>
      </w:r>
      <w:r>
        <w:rPr>
          <w:rFonts w:ascii="Times New Roman" w:cs="Times New Roman" w:eastAsia="Times New Roman" w:hAnsi="Times New Roman"/>
          <w:sz w:val="12"/>
          <w:szCs w:val="12"/>
          <w:color w:val="auto"/>
        </w:rPr>
        <w:t>” means, on a country-by-country basis and CVR Product-by-CVR Product basis, the period commencing on the First Commercial Sale of such CVR Product in such country and continuing until the later of (i) the expiration of the last-to-expire Patent (which has not been held invalid or unenforceable by a patent office, court or other Governmental Authority of competent jurisdiction in an unappealable decision or unappealed decision within the time allowed for appeal) that Covers such CVR Product in such country; (ii) the expiration of any Regulatory Exclusivity for such CVR Product in such country; or (iii) the tenth (10th) anniversary of the First Commercial Sale of such CVR Product in such country.</w:t>
      </w:r>
    </w:p>
    <w:p>
      <w:pPr>
        <w:spacing w:after="0" w:line="119"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RP Agreement</w:t>
      </w:r>
      <w:r>
        <w:rPr>
          <w:rFonts w:ascii="Times New Roman" w:cs="Times New Roman" w:eastAsia="Times New Roman" w:hAnsi="Times New Roman"/>
          <w:sz w:val="13"/>
          <w:szCs w:val="13"/>
          <w:color w:val="auto"/>
        </w:rPr>
        <w:t>” means that certain Equity Purchase and Funding Agreement, dated as of July 13, 2022, by and between Theravance Biopharma, Inc. and Royalty Pharma Investments 2019 ICAV, as amended, modified, or supplemented.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Section 409A Condition</w:t>
      </w:r>
      <w:r>
        <w:rPr>
          <w:rFonts w:ascii="Times New Roman" w:cs="Times New Roman" w:eastAsia="Times New Roman" w:hAnsi="Times New Roman"/>
          <w:sz w:val="13"/>
          <w:szCs w:val="13"/>
          <w:color w:val="auto"/>
        </w:rPr>
        <w:t xml:space="preserve">” has the meaning ascribed to it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of this Agreement.</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13" w:name="page114"/>
    <w:bookmarkEnd w:id="11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United States</w:t>
      </w:r>
      <w:r>
        <w:rPr>
          <w:rFonts w:ascii="Times New Roman" w:cs="Times New Roman" w:eastAsia="Times New Roman" w:hAnsi="Times New Roman"/>
          <w:sz w:val="13"/>
          <w:szCs w:val="13"/>
          <w:color w:val="auto"/>
        </w:rPr>
        <w:t>” means the United States of America and its territories and possessions.</w:t>
      </w:r>
    </w:p>
    <w:p>
      <w:pPr>
        <w:spacing w:after="0" w:line="15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Section 1.2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CONTINGENT VALUE RIGHTS</w:t>
      </w:r>
    </w:p>
    <w:p>
      <w:pPr>
        <w:spacing w:after="0" w:line="156"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CVRs</w:t>
      </w:r>
      <w:r>
        <w:rPr>
          <w:rFonts w:ascii="Times New Roman" w:cs="Times New Roman" w:eastAsia="Times New Roman" w:hAnsi="Times New Roman"/>
          <w:sz w:val="13"/>
          <w:szCs w:val="13"/>
          <w:color w:val="auto"/>
        </w:rPr>
        <w:t>.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 w:cs="Times New Roman" w:eastAsia="Times New Roman" w:hAnsi="Times New Roman"/>
          <w:sz w:val="13"/>
          <w:szCs w:val="13"/>
          <w:u w:val="single" w:color="auto"/>
          <w:color w:val="auto"/>
        </w:rPr>
        <w:t>Section 409A Condition</w:t>
      </w:r>
      <w:r>
        <w:rPr>
          <w:rFonts w:ascii="Times New Roman" w:cs="Times New Roman" w:eastAsia="Times New Roman" w:hAnsi="Times New Roman"/>
          <w:sz w:val="13"/>
          <w:szCs w:val="13"/>
          <w:color w:val="auto"/>
        </w:rPr>
        <w:t>”). Equity Award CVRs shall cease to be outstanding if and when they become ineligible to accrue CVR Payment Amounts due to the Section 409A Condition.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2.2 </w:t>
      </w:r>
      <w:r>
        <w:rPr>
          <w:rFonts w:ascii="Times New Roman" w:cs="Times New Roman" w:eastAsia="Times New Roman" w:hAnsi="Times New Roman"/>
          <w:sz w:val="13"/>
          <w:szCs w:val="13"/>
          <w:u w:val="single" w:color="auto"/>
          <w:color w:val="auto"/>
        </w:rPr>
        <w:t>Nontransferable</w:t>
      </w:r>
      <w:r>
        <w:rPr>
          <w:rFonts w:ascii="Times New Roman" w:cs="Times New Roman" w:eastAsia="Times New Roman" w:hAnsi="Times New Roman"/>
          <w:sz w:val="13"/>
          <w:szCs w:val="13"/>
          <w:color w:val="auto"/>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shall be void ab initio and of no effect.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not be evidenced by a certificate or other instrument.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acting solely for this purpose as a non-fiduciary agent of Parent, will keep a register (the “</w:t>
      </w:r>
      <w:r>
        <w:rPr>
          <w:rFonts w:ascii="Times New Roman" w:cs="Times New Roman" w:eastAsia="Times New Roman" w:hAnsi="Times New Roman"/>
          <w:sz w:val="13"/>
          <w:szCs w:val="13"/>
          <w:u w:val="single" w:color="auto"/>
          <w:color w:val="auto"/>
        </w:rPr>
        <w:t>CVR Register</w:t>
      </w:r>
      <w:r>
        <w:rPr>
          <w:rFonts w:ascii="Times New Roman" w:cs="Times New Roman" w:eastAsia="Times New Roman" w:hAnsi="Times New Roman"/>
          <w:sz w:val="13"/>
          <w:szCs w:val="13"/>
          <w:color w:val="auto"/>
        </w:rPr>
        <w:t>”) for the purpose of recording the names and addresses of the applicable Holders, as well as transfers of CVRs as herein provided. The entries in the CVR Register shall be conclusive absent manifest error, and Parent and the Rights Agent shall treat each Person whose name is recorded in the CVR Register pursuant to the terms hereof as a Holder hereunder for all purposes of this Agreement. The CVR Register shall be available for inspection by the Parent at any reasonable time and from time to time upon reasonable prior notice. The Rights Agent is hereby initially appointed the CVR registrar (the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Registrar</w:t>
      </w:r>
      <w:r>
        <w:rPr>
          <w:rFonts w:ascii="Times New Roman" w:cs="Times New Roman" w:eastAsia="Times New Roman" w:hAnsi="Times New Roman"/>
          <w:sz w:val="13"/>
          <w:szCs w:val="13"/>
          <w:color w:val="auto"/>
        </w:rPr>
        <w:t>”) for purposes of registering CVRs and Permitted Transfers of CVRs as provided for herein. Upon any change in the identity of the Rights Agent, the successor Rights Agent will automatically also become the successor CVR Registrar. The CVR Register will initially show one position for Cede &amp; Co. representing all of the Ordinary Shares held by DTC on behalf of the street holders of the Ordinary Shares held by such holders as of immediately prior to the Effective Time. The Rights Agent will have no responsibility whatsoever directly to the street name holders with respect to transfers of CVRs.</w:t>
      </w:r>
    </w:p>
    <w:p>
      <w:pPr>
        <w:spacing w:after="0" w:line="135"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restrictions on transferability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every request made to transfer a CVR must be in writing and accompanied by a written instrument of transfer (i) in a form reasonably satisfactory to the Rights Agent pursuant to its guidelines, (ii) that is duly executed by the Holder thereof or the Holder’s attorney duly authorized in writing, the Holder’s personal representative or the Holder’s survivor, and</w:t>
      </w:r>
    </w:p>
    <w:p>
      <w:pPr>
        <w:ind w:left="640" w:right="679" w:hanging="3"/>
        <w:spacing w:after="0" w:line="266" w:lineRule="auto"/>
        <w:tabs>
          <w:tab w:leader="none" w:pos="861"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register the transfer of the CVRs in the CVR Register. The Rights Agent shall not be obligated to undertake any action with respect to the transfer of the 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unless such Holder has demonstrated to the reasonable satisfaction of Parent and Rights Agent that any such Tax or charge has been paid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15" w:name="page116"/>
    <w:bookmarkEnd w:id="115"/>
    <w:p>
      <w:pPr>
        <w:jc w:val="both"/>
        <w:ind w:left="640" w:right="779" w:firstLine="1003"/>
        <w:spacing w:after="0" w:line="255"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30"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 xml:space="preserve">Section 2.4 </w:t>
      </w:r>
      <w:r>
        <w:rPr>
          <w:rFonts w:ascii="Times New Roman" w:cs="Times New Roman" w:eastAsia="Times New Roman" w:hAnsi="Times New Roman"/>
          <w:sz w:val="12"/>
          <w:szCs w:val="12"/>
          <w:u w:val="single" w:color="auto"/>
          <w:color w:val="auto"/>
        </w:rPr>
        <w:t>No Diligence Obligations</w:t>
      </w:r>
      <w:r>
        <w:rPr>
          <w:rFonts w:ascii="Times New Roman" w:cs="Times New Roman" w:eastAsia="Times New Roman" w:hAnsi="Times New Roman"/>
          <w:sz w:val="12"/>
          <w:szCs w:val="12"/>
          <w:color w:val="auto"/>
        </w:rPr>
        <w:t xml:space="preserve">. The Rights Agent (on behalf of itself and on behalf of the Holders) acknowledges that (i) Parent makes (x) no guarantees or promises that any License Proceeds or Royalties will become payable or be paid to Parent or its Affiliates at all or by any specific date, or that any CVR Product License will be executed, or that the First Commercial Sale Milestone will occur, and (y) no statements, assessments, or predictions have been made or are being provided, and no reliance on any statements, assessments, or predictions should be made, in any case regarding (A) the likelihood of any CVR Product License being executed prior to the License Expiration Date, that the First Commercial Sale Milestone will occur or that there will be any Net Sales or (B) even if a CVR Product License is executed prior to the License Expiration Date, that any License Proceeds will become payable or be paid to Parent or its Affiliates (ii) there is no assurance that the Holders will receive any payment under this Agreement, including as described under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unless, and if and only if, (1) both a CVR Product License is executed prior to the License Expiration Date and Parent or any of its Affiliates actually receive payment of any License Proceeds or (2) the First Commercial Sale Milestone occurs,</w:t>
      </w:r>
    </w:p>
    <w:p>
      <w:pPr>
        <w:spacing w:after="0" w:line="1" w:lineRule="exact"/>
        <w:rPr>
          <w:sz w:val="20"/>
          <w:szCs w:val="20"/>
          <w:color w:val="auto"/>
        </w:rPr>
      </w:pPr>
    </w:p>
    <w:p>
      <w:pPr>
        <w:ind w:left="640" w:right="779" w:hanging="3"/>
        <w:spacing w:after="0" w:line="263" w:lineRule="auto"/>
        <w:tabs>
          <w:tab w:leader="none" w:pos="861"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has not prior to the date hereof, promised or projected any amounts to be received by the Holders in respect of any payments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and no statements of Parent, that have been, or may be, made, may, or will, be construed as Parent making any such promise or projection,</w:t>
      </w:r>
    </w:p>
    <w:p>
      <w:pPr>
        <w:ind w:left="640" w:right="679" w:hanging="3"/>
        <w:spacing w:after="0" w:line="265" w:lineRule="auto"/>
        <w:tabs>
          <w:tab w:leader="none" w:pos="85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except as otherwise expressly set forth herein or in the Merger Agreement, none of the Rights Agent and any Holder is relying on or has relied on any promises, projections, representation or warranty of any kind or other information, documents or materials (or absence thereof), or will rely on any promises, projections, representation or warranty of any kind or other information, documents or materials (or absence thereof), in respect of any payments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including with respect to the operation of the Surviving Company’s business following the Closing Date, (B) Parent shall have the right to, or not to, own, operate, use, (sub)license, research, develop, commercialize and otherwise practice, use and exploit the assets of the Surviving Company’s business in any way that Parent deems appropriate in its sole business judgment, (C) neither Parent nor any of its Affiliates shall have any obligation to make any particular level of efforts or engage in any particular or specific activities in connection with the ownership of the Surviving Company or any other Person relevant to any License Proceeds or the CVR Product, or with respect to executing a CVR Product License or otherwise, and (D) Parent does not have any obligation, express or implied, to research, develop, manufacture, commercialize, or otherwise practice, use or exploit the assets of the Surviving Company’s business, in any manner, including in order to make, maximize or expedite the payments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Except as otherwise expressly set forth herein or in the Merger Agreement, the Rights Agent (on behalf of itself and on behalf of the Holders) hereby (1) disclaims reliance on any such promises, projections, representations, warranties or other information, documents or materials (or absence thereof), (2) understands and agrees that no such promises, representations, warranties, projections and other information, documents and materials (or absence thereof) have been, or will be, made by Parent, (3) acknowledges and agrees that the CVRs and the possibility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16" w:name="page117"/>
    <w:bookmarkEnd w:id="116"/>
    <w:p>
      <w:pPr>
        <w:ind w:left="640" w:right="8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any payment hereunder with respect thereto are highly speculative and subject to numerous factors outside of the control of Parent or its Affiliates, and there is no assurance that Holders will receive any payments under this Agreement or in connection with the CVRs and (4) acknowledges and agrees that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is an essential and material term of this Agreement.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Payment Procedures; Notices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74" w:lineRule="auto"/>
        <w:tabs>
          <w:tab w:leader="none" w:pos="1817"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each CVR Payment Date (if any), Parent shall (i) deliver to the Rights Agent (x) a written notice (A) indicating that the Holders are entitled to receive a payment of CVR License Proceeds, the First Commercial Sale Milestone Payment, or Royalties (as applicable),</w:t>
      </w:r>
    </w:p>
    <w:p>
      <w:pPr>
        <w:spacing w:after="0" w:line="1" w:lineRule="exact"/>
        <w:rPr>
          <w:rFonts w:ascii="Times New Roman" w:cs="Times New Roman" w:eastAsia="Times New Roman" w:hAnsi="Times New Roman"/>
          <w:sz w:val="12"/>
          <w:szCs w:val="12"/>
          <w:color w:val="auto"/>
        </w:rPr>
      </w:pPr>
    </w:p>
    <w:p>
      <w:pPr>
        <w:ind w:left="640" w:right="719" w:hanging="3"/>
        <w:spacing w:after="0" w:line="243" w:lineRule="auto"/>
        <w:tabs>
          <w:tab w:leader="none" w:pos="84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 w:cs="Times New Roman" w:eastAsia="Times New Roman" w:hAnsi="Times New Roman"/>
          <w:sz w:val="13"/>
          <w:szCs w:val="13"/>
          <w:u w:val="single" w:color="auto"/>
          <w:color w:val="auto"/>
        </w:rPr>
        <w:t>Payment Notice</w:t>
      </w:r>
      <w:r>
        <w:rPr>
          <w:rFonts w:ascii="Times New Roman" w:cs="Times New Roman" w:eastAsia="Times New Roman" w:hAnsi="Times New Roman"/>
          <w:sz w:val="13"/>
          <w:szCs w:val="13"/>
          <w:color w:val="auto"/>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transfer to the Rights Agent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w:t>
      </w:r>
    </w:p>
    <w:p>
      <w:pPr>
        <w:spacing w:after="0" w:line="142"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promptly, and, in any event, within ten (10) Business Days of receipt of any Payment Notice (each such date, a “</w:t>
      </w:r>
      <w:r>
        <w:rPr>
          <w:rFonts w:ascii="Times New Roman" w:cs="Times New Roman" w:eastAsia="Times New Roman" w:hAnsi="Times New Roman"/>
          <w:sz w:val="13"/>
          <w:szCs w:val="13"/>
          <w:u w:val="single" w:color="auto"/>
          <w:color w:val="auto"/>
        </w:rPr>
        <w:t>Payment Notice Date</w:t>
      </w:r>
      <w:r>
        <w:rPr>
          <w:rFonts w:ascii="Times New Roman" w:cs="Times New Roman" w:eastAsia="Times New Roman" w:hAnsi="Times New Roman"/>
          <w:sz w:val="13"/>
          <w:szCs w:val="13"/>
          <w:color w:val="auto"/>
        </w:rPr>
        <w:t xml:space="preserve">”), send each Holder at its registered address a copy of the applicable Payment Notice. 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with each Holder receiving, subject to this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17"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17" w:name="page118"/>
    <w:bookmarkEnd w:id="117"/>
    <w:p>
      <w:pPr>
        <w:ind w:left="640" w:right="679"/>
        <w:spacing w:after="0" w:line="266"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provided</w:t>
      </w:r>
      <w:r>
        <w:rPr>
          <w:rFonts w:ascii="Times New Roman" w:cs="Times New Roman" w:eastAsia="Times New Roman" w:hAnsi="Times New Roman"/>
          <w:sz w:val="12"/>
          <w:szCs w:val="12"/>
          <w:color w:val="auto"/>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w:t>
      </w:r>
    </w:p>
    <w:p>
      <w:pPr>
        <w:spacing w:after="0" w:line="277" w:lineRule="exact"/>
        <w:rPr>
          <w:sz w:val="20"/>
          <w:szCs w:val="20"/>
          <w:color w:val="auto"/>
        </w:rPr>
      </w:pPr>
    </w:p>
    <w:p>
      <w:pPr>
        <w:jc w:val="both"/>
        <w:ind w:left="640" w:right="799" w:firstLine="1003"/>
        <w:spacing w:after="0" w:line="251" w:lineRule="auto"/>
        <w:tabs>
          <w:tab w:leader="none" w:pos="1824"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17"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the Rights Agent will be liable to any person in respect of any CVR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18" w:name="page119"/>
    <w:bookmarkEnd w:id="118"/>
    <w:p>
      <w:pPr>
        <w:ind w:left="640" w:right="659" w:firstLine="1003"/>
        <w:spacing w:after="0" w:line="245" w:lineRule="auto"/>
        <w:tabs>
          <w:tab w:leader="none" w:pos="1803"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and the Rights Agent agree to treat the CVRs (other than the Equity Award CVRs) for all U.S. federal and applicable state, local and foreign income Tax purposes, (i) except to the extent treated as imputed interest, as additional consideration for, or in respect of, the Ordinary Shares; (ii) a “closed transaction” in which the fair market value of the CVRs is included in income in the taxable year of the Closing; and (iii) if and to the extent such amounts are paid to any person under this Agreement, a portion may be treated as interest to the extent required pursuant to Section 483 or Section 1274 of the Code and, in each case, none of the Parties will take any position to the contrary on any Tax Return, in each case, related to U.S. federal, and applicable state and local income Tax purposes, except as otherwise required by a Final Determination. Parent shall or shall cause the Rights Agent to report such imputed interest on the CVRs as required by applicable Law. The Rights Agent shall be responsible for information reporting required under applicable Law with respect to the CVRs, including reporting the fair market value of the CVRs upon the Holders’ receipt of such CVRs on Internal Revenue Service Form 1099-B, which fair market value shall be reasonably determined by Parent in good faith, and reporting any payments hereunder on Internal Revenue Service Form 1099-B or other applicable form to the extent required under applicable Law. The Rights Agent shall use commercially reasonable efforts to distribute to security depository agents, clearing houses and other similar parties a statement prepared by Parent for purposes of reporting the fair market value of the CVR to Holders of CVRs (other than Equity Award CVRs) that are subject to United States federal income taxes but for which the Rights Agent is not required by applicable Law to report such value on Internal Revenue Service Form 1099-B or other applicable form.</w:t>
      </w:r>
    </w:p>
    <w:p>
      <w:pPr>
        <w:spacing w:after="0" w:line="138"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24"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indemnification provided by this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shall survive the resignation, replacement or removal of the Rights Agent and the termination of this Agreement.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No Voting, Dividends or Interest; No Equity or Ownership Interest in Parent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(a) The CVRs will not have any voting or dividend rights, and interest will not accrue on any amounts payable on the CVRs to 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Holder.</w:t>
      </w:r>
    </w:p>
    <w:p>
      <w:pPr>
        <w:spacing w:after="0" w:line="141" w:lineRule="exact"/>
        <w:rPr>
          <w:sz w:val="20"/>
          <w:szCs w:val="20"/>
          <w:color w:val="auto"/>
        </w:rPr>
      </w:pPr>
    </w:p>
    <w:p>
      <w:pPr>
        <w:ind w:left="640" w:right="839" w:firstLine="1003"/>
        <w:spacing w:after="0" w:line="267" w:lineRule="auto"/>
        <w:tabs>
          <w:tab w:leader="none" w:pos="1824"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not represent any interests in the capital of, or any equity or ownership interest in, Parent or in any constituent company to the Merger, or any of their respective subsidiaries (including the Surviving Company).</w:t>
      </w:r>
    </w:p>
    <w:p>
      <w:pPr>
        <w:spacing w:after="0" w:line="122"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Ability to Abandon CVR</w:t>
      </w:r>
      <w:r>
        <w:rPr>
          <w:rFonts w:ascii="Times New Roman" w:cs="Times New Roman" w:eastAsia="Times New Roman" w:hAnsi="Times New Roman"/>
          <w:sz w:val="13"/>
          <w:szCs w:val="13"/>
          <w:color w:val="auto"/>
        </w:rPr>
        <w:t xml:space="preserve">. A Holder may at any time, at such Holder’s option, abandon all of such Holder’s remaining rights in a CVR by transferring such CVR to Parent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and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hereunder.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THE RIGHTS AGENT</w:t>
      </w:r>
    </w:p>
    <w:p>
      <w:pPr>
        <w:spacing w:after="0" w:line="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Certain Duties and Responsibilities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of its willful misconduct, bad faith or gross negligence.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punitive, indirect, incidental or consequential loss or damages of any kind whatsoever, even if the Rights Agent has been advised of the likelihood of such loss or damages and regardless of the form of action.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Holders, acting by the written consent of the Acting Holders, may direct in writing the Rights Agent to act on behalf of the Holders in enforcing any of their rights hereunder. The Rights Agent shall be under no obligation to institute any action, suit or proceeding, or to take any other action likely to result in the incurrence of expenses by the Rights Agent;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that the Rights Agent elects to institute any action, suit or proceeding, or to take any other action directed by the Holders, the Acting Holders (on behalf of all Holders) shall furnish the Rights Agent with reasonable security and indemnity for any costs and expenses that may be incurred pursuant to an agreement in form and substance satisfactory to the Rights Agent and shall reimburse the Rights Agent for any such costs and expenses upon demand by the Rights Agent. All rights of action under this Agreement may be enforced by the Rights Agent and any action, suit or proceeding instituted by the Rights Agent shall be brought in its name as the Rights Agent and any recovery in connection therewith shall be for the proportionate benefit of all the Holders, as their respective rights or interests may appear. For the avoidance of doubt, the Rights Agent shall not be obligated to act on behalf of the Holders notwithstanding the Rights Agent’s receipt of a written direction from the Acting Holders in accordance with this clause (b).</w:t>
      </w:r>
    </w:p>
    <w:p>
      <w:pPr>
        <w:spacing w:after="0" w:line="136" w:lineRule="exact"/>
        <w:rPr>
          <w:sz w:val="20"/>
          <w:szCs w:val="20"/>
          <w:color w:val="auto"/>
        </w:rPr>
      </w:pPr>
    </w:p>
    <w:p>
      <w:pPr>
        <w:ind w:left="640" w:right="7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Section 3.2 </w:t>
      </w:r>
      <w:r>
        <w:rPr>
          <w:rFonts w:ascii="Times New Roman" w:cs="Times New Roman" w:eastAsia="Times New Roman" w:hAnsi="Times New Roman"/>
          <w:sz w:val="12"/>
          <w:szCs w:val="12"/>
          <w:u w:val="single" w:color="auto"/>
          <w:color w:val="auto"/>
        </w:rPr>
        <w:t>Certain Rights of Rights Agent</w:t>
      </w:r>
      <w:r>
        <w:rPr>
          <w:rFonts w:ascii="Times New Roman" w:cs="Times New Roman" w:eastAsia="Times New Roman" w:hAnsi="Times New Roman"/>
          <w:sz w:val="12"/>
          <w:szCs w:val="12"/>
          <w:color w:val="auto"/>
        </w:rPr>
        <w:t>. The Rights Agent undertakes to perform such duties and only such duties as are specifically set forth in this Agreement, and no implied covenants or obligations will be read into this Agreement against the Rights Agent. In addition:</w:t>
      </w:r>
    </w:p>
    <w:p>
      <w:pPr>
        <w:spacing w:after="0" w:line="24" w:lineRule="exact"/>
        <w:rPr>
          <w:sz w:val="20"/>
          <w:szCs w:val="20"/>
          <w:color w:val="auto"/>
        </w:rPr>
      </w:pPr>
    </w:p>
    <w:p>
      <w:pPr>
        <w:ind w:left="640" w:right="839" w:firstLine="1003"/>
        <w:spacing w:after="0" w:line="255" w:lineRule="auto"/>
        <w:tabs>
          <w:tab w:leader="none" w:pos="181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and will be protected and held harmless by Parent in acting or refraining from acting upon any resolution, certificate, statement, instrument, opinion, report, notice, request, direction, consent, order or other paper or document believed by it to be genuine and to have been signed or presented by the proper party or parties;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on its part, incur no liability and be held harmless by Parent for or in respect of any action taken, suffered or omitted to be taken by it under the provisions of this Agreement in reliance upon such Officer’s Certificate;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120" w:name="page121"/>
    <w:bookmarkEnd w:id="120"/>
    <w:p>
      <w:pPr>
        <w:ind w:left="640" w:right="679" w:firstLine="1003"/>
        <w:spacing w:after="0" w:line="255" w:lineRule="auto"/>
        <w:tabs>
          <w:tab w:leader="none" w:pos="1817"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may engage and consult with counsel of its selection and the written advice of such counsel, or an opinion of such counsel will be full and complete authorization and protection to the Rights Agent and the Rights Agent shall be held harmless by Parent in respect of any action taken, suffered or omitted by it hereunder in good faith and in reliance thereon;</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Rights Agent to do things enumerated in this Agreement will not be construed as a duty;</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will not be required to give any note or surety in respect of the execution of such powers or otherwise in respect</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of the premises;</w:t>
      </w:r>
    </w:p>
    <w:p>
      <w:pPr>
        <w:spacing w:after="0" w:line="140" w:lineRule="exact"/>
        <w:rPr>
          <w:rFonts w:ascii="Times New Roman" w:cs="Times New Roman" w:eastAsia="Times New Roman" w:hAnsi="Times New Roman"/>
          <w:sz w:val="12"/>
          <w:szCs w:val="12"/>
          <w:color w:val="auto"/>
        </w:rPr>
      </w:pPr>
    </w:p>
    <w:p>
      <w:pPr>
        <w:ind w:left="640" w:right="639" w:firstLine="1003"/>
        <w:spacing w:after="0" w:line="255" w:lineRule="auto"/>
        <w:tabs>
          <w:tab w:leader="none" w:pos="1803"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130" w:lineRule="exact"/>
        <w:rPr>
          <w:rFonts w:ascii="Times New Roman" w:cs="Times New Roman" w:eastAsia="Times New Roman" w:hAnsi="Times New Roman"/>
          <w:sz w:val="13"/>
          <w:szCs w:val="13"/>
          <w:color w:val="auto"/>
        </w:rPr>
      </w:pPr>
    </w:p>
    <w:p>
      <w:pPr>
        <w:ind w:left="640" w:right="839" w:firstLine="1003"/>
        <w:spacing w:after="0" w:line="251" w:lineRule="auto"/>
        <w:tabs>
          <w:tab w:leader="none" w:pos="1824"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agrees to indemnify Rights Agent for, and hold Rights Agent harmless against, any loss, liability, claim, demands, suits or expense arising out of or in connection with Rights Agent’s duties under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including the costs and expenses of defending Rights Agent against any claims, charges, demands, suits or loss, unless such loss has been determined by a court of competent jurisdiction to be a result of Rights Agent’s gross negligence, bad faith or willful misconduct;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796"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agrees (i) to pay the fees and expenses of the Rights Agent in connection with this Agreement as agreed upon in writing by the Rights Agent and Parent on or prior to the date hereof; and (ii) without limiting the foregoing (i), (1) to reimburse the Rights Agent for all Taxes and governmental charges, reasonable expenses and other charges of any kind and nature incurred by the Rights Agent in the execution of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Rights Agent determines in the absence of bad faith that it has received a refund of any Tax or governmental charge borne by Parent pursuant to this clause (1), the Rights Agent shall promptly repay such refund to Parent, and (2) to reimburse the Rights Agent for all reasonable and necessary documented out-of-pocket expenses paid or incurred by it in connection with the administration by the Rights Agent of its duties hereunder;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21" w:name="page122"/>
    <w:bookmarkEnd w:id="121"/>
    <w:p>
      <w:pPr>
        <w:ind w:left="640" w:right="699" w:firstLine="1003"/>
        <w:spacing w:after="0" w:line="255" w:lineRule="auto"/>
        <w:tabs>
          <w:tab w:leader="none" w:pos="1796"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Holder shall be obliged to indemnify the Rights Agent for any services or actions under this Agreement and the Rights Agent shall not be entitled to deduct any sums from a CVR Payment Amount in any circumstance except as provided in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46" w:lineRule="auto"/>
        <w:tabs>
          <w:tab w:leader="none" w:pos="181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Agent may resign at any time by giving written notice thereof to Parent specifying a date when such resignation will take effect, which notice will be sent at least sixty (60) days prior to the date so specified but in no event will such resignation become effective until a successor Rights Agent has been appointed. Parent has the right to remove Rights Agent at any time by a Parent Board Resolution specifying a date when such removal will take effect, but no such removal will become effective until a successor Rights Agent has been appointed. Notice of such removal will be given by Parent to Rights Agent, which notice will be sent at least sixty (60) days prior to the date so specified. The Acting Holders have the right to remove the Rights Agent at any time by specifying a date when such removal shall take effect, but no such removal will become effective until a successor Rights Agent has been appointed. Notice of such removal will be given by the Acting Holders to Rights Agent, which notice will be sent at least sixty (60) days prior to the date so specified.</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72" w:lineRule="auto"/>
        <w:tabs>
          <w:tab w:leader="none" w:pos="1824"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Rights Agent provides notice of its intent to resign, is removed pursuant to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 xml:space="preserve"> 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The successor Rights Agent so appointed will, forthwith upon its acceptance of such appointment in accordance with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successor Rights Agent.</w:t>
      </w:r>
    </w:p>
    <w:p>
      <w:pPr>
        <w:spacing w:after="0" w:line="123" w:lineRule="exact"/>
        <w:rPr>
          <w:rFonts w:ascii="Times New Roman" w:cs="Times New Roman" w:eastAsia="Times New Roman" w:hAnsi="Times New Roman"/>
          <w:sz w:val="12"/>
          <w:szCs w:val="12"/>
          <w:color w:val="auto"/>
        </w:rPr>
      </w:pPr>
    </w:p>
    <w:p>
      <w:pPr>
        <w:ind w:left="640" w:right="679" w:firstLine="1003"/>
        <w:spacing w:after="0" w:line="279" w:lineRule="auto"/>
        <w:tabs>
          <w:tab w:leader="none" w:pos="181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in accordance with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the successor Rights Agent will cause the notice to be mailed at the expense of Parent.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122" w:name="page123"/>
    <w:bookmarkEnd w:id="122"/>
    <w:p>
      <w:pPr>
        <w:ind w:left="640" w:right="73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3.4 </w:t>
      </w:r>
      <w:r>
        <w:rPr>
          <w:rFonts w:ascii="Times New Roman" w:cs="Times New Roman" w:eastAsia="Times New Roman" w:hAnsi="Times New Roman"/>
          <w:sz w:val="13"/>
          <w:szCs w:val="13"/>
          <w:u w:val="single" w:color="auto"/>
          <w:color w:val="auto"/>
        </w:rPr>
        <w:t>Acceptance of Appointment by Successor</w:t>
      </w:r>
      <w:r>
        <w:rPr>
          <w:rFonts w:ascii="Times New Roman" w:cs="Times New Roman" w:eastAsia="Times New Roman" w:hAnsi="Times New Roman"/>
          <w:sz w:val="13"/>
          <w:szCs w:val="13"/>
          <w:color w:val="auto"/>
        </w:rPr>
        <w:t xml:space="preserve">. Every successor Rights Agent appointed pursuant to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w:t>
      </w:r>
    </w:p>
    <w:p>
      <w:pPr>
        <w:spacing w:after="0" w:line="28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7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u w:val="single" w:color="auto"/>
          <w:color w:val="auto"/>
        </w:rPr>
        <w:t>COVENANTS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List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8" w:lineRule="auto"/>
        <w:tabs>
          <w:tab w:leader="none" w:pos="1817" w:val="left"/>
        </w:tabs>
        <w:numPr>
          <w:ilvl w:val="1"/>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will furnish or cause to be furnished to the Rights Agent in such form as Parent receives from the Company’s transfer agent (or other agent performing similar services for the Company), the names and addresses of the Holders promptly after the Closing Date and in any event within thirty (30) days from the Closing Date and such other information as the Rights Agent may reasonably determine to be necessary to carry out its obligations under this Agreement. The Rights Agent will reflect such names and addresses on the CVR Register and confirm the write up of the CVR Register to Parent promptly thereafter and, in any event, within two (2) Business Days of the receipt of such names and addresses from Parent or the Company’s transfer agent, as the case may be.</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24"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Within five (5) Business Days after receipt by the Rights Agent of a written request by any three (3) or more Holders stating such Holders’ desire to communicate with other Holders with respect to their rights under this Agreement, and accompanied by a form of proxy or other communication which the requesting Holders propose to transmit, the Rights Agent shall elect to either (i) deliver to such requesting Holders all information in the possession or control of the Rights Agent as to the names and addresses of all Holders, or (ii) inform such requesting Holders of the approximate number of Holders and the approximate cost of mailing to all Holders the form of proxy or other communication, if any, specified in such written request. In the event the Rights Agent elects to provide the information specified in </w:t>
      </w:r>
      <w:r>
        <w:rPr>
          <w:rFonts w:ascii="Times New Roman" w:cs="Times New Roman" w:eastAsia="Times New Roman" w:hAnsi="Times New Roman"/>
          <w:sz w:val="12"/>
          <w:szCs w:val="12"/>
          <w:u w:val="single" w:color="auto"/>
          <w:color w:val="auto"/>
        </w:rPr>
        <w:t>Section 4.1(b)(ii)</w:t>
      </w:r>
      <w:r>
        <w:rPr>
          <w:rFonts w:ascii="Times New Roman" w:cs="Times New Roman" w:eastAsia="Times New Roman" w:hAnsi="Times New Roman"/>
          <w:sz w:val="12"/>
          <w:szCs w:val="12"/>
          <w:color w:val="auto"/>
        </w:rPr>
        <w:t>, the Rights Agent shall, upon the written request of the requesting Holders, mail or otherwise transmit to all Holders copies of the applicable form of proxy or other communication within ten</w:t>
      </w:r>
    </w:p>
    <w:p>
      <w:pPr>
        <w:spacing w:after="0" w:line="3"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82"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after the requesting Holders have provided to the Rights Agent the material to be mailed and payment, or provision for the payment, of the reasonable expenses of such mailing.</w:t>
      </w:r>
    </w:p>
    <w:p>
      <w:pPr>
        <w:spacing w:after="0" w:line="136" w:lineRule="exact"/>
        <w:rPr>
          <w:sz w:val="20"/>
          <w:szCs w:val="20"/>
          <w:color w:val="auto"/>
        </w:rPr>
      </w:pPr>
    </w:p>
    <w:p>
      <w:pPr>
        <w:ind w:left="640" w:right="7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Payment of CVR Payment Amounts</w:t>
      </w:r>
      <w:r>
        <w:rPr>
          <w:rFonts w:ascii="Times New Roman" w:cs="Times New Roman" w:eastAsia="Times New Roman" w:hAnsi="Times New Roman"/>
          <w:sz w:val="13"/>
          <w:szCs w:val="13"/>
          <w:color w:val="auto"/>
        </w:rPr>
        <w:t xml:space="preserve">. Only if (a) a CVR Product License has been executed by Parent or its Affiliates (including the Surviving Company) on or prior to the License Expiration Date, in any calendar quarter when Parent or any of its Affiliates is actually paid any License Proceeds, (b) the First Commercial Sale Milestone occurs on or prior to the License Expiration Date or (c) there are Net Sales of any CVR during a calendar quarter during the Royalty Term, Parent shall, on or before the CVR Payment Date with respect to such License Proceeds, the First Commercial Sale Milestone Payment or Royalties (as applicable), deposit with the Rights Agent, for payment to the Holders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aggregate amount necessary to pay the CVR Payment Amount for such calendar quarter to each of the Holders in accordance with this Agreement (not including amounts payable in respect of Equity Award CVRs). Notwithstanding anything to the contrary in this Agreement, once Parent has deposited the CVR Payment Amount in full with respect to the applicable License Proceeds, the First Commercial Sale Milestone Payment, or Royalties (as applicable) no further payments will be due with respect to such License Proceeds, the First Commercial Sale Milestone Payment or Net Sales (as applicable).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Parent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49" w:lineRule="auto"/>
        <w:tabs>
          <w:tab w:leader="none" w:pos="1817"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 w:cs="Times New Roman" w:eastAsia="Times New Roman" w:hAnsi="Times New Roman"/>
          <w:sz w:val="13"/>
          <w:szCs w:val="13"/>
          <w:u w:val="single" w:color="auto"/>
          <w:color w:val="auto"/>
        </w:rPr>
        <w:t>Material Amendment</w:t>
      </w:r>
      <w:r>
        <w:rPr>
          <w:rFonts w:ascii="Times New Roman" w:cs="Times New Roman" w:eastAsia="Times New Roman" w:hAnsi="Times New Roman"/>
          <w:sz w:val="13"/>
          <w:szCs w:val="13"/>
          <w:color w:val="auto"/>
        </w:rPr>
        <w:t>”). Nothing in the foregoing will prevent Parent or its Affiliates from amending or restating the CVR Product License to the extent necessary to settle disputes or to comply with applicable Law.</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promptly provide the Rights Agent with written notice if any CVR Product License is entered and without limiting the foregoing, in the event of any Material Amendment, and in each case, shall provide a copy of any agreement with respect thereto to the Rights Agent. The Rights Agent will promptly, and in any event, within ten (10) Business Days of receipt of any CVR Product License or Material Amendment, send each Holder at its registered address a copy thereof.</w:t>
      </w:r>
    </w:p>
    <w:p>
      <w:pPr>
        <w:spacing w:after="0" w:line="133" w:lineRule="exact"/>
        <w:rPr>
          <w:sz w:val="20"/>
          <w:szCs w:val="20"/>
          <w:color w:val="auto"/>
        </w:rPr>
      </w:pPr>
    </w:p>
    <w:p>
      <w:pPr>
        <w:ind w:left="640" w:right="7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CVR Product Licenses</w:t>
      </w:r>
      <w:r>
        <w:rPr>
          <w:rFonts w:ascii="Times New Roman" w:cs="Times New Roman" w:eastAsia="Times New Roman" w:hAnsi="Times New Roman"/>
          <w:sz w:val="13"/>
          <w:szCs w:val="13"/>
          <w:color w:val="auto"/>
        </w:rPr>
        <w:t>. Parent shall, and shall cause its Affiliates, to promptly provide the Rights Agent written notice in the event that the CVR Product License expires or otherwise terminates.</w:t>
      </w:r>
    </w:p>
    <w:p>
      <w:pPr>
        <w:spacing w:after="0" w:line="122"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Books and Records</w:t>
      </w:r>
      <w:r>
        <w:rPr>
          <w:rFonts w:ascii="Times New Roman" w:cs="Times New Roman" w:eastAsia="Times New Roman" w:hAnsi="Times New Roman"/>
          <w:sz w:val="13"/>
          <w:szCs w:val="13"/>
          <w:color w:val="auto"/>
        </w:rPr>
        <w:t>. Parent shall, and shall cause its Affiliates (including the Surviving Company) to, keep true, complete and accurate records in sufficient detail to enable the Holders, and their consultants and professional advisors (including the Independent Accountant) to confirm the accuracy of the CVR Payment Amounts payable under this Agreement (including the corresponding Net Sales and License Proceeds (as applicable) reported by Parent).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Audits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 w:cs="Times New Roman" w:eastAsia="Times New Roman" w:hAnsi="Times New Roman"/>
          <w:sz w:val="13"/>
          <w:szCs w:val="13"/>
          <w:u w:val="single" w:color="auto"/>
          <w:color w:val="auto"/>
        </w:rPr>
        <w:t>Independent Accountant</w:t>
      </w:r>
      <w:r>
        <w:rPr>
          <w:rFonts w:ascii="Times New Roman" w:cs="Times New Roman" w:eastAsia="Times New Roman" w:hAnsi="Times New Roman"/>
          <w:sz w:val="13"/>
          <w:szCs w:val="13"/>
          <w:color w:val="auto"/>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124" w:name="page125"/>
    <w:bookmarkEnd w:id="124"/>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materials (whether written, electronic or otherwise) reasonably requested by such Independent Accountant in connection with the foregoing (such materials, the “</w:t>
      </w:r>
      <w:r>
        <w:rPr>
          <w:rFonts w:ascii="Times New Roman" w:cs="Times New Roman" w:eastAsia="Times New Roman" w:hAnsi="Times New Roman"/>
          <w:sz w:val="13"/>
          <w:szCs w:val="13"/>
          <w:u w:val="single" w:color="auto"/>
          <w:color w:val="auto"/>
        </w:rPr>
        <w:t>CVR Verification Materials</w:t>
      </w:r>
      <w:r>
        <w:rPr>
          <w:rFonts w:ascii="Times New Roman" w:cs="Times New Roman" w:eastAsia="Times New Roman" w:hAnsi="Times New Roman"/>
          <w:sz w:val="13"/>
          <w:szCs w:val="13"/>
          <w:color w:val="auto"/>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w:t>
      </w:r>
    </w:p>
    <w:p>
      <w:pPr>
        <w:spacing w:after="0" w:line="136" w:lineRule="exact"/>
        <w:rPr>
          <w:sz w:val="20"/>
          <w:szCs w:val="20"/>
          <w:color w:val="auto"/>
        </w:rPr>
      </w:pPr>
    </w:p>
    <w:p>
      <w:pPr>
        <w:ind w:left="640" w:right="739" w:firstLine="1003"/>
        <w:spacing w:after="0" w:line="268" w:lineRule="auto"/>
        <w:tabs>
          <w:tab w:leader="none" w:pos="182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interest on such CVR License Proceeds at three (3) percentage points above the “prime rate” of interest as published in the Money Rates section of the </w:t>
      </w:r>
      <w:r>
        <w:rPr>
          <w:rFonts w:ascii="Times New Roman" w:cs="Times New Roman" w:eastAsia="Times New Roman" w:hAnsi="Times New Roman"/>
          <w:sz w:val="12"/>
          <w:szCs w:val="12"/>
          <w:i w:val="1"/>
          <w:iCs w:val="1"/>
          <w:color w:val="auto"/>
        </w:rPr>
        <w:t>Wall Street Journal</w:t>
      </w:r>
      <w:r>
        <w:rPr>
          <w:rFonts w:ascii="Times New Roman" w:cs="Times New Roman" w:eastAsia="Times New Roman" w:hAnsi="Times New Roman"/>
          <w:sz w:val="12"/>
          <w:szCs w:val="12"/>
          <w:color w:val="auto"/>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including interest being the “</w:t>
      </w:r>
      <w:r>
        <w:rPr>
          <w:rFonts w:ascii="Times New Roman" w:cs="Times New Roman" w:eastAsia="Times New Roman" w:hAnsi="Times New Roman"/>
          <w:sz w:val="12"/>
          <w:szCs w:val="12"/>
          <w:u w:val="single" w:color="auto"/>
          <w:color w:val="auto"/>
        </w:rPr>
        <w:t>CVR Shortfall</w:t>
      </w:r>
      <w:r>
        <w:rPr>
          <w:rFonts w:ascii="Times New Roman" w:cs="Times New Roman" w:eastAsia="Times New Roman" w:hAnsi="Times New Roman"/>
          <w:sz w:val="12"/>
          <w:szCs w:val="12"/>
          <w:color w:val="auto"/>
        </w:rPr>
        <w:t xml:space="preserve">”). The CVR Shortfall shall be paid by Parent within ten (10) days of the date the Independent Accountant delivers to Parent and the Acting Holders the Independent Accountant’s written report (as described in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The decision of the Independent Accountant shall be final, conclusive and binding on Parent and the Holders, shall be non-appealable and shall not be subject to further review.</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AMENDMENTS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Amendments without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1003"/>
        <w:spacing w:after="0" w:line="255" w:lineRule="auto"/>
        <w:tabs>
          <w:tab w:leader="none" w:pos="1817"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the consent of any Holders or the Rights Agent, Parent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125" w:name="page126"/>
    <w:bookmarkEnd w:id="125"/>
    <w:p>
      <w:pPr>
        <w:ind w:left="640" w:right="779" w:firstLine="1003"/>
        <w:spacing w:after="0" w:line="267" w:lineRule="auto"/>
        <w:tabs>
          <w:tab w:leader="none" w:pos="1824"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Without the consent of any Holders, Parent, at any time and from time to time, may enter into one or more amendments hereto, for any of the following purposes:</w:t>
      </w:r>
    </w:p>
    <w:p>
      <w:pPr>
        <w:spacing w:after="0" w:line="46" w:lineRule="exact"/>
        <w:rPr>
          <w:rFonts w:ascii="Times New Roman" w:cs="Times New Roman" w:eastAsia="Times New Roman" w:hAnsi="Times New Roman"/>
          <w:sz w:val="13"/>
          <w:szCs w:val="13"/>
          <w:color w:val="auto"/>
        </w:rPr>
      </w:pPr>
    </w:p>
    <w:p>
      <w:pPr>
        <w:ind w:left="940" w:right="779" w:firstLine="972"/>
        <w:spacing w:after="0" w:line="267" w:lineRule="auto"/>
        <w:tabs>
          <w:tab w:leader="none" w:pos="2056"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the succession of another Person as a successor Rights Agent and the assumption by any such successor of the covenants and obligations of the Rights Agent herein pursuant to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819" w:firstLine="972"/>
        <w:spacing w:after="0" w:line="267" w:lineRule="auto"/>
        <w:tabs>
          <w:tab w:leader="none" w:pos="2091"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the succession of another Person as the successor Rights Agent and the assumption by any such successor of the covenants and obligations of the Rights Agent herein in accordance with </w:t>
      </w:r>
      <w:r>
        <w:rPr>
          <w:rFonts w:ascii="Times New Roman" w:cs="Times New Roman" w:eastAsia="Times New Roman" w:hAnsi="Times New Roman"/>
          <w:sz w:val="13"/>
          <w:szCs w:val="13"/>
          <w:u w:val="single" w:color="auto"/>
          <w:color w:val="auto"/>
        </w:rPr>
        <w:t>Sections 3.3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19" w:firstLine="972"/>
        <w:spacing w:after="0" w:line="255" w:lineRule="auto"/>
        <w:tabs>
          <w:tab w:leader="none" w:pos="2126"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54" w:lineRule="exact"/>
        <w:rPr>
          <w:rFonts w:ascii="Times New Roman" w:cs="Times New Roman" w:eastAsia="Times New Roman" w:hAnsi="Times New Roman"/>
          <w:sz w:val="13"/>
          <w:szCs w:val="13"/>
          <w:color w:val="auto"/>
        </w:rPr>
      </w:pPr>
    </w:p>
    <w:p>
      <w:pPr>
        <w:jc w:val="both"/>
        <w:ind w:left="940" w:right="779" w:firstLine="972"/>
        <w:spacing w:after="0" w:line="255" w:lineRule="auto"/>
        <w:tabs>
          <w:tab w:leader="none" w:pos="2119"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54" w:lineRule="exact"/>
        <w:rPr>
          <w:rFonts w:ascii="Times New Roman" w:cs="Times New Roman" w:eastAsia="Times New Roman" w:hAnsi="Times New Roman"/>
          <w:sz w:val="13"/>
          <w:szCs w:val="13"/>
          <w:color w:val="auto"/>
        </w:rPr>
      </w:pPr>
    </w:p>
    <w:p>
      <w:pPr>
        <w:ind w:left="940" w:right="719" w:firstLine="972"/>
        <w:spacing w:after="0" w:line="255" w:lineRule="auto"/>
        <w:tabs>
          <w:tab w:leader="none" w:pos="2084"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 or</w:t>
      </w:r>
    </w:p>
    <w:p>
      <w:pPr>
        <w:spacing w:after="0" w:line="54" w:lineRule="exact"/>
        <w:rPr>
          <w:rFonts w:ascii="Times New Roman" w:cs="Times New Roman" w:eastAsia="Times New Roman" w:hAnsi="Times New Roman"/>
          <w:sz w:val="13"/>
          <w:szCs w:val="13"/>
          <w:color w:val="auto"/>
        </w:rPr>
      </w:pPr>
    </w:p>
    <w:p>
      <w:pPr>
        <w:ind w:left="940" w:right="1079" w:firstLine="972"/>
        <w:spacing w:after="0" w:line="267" w:lineRule="auto"/>
        <w:tabs>
          <w:tab w:leader="none" w:pos="2119"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other amendments hereto for the purpose of adding, eliminating or changing any provisions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addition, elimination or change does not adversely affect the interests of the Holders.</w:t>
      </w:r>
    </w:p>
    <w:p>
      <w:pPr>
        <w:spacing w:after="0" w:line="122" w:lineRule="exact"/>
        <w:rPr>
          <w:rFonts w:ascii="Times New Roman" w:cs="Times New Roman" w:eastAsia="Times New Roman" w:hAnsi="Times New Roman"/>
          <w:sz w:val="13"/>
          <w:szCs w:val="13"/>
          <w:color w:val="auto"/>
        </w:rPr>
      </w:pPr>
    </w:p>
    <w:p>
      <w:pPr>
        <w:ind w:left="640" w:right="859" w:firstLine="1003"/>
        <w:spacing w:after="0" w:line="255" w:lineRule="auto"/>
        <w:tabs>
          <w:tab w:leader="none" w:pos="1817"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such amendment.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Amendments with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49" w:lineRule="auto"/>
        <w:tabs>
          <w:tab w:leader="none" w:pos="1817"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(which amendments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such amendment shall, without the consent of the Holders of not less than sixty-six percent (66%) of the outstanding CVRs:</w:t>
      </w:r>
    </w:p>
    <w:p>
      <w:pPr>
        <w:spacing w:after="0" w:line="58" w:lineRule="exact"/>
        <w:rPr>
          <w:rFonts w:ascii="Times New Roman" w:cs="Times New Roman" w:eastAsia="Times New Roman" w:hAnsi="Times New Roman"/>
          <w:sz w:val="13"/>
          <w:szCs w:val="13"/>
          <w:color w:val="auto"/>
        </w:rPr>
      </w:pPr>
    </w:p>
    <w:p>
      <w:pPr>
        <w:ind w:left="940" w:right="699" w:firstLine="972"/>
        <w:spacing w:after="0" w:line="251" w:lineRule="auto"/>
        <w:tabs>
          <w:tab w:leader="none" w:pos="2056"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Payment, CVR Payment Amount, Net Sales, Royalty Term or Royalties;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126" w:name="page127"/>
    <w:bookmarkEnd w:id="126"/>
    <w:p>
      <w:pPr>
        <w:ind w:left="2100" w:hanging="188"/>
        <w:spacing w:after="0"/>
        <w:tabs>
          <w:tab w:leader="none" w:pos="210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reduce the number of CVRs; or</w:t>
      </w:r>
    </w:p>
    <w:p>
      <w:pPr>
        <w:spacing w:after="0" w:line="77" w:lineRule="exact"/>
        <w:rPr>
          <w:rFonts w:ascii="Times New Roman" w:cs="Times New Roman" w:eastAsia="Times New Roman" w:hAnsi="Times New Roman"/>
          <w:sz w:val="13"/>
          <w:szCs w:val="13"/>
          <w:color w:val="auto"/>
        </w:rPr>
      </w:pPr>
    </w:p>
    <w:p>
      <w:pPr>
        <w:ind w:left="940" w:right="759" w:firstLine="972"/>
        <w:spacing w:after="0" w:line="255" w:lineRule="auto"/>
        <w:tabs>
          <w:tab w:leader="none" w:pos="2126"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modify any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13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 xml:space="preserve">No amendment pursuant to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shall adversely affect the interest of a Holder (in its capacity as a Holder) relative to the interests of all other Holders, without the prior written consent of the affected Holder.</w:t>
      </w:r>
    </w:p>
    <w:p>
      <w:pPr>
        <w:spacing w:after="0" w:line="122" w:lineRule="exact"/>
        <w:rPr>
          <w:sz w:val="20"/>
          <w:szCs w:val="20"/>
          <w:color w:val="auto"/>
        </w:rPr>
      </w:pPr>
    </w:p>
    <w:p>
      <w:pPr>
        <w:ind w:left="640" w:right="839" w:firstLine="1003"/>
        <w:spacing w:after="0" w:line="255" w:lineRule="auto"/>
        <w:tabs>
          <w:tab w:leader="none" w:pos="1824"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such amendment.</w:t>
      </w:r>
    </w:p>
    <w:p>
      <w:pPr>
        <w:spacing w:after="0" w:line="130"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Execution of Amendments</w:t>
      </w:r>
      <w:r>
        <w:rPr>
          <w:rFonts w:ascii="Times New Roman" w:cs="Times New Roman" w:eastAsia="Times New Roman" w:hAnsi="Times New Roman"/>
          <w:sz w:val="13"/>
          <w:szCs w:val="13"/>
          <w:color w:val="auto"/>
        </w:rPr>
        <w:t xml:space="preserve">. In executing any amendment permitted by this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Any purported amendment to this Agreement not made in accordance with this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shall be void ab initio and be of no force or effect.</w:t>
      </w:r>
    </w:p>
    <w:p>
      <w:pPr>
        <w:spacing w:after="0" w:line="134" w:lineRule="exact"/>
        <w:rPr>
          <w:sz w:val="20"/>
          <w:szCs w:val="20"/>
          <w:color w:val="auto"/>
        </w:rPr>
      </w:pPr>
    </w:p>
    <w:p>
      <w:pPr>
        <w:ind w:left="640" w:right="1039" w:firstLine="696"/>
        <w:spacing w:after="0" w:line="309" w:lineRule="auto"/>
        <w:rPr>
          <w:sz w:val="20"/>
          <w:szCs w:val="20"/>
          <w:color w:val="auto"/>
        </w:rPr>
      </w:pPr>
      <w:r>
        <w:rPr>
          <w:rFonts w:ascii="Times New Roman" w:cs="Times New Roman" w:eastAsia="Times New Roman" w:hAnsi="Times New Roman"/>
          <w:sz w:val="12"/>
          <w:szCs w:val="12"/>
          <w:color w:val="auto"/>
        </w:rPr>
        <w:t xml:space="preserve">Section 5.4 </w:t>
      </w:r>
      <w:r>
        <w:rPr>
          <w:rFonts w:ascii="Times New Roman" w:cs="Times New Roman" w:eastAsia="Times New Roman" w:hAnsi="Times New Roman"/>
          <w:sz w:val="12"/>
          <w:szCs w:val="12"/>
          <w:u w:val="single" w:color="auto"/>
          <w:color w:val="auto"/>
        </w:rPr>
        <w:t>Effect of Amendments</w:t>
      </w:r>
      <w:r>
        <w:rPr>
          <w:rFonts w:ascii="Times New Roman" w:cs="Times New Roman" w:eastAsia="Times New Roman" w:hAnsi="Times New Roman"/>
          <w:sz w:val="12"/>
          <w:szCs w:val="12"/>
          <w:color w:val="auto"/>
        </w:rPr>
        <w:t xml:space="preserve">. Upon the execution of any amendment under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this Agreement will be modified in accordance therewith, such amendment will form a part of this Agreement for all purposes and every Holder will be bound thereby.</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OTHER PROVISIONS OF GENERAL APPLICATION</w:t>
      </w:r>
    </w:p>
    <w:p>
      <w:pPr>
        <w:spacing w:after="0" w:line="156" w:lineRule="exact"/>
        <w:rPr>
          <w:sz w:val="20"/>
          <w:szCs w:val="20"/>
          <w:color w:val="auto"/>
        </w:rPr>
      </w:pPr>
    </w:p>
    <w:p>
      <w:pPr>
        <w:ind w:left="640" w:right="8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Notices to Rights Agent and Parent</w:t>
      </w:r>
      <w:r>
        <w:rPr>
          <w:rFonts w:ascii="Times New Roman" w:cs="Times New Roman" w:eastAsia="Times New Roman" w:hAnsi="Times New Roman"/>
          <w:sz w:val="13"/>
          <w:szCs w:val="13"/>
          <w:color w:val="auto"/>
        </w:rPr>
        <w:t>. Any notice or other communication required or permitted hereunder shall be in writing and shall be deemed given when delivered in person, by overnight courier, by facsimile transmission (with receipt confirmed by telephone or by automatic transmission report) or by electronic mail, or two (2) Business Days after being sent by registered or certified mail (postage prepaid, return receipt requested), as follows:</w:t>
      </w:r>
    </w:p>
    <w:p>
      <w:pPr>
        <w:spacing w:after="0" w:line="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the Rights Agent, to it at:</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[            ]</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127" w:name="page128"/>
    <w:bookmarkEnd w:id="12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[            ]</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Parent, to it at:</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Zymeworks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114 East 4th Avenue, Suite 800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Vancouver, BC, Canada V5T 1G4</w:t>
      </w:r>
    </w:p>
    <w:p>
      <w:pPr>
        <w:spacing w:after="0" w:line="2" w:lineRule="exact"/>
        <w:rPr>
          <w:sz w:val="20"/>
          <w:szCs w:val="20"/>
          <w:color w:val="auto"/>
        </w:rPr>
      </w:pPr>
    </w:p>
    <w:p>
      <w:pPr>
        <w:ind w:left="1640"/>
        <w:spacing w:after="0"/>
        <w:tabs>
          <w:tab w:leader="none" w:pos="2320" w:val="left"/>
        </w:tabs>
        <w:rPr>
          <w:sz w:val="20"/>
          <w:szCs w:val="20"/>
          <w:color w:val="auto"/>
        </w:rPr>
      </w:pPr>
      <w:r>
        <w:rPr>
          <w:rFonts w:ascii="Times New Roman" w:cs="Times New Roman" w:eastAsia="Times New Roman" w:hAnsi="Times New Roman"/>
          <w:sz w:val="13"/>
          <w:szCs w:val="13"/>
          <w:color w:val="auto"/>
        </w:rPr>
        <w:t>Attention:</w:t>
        <w:tab/>
        <w:t>Scott Platshon</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Kristin Stafford</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Paul Schneider</w:t>
      </w:r>
    </w:p>
    <w:p>
      <w:pPr>
        <w:spacing w:after="0" w:line="2" w:lineRule="exact"/>
        <w:rPr>
          <w:sz w:val="20"/>
          <w:szCs w:val="20"/>
          <w:color w:val="auto"/>
        </w:rPr>
      </w:pPr>
    </w:p>
    <w:p>
      <w:pPr>
        <w:ind w:left="1640"/>
        <w:spacing w:after="0"/>
        <w:tabs>
          <w:tab w:leader="none" w:pos="232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Kirkland &amp; Ellis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200 Clarendon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02116</w:t>
      </w:r>
    </w:p>
    <w:p>
      <w:pPr>
        <w:spacing w:after="0" w:line="2" w:lineRule="exact"/>
        <w:rPr>
          <w:sz w:val="20"/>
          <w:szCs w:val="20"/>
          <w:color w:val="auto"/>
        </w:rPr>
      </w:pPr>
    </w:p>
    <w:p>
      <w:pPr>
        <w:ind w:left="1640"/>
        <w:spacing w:after="0"/>
        <w:tabs>
          <w:tab w:leader="none" w:pos="2320" w:val="left"/>
        </w:tabs>
        <w:rPr>
          <w:sz w:val="20"/>
          <w:szCs w:val="20"/>
          <w:color w:val="auto"/>
        </w:rPr>
      </w:pPr>
      <w:r>
        <w:rPr>
          <w:rFonts w:ascii="Times New Roman" w:cs="Times New Roman" w:eastAsia="Times New Roman" w:hAnsi="Times New Roman"/>
          <w:sz w:val="13"/>
          <w:szCs w:val="13"/>
          <w:color w:val="auto"/>
        </w:rPr>
        <w:t>Attention:</w:t>
        <w:tab/>
        <w:t>Graham Robinson</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Rachael G. Coffey</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Dan Li</w:t>
      </w:r>
    </w:p>
    <w:p>
      <w:pPr>
        <w:spacing w:after="0" w:line="2" w:lineRule="exact"/>
        <w:rPr>
          <w:sz w:val="20"/>
          <w:szCs w:val="20"/>
          <w:color w:val="auto"/>
        </w:rPr>
      </w:pPr>
    </w:p>
    <w:p>
      <w:pPr>
        <w:ind w:left="1640"/>
        <w:spacing w:after="0"/>
        <w:tabs>
          <w:tab w:leader="none" w:pos="232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3"/>
          <w:szCs w:val="13"/>
          <w:color w:val="auto"/>
        </w:rPr>
        <w:t>graham.robinson@kirkland.com</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rachael.coffey@kirkland.com</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dan.li@kirkland.com</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The Rights Agent or Parent may specify a different address or facsimile number by giving notice in accordance with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Notice to Holders</w:t>
      </w:r>
      <w:r>
        <w:rPr>
          <w:rFonts w:ascii="Times New Roman" w:cs="Times New Roman" w:eastAsia="Times New Roman" w:hAnsi="Times New Roman"/>
          <w:sz w:val="13"/>
          <w:szCs w:val="13"/>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34"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Section 6.3 </w:t>
      </w:r>
      <w:r>
        <w:rPr>
          <w:rFonts w:ascii="Times New Roman" w:cs="Times New Roman" w:eastAsia="Times New Roman" w:hAnsi="Times New Roman"/>
          <w:sz w:val="12"/>
          <w:szCs w:val="12"/>
          <w:u w:val="single" w:color="auto"/>
          <w:color w:val="auto"/>
        </w:rPr>
        <w:t>Parent Successors and Assigns; Change of Control</w:t>
      </w:r>
      <w:r>
        <w:rPr>
          <w:rFonts w:ascii="Times New Roman" w:cs="Times New Roman" w:eastAsia="Times New Roman" w:hAnsi="Times New Roman"/>
          <w:sz w:val="12"/>
          <w:szCs w:val="12"/>
          <w:color w:val="auto"/>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 w:cs="Times New Roman" w:eastAsia="Times New Roman" w:hAnsi="Times New Roman"/>
          <w:sz w:val="12"/>
          <w:szCs w:val="12"/>
          <w:u w:val="single" w:color="auto"/>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shall be void and of no effect.</w:t>
      </w:r>
    </w:p>
    <w:p>
      <w:pPr>
        <w:spacing w:after="0" w:line="125" w:lineRule="exact"/>
        <w:rPr>
          <w:sz w:val="20"/>
          <w:szCs w:val="20"/>
          <w:color w:val="auto"/>
        </w:rPr>
      </w:pPr>
    </w:p>
    <w:p>
      <w:pPr>
        <w:ind w:left="640" w:right="7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Section 6.4 </w:t>
      </w:r>
      <w:r>
        <w:rPr>
          <w:rFonts w:ascii="Times New Roman" w:cs="Times New Roman" w:eastAsia="Times New Roman" w:hAnsi="Times New Roman"/>
          <w:sz w:val="13"/>
          <w:szCs w:val="13"/>
          <w:u w:val="single" w:color="auto"/>
          <w:color w:val="auto"/>
        </w:rPr>
        <w:t>Benefits of Agreement</w:t>
      </w:r>
      <w:r>
        <w:rPr>
          <w:rFonts w:ascii="Times New Roman" w:cs="Times New Roman" w:eastAsia="Times New Roman" w:hAnsi="Times New Roman"/>
          <w:sz w:val="13"/>
          <w:szCs w:val="13"/>
          <w:color w:val="auto"/>
        </w:rPr>
        <w:t>. Nothing in this Agreement, express or implied, will give to any Person (other than the Rights Agent, Parent, Parent’s successors and Assignees,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128" w:name="page129"/>
    <w:bookmarkEnd w:id="128"/>
    <w:p>
      <w:pPr>
        <w:jc w:val="both"/>
        <w:ind w:left="640" w:right="9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are limited to those expressly provided in this Agreement and the Merger Agreement. Notwithstanding anything to the contrary contained herein, any Holder or Holder’s successor or assign pursuant to a Permitted Transfer may agree to renounce, in whole or in part, its rights under this Agreement by written notice to the Rights Agent and Parent, which notice, if given, shall be irrevocable.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1003"/>
        <w:spacing w:after="0" w:line="255" w:lineRule="auto"/>
        <w:tabs>
          <w:tab w:leader="none" w:pos="1817" w:val="left"/>
        </w:tabs>
        <w:numPr>
          <w:ilvl w:val="1"/>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the CVRs and all actions arising under or in connection therewith shall be governed by and construed in accordance with the laws of the State of Delaware, regardless of the laws that might otherwise govern under applicable principles of conflicts of law thereof.</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9" w:lineRule="auto"/>
        <w:tabs>
          <w:tab w:leader="none" w:pos="1824"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w:t>
      </w:r>
      <w:r>
        <w:rPr>
          <w:rFonts w:ascii="Times New Roman" w:cs="Times New Roman" w:eastAsia="Times New Roman" w:hAnsi="Times New Roman"/>
          <w:sz w:val="12"/>
          <w:szCs w:val="12"/>
          <w:u w:val="single" w:color="auto"/>
          <w:color w:val="auto"/>
        </w:rPr>
        <w:t>Section 6.5(b)(i)</w:t>
      </w:r>
      <w:r>
        <w:rPr>
          <w:rFonts w:ascii="Times New Roman" w:cs="Times New Roman" w:eastAsia="Times New Roman" w:hAnsi="Times New Roman"/>
          <w:sz w:val="12"/>
          <w:szCs w:val="12"/>
          <w:color w:val="auto"/>
        </w:rPr>
        <w:t>, (iii) waives any objection to laying venue in any such action or proceeding in such courts,</w:t>
      </w:r>
    </w:p>
    <w:p>
      <w:pPr>
        <w:ind w:left="640" w:right="739" w:hanging="3"/>
        <w:spacing w:after="0" w:line="244" w:lineRule="auto"/>
        <w:tabs>
          <w:tab w:leader="none" w:pos="854"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waives any objection that such courts are an inconvenient forum or do not have jurisdiction over any party and (v) agrees that service of process in English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Each of the parties irrevocably agrees that, subject to any available appeal rights, any decision, order, or judgment issued by such above named courts shall be binding and enforceable, and irrevocably agrees to abide by any such decision, order, or judgment.</w:t>
      </w:r>
    </w:p>
    <w:p>
      <w:pPr>
        <w:spacing w:after="0" w:line="137"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17"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HERETO HEREBY WAIVES, TO THE FULLEST EXTENT PERMITTED BY APPLICABLE LAW, ANY RIGHT IT MAY HAVE TO A TRIAL BY JURY IN RESPECT OF ANY ACTION ARISING OUT OF THIS AGREEMENT OR THE TRANSACTIONS CONTEMPLATED BY THIS AGREEMENT.</w:t>
      </w:r>
    </w:p>
    <w:p>
      <w:pPr>
        <w:spacing w:after="0" w:line="130" w:lineRule="exact"/>
        <w:rPr>
          <w:sz w:val="20"/>
          <w:szCs w:val="20"/>
          <w:color w:val="auto"/>
        </w:rPr>
      </w:pPr>
    </w:p>
    <w:p>
      <w:pPr>
        <w:ind w:left="640" w:right="7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w:t>
      </w:r>
    </w:p>
    <w:p>
      <w:pPr>
        <w:spacing w:after="0" w:line="134"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Counterparts and Signature</w:t>
      </w:r>
      <w:r>
        <w:rPr>
          <w:rFonts w:ascii="Times New Roman" w:cs="Times New Roman" w:eastAsia="Times New Roman" w:hAnsi="Times New Roman"/>
          <w:sz w:val="13"/>
          <w:szCs w:val="13"/>
          <w:color w:val="auto"/>
        </w:rPr>
        <w:t>.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129" w:name="page130"/>
    <w:bookmarkEnd w:id="129"/>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6.8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will terminate and be of no force or effect, the parties hereto will have no liability hereunder (other than with respect to monies due and owing by Parent to the Rights Agent prior to the effectiveness of such termination), and no payments will be required to be made,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w:t>
      </w:r>
    </w:p>
    <w:p>
      <w:pPr>
        <w:spacing w:after="0" w:line="135" w:lineRule="exact"/>
        <w:rPr>
          <w:sz w:val="20"/>
          <w:szCs w:val="20"/>
          <w:color w:val="auto"/>
        </w:rPr>
      </w:pPr>
    </w:p>
    <w:p>
      <w:pPr>
        <w:ind w:left="640" w:right="699" w:firstLine="696"/>
        <w:spacing w:after="0" w:line="279" w:lineRule="auto"/>
        <w:rPr>
          <w:sz w:val="20"/>
          <w:szCs w:val="20"/>
          <w:color w:val="auto"/>
        </w:rPr>
      </w:pPr>
      <w:r>
        <w:rPr>
          <w:rFonts w:ascii="Times New Roman" w:cs="Times New Roman" w:eastAsia="Times New Roman" w:hAnsi="Times New Roman"/>
          <w:sz w:val="12"/>
          <w:szCs w:val="12"/>
          <w:color w:val="auto"/>
        </w:rPr>
        <w:t xml:space="preserve">Section 6.9 </w:t>
      </w:r>
      <w:r>
        <w:rPr>
          <w:rFonts w:ascii="Times New Roman" w:cs="Times New Roman" w:eastAsia="Times New Roman" w:hAnsi="Times New Roman"/>
          <w:sz w:val="12"/>
          <w:szCs w:val="12"/>
          <w:u w:val="single" w:color="auto"/>
          <w:color w:val="auto"/>
        </w:rPr>
        <w:t>Force Majeure</w:t>
      </w:r>
      <w:r>
        <w:rPr>
          <w:rFonts w:ascii="Times New Roman" w:cs="Times New Roman" w:eastAsia="Times New Roman" w:hAnsi="Times New Roman"/>
          <w:sz w:val="12"/>
          <w:szCs w:val="12"/>
          <w:color w:val="auto"/>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labor disputes or strikes (other than with respect to the affected party and its Affiliates), war or civil unrest, it being understood that such parties shall use commercially reasonable efforts to resume performance as soon as reasonably practicable under the circumstances.</w:t>
      </w:r>
    </w:p>
    <w:p>
      <w:pPr>
        <w:spacing w:after="0" w:line="116" w:lineRule="exact"/>
        <w:rPr>
          <w:sz w:val="20"/>
          <w:szCs w:val="20"/>
          <w:color w:val="auto"/>
        </w:rPr>
      </w:pPr>
    </w:p>
    <w:p>
      <w:pPr>
        <w:ind w:left="640" w:right="699" w:firstLine="696"/>
        <w:spacing w:after="0" w:line="247"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The Rights Agent and Parent agree that all books, records, information and data pertaining to the business of the other party that are exchanged or received pursuant to the negotiation or the carrying out of this Agreement, including the amount and terms of fees for services, any CVR Product License (or amendment thereto) or the RP Agreement (or amendment thereto), shall remain confidential and shall be used solely to perform their respective obligations under this Agreement, and shall not be voluntarily disclosed to any other Person, except as may be required by applicable Law.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Law.</w:t>
      </w:r>
    </w:p>
    <w:p>
      <w:pPr>
        <w:spacing w:after="0" w:line="136"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supersedes all prior agreements, written or oral, among the parties with respect hereto and thereto. If and to the extent that any provision of this Agreement is inconsistent or conflicts with the Merger Agreement, this Agreement will govern and be controlling with respect to the CVRs.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130" w:name="page131"/>
    <w:bookmarkEnd w:id="130"/>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each of the parties has caused this Agreement to be executed on its behalf by its duly authorized officers as of the day and year first above written.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ZYMEWORKS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[RIGHTS AGENT]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31" w:right="1440" w:bottom="1440" w:gutter="0" w:footer="0" w:header="0"/>
        </w:sectPr>
      </w:pPr>
    </w:p>
    <w:bookmarkStart w:id="131" w:name="page132"/>
    <w:bookmarkEnd w:id="13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119380</wp:posOffset>
            </wp:positionV>
            <wp:extent cx="1402080" cy="631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02080"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Zymeworks to Acquire Theravance Biopharma, Inc.</w:t>
      </w:r>
    </w:p>
    <w:p>
      <w:pPr>
        <w:spacing w:after="0" w:line="173" w:lineRule="exact"/>
        <w:rPr>
          <w:sz w:val="20"/>
          <w:szCs w:val="20"/>
          <w:color w:val="auto"/>
        </w:rPr>
      </w:pPr>
    </w:p>
    <w:p>
      <w:pPr>
        <w:ind w:left="1320" w:right="1019" w:hanging="303"/>
        <w:spacing w:after="0" w:line="214"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Acquisition adds YUPELRI</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(revefenacin), the first and only approved nebulized long-acting muscarinic antagonist (LAMA) for the maintenance treatment of COPD to Zymeworks’ portfolio</w:t>
      </w:r>
    </w:p>
    <w:p>
      <w:pPr>
        <w:spacing w:after="0" w:line="70" w:lineRule="exact"/>
        <w:rPr>
          <w:rFonts w:ascii="Times New Roman" w:cs="Times New Roman" w:eastAsia="Times New Roman" w:hAnsi="Times New Roman"/>
          <w:sz w:val="13"/>
          <w:szCs w:val="13"/>
          <w:color w:val="auto"/>
        </w:rPr>
      </w:pPr>
    </w:p>
    <w:p>
      <w:pPr>
        <w:ind w:left="1320" w:right="959" w:hanging="303"/>
        <w:spacing w:after="0" w:line="270"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Acquisition of Theravance Biopharma at $17 per share is supported by an innovative non-recourse financing structure that enhances shareholder value by minimizing Zymeworks’ net capital at risk</w:t>
      </w:r>
    </w:p>
    <w:p>
      <w:pPr>
        <w:spacing w:after="0" w:line="52" w:lineRule="exact"/>
        <w:rPr>
          <w:rFonts w:ascii="Times New Roman" w:cs="Times New Roman" w:eastAsia="Times New Roman" w:hAnsi="Times New Roman"/>
          <w:sz w:val="13"/>
          <w:szCs w:val="13"/>
          <w:color w:val="auto"/>
        </w:rPr>
      </w:pPr>
    </w:p>
    <w:p>
      <w:pPr>
        <w:ind w:left="1320" w:right="759" w:hanging="303"/>
        <w:spacing w:after="0" w:line="214"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Transaction expected to be accretive to earnings and cash flow upon closing. YUPELRI</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U.S. profit share and ex-U.S. royalties generate ~$60 million annualised cash flow at current run-rates, with continued expected growth</w:t>
      </w:r>
    </w:p>
    <w:p>
      <w:pPr>
        <w:spacing w:after="0" w:line="70" w:lineRule="exact"/>
        <w:rPr>
          <w:rFonts w:ascii="Times New Roman" w:cs="Times New Roman" w:eastAsia="Times New Roman" w:hAnsi="Times New Roman"/>
          <w:sz w:val="13"/>
          <w:szCs w:val="13"/>
          <w:color w:val="auto"/>
        </w:rPr>
      </w:pPr>
    </w:p>
    <w:p>
      <w:pPr>
        <w:ind w:left="1320" w:right="819" w:hanging="303"/>
        <w:spacing w:after="0" w:line="209"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Transaction financed primarily by $350 million non-recourse note secured solely by U.S. YUPELRI</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profit share from OMERS Life Sciences, and Theravance Biopharma’s expected net cash balance of $360 million at closing. Zymeworks will contribute $219 million of cash at close and expects to receive $100 million TRELEGY ELLIPTA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milestone in Q1 2027, assuming milestone conditions met, offsetting cash outlay</w:t>
      </w:r>
    </w:p>
    <w:p>
      <w:pPr>
        <w:spacing w:after="0" w:line="70" w:lineRule="exact"/>
        <w:rPr>
          <w:rFonts w:ascii="Times New Roman" w:cs="Times New Roman" w:eastAsia="Times New Roman" w:hAnsi="Times New Roman"/>
          <w:sz w:val="13"/>
          <w:szCs w:val="13"/>
          <w:color w:val="auto"/>
        </w:rPr>
      </w:pPr>
    </w:p>
    <w:p>
      <w:pPr>
        <w:jc w:val="both"/>
        <w:ind w:left="1320" w:right="1039" w:hanging="303"/>
        <w:spacing w:after="0" w:line="222"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Acquisition adds diversified assets beyond YUPELRI</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including additional royalty interests, milestone payments, a preclinical I&amp;I portfolio, and $2.5 billion in Irish tax attributes, further strengthening both potential near-term cash flow generation and long-term development optionality</w:t>
      </w:r>
    </w:p>
    <w:p>
      <w:pPr>
        <w:spacing w:after="0" w:line="72" w:lineRule="exact"/>
        <w:rPr>
          <w:rFonts w:ascii="Times New Roman" w:cs="Times New Roman" w:eastAsia="Times New Roman" w:hAnsi="Times New Roman"/>
          <w:sz w:val="13"/>
          <w:szCs w:val="13"/>
          <w:color w:val="auto"/>
        </w:rPr>
      </w:pPr>
    </w:p>
    <w:p>
      <w:pPr>
        <w:ind w:left="1320" w:right="939" w:hanging="303"/>
        <w:spacing w:after="0" w:line="270" w:lineRule="auto"/>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Continued execution of Zymeworks share repurchase program for up to $125 million of common shares reflects ongoing capacity and intent to deploy capital for future buybacks</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Conference call with Zymeworks management today at 8:30 am Eastern Time (ET)</w:t>
      </w:r>
    </w:p>
    <w:p>
      <w:pPr>
        <w:spacing w:after="0" w:line="154" w:lineRule="exact"/>
        <w:rPr>
          <w:sz w:val="20"/>
          <w:szCs w:val="20"/>
          <w:color w:val="auto"/>
        </w:rPr>
      </w:pPr>
    </w:p>
    <w:p>
      <w:pPr>
        <w:ind w:left="640" w:right="679"/>
        <w:spacing w:after="0" w:line="232" w:lineRule="auto"/>
        <w:rPr>
          <w:sz w:val="20"/>
          <w:szCs w:val="20"/>
          <w:color w:val="auto"/>
        </w:rPr>
      </w:pPr>
      <w:r>
        <w:rPr>
          <w:rFonts w:ascii="Times New Roman" w:cs="Times New Roman" w:eastAsia="Times New Roman" w:hAnsi="Times New Roman"/>
          <w:sz w:val="13"/>
          <w:szCs w:val="13"/>
          <w:b w:val="1"/>
          <w:bCs w:val="1"/>
          <w:color w:val="auto"/>
        </w:rPr>
        <w:t xml:space="preserve">Vancouver, British Columbia (June 29, 2026) </w:t>
      </w:r>
      <w:r>
        <w:rPr>
          <w:rFonts w:ascii="Times New Roman" w:cs="Times New Roman" w:eastAsia="Times New Roman" w:hAnsi="Times New Roman"/>
          <w:sz w:val="13"/>
          <w:szCs w:val="13"/>
          <w:color w:val="auto"/>
        </w:rPr>
        <w:t>– Zymeworks Inc. (Nasdaq: ZYME) (the “Company”), a biotechnology company managing a portfolio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of licensed healthcare assets and developing a diverse pipeline of novel, multifunctional biotherapeutics, today announced it has entered into a definitive agreement to acquire Theravance Biopharma, Inc. (NASDAQ: TBPH); a biopharmaceutical company focused on delivering </w:t>
      </w:r>
      <w:r>
        <w:rPr>
          <w:rFonts w:ascii="Times New Roman" w:cs="Times New Roman" w:eastAsia="Times New Roman" w:hAnsi="Times New Roman"/>
          <w:sz w:val="13"/>
          <w:szCs w:val="13"/>
          <w:i w:val="1"/>
          <w:iCs w:val="1"/>
          <w:color w:val="auto"/>
        </w:rPr>
        <w:t>Medicines that Make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Difference</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people’s lives. This proposed acquisition adds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the first and only nebulized, once-daily, long-acting muscarinic antagonist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(LAMA) for the maintenance treatment of chronic obstructive pulmonary disease (COPD), to Zymeworks’ partnered portfolio, furthering the Company’s commitment to improving outcomes for patients with serious diseases.</w:t>
      </w:r>
    </w:p>
    <w:p>
      <w:pPr>
        <w:spacing w:after="0" w:line="141" w:lineRule="exact"/>
        <w:rPr>
          <w:sz w:val="20"/>
          <w:szCs w:val="20"/>
          <w:color w:val="auto"/>
        </w:rPr>
      </w:pPr>
    </w:p>
    <w:p>
      <w:pPr>
        <w:ind w:left="640" w:right="719"/>
        <w:spacing w:after="0" w:line="233" w:lineRule="auto"/>
        <w:rPr>
          <w:sz w:val="20"/>
          <w:szCs w:val="20"/>
          <w:color w:val="auto"/>
        </w:rPr>
      </w:pPr>
      <w:r>
        <w:rPr>
          <w:rFonts w:ascii="Times New Roman" w:cs="Times New Roman" w:eastAsia="Times New Roman" w:hAnsi="Times New Roman"/>
          <w:sz w:val="13"/>
          <w:szCs w:val="13"/>
          <w:color w:val="auto"/>
        </w:rPr>
        <w:t>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is positioned to add near-term commercial cash flows for Zymeworks upon closing, alongside existing Ziihera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(zanidatamab-hrii) cash flows, supporting a disciplined, and self-sustaining capital allocation model in which proceeds are reinvested to further advance our internal research and development portfolio, acquire additional partnered assets, and return capital to shareholders. Unlike traditional royalty business models, which are generally limited to passive participation, Zymeworks’ differentiated approach enables the acquisition and active restructuring of businesses to generate royalty-like economics with greater control, strategic flexibility, and a clear focus on long-term value creation. Zymeworks’ differentiated model, pairing an efficient internal infrastructure with diversified cash flows, uniquely positions the Company to capitalize on the value of Theravance Biopharma’s business.</w:t>
      </w:r>
    </w:p>
    <w:p>
      <w:pPr>
        <w:sectPr>
          <w:pgSz w:w="11900" w:h="16838" w:orient="portrait"/>
          <w:cols w:equalWidth="0" w:num="1">
            <w:col w:w="9019"/>
          </w:cols>
          <w:pgMar w:left="1440" w:top="125" w:right="1440" w:bottom="1440" w:gutter="0" w:footer="0" w:header="0"/>
        </w:sectPr>
      </w:pPr>
    </w:p>
    <w:bookmarkStart w:id="132" w:name="page133"/>
    <w:bookmarkEnd w:id="13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YUPELRI</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adds an anticipated long-duration and potentially growing cash flow stream</w:t>
      </w:r>
    </w:p>
    <w:p>
      <w:pPr>
        <w:spacing w:after="0" w:line="46" w:lineRule="exact"/>
        <w:rPr>
          <w:sz w:val="20"/>
          <w:szCs w:val="20"/>
          <w:color w:val="auto"/>
        </w:rPr>
      </w:pPr>
    </w:p>
    <w:p>
      <w:pPr>
        <w:ind w:left="1320" w:right="659" w:hanging="303"/>
        <w:spacing w:after="0" w:line="203"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acquisition, when closed, provides Zymeworks with access to a 35% U.S. net profit share in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the only approved nebulized LAMA for the maintenance treatment of COPD.</w:t>
      </w:r>
    </w:p>
    <w:p>
      <w:pPr>
        <w:spacing w:after="0" w:line="73" w:lineRule="exact"/>
        <w:rPr>
          <w:rFonts w:ascii="Times New Roman" w:cs="Times New Roman" w:eastAsia="Times New Roman" w:hAnsi="Times New Roman"/>
          <w:sz w:val="13"/>
          <w:szCs w:val="13"/>
          <w:color w:val="auto"/>
        </w:rPr>
      </w:pPr>
    </w:p>
    <w:p>
      <w:pPr>
        <w:ind w:left="1320" w:right="879" w:hanging="303"/>
        <w:spacing w:after="0" w:line="212"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has been marketed in the United States since 2019 through a collaboration between Viatris Inc. (“Viatris”) and Theravance Biopharma, who are responsible for U.S. community and hospital promotion respectively.</w:t>
      </w:r>
    </w:p>
    <w:p>
      <w:pPr>
        <w:spacing w:after="0" w:line="73" w:lineRule="exact"/>
        <w:rPr>
          <w:rFonts w:ascii="Times New Roman" w:cs="Times New Roman" w:eastAsia="Times New Roman" w:hAnsi="Times New Roman"/>
          <w:sz w:val="13"/>
          <w:szCs w:val="13"/>
          <w:color w:val="auto"/>
        </w:rPr>
      </w:pPr>
    </w:p>
    <w:p>
      <w:pPr>
        <w:ind w:left="1320" w:right="899" w:hanging="303"/>
        <w:spacing w:after="0" w:line="233"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Full-year U.S. net sales of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in 2025 were $266.6 million, representing 12% growth over 2024. For the first quarter of 2026, U.S. net sales of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were reported as $62.4 million, representing 7% growth over the same quarter in 2025.</w:t>
      </w:r>
    </w:p>
    <w:p>
      <w:pPr>
        <w:ind w:left="1320" w:right="779" w:hanging="303"/>
        <w:spacing w:after="0" w:line="203"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Settlements have been reached with all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generic filers for an April 2039 licensed launch date for their versions of the product, or earlier depending on certain circumstances.</w:t>
      </w:r>
    </w:p>
    <w:p>
      <w:pPr>
        <w:spacing w:after="0" w:line="73"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Theravance Biopharma remains eligible to receive an additional $125 million in commercial milestone payments from Viatris based upon U.S. net sales, as well as double-digit tiered royalties and additional milestones on ex-U.S. net sales.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Potential upside from other Theravance Biopharma portfolio assets</w:t>
      </w:r>
    </w:p>
    <w:p>
      <w:pPr>
        <w:spacing w:after="0" w:line="89" w:lineRule="exact"/>
        <w:rPr>
          <w:sz w:val="20"/>
          <w:szCs w:val="20"/>
          <w:color w:val="auto"/>
        </w:rPr>
      </w:pPr>
    </w:p>
    <w:p>
      <w:pPr>
        <w:ind w:left="1320" w:right="839" w:hanging="303"/>
        <w:spacing w:after="0" w:line="233" w:lineRule="auto"/>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Theravance Biopharma is expected to receive $100 million in commercial milestone payments from Royalty Pharma in Q1 2027 related to global net sales of TRELEGY ELLIPTA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by GSK.</w:t>
      </w:r>
    </w:p>
    <w:p>
      <w:pPr>
        <w:ind w:left="1320" w:hanging="303"/>
        <w:spacing w:after="0"/>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Theravance Biopharma is eligible to receive up to ~20% royalty on net sales of VIBATIV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(telavancin) from Cumberland.</w:t>
      </w:r>
    </w:p>
    <w:p>
      <w:pPr>
        <w:spacing w:after="0" w:line="29" w:lineRule="exact"/>
        <w:rPr>
          <w:rFonts w:ascii="Times New Roman" w:cs="Times New Roman" w:eastAsia="Times New Roman" w:hAnsi="Times New Roman"/>
          <w:sz w:val="13"/>
          <w:szCs w:val="13"/>
          <w:color w:val="auto"/>
        </w:rPr>
      </w:pPr>
    </w:p>
    <w:p>
      <w:pPr>
        <w:ind w:left="1320" w:right="719" w:hanging="303"/>
        <w:spacing w:after="0" w:line="245" w:lineRule="auto"/>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close of the transaction, Zymeworks will retain ownership of Theravance Biopharma’s research and development assets, which will be evaluated in the context of the Company’s broader pipeline and capital allocation framework.</w:t>
      </w:r>
    </w:p>
    <w:p>
      <w:pPr>
        <w:spacing w:after="0" w:line="69" w:lineRule="exact"/>
        <w:rPr>
          <w:rFonts w:ascii="Times New Roman" w:cs="Times New Roman" w:eastAsia="Times New Roman" w:hAnsi="Times New Roman"/>
          <w:sz w:val="13"/>
          <w:szCs w:val="13"/>
          <w:color w:val="auto"/>
        </w:rPr>
      </w:pPr>
    </w:p>
    <w:p>
      <w:pPr>
        <w:ind w:left="1320" w:right="819" w:hanging="303"/>
        <w:spacing w:after="0" w:line="251" w:lineRule="auto"/>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Zymeworks will explore the opportunity to externalize acquired assets. During the one-year period from closing of this transaction, a designee of Theravance Biopharma will seek to potentially license, divest or otherwise monetize ampreloxetine, with no additional resources expected from Zymeworks. The economics of any such transaction will be shared 20/80 between Zymeworks and Theravance Biopharma shareholders.</w:t>
      </w:r>
    </w:p>
    <w:p>
      <w:pPr>
        <w:spacing w:after="0" w:line="66"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Zymeworks will retain approximately $2.5 billion of Irish tax attributes accumulated by Theravance Biopharma for potential future utilization.</w:t>
      </w:r>
    </w:p>
    <w:p>
      <w:pPr>
        <w:spacing w:after="0" w:line="122" w:lineRule="exact"/>
        <w:rPr>
          <w:sz w:val="20"/>
          <w:szCs w:val="20"/>
          <w:color w:val="auto"/>
        </w:rPr>
      </w:pPr>
    </w:p>
    <w:p>
      <w:pPr>
        <w:jc w:val="both"/>
        <w:ind w:left="640" w:right="659"/>
        <w:spacing w:after="0" w:line="226" w:lineRule="auto"/>
        <w:rPr>
          <w:sz w:val="20"/>
          <w:szCs w:val="20"/>
          <w:color w:val="auto"/>
        </w:rPr>
      </w:pPr>
      <w:r>
        <w:rPr>
          <w:rFonts w:ascii="Times New Roman" w:cs="Times New Roman" w:eastAsia="Times New Roman" w:hAnsi="Times New Roman"/>
          <w:sz w:val="13"/>
          <w:szCs w:val="13"/>
          <w:color w:val="auto"/>
        </w:rPr>
        <w:t xml:space="preserve">Upon closing, Zymeworks intends to complete Theravance Biopharma’s previously announced organizational restructuring to align its resources with its commercial focus on YUPELRI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which is expected to significantly reduce research and development expenses and general and administrative costs, as well as seek additional synergies in the cost structure of the combined entities. Zymeworks intends to substantially preserve existing hospital promotion infrastructure from Theravance Biopharma’s commercial organization.</w:t>
      </w:r>
    </w:p>
    <w:p>
      <w:pPr>
        <w:spacing w:after="0" w:line="141" w:lineRule="exact"/>
        <w:rPr>
          <w:sz w:val="20"/>
          <w:szCs w:val="20"/>
          <w:color w:val="auto"/>
        </w:rPr>
      </w:pPr>
    </w:p>
    <w:p>
      <w:pPr>
        <w:ind w:left="640" w:right="719"/>
        <w:spacing w:after="0" w:line="275" w:lineRule="auto"/>
        <w:rPr>
          <w:sz w:val="20"/>
          <w:szCs w:val="20"/>
          <w:color w:val="auto"/>
        </w:rPr>
      </w:pPr>
      <w:r>
        <w:rPr>
          <w:rFonts w:ascii="Times New Roman" w:cs="Times New Roman" w:eastAsia="Times New Roman" w:hAnsi="Times New Roman"/>
          <w:sz w:val="12"/>
          <w:szCs w:val="12"/>
          <w:color w:val="auto"/>
        </w:rPr>
        <w:t>“The acquisition of Theravance Biopharma represents successful execution of one of the key strategic priorities we outlined earlier this year,” said Kenneth Galbraith, Chair and Chief Executive Officer of Zymeworks. “We are building a more diversified and durable business by combining partner-driven cash flows and innovative R&amp;D, together in an integrated strategic approach to build long-term stockholder value. Upon closing, this acquisition meaningfully expands and diversifies future revenue sources for our partnered product portfolio, with an expected near-term impact on commercial royalty revenue. This transaction also aligns with our mission to combine near-term patient access with long-term innovation, by leveraging cash flows</w:t>
      </w:r>
    </w:p>
    <w:p>
      <w:pPr>
        <w:sectPr>
          <w:pgSz w:w="11900" w:h="16838" w:orient="portrait"/>
          <w:cols w:equalWidth="0" w:num="1">
            <w:col w:w="9019"/>
          </w:cols>
          <w:pgMar w:left="1440" w:top="229" w:right="1440" w:bottom="1440" w:gutter="0" w:footer="0" w:header="0"/>
        </w:sectPr>
      </w:pPr>
    </w:p>
    <w:bookmarkStart w:id="133" w:name="page134"/>
    <w:bookmarkEnd w:id="133"/>
    <w:p>
      <w:pPr>
        <w:ind w:left="640" w:right="899"/>
        <w:spacing w:after="0" w:line="22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from established medicines to fund development of next-generation therapies, supporting both patients receiving treatment today and those awaiting future breakthroughs.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addresses a critical need for the approximately 16 million Americans living with COPD, and we look forward to supporting continued access to this important therapy with Viatris.”</w:t>
      </w:r>
    </w:p>
    <w:p>
      <w:pPr>
        <w:spacing w:after="0" w:line="141"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“We are pleased to partner with Zymeworks in the execution of its strategy to integrate royalty growth, internal innovation, and strategic acquisitions to maximize long-term value. For OMERS, our financing aligns well with our mandate to deliver steady long-term returns to our more than 665,000 members,” said Rob Missere, Managing Director and Head of Life Sciences, OMERS Life Sciences.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Terms of the Transaction</w:t>
      </w:r>
    </w:p>
    <w:p>
      <w:pPr>
        <w:spacing w:after="0" w:line="80" w:lineRule="exact"/>
        <w:rPr>
          <w:sz w:val="20"/>
          <w:szCs w:val="20"/>
          <w:color w:val="auto"/>
        </w:rPr>
      </w:pPr>
    </w:p>
    <w:p>
      <w:pPr>
        <w:ind w:left="640" w:right="679"/>
        <w:spacing w:after="0" w:line="309" w:lineRule="auto"/>
        <w:rPr>
          <w:sz w:val="20"/>
          <w:szCs w:val="20"/>
          <w:color w:val="auto"/>
        </w:rPr>
      </w:pPr>
      <w:r>
        <w:rPr>
          <w:rFonts w:ascii="Times New Roman" w:cs="Times New Roman" w:eastAsia="Times New Roman" w:hAnsi="Times New Roman"/>
          <w:sz w:val="12"/>
          <w:szCs w:val="12"/>
          <w:color w:val="auto"/>
        </w:rPr>
        <w:t>Under the terms of the agreement, Zymeworks will acquire all the outstanding equity of Theravance Biopharma for $17.00 per share, which represents a total transaction value of approximately $929 million in cash consideration subject to customary adjustments, which is payable at closing.</w:t>
      </w:r>
    </w:p>
    <w:p>
      <w:pPr>
        <w:spacing w:after="0" w:line="100"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The transaction has been unanimously approved by the boards of directors of both companies and is subject to customary closing conditions, including receipt of certain regulatory approvals and approval by Theravance Biopharma shareholders. The transaction is expected to close in the second half of 2026.</w:t>
      </w:r>
    </w:p>
    <w:p>
      <w:pPr>
        <w:spacing w:after="0" w:line="130" w:lineRule="exact"/>
        <w:rPr>
          <w:sz w:val="20"/>
          <w:szCs w:val="20"/>
          <w:color w:val="auto"/>
        </w:rPr>
      </w:pPr>
    </w:p>
    <w:p>
      <w:pPr>
        <w:ind w:left="640" w:right="759"/>
        <w:spacing w:after="0" w:line="226" w:lineRule="auto"/>
        <w:rPr>
          <w:sz w:val="20"/>
          <w:szCs w:val="20"/>
          <w:color w:val="auto"/>
        </w:rPr>
      </w:pPr>
      <w:r>
        <w:rPr>
          <w:rFonts w:ascii="Times New Roman" w:cs="Times New Roman" w:eastAsia="Times New Roman" w:hAnsi="Times New Roman"/>
          <w:sz w:val="13"/>
          <w:szCs w:val="13"/>
          <w:color w:val="auto"/>
        </w:rPr>
        <w:t>The transaction is expected to be accounted for as a business combination. The purchase price is expected to be primarily allocated to identifiable intangible assets, including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contractual royalty streams, with any residual value recorded as goodwill. Potential milestone receipts will be evaluated as part of the purchase accounting process and recognized in accordance with applicable accounting standards. Zymeworks expects to provide additional details on the purchase price allocation upon closing of the transaction.</w:t>
      </w:r>
    </w:p>
    <w:p>
      <w:pPr>
        <w:spacing w:after="0" w:line="141"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Kirkland &amp; Ellis LLP is serving as legal counsel to Zymeworks. Matheson provided Irish tax counsel to Zymeworks. TD Cowen served as a financial advisor to Zymeworks on the OMERS royalty note. MTS Health Partners provided financial advice to Zymeworks.</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Lazard is serving as lead financial advisor to Theravance Biopharma. Evercore is also serving as financial advisor to Theravance Biopharma. Skadden, Arps, Slate, Meagher &amp; Flom LLP is serving as legal counsel to Theravance Biopharma.</w:t>
      </w:r>
    </w:p>
    <w:p>
      <w:pPr>
        <w:spacing w:after="0" w:line="122"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Sidley Austin LLP is serving as legal counsel to OMERS Life Sciences. Maples and Calder (Ireland) LLP and Davies Ward Phillips &amp; Vineberg LLP provided Irish legal counsel and tax counsel, respectively, to OMERS Life Sciences.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Financing of the Transaction</w:t>
      </w:r>
    </w:p>
    <w:p>
      <w:pPr>
        <w:spacing w:after="0" w:line="80" w:lineRule="exact"/>
        <w:rPr>
          <w:sz w:val="20"/>
          <w:szCs w:val="20"/>
          <w:color w:val="auto"/>
        </w:rPr>
      </w:pPr>
    </w:p>
    <w:p>
      <w:pPr>
        <w:jc w:val="both"/>
        <w:ind w:left="640" w:right="719"/>
        <w:spacing w:after="0" w:line="208" w:lineRule="auto"/>
        <w:rPr>
          <w:sz w:val="20"/>
          <w:szCs w:val="20"/>
          <w:color w:val="auto"/>
        </w:rPr>
      </w:pPr>
      <w:r>
        <w:rPr>
          <w:rFonts w:ascii="Times New Roman" w:cs="Times New Roman" w:eastAsia="Times New Roman" w:hAnsi="Times New Roman"/>
          <w:sz w:val="13"/>
          <w:szCs w:val="13"/>
          <w:color w:val="auto"/>
        </w:rPr>
        <w:t>The acquisition will be financed through a $350 million non-dilutive, non-recourse note from OMERS Life Sciences, in which 75% of the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profit-share cash flows are contractually assigned to OMERS to service the associated debt obligations. The non-recourse note is secured by assets and entities of Theravance Biopharma related to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do not have any recourse to the remainder of the Zymeworks’ business. This non-recourse note is structured to preserve the Company’s balance sheet flexibility and minimize shareholder dilution.</w:t>
      </w:r>
    </w:p>
    <w:p>
      <w:pPr>
        <w:spacing w:after="0" w:line="140" w:lineRule="exact"/>
        <w:rPr>
          <w:sz w:val="20"/>
          <w:szCs w:val="20"/>
          <w:color w:val="auto"/>
        </w:rPr>
      </w:pPr>
    </w:p>
    <w:p>
      <w:pPr>
        <w:ind w:left="640" w:right="839"/>
        <w:spacing w:after="0" w:line="251" w:lineRule="auto"/>
        <w:rPr>
          <w:sz w:val="20"/>
          <w:szCs w:val="20"/>
          <w:color w:val="auto"/>
        </w:rPr>
      </w:pPr>
      <w:r>
        <w:rPr>
          <w:rFonts w:ascii="Times New Roman" w:cs="Times New Roman" w:eastAsia="Times New Roman" w:hAnsi="Times New Roman"/>
          <w:sz w:val="13"/>
          <w:szCs w:val="13"/>
          <w:color w:val="auto"/>
        </w:rPr>
        <w:t>In addition, approximately $219 million of existing cash resources of Zymeworks will be used to finance the remaining purchase price of the transaction, along with expected net cash balances of Theravance Biopharma of approximately $360 million at closing. Factoring in the $100 million milestone payment expected from Royalty Pharma in Q1 2027 related to sales of TRELEGY, Zymeworks’ effective net investment is expected to be reduced by roughly 50%.</w:t>
      </w:r>
    </w:p>
    <w:p>
      <w:pPr>
        <w:sectPr>
          <w:pgSz w:w="11900" w:h="16838" w:orient="portrait"/>
          <w:cols w:equalWidth="0" w:num="1">
            <w:col w:w="9019"/>
          </w:cols>
          <w:pgMar w:left="1440" w:top="231" w:right="1440" w:bottom="1440" w:gutter="0" w:footer="0" w:header="0"/>
        </w:sectPr>
      </w:pPr>
    </w:p>
    <w:bookmarkStart w:id="134" w:name="page135"/>
    <w:bookmarkEnd w:id="13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Zymeworks 2026 Share Repurchase Program</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 May 14, 2026, the Board of Directors of Zymeworks authorized a share repurchase program under which the Company may repurchase up to</w:t>
      </w:r>
    </w:p>
    <w:p>
      <w:pPr>
        <w:spacing w:after="0" w:line="15"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$125 million of its outstanding common stock, par value $0.00001 per share. As of June 29, 2026, the Company has repurchased 1,437,073 shares of common stock for $35.4 million (exclusive of commission expense and estimated excise tax), representing an average purchase price of $24.63 per common share. Zymeworks plans to continue executing the share repurchase program, reflecting its ongoing capacity and intent to deploy capital toward future buybacks.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Call Details</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Zymeworks invites investors and the general public to view and listen to a live webcast of its conference call with investment analysts at 8:30 am ET on Monday, June 29, 2026.</w:t>
      </w:r>
    </w:p>
    <w:p>
      <w:pPr>
        <w:spacing w:after="0" w:line="122" w:lineRule="exact"/>
        <w:rPr>
          <w:sz w:val="20"/>
          <w:szCs w:val="20"/>
          <w:color w:val="auto"/>
        </w:rPr>
      </w:pPr>
    </w:p>
    <w:p>
      <w:pPr>
        <w:ind w:left="640" w:right="659"/>
        <w:spacing w:after="0" w:line="309" w:lineRule="auto"/>
        <w:rPr>
          <w:sz w:val="20"/>
          <w:szCs w:val="20"/>
          <w:color w:val="auto"/>
        </w:rPr>
      </w:pPr>
      <w:r>
        <w:rPr>
          <w:rFonts w:ascii="Times New Roman" w:cs="Times New Roman" w:eastAsia="Times New Roman" w:hAnsi="Times New Roman"/>
          <w:sz w:val="12"/>
          <w:szCs w:val="12"/>
          <w:color w:val="auto"/>
        </w:rPr>
        <w:t xml:space="preserve">Dial-in details and webcast link are available on Zymeworks’ website at </w:t>
      </w:r>
      <w:r>
        <w:rPr>
          <w:rFonts w:ascii="Times New Roman" w:cs="Times New Roman" w:eastAsia="Times New Roman" w:hAnsi="Times New Roman"/>
          <w:sz w:val="12"/>
          <w:szCs w:val="12"/>
          <w:u w:val="single" w:color="auto"/>
          <w:color w:val="auto"/>
        </w:rPr>
        <w:t>https://ir.zymeworks.com/events-and-presentations</w:t>
      </w:r>
      <w:r>
        <w:rPr>
          <w:rFonts w:ascii="Times New Roman" w:cs="Times New Roman" w:eastAsia="Times New Roman" w:hAnsi="Times New Roman"/>
          <w:sz w:val="12"/>
          <w:szCs w:val="12"/>
          <w:color w:val="auto"/>
        </w:rPr>
        <w:t>. A webcast replay of the call will be available on the Zymeworks website within 24 hours following the conclusion of the live call and will be archived for a limited period.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Theravance Biopharma, Inc.</w:t>
      </w:r>
    </w:p>
    <w:p>
      <w:pPr>
        <w:spacing w:after="0" w:line="78" w:lineRule="exact"/>
        <w:rPr>
          <w:sz w:val="20"/>
          <w:szCs w:val="20"/>
          <w:color w:val="auto"/>
        </w:rPr>
      </w:pPr>
    </w:p>
    <w:p>
      <w:pPr>
        <w:ind w:left="640" w:right="739"/>
        <w:spacing w:after="0" w:line="200" w:lineRule="auto"/>
        <w:rPr>
          <w:sz w:val="20"/>
          <w:szCs w:val="20"/>
          <w:color w:val="auto"/>
        </w:rPr>
      </w:pPr>
      <w:r>
        <w:rPr>
          <w:rFonts w:ascii="Times New Roman" w:cs="Times New Roman" w:eastAsia="Times New Roman" w:hAnsi="Times New Roman"/>
          <w:sz w:val="13"/>
          <w:szCs w:val="13"/>
          <w:color w:val="auto"/>
        </w:rPr>
        <w:t xml:space="preserve">Theravance Biopharma, Inc.’s focus is to deliver </w:t>
      </w:r>
      <w:r>
        <w:rPr>
          <w:rFonts w:ascii="Times New Roman" w:cs="Times New Roman" w:eastAsia="Times New Roman" w:hAnsi="Times New Roman"/>
          <w:sz w:val="13"/>
          <w:szCs w:val="13"/>
          <w:i w:val="1"/>
          <w:iCs w:val="1"/>
          <w:color w:val="auto"/>
        </w:rPr>
        <w:t>Medicines that Make a Difference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in people’s lives. In pursuit of its purpose, Theravance Biopharma leverages decades of expertise, which has led to the development of FDA-approved 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(revefenacin) inhalation solution indicated for the maintenance treatment of patients with COPD. The Company is committed to creating/driving shareholder value.</w:t>
      </w:r>
    </w:p>
    <w:p>
      <w:pPr>
        <w:spacing w:after="0" w:line="139" w:lineRule="exact"/>
        <w:rPr>
          <w:sz w:val="20"/>
          <w:szCs w:val="20"/>
          <w:color w:val="auto"/>
        </w:rPr>
      </w:pPr>
    </w:p>
    <w:p>
      <w:pPr>
        <w:jc w:val="both"/>
        <w:ind w:left="640" w:right="679"/>
        <w:spacing w:after="0" w:line="221" w:lineRule="auto"/>
        <w:rPr>
          <w:sz w:val="20"/>
          <w:szCs w:val="20"/>
          <w:color w:val="auto"/>
        </w:rPr>
      </w:pPr>
      <w:r>
        <w:rPr>
          <w:rFonts w:ascii="Times New Roman" w:cs="Times New Roman" w:eastAsia="Times New Roman" w:hAnsi="Times New Roman"/>
          <w:sz w:val="13"/>
          <w:szCs w:val="13"/>
          <w:color w:val="auto"/>
        </w:rPr>
        <w:t>YUPELRI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is an inhalation solution, a long-acting muscarinic antagonist (LAMA) and the first and only once-daily nebulized bronchodilator approved for the treatment of chronic obstructive pulmonary disease (COPD) in the United States. COPD is the third leading cause of death and the fourth leading cause of hospital readmissions in the U.S., affecting approximately 16 million Americans.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OMERS Life Sciences and OMERS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OMERS Life Sciences provides royalty financings and other non-dilutive solutions to biopharma companies and academic institutions.</w:t>
      </w:r>
    </w:p>
    <w:p>
      <w:pPr>
        <w:spacing w:after="0" w:line="154"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OMERS is a jointly sponsored, defined benefit pension plan, with more than 1,000 participating employers ranging from large cities to local agencies, and more than 665,000 active, deferred and retired members. Our members include union and non-union employees of municipalities, school boards, local boards, transit systems, electrical utilities, emergency services and children’s aid societies across Ontario. OMERS teams work in Toronto, London, New York, Amsterdam, Luxembourg, Singapore, Sydney and other major cities across North America and Europe – serving members and employers, and originating and managing a diversified portfolio of high-quality investments in government bonds, public and private credit, public and private equities, infrastructure and real estate.</w:t>
      </w:r>
    </w:p>
    <w:p>
      <w:pPr>
        <w:sectPr>
          <w:pgSz w:w="11900" w:h="16838" w:orient="portrait"/>
          <w:cols w:equalWidth="0" w:num="1">
            <w:col w:w="9019"/>
          </w:cols>
          <w:pgMar w:left="1440" w:top="229" w:right="1440" w:bottom="1440" w:gutter="0" w:footer="0" w:header="0"/>
        </w:sectPr>
      </w:pPr>
    </w:p>
    <w:bookmarkStart w:id="135" w:name="page136"/>
    <w:bookmarkEnd w:id="13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Zymeworks Inc.</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2"/>
          <w:szCs w:val="12"/>
          <w:color w:val="auto"/>
        </w:rPr>
        <w:t>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asset and royalty aggregation strategy focuses on optimizing positive future cash flows from an emerging portfolio of licensed products such as Ziihera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(zanidatamab-hrii) and other licensed products and product candidates, such as pasritamig. In addition, Zymeworks is building a portfolio of healthcare assets that can generate strong cash flows, while supporting the development of innovative medicines. Zymeworks engineered and developed Ziihera, a HER2-targeted bispecific antibody using Zymeworks’ proprietary Azymetric</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Zymeworks’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80" w:lineRule="exact"/>
        <w:rPr>
          <w:sz w:val="20"/>
          <w:szCs w:val="20"/>
          <w:color w:val="auto"/>
        </w:rPr>
      </w:pPr>
    </w:p>
    <w:p>
      <w:pPr>
        <w:ind w:left="640" w:right="659"/>
        <w:spacing w:after="0" w:line="256" w:lineRule="auto"/>
        <w:rPr>
          <w:sz w:val="20"/>
          <w:szCs w:val="20"/>
          <w:color w:val="auto"/>
        </w:rPr>
      </w:pPr>
      <w:r>
        <w:rPr>
          <w:rFonts w:ascii="Times New Roman" w:cs="Times New Roman" w:eastAsia="Times New Roman" w:hAnsi="Times New Roman"/>
          <w:sz w:val="12"/>
          <w:szCs w:val="12"/>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ability to complete the proposed transaction with Theravance Biopharma; anticipated milestones payments; completion of Theravance Biopharma’s previously announced organizational restructuring; Zymeworks’ flexibility to invest in its R&amp;D pipeline and pursue strategic opportunities while returning capital to stockholders; future growth of YUPELRI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sales and future royalty payments; contingent milestone payments due to Theravance Biopharma from the sale of Theravance Biopharma’s TRELEGY ELLIPTA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royalty interests;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such as “plan”, “believe”, “expect”, “may”, “continue”, “anticipate”, “potential”, “will”, “on track”, “progress”, “preserve”, “intend”, “could”,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and Theravance Biopharma may not be able to successfully execute the acquisition; uncertainties regarding the commercial success of YUPELRI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TRELEGY; the anticipated benefits of the acquisition may not be realized or will not be realized within the expected time period;</w:t>
      </w:r>
    </w:p>
    <w:p>
      <w:pPr>
        <w:sectPr>
          <w:pgSz w:w="11900" w:h="16838" w:orient="portrait"/>
          <w:cols w:equalWidth="0" w:num="1">
            <w:col w:w="9019"/>
          </w:cols>
          <w:pgMar w:left="1440" w:top="229" w:right="1440" w:bottom="1440" w:gutter="0" w:footer="0" w:header="0"/>
        </w:sectPr>
      </w:pPr>
    </w:p>
    <w:bookmarkStart w:id="136" w:name="page137"/>
    <w:bookmarkEnd w:id="136"/>
    <w:p>
      <w:pPr>
        <w:ind w:left="640" w:right="69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TRELEGY may not achieve anticipated sales resulting in sales milestones not being met;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stockholder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w:t>
      </w:r>
    </w:p>
    <w:p>
      <w:pPr>
        <w:spacing w:after="0" w:line="123" w:lineRule="exact"/>
        <w:rPr>
          <w:sz w:val="20"/>
          <w:szCs w:val="20"/>
          <w:color w:val="auto"/>
        </w:rPr>
      </w:pPr>
    </w:p>
    <w:p>
      <w:pPr>
        <w:ind w:left="640" w:right="639"/>
        <w:spacing w:after="0" w:line="279" w:lineRule="auto"/>
        <w:rPr>
          <w:sz w:val="20"/>
          <w:szCs w:val="20"/>
          <w:color w:val="auto"/>
        </w:rPr>
      </w:pPr>
      <w:r>
        <w:rPr>
          <w:rFonts w:ascii="Times New Roman" w:cs="Times New Roman" w:eastAsia="Times New Roman" w:hAnsi="Times New Roman"/>
          <w:sz w:val="12"/>
          <w:szCs w:val="12"/>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Shrinal Inamdar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Vice President, Investor Relations</w:t>
      </w:r>
    </w:p>
    <w:p>
      <w:pPr>
        <w:spacing w:after="0" w:line="2" w:lineRule="exact"/>
        <w:rPr>
          <w:sz w:val="20"/>
          <w:szCs w:val="20"/>
          <w:color w:val="auto"/>
        </w:rPr>
      </w:pPr>
    </w:p>
    <w:p>
      <w:pPr>
        <w:ind w:left="640" w:right="7359" w:hanging="3"/>
        <w:spacing w:after="0" w:line="287" w:lineRule="auto"/>
        <w:tabs>
          <w:tab w:leader="none" w:pos="945"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678-1388 </w:t>
      </w:r>
      <w:r>
        <w:rPr>
          <w:rFonts w:ascii="Times New Roman" w:cs="Times New Roman" w:eastAsia="Times New Roman" w:hAnsi="Times New Roman"/>
          <w:sz w:val="12"/>
          <w:szCs w:val="12"/>
          <w:u w:val="single" w:color="auto"/>
          <w:color w:val="auto"/>
        </w:rPr>
        <w:t>ir@zymeworks.com</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Diana Papove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Vice President, Corporate Communications</w:t>
      </w:r>
    </w:p>
    <w:p>
      <w:pPr>
        <w:spacing w:after="0" w:line="2" w:lineRule="exact"/>
        <w:rPr>
          <w:sz w:val="20"/>
          <w:szCs w:val="20"/>
          <w:color w:val="auto"/>
        </w:rPr>
      </w:pPr>
    </w:p>
    <w:p>
      <w:pPr>
        <w:ind w:left="640" w:right="7119" w:hanging="3"/>
        <w:spacing w:after="0" w:line="287" w:lineRule="auto"/>
        <w:tabs>
          <w:tab w:leader="none" w:pos="945"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678-1388 </w:t>
      </w:r>
      <w:r>
        <w:rPr>
          <w:rFonts w:ascii="Times New Roman" w:cs="Times New Roman" w:eastAsia="Times New Roman" w:hAnsi="Times New Roman"/>
          <w:sz w:val="12"/>
          <w:szCs w:val="12"/>
          <w:u w:val="single" w:color="auto"/>
          <w:color w:val="auto"/>
        </w:rPr>
        <w:t>media@zymeworks.com</w:t>
      </w:r>
    </w:p>
    <w:p>
      <w:pPr>
        <w:sectPr>
          <w:pgSz w:w="11900" w:h="16838" w:orient="portrait"/>
          <w:cols w:equalWidth="0" w:num="1">
            <w:col w:w="9019"/>
          </w:cols>
          <w:pgMar w:left="1440" w:top="231" w:right="1440" w:bottom="1440" w:gutter="0" w:footer="0" w:header="0"/>
        </w:sectPr>
      </w:pPr>
    </w:p>
    <w:bookmarkStart w:id="137" w:name="page138"/>
    <w:bookmarkEnd w:id="13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1)"/>
      <w:numFmt w:val="lowerLetter"/>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1)"/>
      <w:numFmt w:val="lowerRoman"/>
      <w:start w:val="3"/>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1)"/>
      <w:numFmt w:val="lowerLetter"/>
      <w:start w:val="1"/>
    </w:lvl>
  </w:abstractNum>
  <w:abstractNum w:abstractNumId="6">
    <w:nsid w:val="14E17E33"/>
    <w:multiLevelType w:val="hybridMultilevel"/>
    <w:lvl w:ilvl="0">
      <w:lvlJc w:val="left"/>
      <w:lvlText w:val="(%1)"/>
      <w:numFmt w:val="lowerLetter"/>
      <w:start w:val="1"/>
    </w:lvl>
  </w:abstractNum>
  <w:abstractNum w:abstractNumId="7">
    <w:nsid w:val="3222E7CD"/>
    <w:multiLevelType w:val="hybridMultilevel"/>
    <w:lvl w:ilvl="0">
      <w:lvlJc w:val="left"/>
      <w:lvlText w:val="(%1)"/>
      <w:numFmt w:val="lowerLetter"/>
      <w:start w:val="1"/>
    </w:lvl>
  </w:abstractNum>
  <w:abstractNum w:abstractNumId="8">
    <w:nsid w:val="74DE0EE3"/>
    <w:multiLevelType w:val="hybridMultilevel"/>
    <w:lvl w:ilvl="0">
      <w:lvlJc w:val="left"/>
      <w:lvlText w:val="(%1)"/>
      <w:numFmt w:val="lowerLetter"/>
      <w:start w:val="2"/>
    </w:lvl>
  </w:abstractNum>
  <w:abstractNum w:abstractNumId="9">
    <w:nsid w:val="68EBC550"/>
    <w:multiLevelType w:val="hybridMultilevel"/>
    <w:lvl w:ilvl="0">
      <w:lvlJc w:val="left"/>
      <w:lvlText w:val="(%1)"/>
      <w:numFmt w:val="lowerLetter"/>
      <w:start w:val="1"/>
    </w:lvl>
  </w:abstractNum>
  <w:abstractNum w:abstractNumId="10">
    <w:nsid w:val="2DF6D648"/>
    <w:multiLevelType w:val="hybridMultilevel"/>
    <w:lvl w:ilvl="0">
      <w:lvlJc w:val="left"/>
      <w:lvlText w:val="(%1)"/>
      <w:numFmt w:val="lowerLetter"/>
      <w:start w:val="2"/>
    </w:lvl>
    <w:lvl w:ilvl="1">
      <w:lvlJc w:val="left"/>
      <w:lvlText w:val="(%2)"/>
      <w:numFmt w:val="lowerRoman"/>
      <w:start w:val="1"/>
    </w:lvl>
  </w:abstractNum>
  <w:abstractNum w:abstractNumId="11">
    <w:nsid w:val="46B7D447"/>
    <w:multiLevelType w:val="hybridMultilevel"/>
    <w:lvl w:ilvl="0">
      <w:lvlJc w:val="left"/>
      <w:lvlText w:val="(%1)"/>
      <w:numFmt w:val="lowerLetter"/>
      <w:start w:val="3"/>
    </w:lvl>
  </w:abstractNum>
  <w:abstractNum w:abstractNumId="12">
    <w:nsid w:val="4A2AC315"/>
    <w:multiLevelType w:val="hybridMultilevel"/>
    <w:lvl w:ilvl="0">
      <w:lvlJc w:val="left"/>
      <w:lvlText w:val="(%1)"/>
      <w:numFmt w:val="lowerLetter"/>
      <w:start w:val="1"/>
    </w:lvl>
  </w:abstractNum>
  <w:abstractNum w:abstractNumId="13">
    <w:nsid w:val="39EE015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4">
    <w:nsid w:val="57FC4FB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5">
    <w:nsid w:val="CC1016F"/>
    <w:multiLevelType w:val="hybridMultilevel"/>
    <w:lvl w:ilvl="0">
      <w:lvlJc w:val="left"/>
      <w:lvlText w:val="%1"/>
      <w:numFmt w:val="lowerLetter"/>
      <w:start w:val="1"/>
    </w:lvl>
    <w:lvl w:ilvl="1">
      <w:lvlJc w:val="left"/>
      <w:lvlText w:val="(%2)"/>
      <w:numFmt w:val="lowerRoman"/>
      <w:start w:val="3"/>
    </w:lvl>
  </w:abstractNum>
  <w:abstractNum w:abstractNumId="16">
    <w:nsid w:val="43F18422"/>
    <w:multiLevelType w:val="hybridMultilevel"/>
    <w:lvl w:ilvl="0">
      <w:lvlJc w:val="left"/>
      <w:lvlText w:val="(%1)"/>
      <w:numFmt w:val="lowerLetter"/>
      <w:start w:val="3"/>
    </w:lvl>
    <w:lvl w:ilvl="1">
      <w:lvlJc w:val="left"/>
      <w:lvlText w:val="%2"/>
      <w:numFmt w:val="lowerRoman"/>
      <w:start w:val="1"/>
    </w:lvl>
  </w:abstractNum>
  <w:abstractNum w:abstractNumId="17">
    <w:nsid w:val="60EF0119"/>
    <w:multiLevelType w:val="hybridMultilevel"/>
    <w:lvl w:ilvl="0">
      <w:lvlJc w:val="left"/>
      <w:lvlText w:val="(%1)"/>
      <w:numFmt w:val="lowerLetter"/>
      <w:start w:val="4"/>
    </w:lvl>
  </w:abstractNum>
  <w:abstractNum w:abstractNumId="18">
    <w:nsid w:val="26F324BA"/>
    <w:multiLevelType w:val="hybridMultilevel"/>
    <w:lvl w:ilvl="0">
      <w:lvlJc w:val="left"/>
      <w:lvlText w:val="(%1)"/>
      <w:numFmt w:val="lowerLetter"/>
      <w:start w:val="1"/>
    </w:lvl>
  </w:abstractNum>
  <w:abstractNum w:abstractNumId="19">
    <w:nsid w:val="7F01579B"/>
    <w:multiLevelType w:val="hybridMultilevel"/>
    <w:lvl w:ilvl="0">
      <w:lvlJc w:val="left"/>
      <w:lvlText w:val="(%1)"/>
      <w:numFmt w:val="lowerLetter"/>
      <w:start w:val="1"/>
    </w:lvl>
    <w:lvl w:ilvl="1">
      <w:lvlJc w:val="left"/>
      <w:lvlText w:val="(%2)"/>
      <w:numFmt w:val="lowerLetter"/>
      <w:start w:val="9"/>
    </w:lvl>
  </w:abstractNum>
  <w:abstractNum w:abstractNumId="20">
    <w:nsid w:val="49DA307D"/>
    <w:multiLevelType w:val="hybridMultilevel"/>
    <w:lvl w:ilvl="0">
      <w:lvlJc w:val="left"/>
      <w:lvlText w:val="%1"/>
      <w:numFmt w:val="lowerLetter"/>
      <w:start w:val="1"/>
    </w:lvl>
    <w:lvl w:ilvl="1">
      <w:lvlJc w:val="left"/>
      <w:lvlText w:val="(%2)"/>
      <w:numFmt w:val="lowerRoman"/>
      <w:start w:val="2"/>
    </w:lvl>
  </w:abstractNum>
  <w:abstractNum w:abstractNumId="21">
    <w:nsid w:val="7055A5F5"/>
    <w:multiLevelType w:val="hybridMultilevel"/>
    <w:lvl w:ilvl="0">
      <w:lvlJc w:val="left"/>
      <w:lvlText w:val="(%1)"/>
      <w:numFmt w:val="lowerLetter"/>
      <w:start w:val="2"/>
    </w:lvl>
    <w:lvl w:ilvl="1">
      <w:lvlJc w:val="left"/>
      <w:lvlText w:val="%2"/>
      <w:numFmt w:val="lowerRoman"/>
      <w:start w:val="1"/>
    </w:lvl>
  </w:abstractNum>
  <w:abstractNum w:abstractNumId="22">
    <w:nsid w:val="5FB8370B"/>
    <w:multiLevelType w:val="hybridMultilevel"/>
    <w:lvl w:ilvl="0">
      <w:lvlJc w:val="left"/>
      <w:lvlText w:val="%1"/>
      <w:numFmt w:val="lowerLetter"/>
      <w:start w:val="1"/>
    </w:lvl>
    <w:lvl w:ilvl="1">
      <w:lvlJc w:val="left"/>
      <w:lvlText w:val="(%2)"/>
      <w:numFmt w:val="lowerLetter"/>
      <w:start w:val="1"/>
    </w:lvl>
  </w:abstractNum>
  <w:abstractNum w:abstractNumId="23">
    <w:nsid w:val="50801EE1"/>
    <w:multiLevelType w:val="hybridMultilevel"/>
    <w:lvl w:ilvl="0">
      <w:lvlJc w:val="left"/>
      <w:lvlText w:val="(%1)"/>
      <w:numFmt w:val="lowerLetter"/>
      <w:start w:val="35"/>
    </w:lvl>
    <w:lvl w:ilvl="1">
      <w:lvlJc w:val="left"/>
      <w:lvlText w:val="%2"/>
      <w:numFmt w:val="lowerLetter"/>
      <w:start w:val="1"/>
    </w:lvl>
  </w:abstractNum>
  <w:abstractNum w:abstractNumId="24">
    <w:nsid w:val="488AC1A"/>
    <w:multiLevelType w:val="hybridMultilevel"/>
    <w:lvl w:ilvl="0">
      <w:lvlJc w:val="left"/>
      <w:lvlText w:val="(%1)"/>
      <w:numFmt w:val="lowerLetter"/>
      <w:start w:val="2"/>
    </w:lvl>
  </w:abstractNum>
  <w:abstractNum w:abstractNumId="25">
    <w:nsid w:val="5FB8011C"/>
    <w:multiLevelType w:val="hybridMultilevel"/>
    <w:lvl w:ilvl="0">
      <w:lvlJc w:val="left"/>
      <w:lvlText w:val="(%1)"/>
      <w:numFmt w:val="lowerLetter"/>
      <w:start w:val="1"/>
    </w:lvl>
  </w:abstractNum>
  <w:abstractNum w:abstractNumId="26">
    <w:nsid w:val="6AA78F7F"/>
    <w:multiLevelType w:val="hybridMultilevel"/>
    <w:lvl w:ilvl="0">
      <w:lvlJc w:val="left"/>
      <w:lvlText w:val="(%1)"/>
      <w:numFmt w:val="lowerLetter"/>
      <w:start w:val="2"/>
    </w:lvl>
  </w:abstractNum>
  <w:abstractNum w:abstractNumId="27">
    <w:nsid w:val="7672BD23"/>
    <w:multiLevelType w:val="hybridMultilevel"/>
    <w:lvl w:ilvl="0">
      <w:lvlJc w:val="left"/>
      <w:lvlText w:val="(%1)"/>
      <w:numFmt w:val="lowerLetter"/>
      <w:start w:val="1"/>
    </w:lvl>
  </w:abstractNum>
  <w:abstractNum w:abstractNumId="28">
    <w:nsid w:val="6FC75AF8"/>
    <w:multiLevelType w:val="hybridMultilevel"/>
    <w:lvl w:ilvl="0">
      <w:lvlJc w:val="left"/>
      <w:lvlText w:val="%1"/>
      <w:numFmt w:val="lowerLetter"/>
      <w:start w:val="1"/>
    </w:lvl>
    <w:lvl w:ilvl="1">
      <w:lvlJc w:val="left"/>
      <w:lvlText w:val="(%2)"/>
      <w:numFmt w:val="lowerLetter"/>
      <w:start w:val="3"/>
    </w:lvl>
  </w:abstractNum>
  <w:abstractNum w:abstractNumId="29">
    <w:nsid w:val="6A5F7029"/>
    <w:multiLevelType w:val="hybridMultilevel"/>
    <w:lvl w:ilvl="0">
      <w:lvlJc w:val="left"/>
      <w:lvlText w:val="(%1)"/>
      <w:numFmt w:val="lowerLetter"/>
      <w:start w:val="61"/>
    </w:lvl>
    <w:lvl w:ilvl="1">
      <w:lvlJc w:val="left"/>
      <w:lvlText w:val="%2"/>
      <w:numFmt w:val="lowerLetter"/>
      <w:start w:val="1"/>
    </w:lvl>
  </w:abstractNum>
  <w:abstractNum w:abstractNumId="30">
    <w:nsid w:val="7D5E18F8"/>
    <w:multiLevelType w:val="hybridMultilevel"/>
    <w:lvl w:ilvl="0">
      <w:lvlJc w:val="left"/>
      <w:lvlText w:val="(%1)"/>
      <w:numFmt w:val="lowerLetter"/>
      <w:start w:val="1"/>
    </w:lvl>
    <w:lvl w:ilvl="1">
      <w:lvlJc w:val="left"/>
      <w:lvlText w:val="(%2)"/>
      <w:numFmt w:val="lowerLetter"/>
      <w:start w:val="9"/>
    </w:lvl>
  </w:abstractNum>
  <w:abstractNum w:abstractNumId="31">
    <w:nsid w:val="5F3534A4"/>
    <w:multiLevelType w:val="hybridMultilevel"/>
    <w:lvl w:ilvl="0">
      <w:lvlJc w:val="left"/>
      <w:lvlText w:val="(%1)"/>
      <w:numFmt w:val="lowerRoman"/>
      <w:start w:val="2"/>
    </w:lvl>
  </w:abstractNum>
  <w:abstractNum w:abstractNumId="32">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33">
    <w:nsid w:val="7DE67713"/>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7"/>
    </w:lvl>
  </w:abstractNum>
  <w:abstractNum w:abstractNumId="34">
    <w:nsid w:val="555C55B5"/>
    <w:multiLevelType w:val="hybridMultilevel"/>
    <w:lvl w:ilvl="0">
      <w:lvlJc w:val="left"/>
      <w:lvlText w:val="(%1)"/>
      <w:numFmt w:val="lowerLetter"/>
      <w:start w:val="1"/>
    </w:lvl>
  </w:abstractNum>
  <w:abstractNum w:abstractNumId="35">
    <w:nsid w:val="3FA62ACA"/>
    <w:multiLevelType w:val="hybridMultilevel"/>
    <w:lvl w:ilvl="0">
      <w:lvlJc w:val="left"/>
      <w:lvlText w:val="(%1)"/>
      <w:numFmt w:val="lowerLetter"/>
      <w:start w:val="2"/>
    </w:lvl>
  </w:abstractNum>
  <w:abstractNum w:abstractNumId="36">
    <w:nsid w:val="14FCE74E"/>
    <w:multiLevelType w:val="hybridMultilevel"/>
    <w:lvl w:ilvl="0">
      <w:lvlJc w:val="left"/>
      <w:lvlText w:val="(%1)"/>
      <w:numFmt w:val="lowerLetter"/>
      <w:start w:val="1"/>
    </w:lvl>
  </w:abstractNum>
  <w:abstractNum w:abstractNumId="37">
    <w:nsid w:val="6A3DD3E8"/>
    <w:multiLevelType w:val="hybridMultilevel"/>
    <w:lvl w:ilvl="0">
      <w:lvlJc w:val="left"/>
      <w:lvlText w:val="%1"/>
      <w:numFmt w:val="upperLetter"/>
      <w:start w:val="1"/>
    </w:lvl>
    <w:lvl w:ilvl="1">
      <w:lvlJc w:val="left"/>
      <w:lvlText w:val="(%2)"/>
      <w:numFmt w:val="lowerLetter"/>
      <w:start w:val="1"/>
    </w:lvl>
  </w:abstractNum>
  <w:abstractNum w:abstractNumId="38">
    <w:nsid w:val="71C91298"/>
    <w:multiLevelType w:val="hybridMultilevel"/>
    <w:lvl w:ilvl="0">
      <w:lvlJc w:val="left"/>
      <w:lvlText w:val="(%1)"/>
      <w:numFmt w:val="upperLetter"/>
      <w:start w:val="4"/>
    </w:lvl>
    <w:lvl w:ilvl="1">
      <w:lvlJc w:val="left"/>
      <w:lvlText w:val="(%2)"/>
      <w:numFmt w:val="lowerLetter"/>
      <w:start w:val="3"/>
    </w:lvl>
  </w:abstractNum>
  <w:abstractNum w:abstractNumId="39">
    <w:nsid w:val="9DAF632"/>
    <w:multiLevelType w:val="hybridMultilevel"/>
    <w:lvl w:ilvl="0">
      <w:lvlJc w:val="left"/>
      <w:lvlText w:val="(%1)"/>
      <w:numFmt w:val="lowerLetter"/>
      <w:start w:val="1"/>
    </w:lvl>
  </w:abstractNum>
  <w:abstractNum w:abstractNumId="40">
    <w:nsid w:val="53299938"/>
    <w:multiLevelType w:val="hybridMultilevel"/>
    <w:lvl w:ilvl="0">
      <w:lvlJc w:val="left"/>
      <w:lvlText w:val="(%1)"/>
      <w:numFmt w:val="lowerLetter"/>
      <w:start w:val="2"/>
    </w:lvl>
  </w:abstractNum>
  <w:abstractNum w:abstractNumId="41">
    <w:nsid w:val="1FBFE8E0"/>
    <w:multiLevelType w:val="hybridMultilevel"/>
    <w:lvl w:ilvl="0">
      <w:lvlJc w:val="left"/>
      <w:lvlText w:val="(%1)"/>
      <w:numFmt w:val="lowerLetter"/>
      <w:start w:val="9"/>
    </w:lvl>
    <w:lvl w:ilvl="1">
      <w:lvlJc w:val="left"/>
      <w:lvlText w:val="(%2)"/>
      <w:numFmt w:val="lowerRoman"/>
      <w:start w:val="1"/>
    </w:lvl>
  </w:abstractNum>
  <w:abstractNum w:abstractNumId="42">
    <w:nsid w:val="5092CA79"/>
    <w:multiLevelType w:val="hybridMultilevel"/>
    <w:lvl w:ilvl="0">
      <w:lvlJc w:val="left"/>
      <w:lvlText w:val="(%1)"/>
      <w:numFmt w:val="lowerLetter"/>
      <w:start w:val="1"/>
    </w:lvl>
  </w:abstractNum>
  <w:abstractNum w:abstractNumId="43">
    <w:nsid w:val="1D545C4D"/>
    <w:multiLevelType w:val="hybridMultilevel"/>
    <w:lvl w:ilvl="0">
      <w:lvlJc w:val="left"/>
      <w:lvlText w:val="(%1)"/>
      <w:numFmt w:val="lowerLetter"/>
      <w:start w:val="6"/>
    </w:lvl>
  </w:abstractNum>
  <w:abstractNum w:abstractNumId="44">
    <w:nsid w:val="59ADEA3D"/>
    <w:multiLevelType w:val="hybridMultilevel"/>
    <w:lvl w:ilvl="0">
      <w:lvlJc w:val="left"/>
      <w:lvlText w:val="(%1)"/>
      <w:numFmt w:val="lowerLetter"/>
      <w:start w:val="1"/>
    </w:lvl>
  </w:abstractNum>
  <w:abstractNum w:abstractNumId="45">
    <w:nsid w:val="288F1A34"/>
    <w:multiLevelType w:val="hybridMultilevel"/>
    <w:lvl w:ilvl="0">
      <w:lvlJc w:val="left"/>
      <w:lvlText w:val="%1"/>
      <w:numFmt w:val="lowerLetter"/>
      <w:start w:val="1"/>
    </w:lvl>
    <w:lvl w:ilvl="1">
      <w:lvlJc w:val="left"/>
      <w:lvlText w:val="(%2)"/>
      <w:numFmt w:val="lowerLetter"/>
      <w:start w:val="2"/>
    </w:lvl>
  </w:abstractNum>
  <w:abstractNum w:abstractNumId="46">
    <w:nsid w:val="2A155DBC"/>
    <w:multiLevelType w:val="hybridMultilevel"/>
    <w:lvl w:ilvl="0">
      <w:lvlJc w:val="left"/>
      <w:lvlText w:val="(%1)"/>
      <w:numFmt w:val="lowerLetter"/>
      <w:start w:val="9"/>
    </w:lvl>
    <w:lvl w:ilvl="1">
      <w:lvlJc w:val="left"/>
      <w:lvlText w:val="%2"/>
      <w:numFmt w:val="lowerLetter"/>
      <w:start w:val="1"/>
    </w:lvl>
  </w:abstractNum>
  <w:abstractNum w:abstractNumId="47">
    <w:nsid w:val="1D9F6E5F"/>
    <w:multiLevelType w:val="hybridMultilevel"/>
    <w:lvl w:ilvl="0">
      <w:lvlJc w:val="left"/>
      <w:lvlText w:val="%1"/>
      <w:numFmt w:val="upperLetter"/>
      <w:start w:val="1"/>
    </w:lvl>
    <w:lvl w:ilvl="1">
      <w:lvlJc w:val="left"/>
      <w:lvlText w:val="(%2)"/>
      <w:numFmt w:val="lowerLetter"/>
      <w:start w:val="1"/>
    </w:lvl>
  </w:abstractNum>
  <w:abstractNum w:abstractNumId="48">
    <w:nsid w:val="97E1B4E"/>
    <w:multiLevelType w:val="hybridMultilevel"/>
    <w:lvl w:ilvl="0">
      <w:lvlJc w:val="left"/>
      <w:lvlText w:val="(%1)"/>
      <w:numFmt w:val="upperLetter"/>
      <w:start w:val="1"/>
    </w:lvl>
    <w:lvl w:ilvl="1">
      <w:lvlJc w:val="left"/>
      <w:lvlText w:val="%2"/>
      <w:numFmt w:val="lowerLetter"/>
      <w:start w:val="1"/>
    </w:lvl>
  </w:abstractNum>
  <w:abstractNum w:abstractNumId="49">
    <w:nsid w:val="51088277"/>
    <w:multiLevelType w:val="hybridMultilevel"/>
    <w:lvl w:ilvl="0">
      <w:lvlJc w:val="left"/>
      <w:lvlText w:val="(%1)"/>
      <w:numFmt w:val="lowerLetter"/>
      <w:start w:val="5"/>
    </w:lvl>
  </w:abstractNum>
  <w:abstractNum w:abstractNumId="50">
    <w:nsid w:val="1CA0C5FA"/>
    <w:multiLevelType w:val="hybridMultilevel"/>
    <w:lvl w:ilvl="0">
      <w:lvlJc w:val="left"/>
      <w:lvlText w:val="(%1)"/>
      <w:numFmt w:val="lowerRoman"/>
      <w:start w:val="1"/>
    </w:lvl>
  </w:abstractNum>
  <w:abstractNum w:abstractNumId="51">
    <w:nsid w:val="53584BCB"/>
    <w:multiLevelType w:val="hybridMultilevel"/>
    <w:lvl w:ilvl="0">
      <w:lvlJc w:val="left"/>
      <w:lvlText w:val="%1"/>
      <w:numFmt w:val="upperLetter"/>
      <w:start w:val="1"/>
    </w:lvl>
    <w:lvl w:ilvl="1">
      <w:lvlJc w:val="left"/>
      <w:lvlText w:val="(%2)"/>
      <w:numFmt w:val="lowerRoman"/>
      <w:start w:val="7"/>
    </w:lvl>
  </w:abstractNum>
  <w:abstractNum w:abstractNumId="52">
    <w:nsid w:val="415E286C"/>
    <w:multiLevelType w:val="hybridMultilevel"/>
    <w:lvl w:ilvl="0">
      <w:lvlJc w:val="left"/>
      <w:lvlText w:val="(%1)"/>
      <w:numFmt w:val="upperLetter"/>
      <w:start w:val="2"/>
    </w:lvl>
    <w:lvl w:ilvl="1">
      <w:lvlJc w:val="left"/>
      <w:lvlText w:val="(%2)"/>
      <w:numFmt w:val="lowerRoman"/>
      <w:start w:val="12"/>
    </w:lvl>
  </w:abstractNum>
  <w:abstractNum w:abstractNumId="53">
    <w:nsid w:val="7C58FD05"/>
    <w:multiLevelType w:val="hybridMultilevel"/>
    <w:lvl w:ilvl="0">
      <w:lvlJc w:val="left"/>
      <w:lvlText w:val="(%1)"/>
      <w:numFmt w:val="lowerRoman"/>
      <w:start w:val="13"/>
    </w:lvl>
  </w:abstractNum>
  <w:abstractNum w:abstractNumId="54">
    <w:nsid w:val="23D86AAC"/>
    <w:multiLevelType w:val="hybridMultilevel"/>
    <w:lvl w:ilvl="0">
      <w:lvlJc w:val="left"/>
      <w:lvlText w:val="(%1)"/>
      <w:numFmt w:val="lowerLetter"/>
      <w:start w:val="1"/>
    </w:lvl>
  </w:abstractNum>
  <w:abstractNum w:abstractNumId="55">
    <w:nsid w:val="45E6D486"/>
    <w:multiLevelType w:val="hybridMultilevel"/>
    <w:lvl w:ilvl="0">
      <w:lvlJc w:val="left"/>
      <w:lvlText w:val="(%1)"/>
      <w:numFmt w:val="lowerLetter"/>
      <w:start w:val="1"/>
    </w:lvl>
  </w:abstractNum>
  <w:abstractNum w:abstractNumId="56">
    <w:nsid w:val="5C10FE21"/>
    <w:multiLevelType w:val="hybridMultilevel"/>
    <w:lvl w:ilvl="0">
      <w:lvlJc w:val="left"/>
      <w:lvlText w:val="(%1)"/>
      <w:numFmt w:val="lowerLetter"/>
      <w:start w:val="2"/>
    </w:lvl>
  </w:abstractNum>
  <w:abstractNum w:abstractNumId="57">
    <w:nsid w:val="E7FFA2B"/>
    <w:multiLevelType w:val="hybridMultilevel"/>
    <w:lvl w:ilvl="0">
      <w:lvlJc w:val="left"/>
      <w:lvlText w:val="%1"/>
      <w:numFmt w:val="lowerLetter"/>
      <w:start w:val="1"/>
    </w:lvl>
    <w:lvl w:ilvl="1">
      <w:lvlJc w:val="left"/>
      <w:lvlText w:val="(%2)"/>
      <w:numFmt w:val="lowerLetter"/>
      <w:start w:val="1"/>
    </w:lvl>
  </w:abstractNum>
  <w:abstractNum w:abstractNumId="58">
    <w:nsid w:val="3C5991AA"/>
    <w:multiLevelType w:val="hybridMultilevel"/>
    <w:lvl w:ilvl="0">
      <w:lvlJc w:val="left"/>
      <w:lvlText w:val="(%1)"/>
      <w:numFmt w:val="lowerLetter"/>
      <w:start w:val="35"/>
    </w:lvl>
    <w:lvl w:ilvl="1">
      <w:lvlJc w:val="left"/>
      <w:lvlText w:val="%2"/>
      <w:numFmt w:val="lowerLetter"/>
      <w:start w:val="1"/>
    </w:lvl>
  </w:abstractNum>
  <w:abstractNum w:abstractNumId="59">
    <w:nsid w:val="4BD8591A"/>
    <w:multiLevelType w:val="hybridMultilevel"/>
    <w:lvl w:ilvl="0">
      <w:lvlJc w:val="left"/>
      <w:lvlText w:val="(%1)"/>
      <w:numFmt w:val="lowerLetter"/>
      <w:start w:val="2"/>
    </w:lvl>
  </w:abstractNum>
  <w:abstractNum w:abstractNumId="60">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
    <w:nsid w:val="39B7AAA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62">
    <w:nsid w:val="2B0D8DB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3">
    <w:nsid w:val="6C80EC7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64">
    <w:nsid w:val="379E21B5"/>
    <w:multiLevelType w:val="hybridMultilevel"/>
    <w:lvl w:ilvl="0">
      <w:lvlJc w:val="left"/>
      <w:lvlText w:val="(%1)"/>
      <w:numFmt w:val="lowerRoman"/>
      <w:start w:val="2"/>
    </w:lvl>
  </w:abstractNum>
  <w:abstractNum w:abstractNumId="65">
    <w:nsid w:val="69E373"/>
    <w:multiLevelType w:val="hybridMultilevel"/>
    <w:lvl w:ilvl="0">
      <w:lvlJc w:val="left"/>
      <w:lvlText w:val="(%1)"/>
      <w:numFmt w:val="lowerLetter"/>
      <w:start w:val="3"/>
    </w:lvl>
  </w:abstractNum>
  <w:abstractNum w:abstractNumId="66">
    <w:nsid w:val="2C27173B"/>
    <w:multiLevelType w:val="hybridMultilevel"/>
    <w:lvl w:ilvl="0">
      <w:lvlJc w:val="left"/>
      <w:lvlText w:val="(%1)"/>
      <w:numFmt w:val="lowerRoman"/>
      <w:start w:val="1"/>
    </w:lvl>
  </w:abstractNum>
  <w:abstractNum w:abstractNumId="67">
    <w:nsid w:val="4C9B0904"/>
    <w:multiLevelType w:val="hybridMultilevel"/>
    <w:lvl w:ilvl="0">
      <w:lvlJc w:val="left"/>
      <w:lvlText w:val="(%1)"/>
      <w:numFmt w:val="lowerLetter"/>
      <w:start w:val="4"/>
    </w:lvl>
  </w:abstractNum>
  <w:abstractNum w:abstractNumId="68">
    <w:nsid w:val="6AA7B75C"/>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69">
    <w:nsid w:val="1DF029D3"/>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70">
    <w:nsid w:val="5675FF36"/>
    <w:multiLevelType w:val="hybridMultilevel"/>
    <w:lvl w:ilvl="0">
      <w:lvlJc w:val="left"/>
      <w:lvlText w:val="%1"/>
      <w:numFmt w:val="lowerRoman"/>
      <w:start w:val="1"/>
    </w:lvl>
    <w:lvl w:ilvl="1">
      <w:lvlJc w:val="left"/>
      <w:lvlText w:val="(%2)"/>
      <w:numFmt w:val="lowerLetter"/>
      <w:start w:val="1"/>
    </w:lvl>
  </w:abstractNum>
  <w:abstractNum w:abstractNumId="71">
    <w:nsid w:val="3DD15094"/>
    <w:multiLevelType w:val="hybridMultilevel"/>
    <w:lvl w:ilvl="0">
      <w:lvlJc w:val="left"/>
      <w:lvlText w:val="(%1)"/>
      <w:numFmt w:val="lowerRoman"/>
      <w:start w:val="2"/>
    </w:lvl>
    <w:lvl w:ilvl="1">
      <w:lvlJc w:val="left"/>
      <w:lvlText w:val="%2"/>
      <w:numFmt w:val="lowerLetter"/>
      <w:start w:val="1"/>
    </w:lvl>
  </w:abstractNum>
  <w:abstractNum w:abstractNumId="72">
    <w:nsid w:val="3DB012B3"/>
    <w:multiLevelType w:val="hybridMultilevel"/>
    <w:lvl w:ilvl="0">
      <w:lvlJc w:val="left"/>
      <w:lvlText w:val="(%1)"/>
      <w:numFmt w:val="lowerLetter"/>
      <w:start w:val="3"/>
    </w:lvl>
  </w:abstractNum>
  <w:abstractNum w:abstractNumId="73">
    <w:nsid w:val="2708C9AF"/>
    <w:multiLevelType w:val="hybridMultilevel"/>
    <w:lvl w:ilvl="0">
      <w:lvlJc w:val="left"/>
      <w:lvlText w:val="(%1)"/>
      <w:numFmt w:val="lowerLetter"/>
      <w:start w:val="1"/>
    </w:lvl>
  </w:abstractNum>
  <w:abstractNum w:abstractNumId="74">
    <w:nsid w:val="5B25ACE2"/>
    <w:multiLevelType w:val="hybridMultilevel"/>
    <w:lvl w:ilvl="0">
      <w:lvlJc w:val="left"/>
      <w:lvlText w:val="%1"/>
      <w:numFmt w:val="lowerLetter"/>
      <w:start w:val="1"/>
    </w:lvl>
    <w:lvl w:ilvl="1">
      <w:lvlJc w:val="left"/>
      <w:lvlText w:val="(%2)"/>
      <w:numFmt w:val="lowerLetter"/>
      <w:start w:val="1"/>
    </w:lvl>
  </w:abstractNum>
  <w:abstractNum w:abstractNumId="75">
    <w:nsid w:val="175DFCF0"/>
    <w:multiLevelType w:val="hybridMultilevel"/>
    <w:lvl w:ilvl="0">
      <w:lvlJc w:val="left"/>
      <w:lvlText w:val="(%1)"/>
      <w:numFmt w:val="lowerLetter"/>
      <w:start w:val="35"/>
    </w:lvl>
    <w:lvl w:ilvl="1">
      <w:lvlJc w:val="left"/>
      <w:lvlText w:val="(%2)"/>
      <w:numFmt w:val="lowerLetter"/>
      <w:start w:val="2"/>
    </w:lvl>
  </w:abstractNum>
  <w:abstractNum w:abstractNumId="76">
    <w:nsid w:val="4F97E3E4"/>
    <w:multiLevelType w:val="hybridMultilevel"/>
    <w:lvl w:ilvl="0">
      <w:lvlJc w:val="left"/>
      <w:lvlText w:val="(%1)"/>
      <w:numFmt w:val="lowerLetter"/>
      <w:start w:val="1"/>
    </w:lvl>
  </w:abstractNum>
  <w:abstractNum w:abstractNumId="77">
    <w:nsid w:val="53B0A9E"/>
    <w:multiLevelType w:val="hybridMultilevel"/>
    <w:lvl w:ilvl="0">
      <w:lvlJc w:val="left"/>
      <w:lvlText w:val="%1"/>
      <w:numFmt w:val="lowerLetter"/>
      <w:start w:val="1"/>
    </w:lvl>
    <w:lvl w:ilvl="1">
      <w:lvlJc w:val="left"/>
      <w:lvlText w:val="(%2)"/>
      <w:numFmt w:val="lowerLetter"/>
      <w:start w:val="3"/>
    </w:lvl>
  </w:abstractNum>
  <w:abstractNum w:abstractNumId="78">
    <w:nsid w:val="34FD6B4F"/>
    <w:multiLevelType w:val="hybridMultilevel"/>
    <w:lvl w:ilvl="0">
      <w:lvlJc w:val="left"/>
      <w:lvlText w:val="(%1)"/>
      <w:numFmt w:val="lowerLetter"/>
      <w:start w:val="61"/>
    </w:lvl>
    <w:lvl w:ilvl="1">
      <w:lvlJc w:val="left"/>
      <w:lvlText w:val="%2"/>
      <w:numFmt w:val="lowerLetter"/>
      <w:start w:val="1"/>
    </w:lvl>
  </w:abstractNum>
  <w:abstractNum w:abstractNumId="79">
    <w:nsid w:val="5915FF32"/>
    <w:multiLevelType w:val="hybridMultilevel"/>
    <w:lvl w:ilvl="0">
      <w:lvlJc w:val="left"/>
      <w:lvlText w:val="(%1)"/>
      <w:numFmt w:val="lowerLetter"/>
      <w:start w:val="1"/>
    </w:lvl>
  </w:abstractNum>
  <w:abstractNum w:abstractNumId="80">
    <w:nsid w:val="56438D15"/>
    <w:multiLevelType w:val="hybridMultilevel"/>
    <w:lvl w:ilvl="0">
      <w:lvlJc w:val="left"/>
      <w:lvlText w:val="%1"/>
      <w:numFmt w:val="decimal"/>
      <w:start w:val="1"/>
    </w:lvl>
    <w:lvl w:ilvl="1">
      <w:lvlJc w:val="left"/>
      <w:lvlText w:val="(%2)"/>
      <w:numFmt w:val="lowerLetter"/>
      <w:start w:val="3"/>
    </w:lvl>
  </w:abstractNum>
  <w:abstractNum w:abstractNumId="81">
    <w:nsid w:val="519E3149"/>
    <w:multiLevelType w:val="hybridMultilevel"/>
    <w:lvl w:ilvl="0">
      <w:lvlJc w:val="left"/>
      <w:lvlText w:val="(%1)"/>
      <w:numFmt w:val="decimal"/>
      <w:start w:val="30"/>
    </w:lvl>
    <w:lvl w:ilvl="1">
      <w:lvlJc w:val="left"/>
      <w:lvlText w:val="(%2)"/>
      <w:numFmt w:val="lowerLetter"/>
      <w:start w:val="5"/>
    </w:lvl>
  </w:abstractNum>
  <w:abstractNum w:abstractNumId="82">
    <w:nsid w:val="2C6E4AFD"/>
    <w:multiLevelType w:val="hybridMultilevel"/>
    <w:lvl w:ilvl="0">
      <w:lvlJc w:val="left"/>
      <w:lvlText w:val="(%1)"/>
      <w:numFmt w:val="lowerLetter"/>
      <w:start w:val="1"/>
    </w:lvl>
  </w:abstractNum>
  <w:abstractNum w:abstractNumId="83">
    <w:nsid w:val="17A1B582"/>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84">
    <w:nsid w:val="4DF72E4E"/>
    <w:multiLevelType w:val="hybridMultilevel"/>
    <w:lvl w:ilvl="0">
      <w:lvlJc w:val="left"/>
      <w:lvlText w:val="%1"/>
      <w:numFmt w:val="lowerLetter"/>
      <w:start w:val="1"/>
    </w:lvl>
    <w:lvl w:ilvl="1">
      <w:lvlJc w:val="left"/>
      <w:lvlText w:val="(%2)"/>
      <w:numFmt w:val="lowerRoman"/>
      <w:start w:val="2"/>
    </w:lvl>
  </w:abstractNum>
  <w:abstractNum w:abstractNumId="85">
    <w:nsid w:val="5046B5A9"/>
    <w:multiLevelType w:val="hybridMultilevel"/>
    <w:lvl w:ilvl="0">
      <w:lvlJc w:val="left"/>
      <w:lvlText w:val="(%1)"/>
      <w:numFmt w:val="lowerLetter"/>
      <w:start w:val="4"/>
    </w:lvl>
    <w:lvl w:ilvl="1">
      <w:lvlJc w:val="left"/>
      <w:lvlText w:val="(%2)"/>
      <w:numFmt w:val="lowerRoman"/>
      <w:start w:val="7"/>
    </w:lvl>
  </w:abstractNum>
  <w:abstractNum w:abstractNumId="86">
    <w:nsid w:val="5D888A08"/>
    <w:multiLevelType w:val="hybridMultilevel"/>
    <w:lvl w:ilvl="0">
      <w:lvlJc w:val="left"/>
      <w:lvlText w:val="(%1)"/>
      <w:numFmt w:val="lowerRoman"/>
      <w:start w:val="9"/>
    </w:lvl>
  </w:abstractNum>
  <w:abstractNum w:abstractNumId="87">
    <w:nsid w:val="2A082C70"/>
    <w:multiLevelType w:val="hybridMultilevel"/>
    <w:lvl w:ilvl="0">
      <w:lvlJc w:val="left"/>
      <w:lvlText w:val="(%1)"/>
      <w:numFmt w:val="upperLetter"/>
      <w:start w:val="6"/>
    </w:lvl>
  </w:abstractNum>
  <w:abstractNum w:abstractNumId="88">
    <w:nsid w:val="5EC6AFD4"/>
    <w:multiLevelType w:val="hybridMultilevel"/>
    <w:lvl w:ilvl="0">
      <w:lvlJc w:val="left"/>
      <w:lvlText w:val="(%1)"/>
      <w:numFmt w:val="upperLetter"/>
      <w:start w:val="11"/>
    </w:lvl>
  </w:abstractNum>
  <w:abstractNum w:abstractNumId="89">
    <w:nsid w:val="19E21BB2"/>
    <w:multiLevelType w:val="hybridMultilevel"/>
    <w:lvl w:ilvl="0">
      <w:lvlJc w:val="left"/>
      <w:lvlText w:val="%1"/>
      <w:numFmt w:val="upperLetter"/>
      <w:start w:val="1"/>
    </w:lvl>
    <w:lvl w:ilvl="1">
      <w:lvlJc w:val="left"/>
      <w:lvlText w:val="(%2)"/>
      <w:numFmt w:val="lowerLetter"/>
      <w:start w:val="3"/>
    </w:lvl>
  </w:abstractNum>
  <w:abstractNum w:abstractNumId="90">
    <w:nsid w:val="75E0858A"/>
    <w:multiLevelType w:val="hybridMultilevel"/>
    <w:lvl w:ilvl="0">
      <w:lvlJc w:val="left"/>
      <w:lvlText w:val="(%1)"/>
      <w:numFmt w:val="upperLetter"/>
      <w:start w:val="35"/>
    </w:lvl>
    <w:lvl w:ilvl="1">
      <w:lvlJc w:val="left"/>
      <w:lvlText w:val="(%2)"/>
      <w:numFmt w:val="lowerLetter"/>
      <w:start w:val="6"/>
    </w:lvl>
  </w:abstractNum>
  <w:abstractNum w:abstractNumId="91">
    <w:nsid w:val="57A61A29"/>
    <w:multiLevelType w:val="hybridMultilevel"/>
    <w:lvl w:ilvl="0">
      <w:lvlJc w:val="left"/>
      <w:lvlText w:val="(%1)"/>
      <w:numFmt w:val="lowerLetter"/>
      <w:start w:val="1"/>
    </w:lvl>
  </w:abstractNum>
  <w:abstractNum w:abstractNumId="92">
    <w:nsid w:val="5399C654"/>
    <w:multiLevelType w:val="hybridMultilevel"/>
    <w:lvl w:ilvl="0">
      <w:lvlJc w:val="left"/>
      <w:lvlText w:val="(%1)"/>
      <w:numFmt w:val="lowerRoman"/>
      <w:start w:val="2"/>
    </w:lvl>
  </w:abstractNum>
  <w:abstractNum w:abstractNumId="93">
    <w:nsid w:val="20EE1348"/>
    <w:multiLevelType w:val="hybridMultilevel"/>
    <w:lvl w:ilvl="0">
      <w:lvlJc w:val="left"/>
      <w:lvlText w:val="(%1)"/>
      <w:numFmt w:val="lowerLetter"/>
      <w:start w:val="1"/>
    </w:lvl>
  </w:abstractNum>
  <w:abstractNum w:abstractNumId="94">
    <w:nsid w:val="4427069A"/>
    <w:multiLevelType w:val="hybridMultilevel"/>
    <w:lvl w:ilvl="0">
      <w:lvlJc w:val="left"/>
      <w:lvlText w:val="(%1)"/>
      <w:numFmt w:val="lowerLetter"/>
      <w:start w:val="1"/>
    </w:lvl>
  </w:abstractNum>
  <w:abstractNum w:abstractNumId="95">
    <w:nsid w:val="B37E80A"/>
    <w:multiLevelType w:val="hybridMultilevel"/>
    <w:lvl w:ilvl="0">
      <w:lvlJc w:val="left"/>
      <w:lvlText w:val="(%1)"/>
      <w:numFmt w:val="lowerLetter"/>
      <w:start w:val="1"/>
    </w:lvl>
  </w:abstractNum>
  <w:abstractNum w:abstractNumId="96">
    <w:nsid w:val="2157F6BC"/>
    <w:multiLevelType w:val="hybridMultilevel"/>
    <w:lvl w:ilvl="0">
      <w:lvlJc w:val="left"/>
      <w:lvlText w:val="(%1)"/>
      <w:numFmt w:val="lowerLetter"/>
      <w:start w:val="2"/>
    </w:lvl>
  </w:abstractNum>
  <w:abstractNum w:abstractNumId="97">
    <w:nsid w:val="704E1DD5"/>
    <w:multiLevelType w:val="hybridMultilevel"/>
    <w:lvl w:ilvl="0">
      <w:lvlJc w:val="left"/>
      <w:lvlText w:val="%1"/>
      <w:numFmt w:val="lowerLetter"/>
      <w:start w:val="1"/>
    </w:lvl>
    <w:lvl w:ilvl="1">
      <w:lvlJc w:val="left"/>
      <w:lvlText w:val="(%2)"/>
      <w:numFmt w:val="lowerLetter"/>
      <w:start w:val="1"/>
    </w:lvl>
  </w:abstractNum>
  <w:abstractNum w:abstractNumId="98">
    <w:nsid w:val="57D2F10E"/>
    <w:multiLevelType w:val="hybridMultilevel"/>
    <w:lvl w:ilvl="0">
      <w:lvlJc w:val="left"/>
      <w:lvlText w:val="(%1)"/>
      <w:numFmt w:val="lowerLetter"/>
      <w:start w:val="35"/>
    </w:lvl>
    <w:lvl w:ilvl="1">
      <w:lvlJc w:val="left"/>
      <w:lvlText w:val="(%2)"/>
      <w:numFmt w:val="lowerLetter"/>
      <w:start w:val="2"/>
    </w:lvl>
  </w:abstractNum>
  <w:abstractNum w:abstractNumId="99">
    <w:nsid w:val="BFFAE18"/>
    <w:multiLevelType w:val="hybridMultilevel"/>
    <w:lvl w:ilvl="0">
      <w:lvlJc w:val="left"/>
      <w:lvlText w:val="(%1)"/>
      <w:numFmt w:val="lowerLetter"/>
      <w:start w:val="4"/>
    </w:lvl>
  </w:abstractNum>
  <w:abstractNum w:abstractNumId="100">
    <w:nsid w:val="E3E47A8"/>
    <w:multiLevelType w:val="hybridMultilevel"/>
    <w:lvl w:ilvl="0">
      <w:lvlJc w:val="left"/>
      <w:lvlText w:val="(%1)"/>
      <w:numFmt w:val="lowerLetter"/>
      <w:start w:val="1"/>
    </w:lvl>
  </w:abstractNum>
  <w:abstractNum w:abstractNumId="101">
    <w:nsid w:val="2E48F044"/>
    <w:multiLevelType w:val="hybridMultilevel"/>
    <w:lvl w:ilvl="0">
      <w:lvlJc w:val="left"/>
      <w:lvlText w:val="(%1)"/>
      <w:numFmt w:val="lowerLetter"/>
      <w:start w:val="4"/>
    </w:lvl>
    <w:lvl w:ilvl="1">
      <w:lvlJc w:val="left"/>
      <w:lvlText w:val="(%2)"/>
      <w:numFmt w:val="lowerRoman"/>
      <w:start w:val="1"/>
    </w:lvl>
  </w:abstractNum>
  <w:abstractNum w:abstractNumId="102">
    <w:nsid w:val="49D0FEAC"/>
    <w:multiLevelType w:val="hybridMultilevel"/>
    <w:lvl w:ilvl="0">
      <w:lvlJc w:val="left"/>
      <w:lvlText w:val="(%1)"/>
      <w:numFmt w:val="lowerLetter"/>
      <w:start w:val="5"/>
    </w:lvl>
    <w:lvl w:ilvl="1">
      <w:lvlJc w:val="left"/>
      <w:lvlText w:val="(%2)"/>
      <w:numFmt w:val="lowerRoman"/>
      <w:start w:val="1"/>
    </w:lvl>
  </w:abstractNum>
  <w:abstractNum w:abstractNumId="103">
    <w:nsid w:val="4BEE5A5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04">
    <w:nsid w:val="5551B9F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05">
    <w:nsid w:val="24F6AB8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06">
    <w:nsid w:val="634C574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61"/>
    </w:lvl>
  </w:abstractNum>
  <w:abstractNum w:abstractNumId="107">
    <w:nsid w:val="24E99DD7"/>
    <w:multiLevelType w:val="hybridMultilevel"/>
    <w:lvl w:ilvl="0">
      <w:lvlJc w:val="left"/>
      <w:lvlText w:val="(%1)"/>
      <w:numFmt w:val="lowerLetter"/>
      <w:start w:val="4"/>
    </w:lvl>
  </w:abstractNum>
  <w:abstractNum w:abstractNumId="108">
    <w:nsid w:val="2A31B62D"/>
    <w:multiLevelType w:val="hybridMultilevel"/>
    <w:lvl w:ilvl="0">
      <w:lvlJc w:val="left"/>
      <w:lvlText w:val="(%1)"/>
      <w:numFmt w:val="lowerLetter"/>
      <w:start w:val="1"/>
    </w:lvl>
  </w:abstractNum>
  <w:abstractNum w:abstractNumId="109">
    <w:nsid w:val="1849C29B"/>
    <w:multiLevelType w:val="hybridMultilevel"/>
    <w:lvl w:ilvl="0">
      <w:lvlJc w:val="left"/>
      <w:lvlText w:val="(%1)"/>
      <w:numFmt w:val="lowerLetter"/>
      <w:start w:val="2"/>
    </w:lvl>
  </w:abstractNum>
  <w:abstractNum w:abstractNumId="110">
    <w:nsid w:val="7DFF9D09"/>
    <w:multiLevelType w:val="hybridMultilevel"/>
    <w:lvl w:ilvl="0">
      <w:lvlJc w:val="left"/>
      <w:lvlText w:val="(%1)"/>
      <w:numFmt w:val="lowerRoman"/>
      <w:start w:val="2"/>
    </w:lvl>
  </w:abstractNum>
  <w:abstractNum w:abstractNumId="111">
    <w:nsid w:val="754342"/>
    <w:multiLevelType w:val="hybridMultilevel"/>
    <w:lvl w:ilvl="0">
      <w:lvlJc w:val="left"/>
      <w:lvlText w:val="(%1)"/>
      <w:numFmt w:val="upperLetter"/>
      <w:start w:val="2"/>
    </w:lvl>
  </w:abstractNum>
  <w:abstractNum w:abstractNumId="112">
    <w:nsid w:val="69E7F3E5"/>
    <w:multiLevelType w:val="hybridMultilevel"/>
    <w:lvl w:ilvl="0">
      <w:lvlJc w:val="left"/>
      <w:lvlText w:val="(%1)"/>
      <w:numFmt w:val="lowerRoman"/>
      <w:start w:val="2"/>
    </w:lvl>
  </w:abstractNum>
  <w:abstractNum w:abstractNumId="113">
    <w:nsid w:val="2A6DE806"/>
    <w:multiLevelType w:val="hybridMultilevel"/>
    <w:lvl w:ilvl="0">
      <w:lvlJc w:val="left"/>
      <w:lvlText w:val="(%1)"/>
      <w:numFmt w:val="lowerLetter"/>
      <w:start w:val="1"/>
    </w:lvl>
  </w:abstractNum>
  <w:abstractNum w:abstractNumId="114">
    <w:nsid w:val="1816F8C4"/>
    <w:multiLevelType w:val="hybridMultilevel"/>
    <w:lvl w:ilvl="0">
      <w:lvlJc w:val="left"/>
      <w:lvlText w:val="(%1)"/>
      <w:numFmt w:val="lowerLetter"/>
      <w:start w:val="1"/>
    </w:lvl>
  </w:abstractNum>
  <w:abstractNum w:abstractNumId="115">
    <w:nsid w:val="37DF2233"/>
    <w:multiLevelType w:val="hybridMultilevel"/>
    <w:lvl w:ilvl="0">
      <w:lvlJc w:val="left"/>
      <w:lvlText w:val="(%1)"/>
      <w:numFmt w:val="lowerLetter"/>
      <w:start w:val="2"/>
    </w:lvl>
  </w:abstractNum>
  <w:abstractNum w:abstractNumId="116">
    <w:nsid w:val="7AB49DAF"/>
    <w:multiLevelType w:val="hybridMultilevel"/>
    <w:lvl w:ilvl="0">
      <w:lvlJc w:val="left"/>
      <w:lvlText w:val="(%1)"/>
      <w:numFmt w:val="lowerLetter"/>
      <w:start w:val="1"/>
    </w:lvl>
  </w:abstractNum>
  <w:abstractNum w:abstractNumId="117">
    <w:nsid w:val="759F82CD"/>
    <w:multiLevelType w:val="hybridMultilevel"/>
    <w:lvl w:ilvl="0">
      <w:lvlJc w:val="left"/>
      <w:lvlText w:val="(%1)"/>
      <w:numFmt w:val="lowerLetter"/>
      <w:start w:val="4"/>
    </w:lvl>
  </w:abstractNum>
  <w:abstractNum w:abstractNumId="118">
    <w:nsid w:val="61E74EA3"/>
    <w:multiLevelType w:val="hybridMultilevel"/>
    <w:lvl w:ilvl="0">
      <w:lvlJc w:val="left"/>
      <w:lvlText w:val="(%1)"/>
      <w:numFmt w:val="decimal"/>
      <w:start w:val="1"/>
    </w:lvl>
  </w:abstractNum>
  <w:abstractNum w:abstractNumId="119">
    <w:nsid w:val="597B4D84"/>
    <w:multiLevelType w:val="hybridMultilevel"/>
    <w:lvl w:ilvl="0">
      <w:lvlJc w:val="left"/>
      <w:lvlText w:val="(%1)"/>
      <w:numFmt w:val="upperLetter"/>
      <w:start w:val="1"/>
    </w:lvl>
  </w:abstractNum>
  <w:abstractNum w:abstractNumId="120">
    <w:nsid w:val="F819E7F"/>
    <w:multiLevelType w:val="hybridMultilevel"/>
    <w:lvl w:ilvl="0">
      <w:lvlJc w:val="left"/>
      <w:lvlText w:val="%1."/>
      <w:numFmt w:val="decimal"/>
      <w:start w:val="1"/>
    </w:lvl>
  </w:abstractNum>
  <w:abstractNum w:abstractNumId="121">
    <w:nsid w:val="57C7D42D"/>
    <w:multiLevelType w:val="hybridMultilevel"/>
    <w:lvl w:ilvl="0">
      <w:lvlJc w:val="left"/>
      <w:lvlText w:val="%1."/>
      <w:numFmt w:val="decimal"/>
      <w:start w:val="2"/>
    </w:lvl>
  </w:abstractNum>
  <w:abstractNum w:abstractNumId="122">
    <w:nsid w:val="312167AD"/>
    <w:multiLevelType w:val="hybridMultilevel"/>
    <w:lvl w:ilvl="0">
      <w:lvlJc w:val="left"/>
      <w:lvlText w:val="(%1)"/>
      <w:numFmt w:val="lowerLetter"/>
      <w:start w:val="1"/>
    </w:lvl>
  </w:abstractNum>
  <w:abstractNum w:abstractNumId="123">
    <w:nsid w:val="631B64D4"/>
    <w:multiLevelType w:val="hybridMultilevel"/>
    <w:lvl w:ilvl="0">
      <w:lvlJc w:val="left"/>
      <w:lvlText w:val="(%1)"/>
      <w:numFmt w:val="lowerLetter"/>
      <w:start w:val="1"/>
    </w:lvl>
    <w:lvl w:ilvl="1">
      <w:lvlJc w:val="left"/>
      <w:lvlText w:val="(%2)"/>
      <w:numFmt w:val="lowerRoman"/>
      <w:start w:val="1"/>
    </w:lvl>
  </w:abstractNum>
  <w:abstractNum w:abstractNumId="124">
    <w:nsid w:val="78B5E776"/>
    <w:multiLevelType w:val="hybridMultilevel"/>
    <w:lvl w:ilvl="0">
      <w:lvlJc w:val="left"/>
      <w:lvlText w:val="(%1)"/>
      <w:numFmt w:val="lowerLetter"/>
      <w:start w:val="1"/>
    </w:lvl>
    <w:lvl w:ilvl="1">
      <w:lvlJc w:val="left"/>
      <w:lvlText w:val="(%2)"/>
      <w:numFmt w:val="lowerRoman"/>
      <w:start w:val="1"/>
    </w:lvl>
  </w:abstractNum>
  <w:abstractNum w:abstractNumId="125">
    <w:nsid w:val="75486E47"/>
    <w:multiLevelType w:val="hybridMultilevel"/>
    <w:lvl w:ilvl="0">
      <w:lvlJc w:val="left"/>
      <w:lvlText w:val="(%1)"/>
      <w:numFmt w:val="lowerRoman"/>
      <w:start w:val="1"/>
    </w:lvl>
  </w:abstractNum>
  <w:abstractNum w:abstractNumId="126">
    <w:nsid w:val="6E534CDE"/>
    <w:multiLevelType w:val="hybridMultilevel"/>
    <w:lvl w:ilvl="0">
      <w:lvlJc w:val="left"/>
      <w:lvlText w:val="(%1)"/>
      <w:numFmt w:val="lowerLetter"/>
      <w:start w:val="1"/>
    </w:lvl>
  </w:abstractNum>
  <w:abstractNum w:abstractNumId="127">
    <w:nsid w:val="1A0DDE32"/>
    <w:multiLevelType w:val="hybridMultilevel"/>
    <w:lvl w:ilvl="0">
      <w:lvlJc w:val="left"/>
      <w:lvlText w:val="(%1)"/>
      <w:numFmt w:val="lowerLetter"/>
      <w:start w:val="1"/>
    </w:lvl>
    <w:lvl w:ilvl="1">
      <w:lvlJc w:val="left"/>
      <w:lvlText w:val="(%2)"/>
      <w:numFmt w:val="lowerRoman"/>
      <w:start w:val="1"/>
    </w:lvl>
  </w:abstractNum>
  <w:abstractNum w:abstractNumId="128">
    <w:nsid w:val="65968C1C"/>
    <w:multiLevelType w:val="hybridMultilevel"/>
    <w:lvl w:ilvl="0">
      <w:lvlJc w:val="left"/>
      <w:lvlText w:val="(%1)"/>
      <w:numFmt w:val="lowerLetter"/>
      <w:start w:val="1"/>
    </w:lvl>
  </w:abstractNum>
  <w:abstractNum w:abstractNumId="129">
    <w:nsid w:val="46263DEC"/>
    <w:multiLevelType w:val="hybridMultilevel"/>
    <w:lvl w:ilvl="0">
      <w:lvlJc w:val="left"/>
      <w:lvlText w:val="%1"/>
      <w:numFmt w:val="decimal"/>
      <w:start w:val="1"/>
    </w:lvl>
    <w:lvl w:ilvl="1">
      <w:lvlJc w:val="left"/>
      <w:lvlText w:val="(%2)"/>
      <w:numFmt w:val="lowerLetter"/>
      <w:start w:val="2"/>
    </w:lvl>
  </w:abstractNum>
  <w:abstractNum w:abstractNumId="130">
    <w:nsid w:val="260D8C4A"/>
    <w:multiLevelType w:val="hybridMultilevel"/>
    <w:lvl w:ilvl="0">
      <w:lvlJc w:val="left"/>
      <w:lvlText w:val="%1."/>
      <w:numFmt w:val="decimal"/>
      <w:start w:val="3"/>
    </w:lvl>
    <w:lvl w:ilvl="1">
      <w:lvlJc w:val="left"/>
      <w:lvlText w:val="%2"/>
      <w:numFmt w:val="lowerLetter"/>
      <w:start w:val="1"/>
    </w:lvl>
  </w:abstractNum>
  <w:abstractNum w:abstractNumId="131">
    <w:nsid w:val="73D4D3C4"/>
    <w:multiLevelType w:val="hybridMultilevel"/>
    <w:lvl w:ilvl="0">
      <w:lvlJc w:val="left"/>
      <w:lvlText w:val="%1."/>
      <w:numFmt w:val="decimal"/>
      <w:start w:val="4"/>
    </w:lvl>
  </w:abstractNum>
  <w:abstractNum w:abstractNumId="132">
    <w:nsid w:val="746F2E30"/>
    <w:multiLevelType w:val="hybridMultilevel"/>
    <w:lvl w:ilvl="0">
      <w:lvlJc w:val="left"/>
      <w:lvlText w:val="%1"/>
      <w:numFmt w:val="decimal"/>
      <w:start w:val="1"/>
    </w:lvl>
    <w:lvl w:ilvl="1">
      <w:lvlJc w:val="left"/>
      <w:lvlText w:val="(%2)"/>
      <w:numFmt w:val="lowerLetter"/>
      <w:start w:val="1"/>
    </w:lvl>
  </w:abstractNum>
  <w:abstractNum w:abstractNumId="133">
    <w:nsid w:val="6FDE8AF6"/>
    <w:multiLevelType w:val="hybridMultilevel"/>
    <w:lvl w:ilvl="0">
      <w:lvlJc w:val="left"/>
      <w:lvlText w:val="%1."/>
      <w:numFmt w:val="decimal"/>
      <w:start w:val="5"/>
    </w:lvl>
    <w:lvl w:ilvl="1">
      <w:lvlJc w:val="left"/>
      <w:lvlText w:val="%2"/>
      <w:numFmt w:val="lowerLetter"/>
      <w:start w:val="1"/>
    </w:lvl>
  </w:abstractNum>
  <w:abstractNum w:abstractNumId="134">
    <w:nsid w:val="3FC32E20"/>
    <w:multiLevelType w:val="hybridMultilevel"/>
    <w:lvl w:ilvl="0">
      <w:lvlJc w:val="left"/>
      <w:lvlText w:val="%1."/>
      <w:numFmt w:val="decimal"/>
      <w:start w:val="6"/>
    </w:lvl>
  </w:abstractNum>
  <w:abstractNum w:abstractNumId="135">
    <w:nsid w:val="49C0E823"/>
    <w:multiLevelType w:val="hybridMultilevel"/>
    <w:lvl w:ilvl="0">
      <w:lvlJc w:val="left"/>
      <w:lvlText w:val=" "/>
      <w:numFmt w:val="bullet"/>
      <w:start w:val="1"/>
    </w:lvl>
  </w:abstractNum>
  <w:abstractNum w:abstractNumId="136">
    <w:nsid w:val="14D53685"/>
    <w:multiLevelType w:val="hybridMultilevel"/>
    <w:lvl w:ilvl="0">
      <w:lvlJc w:val="left"/>
      <w:lvlText w:val="(%1)"/>
      <w:numFmt w:val="lowerLetter"/>
      <w:start w:val="5"/>
    </w:lvl>
  </w:abstractNum>
  <w:abstractNum w:abstractNumId="137">
    <w:nsid w:val="230F856C"/>
    <w:multiLevelType w:val="hybridMultilevel"/>
    <w:lvl w:ilvl="0">
      <w:lvlJc w:val="left"/>
      <w:lvlText w:val="(%1)"/>
      <w:numFmt w:val="lowerLetter"/>
      <w:start w:val="1"/>
    </w:lvl>
  </w:abstractNum>
  <w:abstractNum w:abstractNumId="138">
    <w:nsid w:val="6EAA85FB"/>
    <w:multiLevelType w:val="hybridMultilevel"/>
    <w:lvl w:ilvl="0">
      <w:lvlJc w:val="left"/>
      <w:lvlText w:val="(%1)"/>
      <w:numFmt w:val="lowerLetter"/>
      <w:start w:val="2"/>
    </w:lvl>
  </w:abstractNum>
  <w:abstractNum w:abstractNumId="139">
    <w:nsid w:val="3F06ECB2"/>
    <w:multiLevelType w:val="hybridMultilevel"/>
    <w:lvl w:ilvl="0">
      <w:lvlJc w:val="left"/>
      <w:lvlText w:val="%1"/>
      <w:numFmt w:val="lowerLetter"/>
      <w:start w:val="1"/>
    </w:lvl>
    <w:lvl w:ilvl="1">
      <w:lvlJc w:val="left"/>
      <w:lvlText w:val="(%2)"/>
      <w:numFmt w:val="lowerLetter"/>
      <w:start w:val="1"/>
    </w:lvl>
  </w:abstractNum>
  <w:abstractNum w:abstractNumId="140">
    <w:nsid w:val="3B594807"/>
    <w:multiLevelType w:val="hybridMultilevel"/>
    <w:lvl w:ilvl="0">
      <w:lvlJc w:val="left"/>
      <w:lvlText w:val="(%1)"/>
      <w:numFmt w:val="lowerLetter"/>
      <w:start w:val="61"/>
    </w:lvl>
    <w:lvl w:ilvl="1">
      <w:lvlJc w:val="left"/>
      <w:lvlText w:val="%2"/>
      <w:numFmt w:val="lowerLetter"/>
      <w:start w:val="1"/>
    </w:lvl>
  </w:abstractNum>
  <w:abstractNum w:abstractNumId="141">
    <w:nsid w:val="6CAA2304"/>
    <w:multiLevelType w:val="hybridMultilevel"/>
    <w:lvl w:ilvl="0">
      <w:lvlJc w:val="left"/>
      <w:lvlText w:val="(%1)"/>
      <w:numFmt w:val="lowerLetter"/>
      <w:start w:val="4"/>
    </w:lvl>
  </w:abstractNum>
  <w:abstractNum w:abstractNumId="142">
    <w:nsid w:val="3F7C2FF4"/>
    <w:multiLevelType w:val="hybridMultilevel"/>
    <w:lvl w:ilvl="0">
      <w:lvlJc w:val="left"/>
      <w:lvlText w:val="(%1)"/>
      <w:numFmt w:val="lowerRoman"/>
      <w:start w:val="3"/>
    </w:lvl>
  </w:abstractNum>
  <w:abstractNum w:abstractNumId="143">
    <w:nsid w:val="25413BEC"/>
    <w:multiLevelType w:val="hybridMultilevel"/>
    <w:lvl w:ilvl="0">
      <w:lvlJc w:val="left"/>
      <w:lvlText w:val="%1"/>
      <w:numFmt w:val="upperLetter"/>
      <w:start w:val="1"/>
    </w:lvl>
    <w:lvl w:ilvl="1">
      <w:lvlJc w:val="left"/>
      <w:lvlText w:val="(%2)"/>
      <w:numFmt w:val="lowerLetter"/>
      <w:start w:val="1"/>
    </w:lvl>
  </w:abstractNum>
  <w:abstractNum w:abstractNumId="144">
    <w:nsid w:val="17180B0B"/>
    <w:multiLevelType w:val="hybridMultilevel"/>
    <w:lvl w:ilvl="0">
      <w:lvlJc w:val="left"/>
      <w:lvlText w:val="(%1)"/>
      <w:numFmt w:val="upperLetter"/>
      <w:start w:val="2"/>
    </w:lvl>
    <w:lvl w:ilvl="1">
      <w:lvlJc w:val="left"/>
      <w:lvlText w:val="(%2)"/>
      <w:numFmt w:val="lowerLetter"/>
      <w:start w:val="2"/>
    </w:lvl>
  </w:abstractNum>
  <w:abstractNum w:abstractNumId="145">
    <w:nsid w:val="579328B9"/>
    <w:multiLevelType w:val="hybridMultilevel"/>
    <w:lvl w:ilvl="0">
      <w:lvlJc w:val="left"/>
      <w:lvlText w:val="(%1)"/>
      <w:numFmt w:val="lowerLetter"/>
      <w:start w:val="4"/>
    </w:lvl>
  </w:abstractNum>
  <w:abstractNum w:abstractNumId="146">
    <w:nsid w:val="5D205E20"/>
    <w:multiLevelType w:val="hybridMultilevel"/>
    <w:lvl w:ilvl="0">
      <w:lvlJc w:val="left"/>
      <w:lvlText w:val="(%1)"/>
      <w:numFmt w:val="lowerLetter"/>
      <w:start w:val="6"/>
    </w:lvl>
  </w:abstractNum>
  <w:abstractNum w:abstractNumId="147">
    <w:nsid w:val="11CCA8BA"/>
    <w:multiLevelType w:val="hybridMultilevel"/>
    <w:lvl w:ilvl="0">
      <w:lvlJc w:val="left"/>
      <w:lvlText w:val="(%1)"/>
      <w:numFmt w:val="lowerLetter"/>
      <w:start w:val="2"/>
    </w:lvl>
  </w:abstractNum>
  <w:abstractNum w:abstractNumId="148">
    <w:nsid w:val="4D32AB86"/>
    <w:multiLevelType w:val="hybridMultilevel"/>
    <w:lvl w:ilvl="0">
      <w:lvlJc w:val="left"/>
      <w:lvlText w:val="(%1)"/>
      <w:numFmt w:val="lowerLetter"/>
      <w:start w:val="1"/>
    </w:lvl>
  </w:abstractNum>
  <w:abstractNum w:abstractNumId="149">
    <w:nsid w:val="3F07ACC3"/>
    <w:multiLevelType w:val="hybridMultilevel"/>
    <w:lvl w:ilvl="0">
      <w:lvlJc w:val="left"/>
      <w:lvlText w:val="(%1)"/>
      <w:numFmt w:val="lowerLetter"/>
      <w:start w:val="1"/>
    </w:lvl>
  </w:abstractNum>
  <w:abstractNum w:abstractNumId="150">
    <w:nsid w:val="6B47F63E"/>
    <w:multiLevelType w:val="hybridMultilevel"/>
    <w:lvl w:ilvl="0">
      <w:lvlJc w:val="left"/>
      <w:lvlText w:val="(%1)"/>
      <w:numFmt w:val="lowerLetter"/>
      <w:start w:val="3"/>
    </w:lvl>
  </w:abstractNum>
  <w:abstractNum w:abstractNumId="151">
    <w:nsid w:val="5CB44A05"/>
    <w:multiLevelType w:val="hybridMultilevel"/>
    <w:lvl w:ilvl="0">
      <w:lvlJc w:val="left"/>
      <w:lvlText w:val="(%1)"/>
      <w:numFmt w:val="lowerLetter"/>
      <w:start w:val="10"/>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decimal"/>
      <w:start w:val="1"/>
    </w:lvl>
    <w:lvl w:ilvl="1">
      <w:lvlJc w:val="left"/>
      <w:lvlText w:val="(%2)"/>
      <w:numFmt w:val="lowerLetter"/>
      <w:start w:val="1"/>
    </w:lvl>
  </w:abstractNum>
  <w:abstractNum w:abstractNumId="154">
    <w:nsid w:val="3FCFAED9"/>
    <w:multiLevelType w:val="hybridMultilevel"/>
    <w:lvl w:ilvl="0">
      <w:lvlJc w:val="left"/>
      <w:lvlText w:val="(%1)"/>
      <w:numFmt w:val="decimal"/>
      <w:start w:val="10"/>
    </w:lvl>
    <w:lvl w:ilvl="1">
      <w:lvlJc w:val="left"/>
      <w:lvlText w:val="%2"/>
      <w:numFmt w:val="lowerLetter"/>
      <w:start w:val="1"/>
    </w:lvl>
  </w:abstractNum>
  <w:abstractNum w:abstractNumId="155">
    <w:nsid w:val="F856867"/>
    <w:multiLevelType w:val="hybridMultilevel"/>
    <w:lvl w:ilvl="0">
      <w:lvlJc w:val="left"/>
      <w:lvlText w:val="(%1)"/>
      <w:numFmt w:val="lowerLetter"/>
      <w:start w:val="1"/>
    </w:lvl>
  </w:abstractNum>
  <w:abstractNum w:abstractNumId="156">
    <w:nsid w:val="11B1CC33"/>
    <w:multiLevelType w:val="hybridMultilevel"/>
    <w:lvl w:ilvl="0">
      <w:lvlJc w:val="left"/>
      <w:lvlText w:val="(%1)"/>
      <w:numFmt w:val="lowerLetter"/>
      <w:start w:val="1"/>
    </w:lvl>
  </w:abstractNum>
  <w:abstractNum w:abstractNumId="157">
    <w:nsid w:val="2E22FBB7"/>
    <w:multiLevelType w:val="hybridMultilevel"/>
    <w:lvl w:ilvl="0">
      <w:lvlJc w:val="left"/>
      <w:lvlText w:val="(%1)"/>
      <w:numFmt w:val="lowerLetter"/>
      <w:start w:val="2"/>
    </w:lvl>
  </w:abstractNum>
  <w:abstractNum w:abstractNumId="158">
    <w:nsid w:val="29934699"/>
    <w:multiLevelType w:val="hybridMultilevel"/>
    <w:lvl w:ilvl="0">
      <w:lvlJc w:val="left"/>
      <w:lvlText w:val="(%1)"/>
      <w:numFmt w:val="lowerLetter"/>
      <w:start w:val="1"/>
    </w:lvl>
  </w:abstractNum>
  <w:abstractNum w:abstractNumId="159">
    <w:nsid w:val="77485850"/>
    <w:multiLevelType w:val="hybridMultilevel"/>
    <w:lvl w:ilvl="0">
      <w:lvlJc w:val="left"/>
      <w:lvlText w:val="(%1)"/>
      <w:numFmt w:val="lowerLetter"/>
      <w:start w:val="2"/>
    </w:lvl>
    <w:lvl w:ilvl="1">
      <w:lvlJc w:val="left"/>
      <w:lvlText w:val="(%2)"/>
      <w:numFmt w:val="lowerRoman"/>
      <w:start w:val="1"/>
    </w:lvl>
  </w:abstractNum>
  <w:abstractNum w:abstractNumId="160">
    <w:nsid w:val="744939A3"/>
    <w:multiLevelType w:val="hybridMultilevel"/>
    <w:lvl w:ilvl="0">
      <w:lvlJc w:val="left"/>
      <w:lvlText w:val="(%1)"/>
      <w:numFmt w:val="lowerLetter"/>
      <w:start w:val="1"/>
    </w:lvl>
    <w:lvl w:ilvl="1">
      <w:lvlJc w:val="left"/>
      <w:lvlText w:val="(%2)"/>
      <w:numFmt w:val="lowerLetter"/>
      <w:start w:val="9"/>
    </w:lvl>
  </w:abstractNum>
  <w:abstractNum w:abstractNumId="161">
    <w:nsid w:val="4FA0D2E3"/>
    <w:multiLevelType w:val="hybridMultilevel"/>
    <w:lvl w:ilvl="0">
      <w:lvlJc w:val="left"/>
      <w:lvlText w:val="(%1)"/>
      <w:numFmt w:val="lowerRoman"/>
      <w:start w:val="2"/>
    </w:lvl>
  </w:abstractNum>
  <w:abstractNum w:abstractNumId="162">
    <w:nsid w:val="6B1D2C14"/>
    <w:multiLevelType w:val="hybridMultilevel"/>
    <w:lvl w:ilvl="0">
      <w:lvlJc w:val="left"/>
      <w:lvlText w:val="(%1)"/>
      <w:numFmt w:val="lowerLetter"/>
      <w:start w:val="2"/>
    </w:lvl>
  </w:abstractNum>
  <w:abstractNum w:abstractNumId="163">
    <w:nsid w:val="68B867D3"/>
    <w:multiLevelType w:val="hybridMultilevel"/>
    <w:lvl w:ilvl="0">
      <w:lvlJc w:val="left"/>
      <w:lvlText w:val="%1"/>
      <w:numFmt w:val="lowerRoman"/>
      <w:start w:val="1"/>
    </w:lvl>
    <w:lvl w:ilvl="1">
      <w:lvlJc w:val="left"/>
      <w:lvlText w:val="(%2)"/>
      <w:numFmt w:val="lowerLetter"/>
      <w:start w:val="1"/>
    </w:lvl>
  </w:abstractNum>
  <w:abstractNum w:abstractNumId="164">
    <w:nsid w:val="3F7F5DD9"/>
    <w:multiLevelType w:val="hybridMultilevel"/>
    <w:lvl w:ilvl="0">
      <w:lvlJc w:val="left"/>
      <w:lvlText w:val="(%1)"/>
      <w:numFmt w:val="lowerRoman"/>
      <w:start w:val="4"/>
    </w:lvl>
    <w:lvl w:ilvl="1">
      <w:lvlJc w:val="left"/>
      <w:lvlText w:val="(%2)"/>
      <w:numFmt w:val="lowerLetter"/>
      <w:start w:val="3"/>
    </w:lvl>
  </w:abstractNum>
  <w:abstractNum w:abstractNumId="165">
    <w:nsid w:val="2AE05A34"/>
    <w:multiLevelType w:val="hybridMultilevel"/>
    <w:lvl w:ilvl="0">
      <w:lvlJc w:val="left"/>
      <w:lvlText w:val="•"/>
      <w:numFmt w:val="bullet"/>
      <w:start w:val="1"/>
    </w:lvl>
  </w:abstractNum>
  <w:abstractNum w:abstractNumId="166">
    <w:nsid w:val="32794FF7"/>
    <w:multiLevelType w:val="hybridMultilevel"/>
    <w:lvl w:ilvl="0">
      <w:lvlJc w:val="left"/>
      <w:lvlText w:val="•"/>
      <w:numFmt w:val="bullet"/>
      <w:start w:val="1"/>
    </w:lvl>
  </w:abstractNum>
  <w:abstractNum w:abstractNumId="167">
    <w:nsid w:val="5454945E"/>
    <w:multiLevelType w:val="hybridMultilevel"/>
    <w:lvl w:ilvl="0">
      <w:lvlJc w:val="left"/>
      <w:lvlText w:val="•"/>
      <w:numFmt w:val="bullet"/>
      <w:start w:val="1"/>
    </w:lvl>
  </w:abstractNum>
  <w:abstractNum w:abstractNumId="168">
    <w:nsid w:val="4DEFDFA0"/>
    <w:multiLevelType w:val="hybridMultilevel"/>
    <w:lvl w:ilvl="0">
      <w:lvlJc w:val="left"/>
      <w:lvlText w:val="(%1)"/>
      <w:numFmt w:val="decimal"/>
      <w:start w:val="604"/>
    </w:lvl>
  </w:abstractNum>
  <w:abstractNum w:abstractNumId="169">
    <w:nsid w:val="2123D5F2"/>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2026-06-29T06:23:33Z</dcterms:created>
  <dcterms:modified xsi:type="dcterms:W3CDTF">2026-06-29T06:23:33Z</dcterms:modified>
</cp:coreProperties>
</file>