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84905.xml.htm"/>
      <w:bookmarkStart w:id="1" w:name="kswkform4_1791584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Schayowitz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ZYMEWORKS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PATRIOT DRIVE, SUITE 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MIDDLETOWN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Zymeworks Inc.</w:t>
              </w:r>
            </w:hyperlink>
            <w:r>
              <w:rPr/>
              <w:t xml:space="preserve"> [ </w:t>
            </w:r>
            <w:r>
              <w:rPr>
                <w:rFonts w:ascii="Times;serif" w:hAnsi="Times;serif"/>
                <w:color w:val="0000FF"/>
                <w:sz w:val="24"/>
                <w:shd w:fill="FFFFFF" w:val="clear"/>
              </w:rPr>
              <w:t>ZYME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issued upon vesting of one third of the restricted stock units ("RSUs") granted on October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sold to cover tax withholding obligations and other applicable fees in connection with the vesting of RSUs pursuant to mandatory "sell to cover" provisions contained in the Reporting Person's applicable RSU grant agreement, and does not represent a discretionary sale by the Reporting Person. The Reporting Person did not sell or otherwise dispose of any of the shares reported on this Form 4 for any reason other than to cover required taxes and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$25.85 to $25.88, inclusive. Upon request by the Commission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the contingent right to receive, upon vesting of the RSU,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("RSUs") granted October 9, 2025; vest in three equal annual installments beginning October 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Catherine Graham,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119" TargetMode="External"/><Relationship Id="rId5" Type="http://schemas.openxmlformats.org/officeDocument/2006/relationships/hyperlink" Target="http://www.sec.gov/cgi-bin/browse-edgar?action=getcompany&amp;CIK=00019376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4229</Characters>
  <CharactersWithSpaces>4927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