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Schneider Paul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ZYMEWORKS INC.</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PATRIOT DRIVE, SUITE 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MIDDLETOWN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05/13/2026</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Zymeworks Inc.</w:t>
              </w:r>
            </w:hyperlink>
            <w:r>
              <w:rPr/>
              <w:t xml:space="preserve"> [ </w:t>
            </w:r>
            <w:r>
              <w:rPr>
                <w:rFonts w:ascii="Times;serif" w:hAnsi="Times;serif"/>
                <w:color w:val="0000FF"/>
                <w:sz w:val="24"/>
                <w:shd w:fill="FFFFFF" w:val="clear"/>
              </w:rPr>
              <w:t>ZYME</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are beneficially owned</w:t>
            </w:r>
          </w:p>
        </w:tc>
        <w:tc>
          <w:tcPr>
            <w:tcW w:w="1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8"/>
        <w:gridCol w:w="1222"/>
        <w:gridCol w:w="1124"/>
        <w:gridCol w:w="1366"/>
        <w:gridCol w:w="927"/>
        <w:gridCol w:w="1256"/>
        <w:gridCol w:w="1215"/>
        <w:gridCol w:w="134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9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are beneficially owned</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Not applicable</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Catherine Graham,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4"/>
        </w:rPr>
      </w:pPr>
      <w:bookmarkStart w:id="2" w:name="zyme-ex24.htm"/>
      <w:bookmarkStart w:id="3" w:name="kszymeex24"/>
      <w:bookmarkEnd w:id="2"/>
      <w:bookmarkEnd w:id="3"/>
      <w:r>
        <w:rPr>
          <w:rFonts w:ascii="Times New Roman" w:hAnsi="Times New Roman"/>
          <w:b/>
          <w:color w:val="000000"/>
          <w:sz w:val="24"/>
        </w:rPr>
        <w:t>POWER OF ATTORNEY</w:t>
      </w:r>
      <w:r>
        <w:br w:type="page"/>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as a Section 16 reporting person of Zymeworks Inc. (the “Company”), hereby constitutes and appoints Catherine Graham, and each of the responsible attorneys and paralegals of Wilson Sonsini Goodrich &amp; Rosati, Professional Corporation, the undersigned’s true and lawful attorney-in-fact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do all acts necessary in order to file such forms with the Securities and Exchange Commission, any securities exchange or national association, the Company and such other person or agency as the attorney-in-fact shall deem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WITNESS WHEREOF, the undersigned has caused this Power of Attorney to be executed as of May 13, 2026.</w:t>
      </w:r>
    </w:p>
    <w:p>
      <w:pPr>
        <w:pStyle w:val="TextBody"/>
        <w:bidi w:val="0"/>
        <w:spacing w:before="240" w:after="283"/>
        <w:jc w:val="both"/>
        <w:rPr/>
      </w:pPr>
      <w:r>
        <w:rPr/>
        <w:t> </w:t>
      </w:r>
    </w:p>
    <w:p>
      <w:pPr>
        <w:pStyle w:val="TextBody"/>
        <w:bidi w:val="0"/>
        <w:spacing w:before="240" w:after="283"/>
        <w:jc w:val="left"/>
        <w:rPr/>
      </w:pPr>
      <w:r>
        <w:rPr/>
        <w:t> </w:t>
      </w:r>
    </w:p>
    <w:p>
      <w:pPr>
        <w:pStyle w:val="TextBody"/>
        <w:bidi w:val="0"/>
        <w:spacing w:before="240" w:after="283"/>
        <w:jc w:val="left"/>
        <w:rPr/>
      </w:pPr>
      <w:r>
        <w:rPr/>
        <w:t> </w:t>
      </w:r>
    </w:p>
    <w:tbl>
      <w:tblPr>
        <w:tblW w:w="3298" w:type="dxa"/>
        <w:jc w:val="left"/>
        <w:tblInd w:w="0" w:type="dxa"/>
        <w:tblLayout w:type="fixed"/>
        <w:tblCellMar>
          <w:top w:w="28" w:type="dxa"/>
          <w:left w:w="28" w:type="dxa"/>
          <w:bottom w:w="28" w:type="dxa"/>
          <w:right w:w="28" w:type="dxa"/>
        </w:tblCellMar>
      </w:tblPr>
      <w:tblGrid>
        <w:gridCol w:w="1081"/>
        <w:gridCol w:w="202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Paul R Schneider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Paul R Schneider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55484" TargetMode="External"/><Relationship Id="rId3" Type="http://schemas.openxmlformats.org/officeDocument/2006/relationships/hyperlink" Target="http://www.sec.gov/cgi-bin/browse-edgar?action=getcompany&amp;CIK=000193765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3957</Characters>
  <CharactersWithSpaces>4630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