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70232d8k.htm"/>
      <w:bookmarkStart w:id="1" w:name="ksd27023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Zymeworks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88-3099146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1836"/>
        <w:gridCol w:w="1111"/>
        <w:gridCol w:w="1121"/>
        <w:gridCol w:w="60"/>
        <w:gridCol w:w="1145"/>
      </w:tblGrid>
      <w:tr>
        <w:trPr/>
        <w:tc>
          <w:tcPr>
            <w:tcW w:w="18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108 Patriot Drive, Suite 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Middletown,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19709</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(302) 274-8744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4385"/>
        <w:gridCol w:w="60"/>
        <w:gridCol w:w="740"/>
        <w:gridCol w:w="60"/>
        <w:gridCol w:w="305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par value $0.00001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ZYME</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both"/>
        <w:rPr>
          <w:rFonts w:ascii="Times New Roman" w:hAnsi="Times New Roman"/>
          <w:sz w:val="20"/>
        </w:rPr>
      </w:pPr>
      <w:r>
        <w:rPr>
          <w:rFonts w:ascii="Times New Roman" w:hAnsi="Times New Roman"/>
          <w:sz w:val="20"/>
        </w:rPr>
        <w:t xml:space="preserve">On September 23, 2026 (the “Closing Date”), Zymeworks Inc., a Delaware corporation (“Zymeworks”) completed the previously announced merger contemplated pursuant to the terms and conditions of the Agreement and Plan of Merger, dated June 28, 2026 (the “Merger Agreement”), by and among Zymeworks, Theravance Biopharma, Inc., an exempted company with limited liability incorporated under the Laws of the Cayman Islands (“Theravance”) and Zymeworks Merger Sub 1, an exempted company with limited liability incorporated under the Laws of the Cayman Islands and a wholly owned subsidiary of Zymeworks (“Merger Sub”), pursuant to which Merger Sub merged with and into Theravance (the “Merger”), with Theravance surviving the Merger as a wholly owned subsidiary of Zymeworks (the “Surviving Company”). Capitalized terms used herein and not otherwise defined herein have the meanings set forth in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Merger Agreement, each ordinary share, par value $0.00001 per share, of Theravance (“Ordinary Shares”) issued and outstanding immediately prior to the Effective Time (other than shares owned by Theravance as treasury shares or by any direct or indirect subsidiary of Theravance, Zymeworks or any direct or indirect subsidiary of Zymeworks, and any Dissenting Shares) was canceled and converted into the right to receive (i) $17.00 in cash, without interest (the “Per Share Cash Consideration”) and (ii) one contingent value right (“CVR”), which represents the right to receive the CVR Payment Amount (as defined below), if any, at the times and subject to the terms and conditions provided for in the CVR Agreement (as defined below), in cash,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Company Option, whether vested or unvested, that was outstanding, unexercised and not yet expired as of immediately prior to the Effective Time was canceled and converted into the right to receive an amount in cash, without interest thereon (but subject to applicable withholding), equal to (A) the excess, if any, of the Per Share Cash Consideration over the exercise price of such Company Option, multiplied by (B) the number of Ordinary Shares underlying such Company Option, plus (C) one CVR for each Ordinary Share underlying such Company Option; provided that any Company Option that had an exercise price per Ordinary Share that was greater than or equal to the Per Share Cash Consideration ceased to be outstanding, was canceled and ceased to exist, and the holder thereof was not entitled to payment of any consideration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Company RSU Award that was outstanding immediately prior to the Effective Time, whether vested or unvested, was canceled and automatically converted into a right to receive an amount in cash, without interest (but subject to applicable withholding), equal to (x) the Per Share Cash Consideration multiplied by (y) the number of Ordinary Shares underlying such Company RSU Award, plus one CVR for each Ordinary Share underlying such Company RSU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Company PSU Award that was outstanding immediately prior to the Effective Time, whether vested or unvested, was canceled in exchange for the right to receive an amount in cash, without interest (but subject to applicable withholding), equal to (A) the Per Share Cash Consideration multiplied by (B) the number of Ordinary Shares with respect to such Company PSU Award that remain outstanding and unreleased as of immediately prior to the Effective Time, plus one CVR for each Ordinary Share underlying such Company PSU Award.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foregoing description of the Merger Agreement and the transactions contemplated thereby is only a summary, does not purport to be complete and is subject to, and qualified in its entirety by reference to, the full text of the Merger Agreement, which is included as Exhibit 2.1 to this Current Report and incorporated by reference herein. </w:t>
      </w:r>
    </w:p>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On September 22, 2026, in connection with the consummation of the Merger and in accordance with the Merger Agreement, Zymeworks, Computershare Inc. (“Computershare”) and Computershare Trust Company, N.A., acting jointly with Computershare, as rights agent (the “Rights Agent”), entered into a Contingent Value Rights Agreement (the “CVR Agreement”) governing the terms of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Each CVR represents a non-tradeable contractual contingent right to receive (i) a pro rata share of 80% of the net proceeds (the “License Proceeds”) received by Zymeworks or its affiliates (including the Surviving Company) from any license, divestiture or other monetization transaction of ampreloxetine executed within the ten (10)-year period following the Effective Time (the “CVR License Expiration Date”), (ii) a pro rata share of $50 million in cash (the “First Commercial Sale Milestone Payment”) upon the first commercial sale of ampreloxetine by Zymeworks or its affiliates (including the Surviving Company) in the U.S., UK, Spain, France, Germany or Italy on or prior to the CVR License Expiration Date and (iii) a pro rata share of 10% of the net sales (together with the License Proceeds and the First Commercial Sale Milestone Payment, the “CVR Payment Amount”) received by Zymeworks or its affiliates (including the Surviving Company), on a country-by-country basis, from the date of the first commercial sale until the later of the 10th anniversary of such date, patent expiration or the loss of exclusivity, in each case, subject to the terms and conditions of the CVR Agreement. </w:t>
      </w:r>
    </w:p>
    <w:p>
      <w:pPr>
        <w:pStyle w:val="TextBody"/>
        <w:bidi w:val="0"/>
        <w:spacing w:before="240" w:after="0"/>
        <w:jc w:val="both"/>
        <w:rPr>
          <w:rFonts w:ascii="Times New Roman" w:hAnsi="Times New Roman"/>
          <w:sz w:val="20"/>
        </w:rPr>
      </w:pPr>
      <w:r>
        <w:rPr>
          <w:rFonts w:ascii="Times New Roman" w:hAnsi="Times New Roman"/>
          <w:sz w:val="20"/>
        </w:rPr>
        <w:t xml:space="preserve">The CVRs and the possibility of receiving any payment pursuant to the CVRs are highly speculative and subject to numerous factors outside the control of Zymeworks or its affiliates. There can be no assurance that any transaction that may give rise to any payment pursuant to the CVRs will be executed or that any payment pursuant to the CVRs will ever be paid. </w:t>
      </w:r>
    </w:p>
    <w:p>
      <w:pPr>
        <w:pStyle w:val="TextBody"/>
        <w:bidi w:val="0"/>
        <w:spacing w:before="240" w:after="0"/>
        <w:jc w:val="both"/>
        <w:rPr>
          <w:rFonts w:ascii="Times New Roman" w:hAnsi="Times New Roman"/>
          <w:sz w:val="20"/>
        </w:rPr>
      </w:pPr>
      <w:r>
        <w:rPr>
          <w:rFonts w:ascii="Times New Roman" w:hAnsi="Times New Roman"/>
          <w:sz w:val="20"/>
        </w:rPr>
        <w:t xml:space="preserve">The CVRs will not be evidenced by a certificate or other instrument, will not have any voting or dividend rights, will not represent any equity or ownership interests in Zymeworks or the Surviving Company and will not be transferable except 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A summary of the material terms of the CVR Agreement is contained in Zymeworks’ Current Report on Form 8-K filed with the U.S. Securities and Exchange Commission (the “SEC”) on June 29, 2026, which description is incorporated herein by reference. The foregoing description of the CVR Agreement does not purport to be complete and is subject to, and qualified in its entirety by, the full text of the CVR Agreement, a copy of which is attached hereto as Exhibit 10.1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Financing Transaction </w:t>
      </w:r>
    </w:p>
    <w:p>
      <w:pPr>
        <w:pStyle w:val="TextBody"/>
        <w:bidi w:val="0"/>
        <w:spacing w:before="120" w:after="0"/>
        <w:jc w:val="both"/>
        <w:rPr>
          <w:rFonts w:ascii="Times New Roman" w:hAnsi="Times New Roman"/>
          <w:sz w:val="20"/>
        </w:rPr>
      </w:pPr>
      <w:r>
        <w:rPr>
          <w:rFonts w:ascii="Times New Roman" w:hAnsi="Times New Roman"/>
          <w:sz w:val="20"/>
        </w:rPr>
        <w:t xml:space="preserve">On the Closing Date, in connection with the consummation of the Merger and in accordance with the Merger Agreement, Clover Finance Trust, a Delaware statutory trust (the “DST Issuer”), and Clover Finance LLC, a Delaware limited liability company (the “Trustee Co-Issuer” and, together with the DST Issuer, the “Issuers”), each an indirect subsidiary of Zymeworks, entered into a Note Purchase Agreement (the “Note Purchase Agreement”) with OCM IP Healthcare Portfolio LP, an affiliate of OMERS Private Capital (the “Purchaser”), and U.S. Bank Trust Company, National Association, as administrative agent, collateral agent and security trustee (the “Agent”). Pursuant to the Note Purchase Agreement, the Issuers issued and sold to the Purchaser senior secured notes in an aggregate initial principal amount of $350,000,000 (the “Notes”). The Notes are the Issuers’ senior secured obligations and are guaranteed by Theravance Biopharma Ireland Limited (“TBIL”), Theravance Biopharma US, LLC (“TBUS”), Theravance Biopharma R&amp;D IP, LLC (“RDIP”), and Theravance Biopharma Antibiotics IP, LLC (“TABI” and, together with TBIL, TBUS and RDIP, the “Guarantors”), each a direct or indirect subsidiary of Zymeworks. In accordance with the requirements of the Note Purchase Agreement, on the Closing Date, the Issuers and the Guarantors entered into a Guaranty and Security Agreement (the “Guaranty and Security Agreement”) with the Agent, for the benefit of the secured parties, to evidence the Guarantors’ guarantee of the Notes and to grant the Agent, for the benefit of the secured parties, a first-priority security interest in and lien on substantially all of the Issuers’ and the Guarantors’ personal property assets (the “Collateral”), subject to certain customary exclusions. </w:t>
      </w:r>
    </w:p>
    <w:p>
      <w:pPr>
        <w:pStyle w:val="TextBody"/>
        <w:bidi w:val="0"/>
        <w:spacing w:before="240" w:after="0"/>
        <w:jc w:val="both"/>
        <w:rPr>
          <w:rFonts w:ascii="Times New Roman" w:hAnsi="Times New Roman"/>
          <w:sz w:val="20"/>
        </w:rPr>
      </w:pPr>
      <w:r>
        <w:rPr>
          <w:rFonts w:ascii="Times New Roman" w:hAnsi="Times New Roman"/>
          <w:sz w:val="20"/>
        </w:rPr>
        <w:t xml:space="preserve">The Notes bear interest at a fixed rate of 8.25% per annum and mature on December 31, 2036. Interest is payable quarterly in arrears on the last Business Day of March, June, September and December of each year, beginning in December 2026. Interest is computed on the basis of a 360-day year of twelve 30-day months. In the event funds on deposit in the collection account are insufficient to pay all amounts of interest due on any payment date, any shortfall may be paid in kind by increasing the outstanding principal amount of the Notes. </w:t>
      </w:r>
    </w:p>
    <w:p>
      <w:pPr>
        <w:pStyle w:val="TextBody"/>
        <w:bidi w:val="0"/>
        <w:spacing w:before="240" w:after="0"/>
        <w:jc w:val="both"/>
        <w:rPr>
          <w:rFonts w:ascii="Times New Roman" w:hAnsi="Times New Roman"/>
          <w:sz w:val="20"/>
        </w:rPr>
      </w:pPr>
      <w:r>
        <w:rPr>
          <w:rFonts w:ascii="Times New Roman" w:hAnsi="Times New Roman"/>
          <w:sz w:val="20"/>
        </w:rPr>
        <w:t xml:space="preserve">The Issuers may at any time redeem all, but not any part of, the Notes upon twenty (20) Business Days’ prior written notice, at a price equal to 100% of the principal amount thereof plus accrued and unpaid interest plus a yield maintenance premium; provided, that on and after the fifth anniversary of the Closing Date, no yield maintenance premium is payable. The yield maintenance premium is equal to 5.0% of the outstanding principal amount for the first two years, 3.0% for the third year, 2.0% for the fourth year and 1.0% for the fifth year. In the event of a Change of Control (as defined in the Note Purchase Agreement) without the prior written consent of the Agent (acting at the direction of the Requisite Purchasers), the Notes and all other obligations may become immediately due and payable. </w:t>
      </w:r>
    </w:p>
    <w:p>
      <w:pPr>
        <w:pStyle w:val="TextBody"/>
        <w:bidi w:val="0"/>
        <w:spacing w:before="240" w:after="0"/>
        <w:jc w:val="both"/>
        <w:rPr>
          <w:rFonts w:ascii="Times New Roman" w:hAnsi="Times New Roman"/>
          <w:sz w:val="20"/>
        </w:rPr>
      </w:pPr>
      <w:r>
        <w:rPr>
          <w:rFonts w:ascii="Times New Roman" w:hAnsi="Times New Roman"/>
          <w:sz w:val="20"/>
        </w:rPr>
        <w:t xml:space="preserve">The Note Purchase Agreement provides that certain mergers, consolidations or other business combinations involving Zymeworks with or into another person will not constitute a Change of Control, provided that, among other conditions, the equity interests of such successor entity (or any direct or indirect parent entity thereof) are listed on the NYSE or Nasdaq and such entity has a market capitalization of not less than $25 billion as of the date of the definitive agreement for such transaction. No more than one such permitted change of control transaction may occur during the term of the Note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net proceeds of the Notes were used by Zymeworks to fund a portion of the Per Share Cash Consideration and the CVR Payment Amount. </w:t>
      </w:r>
    </w:p>
    <w:p>
      <w:pPr>
        <w:pStyle w:val="TextBody"/>
        <w:bidi w:val="0"/>
        <w:spacing w:before="240" w:after="0"/>
        <w:jc w:val="both"/>
        <w:rPr>
          <w:rFonts w:ascii="Times New Roman" w:hAnsi="Times New Roman"/>
          <w:sz w:val="20"/>
        </w:rPr>
      </w:pPr>
      <w:r>
        <w:rPr>
          <w:rFonts w:ascii="Times New Roman" w:hAnsi="Times New Roman"/>
          <w:sz w:val="20"/>
        </w:rPr>
        <w:t xml:space="preserve">The Note Purchase Agreement contains customary representations, warranties, affirmative and negative covenants, and events of default for transactions of this type, including, without limitation, affirmative covenants relating to the delivery of financial statements and other information, maintenance of existence, compliance with laws, maintenance of intellectual property and insurance, and negative covenants restricting the Issuers’ and other note parties’ ability to, among other things, incur additional indebtedness, create liens, make dispositions, make restricted payments, enter into transactions with affiliates and make certain amendments to the Collaboration Agreement and other covered agreements, in each case subject to certain exceptions. The Note Purchase Agreement contains customary events of default with customary grace periods, as applicable, including, among other things, failure to make payments when due, breach of representations or warranties, failure to comply with covenants, occurrence of a Change of Control, certain bankruptcy or insolvency events, termination or rescission of the Collaboration Agreement or the Co-Promotion Agreement (as defined in the Note Purchase Agreement) (subject to certain exceptions), occurrence of a Material Adverse Effect and certain cross-defaults. </w:t>
      </w:r>
    </w:p>
    <w:p>
      <w:pPr>
        <w:pStyle w:val="TextBody"/>
        <w:bidi w:val="0"/>
        <w:spacing w:before="240" w:after="0"/>
        <w:jc w:val="both"/>
        <w:rPr>
          <w:rFonts w:ascii="Times New Roman" w:hAnsi="Times New Roman"/>
          <w:sz w:val="20"/>
        </w:rPr>
      </w:pPr>
      <w:r>
        <w:rPr>
          <w:rFonts w:ascii="Times New Roman" w:hAnsi="Times New Roman"/>
          <w:sz w:val="20"/>
        </w:rPr>
        <w:t xml:space="preserve">The Notes are being sold in reliance on the exemption from registration provided by Section 4(a)(2) of the Securities Act. The Notes have not been and will not be registered under the Securities Act and may not be offered or sold in the United States absent registration or an applicable exemption from the registration requirements of the Securities Act and applicable state securities laws. The Notes are intended to be listed on the Official List of The International Stock Exchange. </w:t>
      </w:r>
    </w:p>
    <w:p>
      <w:pPr>
        <w:pStyle w:val="TextBody"/>
        <w:bidi w:val="0"/>
        <w:spacing w:before="240" w:after="0"/>
        <w:jc w:val="both"/>
        <w:rPr>
          <w:rFonts w:ascii="Times New Roman" w:hAnsi="Times New Roman"/>
          <w:sz w:val="20"/>
        </w:rPr>
      </w:pPr>
      <w:r>
        <w:rPr>
          <w:rFonts w:ascii="Times New Roman" w:hAnsi="Times New Roman"/>
          <w:sz w:val="20"/>
        </w:rPr>
        <w:t xml:space="preserve">The foregoing descriptions of the Notes, the Note Purchase Agreement and the Guaranty and Security Agreement do not purport to be complete and are qualified in their entirety by reference to the full text of the Note Purchase Agreement and the Guaranty and Security Agreement, which are filed as Exhibits 10.2 and 10.3, respectively, to this Current Report on Form 8-K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2.01 – Completion of Acquisition or Disposition of Assets. </w:t>
      </w:r>
    </w:p>
    <w:p>
      <w:pPr>
        <w:pStyle w:val="TextBody"/>
        <w:bidi w:val="0"/>
        <w:spacing w:before="120" w:after="0"/>
        <w:jc w:val="both"/>
        <w:rPr>
          <w:rFonts w:ascii="Times New Roman" w:hAnsi="Times New Roman"/>
          <w:sz w:val="20"/>
        </w:rPr>
      </w:pPr>
      <w:r>
        <w:rPr>
          <w:rFonts w:ascii="Times New Roman" w:hAnsi="Times New Roman"/>
          <w:sz w:val="20"/>
        </w:rPr>
        <w:t xml:space="preserve">The information set forth in the Introductory Note and Item 1.01 of this Current Report on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 Creation of a Direct Financial Obligation or an Obligation under an Off-Balance Sheet Arrangement of a Registrant. </w:t>
      </w:r>
    </w:p>
    <w:p>
      <w:pPr>
        <w:pStyle w:val="TextBody"/>
        <w:bidi w:val="0"/>
        <w:spacing w:before="120" w:after="0"/>
        <w:jc w:val="both"/>
        <w:rPr>
          <w:rFonts w:ascii="Times New Roman" w:hAnsi="Times New Roman"/>
          <w:sz w:val="20"/>
        </w:rPr>
      </w:pPr>
      <w:r>
        <w:rPr>
          <w:rFonts w:ascii="Times New Roman" w:hAnsi="Times New Roman"/>
          <w:sz w:val="20"/>
        </w:rPr>
        <w:t xml:space="preserve">The information set forth in Item 1.01 of this Current Report on Form 8-K with respect to the Note Purchase Agreement and the Guaranty and Security Agreement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 Regulation FD Disclosure. </w:t>
      </w:r>
    </w:p>
    <w:p>
      <w:pPr>
        <w:pStyle w:val="TextBody"/>
        <w:bidi w:val="0"/>
        <w:spacing w:before="120" w:after="0"/>
        <w:jc w:val="both"/>
        <w:rPr>
          <w:rFonts w:ascii="Times New Roman" w:hAnsi="Times New Roman"/>
          <w:sz w:val="20"/>
        </w:rPr>
      </w:pPr>
      <w:r>
        <w:rPr>
          <w:rFonts w:ascii="Times New Roman" w:hAnsi="Times New Roman"/>
          <w:sz w:val="20"/>
        </w:rPr>
        <w:t xml:space="preserve">On September 23, 2026, Zymeworks issued a press release announcing the closing of the Merger. A copy of the press release is attached hereto as Exhibit 99.1 and is incorporated herein by reference. Zymeworks will host a conference call with investors and the general public on Monday, September 28 at 8:30 a.m. Eastern Time. Dial-in details and webcast link are available on Zymeworks’ website at </w:t>
      </w:r>
      <w:r>
        <w:rPr>
          <w:rFonts w:ascii="Times New Roman" w:hAnsi="Times New Roman"/>
          <w:sz w:val="20"/>
          <w:u w:val="single"/>
        </w:rPr>
        <w:t>https://ir.zymeworks.com/events-and-presentations</w:t>
      </w:r>
      <w:r>
        <w:rPr>
          <w:rFonts w:ascii="Times New Roman" w:hAnsi="Times New Roman"/>
          <w:sz w:val="20"/>
        </w:rPr>
        <w:t xml:space="preserve">. A replay of the webcast will be available within 24 hours following the conclusion of the call and will remain archived for a limited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information in this Item 7.01, including Exhibit 99.1, is being furnished to the SEC and shall not be deemed “filed” for the purposes of Section 18 of the Securities Exchange Act of 1934, as amended (the “Exchange Act”), or otherwise subject to the liabilities of that section, and shall not be deemed to be incorporated by reference into any filing made by Zymeworks under the Securities Act of 1933, as amended, (the “Securities Act”) or the Exchange Act, except as shall be expressly set forth by a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Current Report on Form 8-K includes “forward-looking statements” or information within the meaning of the applicable securities legislation, including Section 27A of the Securities Act and Section 21E of the Exchange Act. Forward-looking statements in this Current Report include, but are not limited to, statements that relate to the anticipated benefits of the Merger; the anticipated benefits of the financing transaction; anticipated milestone payments; completion of Theravance’s previously announced organizational restructuring; Zymeworks’ flexibility to invest in its research and development (“R&amp;D”) pipeline and pursue strategic opportunities while returning capital to stockholders; future growth of YUPELRI® sales and future royalty payments; contingent milestone payments due to Theravance from the sale of Theravance’s TRELEGY® royalty interests;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such as “plan”, “believe”, “expect”, “may”, “continue”, “anticipate”, “potential”, “will”, “on track”, “progress”, “preserve”, “intend”, “could”, or the negative version of these words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w:t>
      </w:r>
    </w:p>
    <w:p>
      <w:pPr>
        <w:pStyle w:val="TextBody"/>
        <w:bidi w:val="0"/>
        <w:spacing w:before="240" w:after="0"/>
        <w:jc w:val="both"/>
        <w:rPr>
          <w:rFonts w:ascii="Times New Roman" w:hAnsi="Times New Roman"/>
          <w:sz w:val="20"/>
        </w:rPr>
      </w:pPr>
      <w:r>
        <w:rPr>
          <w:rFonts w:ascii="Times New Roman" w:hAnsi="Times New Roman"/>
          <w:sz w:val="20"/>
        </w:rPr>
        <w:t xml:space="preserve">Factors that could cause Zymeworks’ actual results to differ materially from those expressed or implied in such forward-looking statements include, but are not limited to: financial closing procedures, final adjustments, and other developments; risks related to the financing in connection with the closing of the Merger; any of Zymeworks’ or its partners’ product candidates may fail in development, may not receive required regulatory approvals, or may be delayed to a point where they are not commercially viable; uncertainties regarding the commercial success of YUPELRI® and TRELEGY®; the anticipated benefits of the Merger may not be realized or will not be realized within the expected time period; TRELEGY® may not achieve anticipated sales resulting in sales milestones not being met; Zymeworks may not achieve milestones or receive additional payments or royalties under its collaborations; regulatory agencies may impose additional requirements or delay the initiation of clinical trials; zanidatamab may not be successfully commercialized; and the factors described under “Risk Factors” in Zymeworks’ quarterly and annual reports filed with the SEC and System for Electronic Document Analysis and Retrieval+ (copies of which may be obtained at www.sec.gov and www.sedarplus.ca). </w:t>
      </w:r>
    </w:p>
    <w:p>
      <w:pPr>
        <w:pStyle w:val="TextBody"/>
        <w:bidi w:val="0"/>
        <w:spacing w:before="240" w:after="0"/>
        <w:jc w:val="both"/>
        <w:rPr>
          <w:rFonts w:ascii="Times New Roman" w:hAnsi="Times New Roman"/>
          <w:sz w:val="20"/>
        </w:rPr>
      </w:pPr>
      <w:r>
        <w:rPr>
          <w:rFonts w:ascii="Times New Roman" w:hAnsi="Times New Roman"/>
          <w:sz w:val="20"/>
        </w:rPr>
        <w:t xml:space="preserve">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both"/>
        <w:rPr>
          <w:rFonts w:ascii="Times New Roman" w:hAnsi="Times New Roman"/>
          <w:sz w:val="20"/>
        </w:rPr>
      </w:pPr>
      <w:r>
        <w:rPr>
          <w:rFonts w:ascii="Times New Roman" w:hAnsi="Times New Roman"/>
          <w:sz w:val="20"/>
        </w:rPr>
        <w:t xml:space="preserve">Zymeworks intends to file an amendment to this Current Report on Form 8-K to file the financial statements and pro forma financial information required by Item 9.01 with respect to the acquisition not later than 71 calendar days after the due date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(d) The following exhibits are being filed herewith: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4"/>
        <w:gridCol w:w="120"/>
        <w:gridCol w:w="9521"/>
      </w:tblGrid>
      <w:tr>
        <w:trPr/>
        <w:tc>
          <w:tcPr>
            <w:tcW w:w="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1" w:type="dxa"/>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pPr>
            <w:hyperlink r:id="rId2">
              <w:r>
                <w:rPr>
                  <w:rStyle w:val="InternetLink"/>
                  <w:rFonts w:ascii="Times New Roman" w:hAnsi="Times New Roman"/>
                  <w:sz w:val="20"/>
                </w:rPr>
                <w:t xml:space="preserve">Agreement and Plan of Merger, dated as of June 28, 2026, by and among Zymeworks Inc., Zymeworks Merger Sub 1, and Theravance Biopharma, Inc. (incorporated herein by reference to Exhibit 2.1 to the Current Report on Form 8-K filed by Zymeworks on June 29, 2026). </w:t>
              </w:r>
            </w:hyperlink>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pPr>
            <w:hyperlink w:anchor="d270232dex101.htm">
              <w:r>
                <w:rPr>
                  <w:rStyle w:val="InternetLink"/>
                  <w:rFonts w:ascii="Times New Roman" w:hAnsi="Times New Roman"/>
                  <w:sz w:val="20"/>
                </w:rPr>
                <w:t xml:space="preserve">Contingent Value Rights Agreement, dated as of September 22, 2026, by and among Zymeworks Inc., Computershare and Computershare Trust Company, N.A., acting jointly with Computershare, as Rights Agent. </w:t>
              </w:r>
            </w:hyperlink>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pPr>
            <w:hyperlink w:anchor="d270232dex102.htm">
              <w:r>
                <w:rPr>
                  <w:rStyle w:val="InternetLink"/>
                  <w:rFonts w:ascii="Times New Roman" w:hAnsi="Times New Roman"/>
                  <w:sz w:val="20"/>
                </w:rPr>
                <w:t xml:space="preserve">Note Purchase Agreement, dated as of September 23, 2026, by and among Clover Finance Trust, Clover Finance LLC, OCM IP Healthcare Portfolio LP, and U.S. Bank Trust Company, National Association, as Agent. </w:t>
              </w:r>
            </w:hyperlink>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pPr>
            <w:hyperlink w:anchor="d270232dex103.htm">
              <w:r>
                <w:rPr>
                  <w:rStyle w:val="InternetLink"/>
                  <w:rFonts w:ascii="Times New Roman" w:hAnsi="Times New Roman"/>
                  <w:sz w:val="20"/>
                </w:rPr>
                <w:t xml:space="preserve">Guaranty and Security Agreement, dated as of September 23, 2026, by and among Clover Finance Trust, Clover Finance LLC, Theravance Biopharma Ireland Limited, Theravance Biopharma US, LLC, Theravance Biopharma R&amp;D IP, LLC, Theravance Biopharma Antibiotics IP, LLC, and U.S. Bank Trust Company, National Association, as Agent. </w:t>
              </w:r>
            </w:hyperlink>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pPr>
            <w:hyperlink w:anchor="d270232dex991.htm">
              <w:r>
                <w:rPr>
                  <w:rStyle w:val="InternetLink"/>
                  <w:rFonts w:ascii="Times New Roman" w:hAnsi="Times New Roman"/>
                  <w:sz w:val="20"/>
                </w:rPr>
                <w:t xml:space="preserve">Press Release, dated September 23, 2026. </w:t>
              </w:r>
            </w:hyperlink>
          </w:p>
        </w:tc>
      </w:tr>
      <w:tr>
        <w:trPr/>
        <w:tc>
          <w:tcPr>
            <w:tcW w:w="564" w:type="dxa"/>
            <w:tcBorders/>
            <w:vAlign w:val="center"/>
          </w:tcPr>
          <w:p>
            <w:pPr>
              <w:pStyle w:val="TableContents"/>
              <w:bidi w:val="0"/>
              <w:spacing w:before="0" w:after="283"/>
              <w:jc w:val="left"/>
              <w:rPr>
                <w:sz w:val="4"/>
                <w:szCs w:val="4"/>
              </w:rPr>
            </w:pPr>
            <w:r>
              <w:rPr>
                <w:sz w:val="4"/>
                <w:szCs w:val="4"/>
              </w:rPr>
            </w:r>
          </w:p>
        </w:tc>
        <w:tc>
          <w:tcPr>
            <w:tcW w:w="9641" w:type="dxa"/>
            <w:gridSpan w:val="2"/>
            <w:tcBorders/>
            <w:vAlign w:val="center"/>
          </w:tcPr>
          <w:p>
            <w:pPr>
              <w:pStyle w:val="TableContents"/>
              <w:bidi w:val="0"/>
              <w:spacing w:before="0" w:after="283"/>
              <w:jc w:val="left"/>
              <w:rPr>
                <w:sz w:val="4"/>
                <w:szCs w:val="4"/>
              </w:rPr>
            </w:pPr>
            <w:r>
              <w:rPr>
                <w:sz w:val="4"/>
                <w:szCs w:val="4"/>
              </w:rPr>
            </w:r>
          </w:p>
        </w:tc>
      </w:tr>
      <w:tr>
        <w:trPr/>
        <w:tc>
          <w:tcPr>
            <w:tcW w:w="56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omitted pursuant to Item 601(b)(2) of Regulation S-K. Zymeworks agrees to furnish supplementally a copy of any omitted schedule to the SEC upon request; provided, however, that Zymeworks may request confidential treatment pursuant to Rule 24b-2 of the Exchange Act for any schedules or exhibits so furnished.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2510"/>
        <w:gridCol w:w="60"/>
        <w:gridCol w:w="60"/>
        <w:gridCol w:w="60"/>
        <w:gridCol w:w="650"/>
        <w:gridCol w:w="60"/>
        <w:gridCol w:w="428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0" w:type="dxa"/>
            <w:gridSpan w:val="3"/>
            <w:tcBorders/>
            <w:vAlign w:val="center"/>
          </w:tcPr>
          <w:p>
            <w:pPr>
              <w:pStyle w:val="TableContents"/>
              <w:bidi w:val="0"/>
              <w:spacing w:before="0" w:after="283"/>
              <w:jc w:val="center"/>
              <w:rPr>
                <w:b/>
                <w:u w:val="single"/>
              </w:rPr>
            </w:pPr>
            <w:r>
              <w:rPr>
                <w:b/>
                <w:u w:val="single"/>
              </w:rPr>
              <w:t>Zymeworks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90" w:type="dxa"/>
            <w:gridSpan w:val="3"/>
            <w:tcBorders/>
            <w:vAlign w:val="center"/>
          </w:tcPr>
          <w:p>
            <w:pPr>
              <w:pStyle w:val="TableContents"/>
              <w:bidi w:val="0"/>
              <w:spacing w:before="0" w:after="283"/>
              <w:jc w:val="center"/>
              <w:rPr/>
            </w:pPr>
            <w:r>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34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Galbraith</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Kenneth Galbraith</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Chair, President and Chief Executive Officer</w:t>
            </w:r>
          </w:p>
        </w:tc>
      </w:tr>
    </w:tbl>
    <w:p>
      <w:pPr>
        <w:pStyle w:val="TextBody"/>
        <w:bidi w:val="0"/>
        <w:spacing w:before="0" w:after="0"/>
        <w:jc w:val="right"/>
        <w:rPr>
          <w:rFonts w:ascii="Times New Roman" w:hAnsi="Times New Roman"/>
          <w:b/>
          <w:sz w:val="20"/>
        </w:rPr>
      </w:pPr>
      <w:bookmarkStart w:id="2" w:name="d270232dex101.htm"/>
      <w:bookmarkStart w:id="3" w:name="ksd270232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both"/>
        <w:rPr>
          <w:rFonts w:ascii="Times New Roman" w:hAnsi="Times New Roman"/>
          <w:sz w:val="20"/>
        </w:rPr>
      </w:pPr>
      <w:r>
        <w:rPr>
          <w:rFonts w:ascii="Times New Roman" w:hAnsi="Times New Roman"/>
          <w:sz w:val="20"/>
        </w:rPr>
        <w:t>THIS CONTINGENT VALUE RIGHTS AGREEMENT, dated as of September 22, 2026 (this “</w:t>
      </w:r>
      <w:r>
        <w:rPr>
          <w:rFonts w:ascii="Times New Roman" w:hAnsi="Times New Roman"/>
          <w:sz w:val="20"/>
          <w:u w:val="single"/>
        </w:rPr>
        <w:t>Agreement</w:t>
      </w:r>
      <w:r>
        <w:rPr>
          <w:rFonts w:ascii="Times New Roman" w:hAnsi="Times New Roman"/>
          <w:sz w:val="20"/>
        </w:rPr>
        <w:t>”), is entered into by and between Zymeworks Inc., a Delaware corporation (“</w:t>
      </w:r>
      <w:r>
        <w:rPr>
          <w:rFonts w:ascii="Times New Roman" w:hAnsi="Times New Roman"/>
          <w:sz w:val="20"/>
          <w:u w:val="single"/>
        </w:rPr>
        <w:t>Parent</w:t>
      </w:r>
      <w:r>
        <w:rPr>
          <w:rFonts w:ascii="Times New Roman" w:hAnsi="Times New Roman"/>
          <w:sz w:val="20"/>
        </w:rPr>
        <w:t>”), and Computershare Inc., a Delaware corporation (“</w:t>
      </w:r>
      <w:r>
        <w:rPr>
          <w:rFonts w:ascii="Times New Roman" w:hAnsi="Times New Roman"/>
          <w:sz w:val="20"/>
          <w:u w:val="single"/>
        </w:rPr>
        <w:t>Computershare</w:t>
      </w:r>
      <w:r>
        <w:rPr>
          <w:rFonts w:ascii="Times New Roman" w:hAnsi="Times New Roman"/>
          <w:sz w:val="20"/>
        </w:rPr>
        <w:t>”), and its affiliate, Computershare Trust Company, N.A., a federally chartered trust company (“</w:t>
      </w:r>
      <w:r>
        <w:rPr>
          <w:rFonts w:ascii="Times New Roman" w:hAnsi="Times New Roman"/>
          <w:sz w:val="20"/>
          <w:u w:val="single"/>
        </w:rPr>
        <w:t>Computershare Trust Company</w:t>
      </w:r>
      <w:r>
        <w:rPr>
          <w:rFonts w:ascii="Times New Roman" w:hAnsi="Times New Roman"/>
          <w:sz w:val="20"/>
        </w:rPr>
        <w:t xml:space="preserve">”), acting jointly with Computershare, as Rights Agent (as hereinafter defined).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Parent, Theravance Biopharma, Inc., an exempted company with limited liability incorporated under the laws of the Cayman Islands (the “</w:t>
      </w:r>
      <w:r>
        <w:rPr>
          <w:rFonts w:ascii="Times New Roman" w:hAnsi="Times New Roman"/>
          <w:sz w:val="20"/>
          <w:u w:val="single"/>
        </w:rPr>
        <w:t>Company</w:t>
      </w:r>
      <w:r>
        <w:rPr>
          <w:rFonts w:ascii="Times New Roman" w:hAnsi="Times New Roman"/>
          <w:sz w:val="20"/>
        </w:rPr>
        <w:t>”), and Zymeworks Merger Sub I, an exempted company with limited liability incorporated under the laws of the Cayman Islands and a wholly owned subsidiary of Parent (“</w:t>
      </w:r>
      <w:r>
        <w:rPr>
          <w:rFonts w:ascii="Times New Roman" w:hAnsi="Times New Roman"/>
          <w:sz w:val="20"/>
          <w:u w:val="single"/>
        </w:rPr>
        <w:t>Merger Sub</w:t>
      </w:r>
      <w:r>
        <w:rPr>
          <w:rFonts w:ascii="Times New Roman" w:hAnsi="Times New Roman"/>
          <w:sz w:val="20"/>
        </w:rPr>
        <w:t>”), have entered into the Agreement and Plan of Merger, dated as of June 28,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w:t>
      </w:r>
      <w:r>
        <w:rPr>
          <w:rFonts w:ascii="Times New Roman" w:hAnsi="Times New Roman"/>
          <w:sz w:val="20"/>
          <w:u w:val="single"/>
        </w:rPr>
        <w:t>Merger</w:t>
      </w:r>
      <w:r>
        <w:rPr>
          <w:rFonts w:ascii="Times New Roman" w:hAnsi="Times New Roman"/>
          <w:sz w:val="20"/>
        </w:rPr>
        <w:t xml:space="preserve">”) as a wholly owned subsidiary of Parent, on the terms and subject to the conditions set forth therein; and </w:t>
      </w:r>
    </w:p>
    <w:p>
      <w:pPr>
        <w:pStyle w:val="TextBody"/>
        <w:bidi w:val="0"/>
        <w:spacing w:before="240" w:after="0"/>
        <w:jc w:val="both"/>
        <w:rPr>
          <w:rFonts w:ascii="Times New Roman" w:hAnsi="Times New Roman"/>
          <w:sz w:val="20"/>
        </w:rPr>
      </w:pPr>
      <w:r>
        <w:rPr>
          <w:rFonts w:ascii="Times New Roman" w:hAnsi="Times New Roman"/>
          <w:sz w:val="20"/>
        </w:rPr>
        <w:t xml:space="preserve">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Parent and Rights Agent agree, for the equal and proportionate benefit of all Holders (as hereinafter defined),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DEFINITIONS; CERTAIN RULES OF CONSTRUCTION </w:t>
      </w:r>
    </w:p>
    <w:p>
      <w:pPr>
        <w:pStyle w:val="TextBody"/>
        <w:bidi w:val="0"/>
        <w:spacing w:before="240" w:after="0"/>
        <w:jc w:val="both"/>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Capitalized terms used in and not otherwise defined in this Agreement will have the meanings given to such terms in the Merger Agreement. As used in this Agreement, the capitalized terms below have the following meanings: </w:t>
      </w:r>
    </w:p>
    <w:p>
      <w:pPr>
        <w:pStyle w:val="TextBody"/>
        <w:bidi w:val="0"/>
        <w:spacing w:before="120" w:after="0"/>
        <w:jc w:val="both"/>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not less than a majority of the outstanding CVRs, as set out in the CVR Register. </w:t>
      </w:r>
    </w:p>
    <w:p>
      <w:pPr>
        <w:pStyle w:val="TextBody"/>
        <w:bidi w:val="0"/>
        <w:spacing w:before="240" w:after="0"/>
        <w:jc w:val="both"/>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is directly or indirectly, controlling, controlled by, or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Assignee</w:t>
      </w:r>
      <w:r>
        <w:rPr>
          <w:rFonts w:ascii="Times New Roman" w:hAnsi="Times New Roman"/>
          <w:sz w:val="20"/>
        </w:rPr>
        <w:t xml:space="preserve">” has the meaning set forth in </w:t>
      </w:r>
      <w:r>
        <w:rPr>
          <w:rFonts w:ascii="Times New Roman" w:hAnsi="Times New Roman"/>
          <w:sz w:val="20"/>
          <w:u w:val="single"/>
        </w:rPr>
        <w:t>Section 6.3(a)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Business Day</w:t>
      </w:r>
      <w:r>
        <w:rPr>
          <w:rFonts w:ascii="Times New Roman" w:hAnsi="Times New Roman"/>
          <w:sz w:val="20"/>
        </w:rPr>
        <w:t xml:space="preserve">” means any day other than a Saturday or Sunday and other than a day on which banks are required or authorized to close in New York City, New York. </w:t>
      </w:r>
    </w:p>
    <w:p>
      <w:pPr>
        <w:pStyle w:val="TextBody"/>
        <w:bidi w:val="0"/>
        <w:spacing w:before="240" w:after="0"/>
        <w:jc w:val="both"/>
        <w:rPr/>
      </w:pPr>
      <w:r>
        <w:rPr/>
        <w:t>“</w:t>
      </w:r>
      <w:r>
        <w:rPr>
          <w:rFonts w:ascii="Times New Roman" w:hAnsi="Times New Roman"/>
          <w:sz w:val="20"/>
          <w:u w:val="single"/>
        </w:rPr>
        <w:t>Change of Control</w:t>
      </w:r>
      <w:r>
        <w:rPr>
          <w:rFonts w:ascii="Times New Roman" w:hAnsi="Times New Roman"/>
          <w:sz w:val="20"/>
        </w:rPr>
        <w:t xml:space="preserve">”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one transaction or a series of related transactions, or the (c) acquisition of beneficial ownership by any Person or group of more than fifty percent (50%) of the outstanding voting securities of such Person. </w:t>
      </w:r>
    </w:p>
    <w:p>
      <w:pPr>
        <w:pStyle w:val="TextBody"/>
        <w:bidi w:val="0"/>
        <w:spacing w:before="240" w:after="0"/>
        <w:jc w:val="both"/>
        <w:rPr/>
      </w:pPr>
      <w:r>
        <w:rPr/>
        <w:t>“</w:t>
      </w:r>
      <w:r>
        <w:rPr>
          <w:rFonts w:ascii="Times New Roman" w:hAnsi="Times New Roman"/>
          <w:sz w:val="20"/>
          <w:u w:val="single"/>
        </w:rPr>
        <w:t>Cover</w:t>
      </w:r>
      <w:r>
        <w:rPr>
          <w:rFonts w:ascii="Times New Roman" w:hAnsi="Times New Roman"/>
          <w:sz w:val="20"/>
        </w:rPr>
        <w:t xml:space="preserve">”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 </w:t>
      </w:r>
    </w:p>
    <w:p>
      <w:pPr>
        <w:pStyle w:val="TextBody"/>
        <w:bidi w:val="0"/>
        <w:spacing w:before="240" w:after="0"/>
        <w:jc w:val="both"/>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this Agreement. </w:t>
      </w:r>
    </w:p>
    <w:p>
      <w:pPr>
        <w:pStyle w:val="TextBody"/>
        <w:bidi w:val="0"/>
        <w:spacing w:before="240" w:after="0"/>
        <w:jc w:val="both"/>
        <w:rPr/>
      </w:pPr>
      <w:r>
        <w:rPr/>
        <w:t>“</w:t>
      </w:r>
      <w:r>
        <w:rPr>
          <w:rFonts w:ascii="Times New Roman" w:hAnsi="Times New Roman"/>
          <w:sz w:val="20"/>
          <w:u w:val="single"/>
        </w:rPr>
        <w:t>CVR License Proceeds</w:t>
      </w:r>
      <w:r>
        <w:rPr>
          <w:rFonts w:ascii="Times New Roman" w:hAnsi="Times New Roman"/>
          <w:sz w:val="20"/>
        </w:rPr>
        <w:t xml:space="preserve">” means eighty percent (80%) of any Net License Proceeds. </w:t>
      </w:r>
    </w:p>
    <w:p>
      <w:pPr>
        <w:pStyle w:val="TextBody"/>
        <w:bidi w:val="0"/>
        <w:spacing w:before="240" w:after="0"/>
        <w:jc w:val="both"/>
        <w:rPr/>
      </w:pPr>
      <w:r>
        <w:rPr/>
        <w:t>“</w:t>
      </w:r>
      <w:r>
        <w:rPr>
          <w:rFonts w:ascii="Times New Roman" w:hAnsi="Times New Roman"/>
          <w:sz w:val="20"/>
          <w:u w:val="single"/>
        </w:rPr>
        <w:t>CVR Payment Amount</w:t>
      </w:r>
      <w:r>
        <w:rPr>
          <w:rFonts w:ascii="Times New Roman" w:hAnsi="Times New Roman"/>
          <w:sz w:val="20"/>
        </w:rPr>
        <w:t xml:space="preserve">” means (a) in respect of any CVR License Proceeds to be paid by Parent or any of its Affiliates (including the Surviving Company) to any given Holder per CVR, the amount of (i) such CVR License Proceeds, </w:t>
      </w:r>
      <w:r>
        <w:rPr>
          <w:rFonts w:ascii="Times New Roman" w:hAnsi="Times New Roman"/>
          <w:i/>
          <w:sz w:val="20"/>
        </w:rPr>
        <w:t>divided by</w:t>
      </w:r>
      <w:r>
        <w:rPr>
          <w:rFonts w:ascii="Times New Roman" w:hAnsi="Times New Roman"/>
          <w:sz w:val="20"/>
        </w:rPr>
        <w:t xml:space="preserve"> (ii) the total number of CVRs outstanding as of the close of business on the date of the applicable Payment Notice, (b) in respect of the First Commercial Sale Milestone, the First Commercial Sale Milestone Payment and (c) in respect of any Royalties to be paid by Parent or any of its Affiliates (including the Surviving Company) to any given Holder per CVR, the amount of (i) such Royalties, </w:t>
      </w:r>
      <w:r>
        <w:rPr>
          <w:rFonts w:ascii="Times New Roman" w:hAnsi="Times New Roman"/>
          <w:i/>
          <w:sz w:val="20"/>
        </w:rPr>
        <w:t>divided by</w:t>
      </w:r>
      <w:r>
        <w:rPr>
          <w:rFonts w:ascii="Times New Roman" w:hAnsi="Times New Roman"/>
          <w:sz w:val="20"/>
        </w:rPr>
        <w:t xml:space="preserve"> (ii) the total number of CVRs outstanding as of the close of business on the date of the applicable Payment Notice; </w:t>
      </w:r>
      <w:r>
        <w:rPr>
          <w:rFonts w:ascii="Times New Roman" w:hAnsi="Times New Roman"/>
          <w:sz w:val="20"/>
          <w:u w:val="single"/>
        </w:rPr>
        <w:t>provided</w:t>
      </w:r>
      <w:r>
        <w:rPr>
          <w:rFonts w:ascii="Times New Roman" w:hAnsi="Times New Roman"/>
          <w:sz w:val="20"/>
        </w:rPr>
        <w:t xml:space="preserve"> that, to the extent a CVR Payment Date will occur more than five (5) years after the Effective Time, the total number of CVRs outstanding as of the close of business on the relevant date for purposes of prong (a), (b) and (c) shall exclude any Equity Award CVRs that are ineligible for such payments due to the Section 409A Condition. </w:t>
      </w:r>
    </w:p>
    <w:p>
      <w:pPr>
        <w:pStyle w:val="TextBody"/>
        <w:bidi w:val="0"/>
        <w:spacing w:before="240" w:after="0"/>
        <w:jc w:val="both"/>
        <w:rPr/>
      </w:pPr>
      <w:r>
        <w:rPr/>
        <w:t>“</w:t>
      </w:r>
      <w:r>
        <w:rPr>
          <w:rFonts w:ascii="Times New Roman" w:hAnsi="Times New Roman"/>
          <w:sz w:val="20"/>
          <w:u w:val="single"/>
        </w:rPr>
        <w:t>CVR Payment Date</w:t>
      </w:r>
      <w:r>
        <w:rPr>
          <w:rFonts w:ascii="Times New Roman" w:hAnsi="Times New Roman"/>
          <w:sz w:val="20"/>
        </w:rPr>
        <w:t xml:space="preserve">”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CVR Product</w:t>
      </w:r>
      <w:r>
        <w:rPr>
          <w:rFonts w:ascii="Times New Roman" w:hAnsi="Times New Roman"/>
          <w:sz w:val="20"/>
        </w:rPr>
        <w:t xml:space="preserve">” means any therapeutic product that contains ampreloxetine or any salt, ester, prodrug, metabolite, solvate, polymorph, free-base, hydrate, or isomer thereof, including all forms, presentations, doses, or formulations of the foregoing. </w:t>
      </w:r>
    </w:p>
    <w:p>
      <w:pPr>
        <w:pStyle w:val="TextBody"/>
        <w:bidi w:val="0"/>
        <w:spacing w:before="240" w:after="0"/>
        <w:jc w:val="both"/>
        <w:rPr/>
      </w:pPr>
      <w:r>
        <w:rPr/>
        <w:t>“</w:t>
      </w:r>
      <w:r>
        <w:rPr>
          <w:rFonts w:ascii="Times New Roman" w:hAnsi="Times New Roman"/>
          <w:sz w:val="20"/>
          <w:u w:val="single"/>
        </w:rPr>
        <w:t>CVR Product License</w:t>
      </w:r>
      <w:r>
        <w:rPr>
          <w:rFonts w:ascii="Times New Roman" w:hAnsi="Times New Roman"/>
          <w:sz w:val="20"/>
        </w:rPr>
        <w:t>” means a license, sublicense, sale, transfer, divestiture, disposition or other monetization transaction of any CVR Product for use for any indication in any country, or any rights (including intellectual property) related thereto (a “</w:t>
      </w:r>
      <w:r>
        <w:rPr>
          <w:rFonts w:ascii="Times New Roman" w:hAnsi="Times New Roman"/>
          <w:sz w:val="20"/>
          <w:u w:val="single"/>
        </w:rPr>
        <w:t>Disposition</w:t>
      </w:r>
      <w:r>
        <w:rPr>
          <w:rFonts w:ascii="Times New Roman" w:hAnsi="Times New Roman"/>
          <w:sz w:val="20"/>
        </w:rPr>
        <w:t xml:space="preserve">”), entered into with a third party prior to the License Expiration Date; </w:t>
      </w:r>
      <w:r>
        <w:rPr>
          <w:rFonts w:ascii="Times New Roman" w:hAnsi="Times New Roman"/>
          <w:sz w:val="20"/>
          <w:u w:val="single"/>
        </w:rPr>
        <w:t>provided</w:t>
      </w:r>
      <w:r>
        <w:rPr>
          <w:rFonts w:ascii="Times New Roman" w:hAnsi="Times New Roman"/>
          <w:sz w:val="20"/>
        </w:rPr>
        <w:t xml:space="preserve"> that a CVR Product License does not include any Contract providing for (a) the mere right to distribute or purchase the CVR Product from Parent or its Affiliates, (b) third-party subcontractors that act on behalf of Parent or its Affiliates in the supply chain or that perform discrete services on behalf of Parent or its Affiliates, (c) any license or sublicense granted by Parent or its Affiliates to settle any litigation or a dispute in connection with which no license fee royalty, upfront, milestone or other similar payments for rights to exploit the applicable Intellectual Property is paid or payable, or (d) compulsory licenses to the extent required by any Governmental Entity (it being understood with respect to the inclusion of a “sale” in this definition that in certain circumstances such a transaction could create financial concerns for Parent that may cause it to exercise its right not to consent to such transaction). </w:t>
      </w:r>
    </w:p>
    <w:p>
      <w:pPr>
        <w:pStyle w:val="TextBody"/>
        <w:bidi w:val="0"/>
        <w:spacing w:before="240" w:after="0"/>
        <w:jc w:val="both"/>
        <w:rPr/>
      </w:pPr>
      <w:r>
        <w:rPr/>
        <w:t>“</w:t>
      </w:r>
      <w:r>
        <w:rPr>
          <w:rFonts w:ascii="Times New Roman" w:hAnsi="Times New Roman"/>
          <w:sz w:val="20"/>
          <w:u w:val="single"/>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DTC</w:t>
      </w:r>
      <w:r>
        <w:rPr>
          <w:rFonts w:ascii="Times New Roman" w:hAnsi="Times New Roman"/>
          <w:sz w:val="20"/>
        </w:rPr>
        <w:t xml:space="preserve">” means The Depository Trust Company or any successor thereto. </w:t>
      </w:r>
    </w:p>
    <w:p>
      <w:pPr>
        <w:pStyle w:val="TextBody"/>
        <w:bidi w:val="0"/>
        <w:spacing w:before="240" w:after="0"/>
        <w:jc w:val="both"/>
        <w:rPr/>
      </w:pPr>
      <w:r>
        <w:rPr/>
        <w:t>“</w:t>
      </w:r>
      <w:r>
        <w:rPr>
          <w:rFonts w:ascii="Times New Roman" w:hAnsi="Times New Roman"/>
          <w:sz w:val="20"/>
          <w:u w:val="single"/>
        </w:rPr>
        <w:t>Equity Award CVR</w:t>
      </w:r>
      <w:r>
        <w:rPr>
          <w:rFonts w:ascii="Times New Roman" w:hAnsi="Times New Roman"/>
          <w:sz w:val="20"/>
        </w:rPr>
        <w:t xml:space="preserve">” means a CVR issued to a Holder in respect of a Company Equity Award. </w:t>
      </w:r>
    </w:p>
    <w:p>
      <w:pPr>
        <w:pStyle w:val="TextBody"/>
        <w:bidi w:val="0"/>
        <w:spacing w:before="240" w:after="0"/>
        <w:jc w:val="both"/>
        <w:rPr/>
      </w:pPr>
      <w:r>
        <w:rPr/>
        <w:t>“</w:t>
      </w:r>
      <w:r>
        <w:rPr>
          <w:rFonts w:ascii="Times New Roman" w:hAnsi="Times New Roman"/>
          <w:sz w:val="20"/>
          <w:u w:val="single"/>
        </w:rPr>
        <w:t>Final Determination</w:t>
      </w:r>
      <w:r>
        <w:rPr>
          <w:rFonts w:ascii="Times New Roman" w:hAnsi="Times New Roman"/>
          <w:sz w:val="20"/>
        </w:rPr>
        <w:t xml:space="preserve">”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w:t>
      </w:r>
    </w:p>
    <w:p>
      <w:pPr>
        <w:pStyle w:val="TextBody"/>
        <w:bidi w:val="0"/>
        <w:spacing w:before="240" w:after="0"/>
        <w:jc w:val="both"/>
        <w:rPr/>
      </w:pPr>
      <w:r>
        <w:rPr/>
        <w:t>“</w:t>
      </w:r>
      <w:r>
        <w:rPr>
          <w:rFonts w:ascii="Times New Roman" w:hAnsi="Times New Roman"/>
          <w:sz w:val="20"/>
          <w:u w:val="single"/>
        </w:rPr>
        <w:t>First Commercial Sale</w:t>
      </w:r>
      <w:r>
        <w:rPr>
          <w:rFonts w:ascii="Times New Roman" w:hAnsi="Times New Roman"/>
          <w:sz w:val="20"/>
        </w:rPr>
        <w:t xml:space="preserve">” means, with respect to a CVR Product, the first bona fide sale in an arm’s length transaction in a country to a third party by or on behalf of Parent or any of its Affiliates (but not by or on behalf of the counterparty to any CVR Product License or any of its Affiliates exercising rights under such CVR Product License) following receipt of approval from the applicable Governmental Authority to market and sell such CVR Product in such country, including, where required as a legal prerequisite to sale, applicable pricing and reimbursement approvals. For the avoidance of doubt, a first sale for compassionate use or named patient program sales, for use in clinical trials or other research and development activities, as samples, or for testing, validation or regulatory purposes, or supply that is made free of charge, by donation, or at or below cost, shall not constitute a First Commercial Sale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First Commercial Sale Milestone</w:t>
      </w:r>
      <w:r>
        <w:rPr>
          <w:rFonts w:ascii="Times New Roman" w:hAnsi="Times New Roman"/>
          <w:sz w:val="20"/>
        </w:rPr>
        <w:t xml:space="preserve">” means the First Commercial Sale of any CVR Product in any Major Market; provided that such sale occurs on or prior to the License Expiration Date. </w:t>
      </w:r>
    </w:p>
    <w:p>
      <w:pPr>
        <w:pStyle w:val="TextBody"/>
        <w:bidi w:val="0"/>
        <w:spacing w:before="240" w:after="0"/>
        <w:jc w:val="both"/>
        <w:rPr/>
      </w:pPr>
      <w:r>
        <w:rPr/>
        <w:t>“</w:t>
      </w:r>
      <w:r>
        <w:rPr>
          <w:rFonts w:ascii="Times New Roman" w:hAnsi="Times New Roman"/>
          <w:sz w:val="20"/>
          <w:u w:val="single"/>
        </w:rPr>
        <w:t>First Commercial Sale Milestone Payment</w:t>
      </w:r>
      <w:r>
        <w:rPr>
          <w:rFonts w:ascii="Times New Roman" w:hAnsi="Times New Roman"/>
          <w:sz w:val="20"/>
        </w:rPr>
        <w:t xml:space="preserve">” means $0.93 per CVR. </w:t>
      </w:r>
    </w:p>
    <w:p>
      <w:pPr>
        <w:pStyle w:val="TextBody"/>
        <w:bidi w:val="0"/>
        <w:spacing w:before="240" w:after="0"/>
        <w:jc w:val="both"/>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both"/>
        <w:rPr/>
      </w:pPr>
      <w:r>
        <w:rPr/>
        <w:t>“</w:t>
      </w:r>
      <w:r>
        <w:rPr>
          <w:rFonts w:ascii="Times New Roman" w:hAnsi="Times New Roman"/>
          <w:sz w:val="20"/>
          <w:u w:val="single"/>
        </w:rPr>
        <w:t>License Expiration Date</w:t>
      </w:r>
      <w:r>
        <w:rPr>
          <w:rFonts w:ascii="Times New Roman" w:hAnsi="Times New Roman"/>
          <w:sz w:val="20"/>
        </w:rPr>
        <w:t xml:space="preserve">” means the date that is ten (10) years after the Closing Date. </w:t>
      </w:r>
    </w:p>
    <w:p>
      <w:pPr>
        <w:pStyle w:val="TextBody"/>
        <w:bidi w:val="0"/>
        <w:spacing w:before="240" w:after="0"/>
        <w:jc w:val="both"/>
        <w:rPr/>
      </w:pPr>
      <w:r>
        <w:rPr/>
        <w:t>“</w:t>
      </w:r>
      <w:r>
        <w:rPr>
          <w:rFonts w:ascii="Times New Roman" w:hAnsi="Times New Roman"/>
          <w:sz w:val="20"/>
          <w:u w:val="single"/>
        </w:rPr>
        <w:t>Major Market</w:t>
      </w:r>
      <w:r>
        <w:rPr>
          <w:rFonts w:ascii="Times New Roman" w:hAnsi="Times New Roman"/>
          <w:sz w:val="20"/>
        </w:rPr>
        <w:t xml:space="preserve">” means any of the United States, United Kingdom, Spain, France, Germany and Italy. </w:t>
      </w:r>
    </w:p>
    <w:p>
      <w:pPr>
        <w:pStyle w:val="TextBody"/>
        <w:bidi w:val="0"/>
        <w:spacing w:before="240" w:after="0"/>
        <w:jc w:val="both"/>
        <w:rPr/>
      </w:pPr>
      <w:r>
        <w:rPr/>
        <w:t>“</w:t>
      </w:r>
      <w:r>
        <w:rPr>
          <w:rFonts w:ascii="Times New Roman" w:hAnsi="Times New Roman"/>
          <w:sz w:val="20"/>
          <w:u w:val="single"/>
        </w:rPr>
        <w:t>Net License Proceeds</w:t>
      </w:r>
      <w:r>
        <w:rPr>
          <w:rFonts w:ascii="Times New Roman" w:hAnsi="Times New Roman"/>
          <w:sz w:val="20"/>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 w:hAnsi="Times New Roman"/>
          <w:sz w:val="20"/>
          <w:u w:val="single"/>
        </w:rPr>
        <w:t>License Proceeds</w:t>
      </w:r>
      <w:r>
        <w:rPr>
          <w:rFonts w:ascii="Times New Roman" w:hAnsi="Times New Roman"/>
          <w:sz w:val="20"/>
        </w:rPr>
        <w:t xml:space="preserve">”),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 </w:t>
      </w:r>
    </w:p>
    <w:p>
      <w:pPr>
        <w:pStyle w:val="TextBody"/>
        <w:bidi w:val="0"/>
        <w:spacing w:before="240" w:after="0"/>
        <w:jc w:val="both"/>
        <w:rPr/>
      </w:pPr>
      <w:r>
        <w:rPr/>
        <w:t>“</w:t>
      </w:r>
      <w:r>
        <w:rPr>
          <w:rFonts w:ascii="Times New Roman" w:hAnsi="Times New Roman"/>
          <w:sz w:val="20"/>
          <w:u w:val="single"/>
        </w:rPr>
        <w:t>Net Sales</w:t>
      </w:r>
      <w:r>
        <w:rPr>
          <w:rFonts w:ascii="Times New Roman" w:hAnsi="Times New Roman"/>
          <w:sz w:val="20"/>
        </w:rPr>
        <w:t xml:space="preserve">”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 </w:t>
      </w:r>
    </w:p>
    <w:p>
      <w:pPr>
        <w:pStyle w:val="TextBody"/>
        <w:bidi w:val="0"/>
        <w:spacing w:before="120" w:after="0"/>
        <w:jc w:val="both"/>
        <w:rPr>
          <w:rFonts w:ascii="Times New Roman" w:hAnsi="Times New Roman"/>
          <w:sz w:val="20"/>
        </w:rPr>
      </w:pPr>
      <w:r>
        <w:rPr>
          <w:rFonts w:ascii="Times New Roman" w:hAnsi="Times New Roman"/>
          <w:sz w:val="20"/>
        </w:rPr>
        <w:t xml:space="preserve">(a) trade, cash and quantity discounts, cash and non-cash coupons, and chargeback payments and rebates granted to trade customers, managed health care organizations, pharmaceutical benefit managers, group purchasing organizations, or federal, state, or local Governmental Authorities; </w:t>
      </w:r>
    </w:p>
    <w:p>
      <w:pPr>
        <w:pStyle w:val="TextBody"/>
        <w:bidi w:val="0"/>
        <w:spacing w:before="240" w:after="0"/>
        <w:jc w:val="both"/>
        <w:rPr>
          <w:rFonts w:ascii="Times New Roman" w:hAnsi="Times New Roman"/>
          <w:sz w:val="20"/>
        </w:rPr>
      </w:pPr>
      <w:r>
        <w:rPr>
          <w:rFonts w:ascii="Times New Roman" w:hAnsi="Times New Roman"/>
          <w:sz w:val="20"/>
        </w:rPr>
        <w:t xml:space="preserve">(b) credits, allowances and chargebacks for claims, spoiled, damaged or outdated goods, rejections or returns, including product returned in connection with recalls or withdrawals; </w:t>
      </w:r>
    </w:p>
    <w:p>
      <w:pPr>
        <w:pStyle w:val="TextBody"/>
        <w:bidi w:val="0"/>
        <w:spacing w:before="240" w:after="0"/>
        <w:jc w:val="both"/>
        <w:rPr>
          <w:rFonts w:ascii="Times New Roman" w:hAnsi="Times New Roman"/>
          <w:sz w:val="20"/>
        </w:rPr>
      </w:pPr>
      <w:r>
        <w:rPr>
          <w:rFonts w:ascii="Times New Roman" w:hAnsi="Times New Roman"/>
          <w:sz w:val="20"/>
        </w:rPr>
        <w:t xml:space="preserve">(c) Taxes (other than income Taxes) levied directly or indirectly on the sale, export or import, including VAT (net of any reimbursement of VAT actually received); </w:t>
      </w:r>
    </w:p>
    <w:p>
      <w:pPr>
        <w:pStyle w:val="TextBody"/>
        <w:bidi w:val="0"/>
        <w:spacing w:before="240" w:after="0"/>
        <w:jc w:val="both"/>
        <w:rPr>
          <w:rFonts w:ascii="Times New Roman" w:hAnsi="Times New Roman"/>
          <w:sz w:val="20"/>
        </w:rPr>
      </w:pPr>
      <w:r>
        <w:rPr>
          <w:rFonts w:ascii="Times New Roman" w:hAnsi="Times New Roman"/>
          <w:sz w:val="20"/>
        </w:rPr>
        <w:t xml:space="preserve">(d) actual freight and insurance costs incurred, but not reimbursed by customers, in transportation to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any fees or other charges that become due in connection with any healthcare reform, change in government pricing or discounting schemes, or other action of a Governmental Authority, including that portion of the annual fee on prescription drug manufacturers imposed by the Patient Protection and Affordable Care Act, Pub. L. No. 111-148 or similar sales-based fees adopted in the future, in each case, to the extent reasonably allocable to sales of the applicable product; and </w:t>
      </w:r>
    </w:p>
    <w:p>
      <w:pPr>
        <w:pStyle w:val="TextBody"/>
        <w:bidi w:val="0"/>
        <w:spacing w:before="240" w:after="0"/>
        <w:jc w:val="both"/>
        <w:rPr>
          <w:rFonts w:ascii="Times New Roman" w:hAnsi="Times New Roman"/>
          <w:sz w:val="20"/>
        </w:rPr>
      </w:pPr>
      <w:r>
        <w:rPr>
          <w:rFonts w:ascii="Times New Roman" w:hAnsi="Times New Roman"/>
          <w:sz w:val="20"/>
        </w:rPr>
        <w:t xml:space="preserve">(f) amounts that are written off as uncollectible in accordance with the accounting procedures of the applicable Seller; provided that if any such written-off amounts are subsequently collected, such collected amounts shall be included in Net Sales in the period in which they are subsequently collected.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if a single item falls into more than one of the categories set forth in clauses (a)-(f) above, such item may not be deducted more than once. Unless otherwise specified herein, Net Sales shall be calculated in accordance with GAAP. </w:t>
      </w:r>
    </w:p>
    <w:p>
      <w:pPr>
        <w:pStyle w:val="TextBody"/>
        <w:bidi w:val="0"/>
        <w:spacing w:before="240" w:after="0"/>
        <w:jc w:val="both"/>
        <w:rPr>
          <w:rFonts w:ascii="Times New Roman" w:hAnsi="Times New Roman"/>
          <w:sz w:val="20"/>
        </w:rPr>
      </w:pPr>
      <w:r>
        <w:rPr>
          <w:rFonts w:ascii="Times New Roman" w:hAnsi="Times New Roman"/>
          <w:sz w:val="20"/>
        </w:rPr>
        <w:t xml:space="preserve">Sales of the applicable CVR Product by a Parent to any of its Affiliates for subsequent resale by such Affiliate (or vice versa) to a third party will not be a sale for purposes of “Net Sales.” Net Sales shall include any monetary damages from a third party in an action brought for such third party’s infringement of any Patents that Cover any CVR Product, less any out-of-pocket, unreimbursed expenses incurred by the Parent or any of its Affiliates in bringing such action. </w:t>
      </w:r>
    </w:p>
    <w:p>
      <w:pPr>
        <w:pStyle w:val="TextBody"/>
        <w:bidi w:val="0"/>
        <w:spacing w:before="240" w:after="0"/>
        <w:jc w:val="both"/>
        <w:rPr>
          <w:rFonts w:ascii="Times New Roman" w:hAnsi="Times New Roman"/>
          <w:sz w:val="20"/>
        </w:rPr>
      </w:pPr>
      <w:r>
        <w:rPr>
          <w:rFonts w:ascii="Times New Roman" w:hAnsi="Times New Roman"/>
          <w:sz w:val="20"/>
        </w:rPr>
        <w:t xml:space="preserve">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 </w:t>
      </w:r>
    </w:p>
    <w:p>
      <w:pPr>
        <w:pStyle w:val="TextBody"/>
        <w:bidi w:val="0"/>
        <w:spacing w:before="240" w:after="0"/>
        <w:jc w:val="both"/>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or other Person duly authorized to act on behalf of Parent for such purpose or for any general purpose. </w:t>
      </w:r>
    </w:p>
    <w:p>
      <w:pPr>
        <w:pStyle w:val="TextBody"/>
        <w:bidi w:val="0"/>
        <w:spacing w:before="240" w:after="0"/>
        <w:jc w:val="both"/>
        <w:rPr/>
      </w:pPr>
      <w:r>
        <w:rPr/>
        <w:t>“</w:t>
      </w:r>
      <w:r>
        <w:rPr>
          <w:rFonts w:ascii="Times New Roman" w:hAnsi="Times New Roman"/>
          <w:sz w:val="20"/>
          <w:u w:val="single"/>
        </w:rPr>
        <w:t>Permitted Deductions</w:t>
      </w:r>
      <w:r>
        <w:rPr>
          <w:rFonts w:ascii="Times New Roman" w:hAnsi="Times New Roman"/>
          <w:sz w:val="20"/>
        </w:rPr>
        <w:t xml:space="preserve">” means the sum, without duplication, of the following costs or expenses: </w:t>
      </w:r>
    </w:p>
    <w:p>
      <w:pPr>
        <w:pStyle w:val="TextBody"/>
        <w:bidi w:val="0"/>
        <w:spacing w:before="120" w:after="0"/>
        <w:jc w:val="both"/>
        <w:rPr>
          <w:rFonts w:ascii="Times New Roman" w:hAnsi="Times New Roman"/>
          <w:sz w:val="20"/>
        </w:rPr>
      </w:pPr>
      <w:r>
        <w:rPr>
          <w:rFonts w:ascii="Times New Roman" w:hAnsi="Times New Roman"/>
          <w:sz w:val="20"/>
        </w:rPr>
        <w:t xml:space="preserve">(a) 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any applicable Taxes (including any applicable value added or sales Taxes) imposed on the CVR Product License or with respect to the License Proceeds (and which are either imposed on Parent, the Company or their Affiliates or otherwise reduce the amount of License Proceeds received by Parent, the Company or their Affiliates) that would not have been incurred by Parent, the Company or their Affiliates but for (i) the consummation of the CVR Product License, (ii) the License Proceeds having been received or accrued by the Company, the Surviving Company or its or their applicable subsidiaries or (iii) in connection with the distribution of the License Proceeds to Parent for the performance of its obligations under this Agreement (in each case, regardless of the due date of such Taxes); </w:t>
      </w:r>
      <w:r>
        <w:rPr>
          <w:rFonts w:ascii="Times New Roman" w:hAnsi="Times New Roman"/>
          <w:sz w:val="20"/>
          <w:u w:val="single"/>
        </w:rPr>
        <w:t>provided</w:t>
      </w:r>
      <w:r>
        <w:rPr>
          <w:rFonts w:ascii="Times New Roman" w:hAnsi="Times New Roman"/>
          <w:sz w:val="20"/>
        </w:rPr>
        <w:t xml:space="preserve"> that for purposes of calculating income Taxes payable by Parent, the Company or their Affiliates in respect of the License Proceeds, such income Taxes shall be calculated without taking into account any net operating losses or other tax attributes (including Tax credits and capital loss carryovers) or any deductions generated by Parent, the Company or any of their Affiliates at any time before or following the Closing, other than, in each case, (x) any Tax basis that Parent, the Company or their Affiliates may have in the rights or assets licensed pursuant to a CVR Product License that is available for offset against the License Proceeds or (y) any Tax attributes generated by a Permitted Deduction otherwise taken into account under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any reasonable and documented unreimbursed out-of-pocket costs and expenses directly incurred in good faith solely in the Disposition of such CVR Product and actually paid by Parent or any of its Affiliates (including the Surviving Company) to a third party during the term of this Agreement, including research and development costs for such CVR Product, costs of required technology transfer activities for such CVR Product pursuant to the CVR Product License, costs in respect of head licenses for sublicensed technology that claims, covers or is otherwise incorporated in such CVR Product, and prosecution, maintenance, or enforcement by Parent or any of its Affiliates of Intellectual Property that covers claims or is otherwise used with such CVR Product, but excluding any costs related to a breach of this Agreement by Parent or any of its Affiliates, including costs incurred in litigation in respect of the same; </w:t>
      </w:r>
    </w:p>
    <w:p>
      <w:pPr>
        <w:pStyle w:val="TextBody"/>
        <w:bidi w:val="0"/>
        <w:spacing w:before="240" w:after="0"/>
        <w:jc w:val="both"/>
        <w:rPr>
          <w:rFonts w:ascii="Times New Roman" w:hAnsi="Times New Roman"/>
          <w:sz w:val="20"/>
        </w:rPr>
      </w:pPr>
      <w:r>
        <w:rPr>
          <w:rFonts w:ascii="Times New Roman" w:hAnsi="Times New Roman"/>
          <w:sz w:val="20"/>
        </w:rPr>
        <w:t xml:space="preserve">(d) 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 </w:t>
      </w:r>
    </w:p>
    <w:p>
      <w:pPr>
        <w:pStyle w:val="TextBody"/>
        <w:bidi w:val="0"/>
        <w:spacing w:before="240" w:after="0"/>
        <w:jc w:val="both"/>
        <w:rPr>
          <w:rFonts w:ascii="Times New Roman" w:hAnsi="Times New Roman"/>
          <w:sz w:val="20"/>
        </w:rPr>
      </w:pPr>
      <w:r>
        <w:rPr>
          <w:rFonts w:ascii="Times New Roman" w:hAnsi="Times New Roman"/>
          <w:sz w:val="20"/>
        </w:rPr>
        <w:t xml:space="preserve">(e) 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 </w:t>
      </w:r>
    </w:p>
    <w:p>
      <w:pPr>
        <w:pStyle w:val="TextBody"/>
        <w:bidi w:val="0"/>
        <w:spacing w:before="240" w:after="0"/>
        <w:jc w:val="both"/>
        <w:rPr/>
      </w:pPr>
      <w:r>
        <w:rPr/>
        <w:t>“</w:t>
      </w:r>
      <w:r>
        <w:rPr>
          <w:rFonts w:ascii="Times New Roman" w:hAnsi="Times New Roman"/>
          <w:sz w:val="20"/>
          <w:u w:val="single"/>
        </w:rPr>
        <w:t>Permitted Transfer</w:t>
      </w:r>
      <w:r>
        <w:rPr>
          <w:rFonts w:ascii="Times New Roman" w:hAnsi="Times New Roman"/>
          <w:sz w:val="20"/>
        </w:rPr>
        <w:t xml:space="preserve">” means a transfer of CVRs (a) upon death of a Holder by will or intestacy; (b) made by instrument to an </w:t>
      </w:r>
      <w:r>
        <w:rPr>
          <w:rFonts w:ascii="Times New Roman" w:hAnsi="Times New Roman"/>
          <w:i/>
          <w:sz w:val="20"/>
        </w:rPr>
        <w:t xml:space="preserve">inter vivos </w:t>
      </w:r>
      <w:r>
        <w:rPr>
          <w:rFonts w:ascii="Times New Roman" w:hAnsi="Times New Roman"/>
          <w:sz w:val="20"/>
        </w:rPr>
        <w:t xml:space="preserve">or testamentary trust in which the CVRs are to be passed to beneficiaries upon the death of the trustee; (c) made pursuant to a court order; (d) made by operation of law (including by consolidation or merger) or without consideration in connection with the dissolution, liquidation or termination of any corporation, limited liability company, partnership or other entity; or (e) in the case of CVRs held in book-entry or other similar nominee form, from a nominee to a beneficial owner and, if applicable, through an intermediary, or from such nominee to another nominee for the same beneficial owner, to the extent allowable by DTC. </w:t>
      </w:r>
    </w:p>
    <w:p>
      <w:pPr>
        <w:pStyle w:val="TextBody"/>
        <w:bidi w:val="0"/>
        <w:spacing w:before="240" w:after="0"/>
        <w:jc w:val="both"/>
        <w:rPr/>
      </w:pPr>
      <w:r>
        <w:rPr/>
        <w:t>“</w:t>
      </w:r>
      <w:r>
        <w:rPr>
          <w:rFonts w:ascii="Times New Roman" w:hAnsi="Times New Roman"/>
          <w:sz w:val="20"/>
          <w:u w:val="single"/>
        </w:rPr>
        <w:t>Regulatory Authority</w:t>
      </w:r>
      <w:r>
        <w:rPr>
          <w:rFonts w:ascii="Times New Roman" w:hAnsi="Times New Roman"/>
          <w:sz w:val="20"/>
        </w:rPr>
        <w:t xml:space="preserve">” means, with respect to a particular country, the Governmental Authority(ies) responsible for granting approval for the commercial marketing and sale (including pricing and reimbursement approval) of a drug product, including U.S. Food and Drug Administration (or any successor thereto) in the U.S. </w:t>
      </w:r>
    </w:p>
    <w:p>
      <w:pPr>
        <w:pStyle w:val="TextBody"/>
        <w:bidi w:val="0"/>
        <w:spacing w:before="240" w:after="0"/>
        <w:jc w:val="both"/>
        <w:rPr/>
      </w:pPr>
      <w:r>
        <w:rPr/>
        <w:t>“</w:t>
      </w:r>
      <w:r>
        <w:rPr>
          <w:rFonts w:ascii="Times New Roman" w:hAnsi="Times New Roman"/>
          <w:sz w:val="20"/>
          <w:u w:val="single"/>
        </w:rPr>
        <w:t>Regulatory Exclusivity</w:t>
      </w:r>
      <w:r>
        <w:rPr>
          <w:rFonts w:ascii="Times New Roman" w:hAnsi="Times New Roman"/>
          <w:sz w:val="20"/>
        </w:rPr>
        <w:t xml:space="preserve">” means any exclusive marketing rights or data exclusivity rights conferred by any Regulatory Authority with respect to a CVR Product other than Patents, including rights conferred in the U.S. under the Hatch-Waxman Act or the FDA Modernization Act of 1997 (including pediatric exclusivity), and rights similar thereto outside the U.S. </w:t>
      </w:r>
    </w:p>
    <w:p>
      <w:pPr>
        <w:pStyle w:val="TextBody"/>
        <w:bidi w:val="0"/>
        <w:spacing w:before="240" w:after="0"/>
        <w:jc w:val="both"/>
        <w:rPr/>
      </w:pPr>
      <w:r>
        <w:rPr/>
        <w:t>“</w:t>
      </w:r>
      <w:r>
        <w:rPr>
          <w:rFonts w:ascii="Times New Roman" w:hAnsi="Times New Roman"/>
          <w:sz w:val="20"/>
          <w:u w:val="single"/>
        </w:rPr>
        <w:t>Rights Agent</w:t>
      </w:r>
      <w:r>
        <w:rPr>
          <w:rFonts w:ascii="Times New Roman" w:hAnsi="Times New Roman"/>
          <w:sz w:val="20"/>
        </w:rPr>
        <w:t xml:space="preserve">” means, collectively Computershare and Computershare Trust Company, until a successor Rights Agent will have become such pursuant to the applicable provisions of this Agreement, and thereafter “Rights Agent” will mean such successor Rights Agent. </w:t>
      </w:r>
    </w:p>
    <w:p>
      <w:pPr>
        <w:pStyle w:val="TextBody"/>
        <w:bidi w:val="0"/>
        <w:spacing w:before="240" w:after="0"/>
        <w:jc w:val="both"/>
        <w:rPr/>
      </w:pPr>
      <w:r>
        <w:rPr/>
        <w:t>“</w:t>
      </w:r>
      <w:r>
        <w:rPr>
          <w:rFonts w:ascii="Times New Roman" w:hAnsi="Times New Roman"/>
          <w:sz w:val="20"/>
          <w:u w:val="single"/>
        </w:rPr>
        <w:t>Royalties</w:t>
      </w:r>
      <w:r>
        <w:rPr>
          <w:rFonts w:ascii="Times New Roman" w:hAnsi="Times New Roman"/>
          <w:sz w:val="20"/>
        </w:rPr>
        <w:t xml:space="preserve">” means the product obtained by </w:t>
      </w:r>
      <w:r>
        <w:rPr>
          <w:rFonts w:ascii="Times New Roman" w:hAnsi="Times New Roman"/>
          <w:i/>
          <w:sz w:val="20"/>
        </w:rPr>
        <w:t>multiplying</w:t>
      </w:r>
      <w:r>
        <w:rPr>
          <w:rFonts w:ascii="Times New Roman" w:hAnsi="Times New Roman"/>
          <w:sz w:val="20"/>
        </w:rPr>
        <w:t xml:space="preserve"> (a) ten percent (10%) by (b) the aggregate amount of Net Sales of the CVR Products during the applicable period. </w:t>
      </w:r>
    </w:p>
    <w:p>
      <w:pPr>
        <w:pStyle w:val="TextBody"/>
        <w:bidi w:val="0"/>
        <w:spacing w:before="240" w:after="0"/>
        <w:jc w:val="both"/>
        <w:rPr/>
      </w:pPr>
      <w:r>
        <w:rPr/>
        <w:t>“</w:t>
      </w:r>
      <w:r>
        <w:rPr>
          <w:rFonts w:ascii="Times New Roman" w:hAnsi="Times New Roman"/>
          <w:sz w:val="20"/>
          <w:u w:val="single"/>
        </w:rPr>
        <w:t>Royalty Term</w:t>
      </w:r>
      <w:r>
        <w:rPr>
          <w:rFonts w:ascii="Times New Roman" w:hAnsi="Times New Roman"/>
          <w:sz w:val="20"/>
        </w:rPr>
        <w:t xml:space="preserve">” means, on a country-by-country basis and CVR Product-by-CVR Product basis, the period commencing on the First Commercial Sale of such CVR Product in such country and continuing until the later of (a) the expiration of the last-to-expire Patent (which has not been held invalid or unenforceable by a patent office, court or other Governmental Authority of competent jurisdiction in an unappealable decision or unappealed decision within the time allowed for appeal) that Covers such CVR Product in such country; (b) the expiration of any Regulatory Exclusivity for such CVR Product in such country; or (c) the tenth (10th) anniversary of the First Commercial Sale of such CVR Product in such country. </w:t>
      </w:r>
    </w:p>
    <w:p>
      <w:pPr>
        <w:pStyle w:val="TextBody"/>
        <w:bidi w:val="0"/>
        <w:spacing w:before="240" w:after="0"/>
        <w:jc w:val="both"/>
        <w:rPr/>
      </w:pPr>
      <w:r>
        <w:rPr/>
        <w:t>“</w:t>
      </w:r>
      <w:r>
        <w:rPr>
          <w:rFonts w:ascii="Times New Roman" w:hAnsi="Times New Roman"/>
          <w:sz w:val="20"/>
          <w:u w:val="single"/>
        </w:rPr>
        <w:t>RP Agreement</w:t>
      </w:r>
      <w:r>
        <w:rPr>
          <w:rFonts w:ascii="Times New Roman" w:hAnsi="Times New Roman"/>
          <w:sz w:val="20"/>
        </w:rPr>
        <w:t xml:space="preserve">” means that certain Equity Purchase and Funding Agreement, dated as of July 13, 2022, by and between Theravance Biopharma, Inc. and Royalty Pharma Investments 2019 ICAV, as amended, modified, or supplemented. </w:t>
      </w:r>
    </w:p>
    <w:p>
      <w:pPr>
        <w:pStyle w:val="TextBody"/>
        <w:bidi w:val="0"/>
        <w:spacing w:before="240" w:after="0"/>
        <w:jc w:val="both"/>
        <w:rPr/>
      </w:pPr>
      <w:r>
        <w:rPr/>
        <w:t>“</w:t>
      </w:r>
      <w:r>
        <w:rPr>
          <w:rFonts w:ascii="Times New Roman" w:hAnsi="Times New Roman"/>
          <w:sz w:val="20"/>
          <w:u w:val="single"/>
        </w:rPr>
        <w:t>Section 409A Condition</w:t>
      </w:r>
      <w:r>
        <w:rPr>
          <w:rFonts w:ascii="Times New Roman" w:hAnsi="Times New Roman"/>
          <w:sz w:val="20"/>
        </w:rPr>
        <w:t xml:space="preserve">” has the meaning ascribed to it in </w:t>
      </w:r>
      <w:r>
        <w:rPr>
          <w:rFonts w:ascii="Times New Roman" w:hAnsi="Times New Roman"/>
          <w:sz w:val="20"/>
          <w:u w:val="single"/>
        </w:rPr>
        <w:t>Section 2.1</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United States</w:t>
      </w:r>
      <w:r>
        <w:rPr>
          <w:rFonts w:ascii="Times New Roman" w:hAnsi="Times New Roman"/>
          <w:sz w:val="20"/>
        </w:rPr>
        <w:t xml:space="preserve">” means the United States of America and its territories and possessions. </w:t>
      </w:r>
    </w:p>
    <w:p>
      <w:pPr>
        <w:pStyle w:val="TextBody"/>
        <w:bidi w:val="0"/>
        <w:spacing w:before="240" w:after="0"/>
        <w:jc w:val="both"/>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CONTINGENT VALUE RIGHTS </w:t>
      </w:r>
    </w:p>
    <w:p>
      <w:pPr>
        <w:pStyle w:val="TextBody"/>
        <w:bidi w:val="0"/>
        <w:spacing w:before="240" w:after="0"/>
        <w:jc w:val="both"/>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CVRs</w:t>
      </w:r>
      <w:r>
        <w:rPr>
          <w:rFonts w:ascii="Times New Roman" w:hAnsi="Times New Roman"/>
          <w:sz w:val="20"/>
        </w:rPr>
        <w:t xml:space="preserve">; Appointment. </w:t>
      </w:r>
    </w:p>
    <w:p>
      <w:pPr>
        <w:pStyle w:val="TextBody"/>
        <w:bidi w:val="0"/>
        <w:spacing w:before="240" w:after="0"/>
        <w:jc w:val="both"/>
        <w:rPr>
          <w:rFonts w:ascii="Times New Roman" w:hAnsi="Times New Roman"/>
          <w:sz w:val="20"/>
        </w:rPr>
      </w:pPr>
      <w:r>
        <w:rPr>
          <w:rFonts w:ascii="Times New Roman" w:hAnsi="Times New Roman"/>
          <w:sz w:val="20"/>
        </w:rPr>
        <w:t>(a)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 w:hAnsi="Times New Roman"/>
          <w:sz w:val="20"/>
          <w:u w:val="single"/>
        </w:rPr>
        <w:t>Section 409A Condition</w:t>
      </w:r>
      <w:r>
        <w:rPr>
          <w:rFonts w:ascii="Times New Roman" w:hAnsi="Times New Roman"/>
          <w:sz w:val="20"/>
        </w:rPr>
        <w:t xml:space="preserve">”). Equity Award CVRs shall cease to be outstanding if and when they become ineligible to accrue CVR Payment Amounts due to the Section 409A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Company hereby appoints the Rights Agent to act as agent for the Company with respect to the CVRs in accordance with the express terms and conditions set forth in this Agreement (and no implied terms and conditions), and the Rights Agent hereby accepts such appointment. </w:t>
      </w:r>
    </w:p>
    <w:p>
      <w:pPr>
        <w:pStyle w:val="TextBody"/>
        <w:bidi w:val="0"/>
        <w:spacing w:before="240" w:after="0"/>
        <w:jc w:val="both"/>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w:t>
      </w:r>
    </w:p>
    <w:p>
      <w:pPr>
        <w:pStyle w:val="TextBody"/>
        <w:bidi w:val="0"/>
        <w:spacing w:before="240" w:after="0"/>
        <w:jc w:val="both"/>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240" w:after="0"/>
        <w:jc w:val="both"/>
        <w:rPr>
          <w:rFonts w:ascii="Times New Roman" w:hAnsi="Times New Roman"/>
          <w:sz w:val="20"/>
        </w:rPr>
      </w:pPr>
      <w:r>
        <w:rPr>
          <w:rFonts w:ascii="Times New Roman" w:hAnsi="Times New Roman"/>
          <w:sz w:val="20"/>
        </w:rPr>
        <w:t>(b) The Rights Agent, acting solely for this purpose as a non-fiduciary agent of Parent acting under the express terms hereof, will keep a register (the “</w:t>
      </w:r>
      <w:r>
        <w:rPr>
          <w:rFonts w:ascii="Times New Roman" w:hAnsi="Times New Roman"/>
          <w:sz w:val="20"/>
          <w:u w:val="single"/>
        </w:rPr>
        <w:t>CVR Register</w:t>
      </w:r>
      <w:r>
        <w:rPr>
          <w:rFonts w:ascii="Times New Roman" w:hAnsi="Times New Roman"/>
          <w:sz w:val="20"/>
        </w:rPr>
        <w:t>”) for the purpose of recording the names and addresses of the applicable Holders, as well as transfers of CVRs as herein provided. The entries in the CVR Register shall be conclusive absent manifest error, and Parent and the Rights Agent shall treat each Person whose name is recorded in the CVR Register pursuant to the terms hereof as a Holder hereunder for all purposes of this Agreement. The CVR Register shall be available for inspection by the Parent at any reasonable time and from time to time upon reasonable prior written notice to the Rights Agent. The Rights Agent is hereby initially appointed the CVR registrar (the “</w:t>
      </w:r>
      <w:r>
        <w:rPr>
          <w:rFonts w:ascii="Times New Roman" w:hAnsi="Times New Roman"/>
          <w:sz w:val="20"/>
          <w:u w:val="single"/>
        </w:rPr>
        <w:t>CVR Registrar</w:t>
      </w:r>
      <w:r>
        <w:rPr>
          <w:rFonts w:ascii="Times New Roman" w:hAnsi="Times New Roman"/>
          <w:sz w:val="20"/>
        </w:rPr>
        <w:t xml:space="preserve">”) for purposes of registering CVRs and Permitted Transfers of CVRs as provided for herein. Upon any change in the identity of the Rights Agent, the successor Rights Agent will automatically also become the successor CVR Registrar. The CVR Register will initially show one position for Cede &amp; Co. representing all of the Ordinary Shares held by DTC on behalf of the street holders of the Ordinary Shares held by such holders as of immediately prior to the Effective Time. The Rights Agent will have no responsibility whatsoever to the street name holders with respect to transfers of CVRs. </w:t>
      </w:r>
    </w:p>
    <w:p>
      <w:pPr>
        <w:pStyle w:val="TextBody"/>
        <w:bidi w:val="0"/>
        <w:spacing w:before="240" w:after="0"/>
        <w:jc w:val="both"/>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and other documentation reasonably requested by the Rights Agent (i) in a form reasonably satisfactory to the Rights Agent pursuant to its guidelines, which may include, if applicable, a guaranty of signature by an “eligible guarantor institution” that is a member or participant in the Securities Transfer Agents Medallion Program, (ii) that is duly executed by the Holder thereof or the Holder’s attorney duly authorized in writing, the Holder’s personal representative or the Holder’s survivor, and (iii) 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Rights Agent shall not be obligated to undertake any action with respect to the transfer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The Rights Agent shall have no duty or obligation to take any action under any section of this Agreement that requires payment of such applicable Taxes or charges unless such Holder has demonstrated to the satisfaction of Parent and Rights Agent that any such Tax or charge has been paid by the Holder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 </w:t>
      </w:r>
    </w:p>
    <w:p>
      <w:pPr>
        <w:pStyle w:val="TextBody"/>
        <w:bidi w:val="0"/>
        <w:spacing w:before="240" w:after="0"/>
        <w:jc w:val="both"/>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as promptly as practicable record the change of address in the CVR Register. </w:t>
      </w:r>
    </w:p>
    <w:p>
      <w:pPr>
        <w:pStyle w:val="TextBody"/>
        <w:bidi w:val="0"/>
        <w:spacing w:before="240" w:after="0"/>
        <w:jc w:val="both"/>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 Diligence Obligations</w:t>
      </w:r>
      <w:r>
        <w:rPr>
          <w:rFonts w:ascii="Times New Roman" w:hAnsi="Times New Roman"/>
          <w:sz w:val="20"/>
        </w:rPr>
        <w:t xml:space="preserve">. By accepting one or more CVRs, each Holder is deemed to acknowledge that (i) Parent makes (x) no guarantees or promises that any License Proceeds or Royalties will become payable or be paid to Parent or its Affiliates at all or by any specific date, or that any CVR Product License will be executed, or that the First Commercial Sale Milestone will occur, and (y) no statements, assessments, or predictions have been made or are being provided, and no reliance on any statements, assessments, or predictions should be made, in any case regarding (A) the likelihood of any CVR Product License being executed prior to the License Expiration Date, that the First Commercial Sale Milestone will occur or that there will be any Net Sales or (B) even if a CVR Product License is executed prior to the License Expiration Date, that any License Proceeds will become payable or be paid to Parent or its Affiliates, (ii) there is no assurance that the Holders will receive any payment under this Agreement, including as described under </w:t>
      </w:r>
      <w:r>
        <w:rPr>
          <w:rFonts w:ascii="Times New Roman" w:hAnsi="Times New Roman"/>
          <w:sz w:val="20"/>
          <w:u w:val="single"/>
        </w:rPr>
        <w:t>Section 2.5</w:t>
      </w:r>
      <w:r>
        <w:rPr>
          <w:rFonts w:ascii="Times New Roman" w:hAnsi="Times New Roman"/>
          <w:sz w:val="20"/>
        </w:rPr>
        <w:t xml:space="preserve">, unless, and if and only if, (1) both a CVR Product License is executed prior to the License Expiration Date and Parent or any of its Affiliates actually receive payment of any License Proceeds or (2) the First Commercial Sale Milestone occurs, (iii) Parent has not prior to the date hereof, promised or projected any amounts to be received by the Holders in respect of any payments described in </w:t>
      </w:r>
      <w:r>
        <w:rPr>
          <w:rFonts w:ascii="Times New Roman" w:hAnsi="Times New Roman"/>
          <w:sz w:val="20"/>
          <w:u w:val="single"/>
        </w:rPr>
        <w:t>Section 2.5</w:t>
      </w:r>
      <w:r>
        <w:rPr>
          <w:rFonts w:ascii="Times New Roman" w:hAnsi="Times New Roman"/>
          <w:sz w:val="20"/>
        </w:rPr>
        <w:t xml:space="preserve"> and no statements of Parent, that have been, or may be, made, may, or will, be construed as Parent making any such promise or projection, (iv) (A) except as otherwise expressly set forth herein or in the Merger Agreement, none of the Rights Agent and any Holder is relying on or has relied on any promises, projections, representation or warranty of any kind or other information, documents or materials (or absence thereof), or will rely on any promises, projections, representation or warranty of any kind or other information, documents or materials (or absence thereof), in respect of any payments described in </w:t>
      </w:r>
      <w:r>
        <w:rPr>
          <w:rFonts w:ascii="Times New Roman" w:hAnsi="Times New Roman"/>
          <w:sz w:val="20"/>
          <w:u w:val="single"/>
        </w:rPr>
        <w:t>Section 2.5</w:t>
      </w:r>
      <w:r>
        <w:rPr>
          <w:rFonts w:ascii="Times New Roman" w:hAnsi="Times New Roman"/>
          <w:sz w:val="20"/>
        </w:rPr>
        <w:t xml:space="preserve">, including with respect to the operation of the Surviving Company’s business following the Closing Date, (B) Parent shall have the right to, or not to, own, operate, use, (sub)license, research, develop, commercialize and otherwise practice, use and exploit the assets of the Surviving Company’s business in any way that Parent deems appropriate in its sole business judgment, (C) neither Parent nor any of its Affiliates shall have any obligation to make any particular level of efforts or engage in any particular or specific activities in connection with the ownership of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Company or any other Person relevant to any License Proceeds or the CVR Product, or with respect to executing a CVR Product License or otherwise, and (D) Parent does not have any obligation, express or implied, to research, develop, manufacture, commercialize, or otherwise practice, use or exploit the assets of the Surviving Company’s business, in any manner, including in order to make, maximize or expedite the payments described in </w:t>
      </w:r>
      <w:r>
        <w:rPr>
          <w:rFonts w:ascii="Times New Roman" w:hAnsi="Times New Roman"/>
          <w:sz w:val="20"/>
          <w:u w:val="single"/>
        </w:rPr>
        <w:t>Section 2.5</w:t>
      </w:r>
      <w:r>
        <w:rPr>
          <w:rFonts w:ascii="Times New Roman" w:hAnsi="Times New Roman"/>
          <w:sz w:val="20"/>
        </w:rPr>
        <w:t xml:space="preserve">. By accepting one or more CVRs, each Holder is deemed to acknowledge that, except as otherwise expressly set forth herein or in the Merger Agreement, such Holder hereby (1) disclaims reliance on any such promises, projections, representations, warranties, or other information, documents or materials (or absence thereof), (2) understands and agrees that no such promises, representations, warranties, projections, and other information, documents and materials (or absence thereof) have been, or will be made by Parent, (3) acknowledges and agrees that the CVRs and the possibility of any payment hereunder with respect thereto are highly speculative and subject to numerous factors outside of the control of Parent or its Affiliates, and there is no assurance that Holders will receive any payments under this Agreement or in connection with the CVRs and (4) acknowledges and agrees that this </w:t>
      </w:r>
      <w:r>
        <w:rPr>
          <w:rFonts w:ascii="Times New Roman" w:hAnsi="Times New Roman"/>
          <w:sz w:val="20"/>
          <w:u w:val="single"/>
        </w:rPr>
        <w:t xml:space="preserve">Section 2.4 </w:t>
      </w:r>
      <w:r>
        <w:rPr>
          <w:rFonts w:ascii="Times New Roman" w:hAnsi="Times New Roman"/>
          <w:sz w:val="20"/>
        </w:rPr>
        <w:t xml:space="preserve">is an essential and material term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Payment Procedures; Notices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On or prior to each CVR Payment Date (if any), Parent shall (i) deliver to the Rights Agent (x) a written notice (A) indicating that the Holders are entitled to receive a payment of CVR License Proceeds, the First Commercial Sale Milestone Payment, or Royalties (as applicable), (B) 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 w:hAnsi="Times New Roman"/>
          <w:sz w:val="20"/>
          <w:u w:val="single"/>
        </w:rPr>
        <w:t>Payment Notice</w:t>
      </w:r>
      <w:r>
        <w:rPr>
          <w:rFonts w:ascii="Times New Roman" w:hAnsi="Times New Roman"/>
          <w:sz w:val="20"/>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 w:hAnsi="Times New Roman"/>
          <w:sz w:val="20"/>
          <w:u w:val="single"/>
        </w:rPr>
        <w:t>Section 4.2</w:t>
      </w:r>
      <w:r>
        <w:rPr>
          <w:rFonts w:ascii="Times New Roman" w:hAnsi="Times New Roman"/>
          <w:sz w:val="20"/>
        </w:rPr>
        <w:t xml:space="preserve">, transfer to Computershare in an account designated by Computershare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 w:hAnsi="Times New Roman"/>
          <w:sz w:val="20"/>
          <w:u w:val="single"/>
        </w:rPr>
        <w:t>Section 2.5(c)</w:t>
      </w:r>
      <w:r>
        <w:rPr>
          <w:rFonts w:ascii="Times New Roman" w:hAnsi="Times New Roman"/>
          <w:sz w:val="20"/>
        </w:rPr>
        <w:t xml:space="preserve"> 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 </w:t>
      </w:r>
    </w:p>
    <w:p>
      <w:pPr>
        <w:pStyle w:val="TextBody"/>
        <w:bidi w:val="0"/>
        <w:spacing w:before="240" w:after="0"/>
        <w:jc w:val="both"/>
        <w:rPr>
          <w:rFonts w:ascii="Times New Roman" w:hAnsi="Times New Roman"/>
          <w:sz w:val="20"/>
        </w:rPr>
      </w:pPr>
      <w:r>
        <w:rPr>
          <w:rFonts w:ascii="Times New Roman" w:hAnsi="Times New Roman"/>
          <w:sz w:val="20"/>
        </w:rPr>
        <w:t xml:space="preserve">(b) Provided the CVR Payment Amount has been delivered to the Rights Agent in accordance with </w:t>
      </w:r>
      <w:r>
        <w:rPr>
          <w:rFonts w:ascii="Times New Roman" w:hAnsi="Times New Roman"/>
          <w:sz w:val="20"/>
          <w:u w:val="single"/>
        </w:rPr>
        <w:t>Section 2.5(a)(ii)</w:t>
      </w:r>
      <w:r>
        <w:rPr>
          <w:rFonts w:ascii="Times New Roman" w:hAnsi="Times New Roman"/>
          <w:sz w:val="20"/>
        </w:rPr>
        <w:t>, the Rights Agent will promptly, and, in any event, within ten (10) Business Days of receipt of any Payment Notice (each such date, a “</w:t>
      </w:r>
      <w:r>
        <w:rPr>
          <w:rFonts w:ascii="Times New Roman" w:hAnsi="Times New Roman"/>
          <w:sz w:val="20"/>
          <w:u w:val="single"/>
        </w:rPr>
        <w:t>Payment Notice Date</w:t>
      </w:r>
      <w:r>
        <w:rPr>
          <w:rFonts w:ascii="Times New Roman" w:hAnsi="Times New Roman"/>
          <w:sz w:val="20"/>
        </w:rPr>
        <w:t xml:space="preserve">”), send each Holder at its registered address a copy of the applicable Payment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with each Holder receiving, subject to this </w:t>
      </w:r>
      <w:r>
        <w:rPr>
          <w:rFonts w:ascii="Times New Roman" w:hAnsi="Times New Roman"/>
          <w:sz w:val="20"/>
          <w:u w:val="single"/>
        </w:rPr>
        <w:t>Section 2.5(b)</w:t>
      </w:r>
      <w:r>
        <w:rPr>
          <w:rFonts w:ascii="Times New Roman" w:hAnsi="Times New Roman"/>
          <w:sz w:val="20"/>
        </w:rPr>
        <w:t xml:space="preserve">,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 </w:t>
      </w:r>
    </w:p>
    <w:p>
      <w:pPr>
        <w:pStyle w:val="TextBody"/>
        <w:bidi w:val="0"/>
        <w:spacing w:before="240" w:after="0"/>
        <w:jc w:val="both"/>
        <w:rPr>
          <w:rFonts w:ascii="Times New Roman" w:hAnsi="Times New Roman"/>
          <w:sz w:val="20"/>
        </w:rPr>
      </w:pPr>
      <w:r>
        <w:rPr>
          <w:rFonts w:ascii="Times New Roman" w:hAnsi="Times New Roman"/>
          <w:sz w:val="20"/>
        </w:rPr>
        <w:t xml:space="preserve">(c) 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 </w:t>
      </w:r>
      <w:r>
        <w:rPr>
          <w:rFonts w:ascii="Times New Roman" w:hAnsi="Times New Roman"/>
          <w:sz w:val="20"/>
          <w:u w:val="single"/>
        </w:rPr>
        <w:t>provided</w:t>
      </w:r>
      <w:r>
        <w:rPr>
          <w:rFonts w:ascii="Times New Roman" w:hAnsi="Times New Roman"/>
          <w:sz w:val="20"/>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(e) Neither Parent nor the Rights Agent will be liable to any person in respect of any CVR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 </w:t>
      </w:r>
    </w:p>
    <w:p>
      <w:pPr>
        <w:pStyle w:val="TextBody"/>
        <w:bidi w:val="0"/>
        <w:spacing w:before="240" w:after="0"/>
        <w:jc w:val="both"/>
        <w:rPr>
          <w:rFonts w:ascii="Times New Roman" w:hAnsi="Times New Roman"/>
          <w:sz w:val="20"/>
        </w:rPr>
      </w:pPr>
      <w:r>
        <w:rPr>
          <w:rFonts w:ascii="Times New Roman" w:hAnsi="Times New Roman"/>
          <w:sz w:val="20"/>
        </w:rPr>
        <w:t xml:space="preserve">(f) Parent and the Rights Agent agree to treat the CVRs (other than the Equity Award CVRs) for all U.S. federal and applicable state, local and foreign income Tax purposes, (i) except to the extent treated as imputed interest, as additional consideration for, or in respect of, the Ordinary Shares; (ii) a “closed transaction” in which the fair market value of the CVRs is included in income in the taxable year of the Closing; and (iii) if and to the extent such amounts are paid to any person under this Agreement, a portion may be treated as interest to the extent required pursuant to Section 483 or Section 1274 of the Code and, in each case, none of the parties hereto will take any position to the contrary on any Tax Return, in each case, related to U.S. federal, and applicable state and local income Tax purposes, except as otherwise required by a Final Determination. Parent shall or shall cause the Rights Agent to report such imputed interest on the CVRs as required by applicable Law. The Rights Agent shall be responsible for information reporting required under applicable Law with respect to the CVRs, including reporting the fair market value of the CVRs upon the Holders’ receipt of such CVRs on Internal Revenue Service Form 1099-B, which fair market value shall be reasonably determined by Parent in good faith, and reporting any payments hereunder on Internal Revenue Service Form 1099-B or other applicable form to the extent required under applicable Law. The Rights Agent shall use commercially reasonable efforts to distribute to security depository agents, clearing houses and other similar parties a statement prepared by Parent for purposes of reporting the fair market value of the CVR to Holders of CVRs (other than Equity Award CVRs) that are subject to United States federal income taxes but for which the Rights Agent is not required by applicable Law to report such value on Internal Revenue Service Form 1099-B or other applicable form. </w:t>
      </w:r>
    </w:p>
    <w:p>
      <w:pPr>
        <w:pStyle w:val="TextBody"/>
        <w:bidi w:val="0"/>
        <w:spacing w:before="240" w:after="0"/>
        <w:jc w:val="both"/>
        <w:rPr>
          <w:rFonts w:ascii="Times New Roman" w:hAnsi="Times New Roman"/>
          <w:sz w:val="20"/>
        </w:rPr>
      </w:pPr>
      <w:r>
        <w:rPr>
          <w:rFonts w:ascii="Times New Roman" w:hAnsi="Times New Roman"/>
          <w:sz w:val="20"/>
        </w:rPr>
        <w:t xml:space="preserve">(g) The indemnification provided by this </w:t>
      </w:r>
      <w:r>
        <w:rPr>
          <w:rFonts w:ascii="Times New Roman" w:hAnsi="Times New Roman"/>
          <w:sz w:val="20"/>
          <w:u w:val="single"/>
        </w:rPr>
        <w:t>Section 2.5</w:t>
      </w:r>
      <w:r>
        <w:rPr>
          <w:rFonts w:ascii="Times New Roman" w:hAnsi="Times New Roman"/>
          <w:sz w:val="20"/>
        </w:rPr>
        <w:t xml:space="preserve"> shall survive the resignation, replacement or removal of the Rights Agent and the termination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No Voting, Dividends or Interest; No Equity or Ownership Interest in Parent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CVRs will not represent any interests in the capital of, or any equity or ownership interest in, Parent or in any constituent company to the Merger, or any of their respective subsidiaries (including the Surviving Company). </w:t>
      </w:r>
    </w:p>
    <w:p>
      <w:pPr>
        <w:pStyle w:val="TextBody"/>
        <w:bidi w:val="0"/>
        <w:spacing w:before="240" w:after="0"/>
        <w:jc w:val="both"/>
        <w:rPr>
          <w:rFonts w:ascii="Times New Roman" w:hAnsi="Times New Roman"/>
          <w:sz w:val="20"/>
        </w:rPr>
      </w:pPr>
      <w:r>
        <w:rPr>
          <w:rFonts w:ascii="Times New Roman" w:hAnsi="Times New Roman"/>
          <w:sz w:val="20"/>
        </w:rPr>
        <w:t xml:space="preserve">Section 2.7 All funds administered by Computershare under this Agreement that are to be distributed or applied by Computershare in the performance of the services contemplated under this Agreement (the “Funds”) shall be administered by Computershare as agent for Company and deposited in one or more bank accounts to be maintained by Computershare in its name as agent for Company. Until paid pursuant to this Agreement, Computershare may administer or invest the Funds through such accounts in: (a) funds backed by obligations of, or guaranteed by, the United States of America; (b) debt or commercial paper obligations rated A-1 or P-1 or better by S&amp;P Global Inc. (“S&amp;P”) or Moody’s Investors Service, Inc. (“Moody’s”),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Company, any Shareholder or any other party; provided that Computershare shall be solely responsible for any taxes, interest and penalties associated with such interest, dividends and earnings. </w:t>
      </w:r>
    </w:p>
    <w:p>
      <w:pPr>
        <w:pStyle w:val="TextBody"/>
        <w:bidi w:val="0"/>
        <w:spacing w:before="240" w:after="0"/>
        <w:jc w:val="both"/>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and </w:t>
      </w:r>
      <w:r>
        <w:rPr>
          <w:rFonts w:ascii="Times New Roman" w:hAnsi="Times New Roman"/>
          <w:sz w:val="20"/>
          <w:u w:val="single"/>
        </w:rPr>
        <w:t>Article V</w:t>
      </w:r>
      <w:r>
        <w:rPr>
          <w:rFonts w:ascii="Times New Roman" w:hAnsi="Times New Roman"/>
          <w:sz w:val="20"/>
        </w:rPr>
        <w:t xml:space="preserv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THE RIGHTS AGENT </w:t>
      </w:r>
    </w:p>
    <w:p>
      <w:pPr>
        <w:pStyle w:val="TextBody"/>
        <w:bidi w:val="0"/>
        <w:spacing w:before="240" w:after="0"/>
        <w:jc w:val="both"/>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of its willful misconduct, bad faith or gross negligence (each as determined by a final non-appealable judgment of a court of competent jurisdiction).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punitive, indirect, incidental or consequential loss or damages of any kind whatsoever, even if the Rights Agent has been advised of the likelihood of such loss or damages or has foreseen the possibility or likelihood of such damages and regardless of the form of action. Notwithstanding anything to the contrary herein, the Rights Agent’s aggregate liability with respect to, arising from, or arising in connection with this Agreement, or from all services provided or omitted to be provided under this Agreement, whether in contract, or in tort, or otherwise, is limited to, and shall not exceed, the amounts paid hereunder by Parent to the Rights Agent as fees and charges, but not including reimbursable expenses, during the twelve (12) months immediately preceding the event for which recovery from the Rights Agent is being sought, absent gross negligence, willful misconduct, bad faith or fraud (each as determined by a final non-appealable judgment of a court of competent jurisdiction). </w:t>
      </w:r>
    </w:p>
    <w:p>
      <w:pPr>
        <w:pStyle w:val="TextBody"/>
        <w:bidi w:val="0"/>
        <w:spacing w:before="240" w:after="0"/>
        <w:jc w:val="both"/>
        <w:rPr>
          <w:rFonts w:ascii="Times New Roman" w:hAnsi="Times New Roman"/>
          <w:sz w:val="20"/>
        </w:rPr>
      </w:pPr>
      <w:r>
        <w:rPr>
          <w:rFonts w:ascii="Times New Roman" w:hAnsi="Times New Roman"/>
          <w:sz w:val="20"/>
        </w:rPr>
        <w:t xml:space="preserve">(b) The Rights Agent (i) shall be under no obligation to institute any action, suit or proceeding, or to take any other action likely to result in the incurrence of expenses by the Rights Agent and (ii) shall not be obligated to act on behalf of the Holders notwithstanding the Rights Agent’s receipt of any written direction from the Acting Holders. </w:t>
      </w:r>
    </w:p>
    <w:p>
      <w:pPr>
        <w:pStyle w:val="TextBody"/>
        <w:bidi w:val="0"/>
        <w:spacing w:before="240" w:after="0"/>
        <w:jc w:val="both"/>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240" w:after="0"/>
        <w:jc w:val="both"/>
        <w:rPr>
          <w:rFonts w:ascii="Times New Roman" w:hAnsi="Times New Roman"/>
          <w:sz w:val="20"/>
        </w:rPr>
      </w:pPr>
      <w:r>
        <w:rPr>
          <w:rFonts w:ascii="Times New Roman" w:hAnsi="Times New Roman"/>
          <w:sz w:val="20"/>
        </w:rPr>
        <w:t xml:space="preserve">(a) the Rights Agent may rely and will be protected and held harmless by Parent in acting or refraining from acting upon any resolution, certificate, statement, instrument, opinion, report, notice, request, direction, consent, order or other paper or document believed by it to be genuine and to have been signed or presented by the proper party or parties; </w:t>
      </w:r>
    </w:p>
    <w:p>
      <w:pPr>
        <w:pStyle w:val="TextBody"/>
        <w:bidi w:val="0"/>
        <w:spacing w:before="240" w:after="0"/>
        <w:jc w:val="both"/>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(each as determined by a final non-appealable judgment of a court of competent jurisdiction) on its part, incur no liability and be held harmless by Parent for or in respect of any action taken, suffered or omitted to be taken by it under the provisions of this Agreement in reliance upon such Officer’s Certificate; </w:t>
      </w:r>
    </w:p>
    <w:p>
      <w:pPr>
        <w:pStyle w:val="TextBody"/>
        <w:bidi w:val="0"/>
        <w:spacing w:before="240" w:after="0"/>
        <w:jc w:val="both"/>
        <w:rPr>
          <w:rFonts w:ascii="Times New Roman" w:hAnsi="Times New Roman"/>
          <w:sz w:val="20"/>
        </w:rPr>
      </w:pPr>
      <w:r>
        <w:rPr>
          <w:rFonts w:ascii="Times New Roman" w:hAnsi="Times New Roman"/>
          <w:sz w:val="20"/>
        </w:rPr>
        <w:t xml:space="preserve">(c) the Rights Agent may engage and consult with counsel of its selection and the advice or opinion of such counsel will be full and complete authorization and protection to the Rights Agent and the Rights Agent shall be held harmless by Parent in respect of any action taken, suffered or omitted by it hereunder in the absence of bad faith (as determined by a final non-appealable order, judgment, decree or ruling of a court of competent jurisdiction) and in reliance thereon; </w:t>
      </w:r>
    </w:p>
    <w:p>
      <w:pPr>
        <w:pStyle w:val="TextBody"/>
        <w:bidi w:val="0"/>
        <w:spacing w:before="240" w:after="0"/>
        <w:jc w:val="both"/>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240" w:after="0"/>
        <w:jc w:val="both"/>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240" w:after="0"/>
        <w:jc w:val="both"/>
        <w:rPr>
          <w:rFonts w:ascii="Times New Roman" w:hAnsi="Times New Roman"/>
          <w:sz w:val="20"/>
        </w:rPr>
      </w:pPr>
      <w:r>
        <w:rPr>
          <w:rFonts w:ascii="Times New Roman" w:hAnsi="Times New Roman"/>
          <w:sz w:val="20"/>
        </w:rPr>
        <w:t xml:space="preserve">(g) the Rights Agent shall not be liable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(h) Parent agrees to indemnify Rights Agent for, and hold Rights Agent harmless against, any loss, liability, damage, judgment, fine, penalty, claim, demand, settlement, suit, cost or expense (including the reasonable and documented out-of-pocket expenses and counsel fees and other disbursements) arising out of or in connection with Rights Agent’s duties under this Agreement (excluding any Taxes imposed on the fees owed to the Rights Agent hereunder), including the costs and expenses of defending Rights Agent against any claims, charges, demands, suits or loss, unless such loss has been determined by a court of competent jurisdiction to be a result of Rights Agent’s gross negligence, bad faith or willful misconduct; </w:t>
      </w:r>
    </w:p>
    <w:p>
      <w:pPr>
        <w:pStyle w:val="TextBody"/>
        <w:bidi w:val="0"/>
        <w:spacing w:before="240" w:after="0"/>
        <w:jc w:val="both"/>
        <w:rPr>
          <w:rFonts w:ascii="Times New Roman" w:hAnsi="Times New Roman"/>
          <w:sz w:val="20"/>
        </w:rPr>
      </w:pPr>
      <w:r>
        <w:rPr>
          <w:rFonts w:ascii="Times New Roman" w:hAnsi="Times New Roman"/>
          <w:sz w:val="20"/>
        </w:rPr>
        <w:t xml:space="preserve">(i) Parent agrees (i) to pay the fees and expenses of the Rights Agent in connection with this Agreement as agreed upon in writing by the Rights Agent and Parent on or prior to the date hereof; and (ii) without limiting the foregoing (i), to reimburse the Rights Agent for all Taxes and governmental charges, reasonable expenses and other charges of any kind and nature incurred by the Rights Agent in the execution of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provided that if Rights Agent determines in the absence of bad faith that it has received a refund of any Tax or governmental charge borne by Parent pursuant to this clause (ii), the Rights Agent shall promptly repay such refund to Parent; </w:t>
      </w:r>
    </w:p>
    <w:p>
      <w:pPr>
        <w:pStyle w:val="TextBody"/>
        <w:bidi w:val="0"/>
        <w:spacing w:before="240" w:after="0"/>
        <w:jc w:val="both"/>
        <w:rPr>
          <w:rFonts w:ascii="Times New Roman" w:hAnsi="Times New Roman"/>
          <w:sz w:val="20"/>
        </w:rPr>
      </w:pPr>
      <w:r>
        <w:rPr>
          <w:rFonts w:ascii="Times New Roman" w:hAnsi="Times New Roman"/>
          <w:sz w:val="20"/>
        </w:rPr>
        <w:t xml:space="preserve">(j) no provision of this Agreement shall require the Rights Agent to expend or risk its own funds or otherwise incur any financial liability in the performance of any of its duties hereunder or in the exercise of its rights if it reasonably believes that repayment of such funds or adequate indemnification against such risk or liability is not reasonably assured to it; </w:t>
      </w:r>
    </w:p>
    <w:p>
      <w:pPr>
        <w:pStyle w:val="TextBody"/>
        <w:bidi w:val="0"/>
        <w:spacing w:before="240" w:after="0"/>
        <w:jc w:val="both"/>
        <w:rPr>
          <w:rFonts w:ascii="Times New Roman" w:hAnsi="Times New Roman"/>
          <w:sz w:val="20"/>
        </w:rPr>
      </w:pPr>
      <w:r>
        <w:rPr>
          <w:rFonts w:ascii="Times New Roman" w:hAnsi="Times New Roman"/>
          <w:sz w:val="20"/>
        </w:rPr>
        <w:t xml:space="preserve">(k) in the event the Rights Agent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 (10) 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 the Rights Agent shall not be deemed to have knowledge of any event of which it was entitled to receive notice pursuant to the terms of this Agreement, and the Rights Agent shall be fully protected and shall incur no liability for failing to take action in connection with such event, in each case, unless and until such notice has been given in accordance with </w:t>
      </w:r>
      <w:r>
        <w:rPr>
          <w:rFonts w:ascii="Times New Roman" w:hAnsi="Times New Roman"/>
          <w:sz w:val="20"/>
          <w:u w:val="single"/>
        </w:rPr>
        <w:t xml:space="preserve">Section 6.1; </w:t>
      </w:r>
    </w:p>
    <w:p>
      <w:pPr>
        <w:pStyle w:val="TextBody"/>
        <w:bidi w:val="0"/>
        <w:spacing w:before="240" w:after="0"/>
        <w:jc w:val="both"/>
        <w:rPr>
          <w:rFonts w:ascii="Times New Roman" w:hAnsi="Times New Roman"/>
          <w:sz w:val="20"/>
        </w:rPr>
      </w:pPr>
      <w:r>
        <w:rPr>
          <w:rFonts w:ascii="Times New Roman" w:hAnsi="Times New Roman"/>
          <w:sz w:val="20"/>
        </w:rPr>
        <w:t xml:space="preserve">(m) subject to </w:t>
      </w:r>
      <w:r>
        <w:rPr>
          <w:rFonts w:ascii="Times New Roman" w:hAnsi="Times New Roman"/>
          <w:sz w:val="20"/>
          <w:u w:val="single"/>
        </w:rPr>
        <w:t>Section 6.3</w:t>
      </w:r>
      <w:r>
        <w:rPr>
          <w:rFonts w:ascii="Times New Roman" w:hAnsi="Times New Roman"/>
          <w:sz w:val="20"/>
        </w:rPr>
        <w:t xml:space="preserve">, the Rights Agent may perform any of its duties hereunder either directly or through nominees, correspondents, designees, or subagents;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Rights Agent performs any of its duties hereunder by or through any nominee, correspondent, designee, or subagent, the Rights Agent shall not be answerable, accountable or liable hereunder for any act, omission, default, neglect or misconduct of such nominee, correspondent, designee, or subagent, as applicable, to the Company resulting from any such act, default, neglect or misconduct, absent gross negligence, bad faith or willful misconduct (each as determined by a final, non-appealable judgment of a court of competent jurisdiction) in the selection or continued employment thereof; </w:t>
      </w:r>
    </w:p>
    <w:p>
      <w:pPr>
        <w:pStyle w:val="TextBody"/>
        <w:bidi w:val="0"/>
        <w:spacing w:before="240" w:after="0"/>
        <w:jc w:val="both"/>
        <w:rPr>
          <w:rFonts w:ascii="Times New Roman" w:hAnsi="Times New Roman"/>
          <w:sz w:val="20"/>
        </w:rPr>
      </w:pPr>
      <w:r>
        <w:rPr>
          <w:rFonts w:ascii="Times New Roman" w:hAnsi="Times New Roman"/>
          <w:sz w:val="20"/>
        </w:rPr>
        <w:t xml:space="preserve">(n) except as expressly set forth herein, the Rights Agent shall neither be responsible for, nor chargeable with, knowledge of, nor have any requirements to comply with, the terms and conditions of the Merger Agreement, nor shall the Rights Agent be required to determine if any Person has complied with the Merger Agreement, nor shall any additional obligations of the Rights Agent be inferred from the terms of the Merger Agreement even though reference thereto may be made in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(o) no Holder shall be obliged to indemnify the Rights Agent for any services or actions under this Agreement and the Rights Agent shall not be entitled to deduct any sums from a CVR Payment Amount in any circumstance except as provided in </w:t>
      </w:r>
      <w:r>
        <w:rPr>
          <w:rFonts w:ascii="Times New Roman" w:hAnsi="Times New Roman"/>
          <w:sz w:val="20"/>
          <w:u w:val="single"/>
        </w:rPr>
        <w:t>Section 2.5(b) and Section 2.5(c)</w:t>
      </w:r>
      <w:r>
        <w:rPr>
          <w:rFonts w:ascii="Times New Roman" w:hAnsi="Times New Roman"/>
          <w:sz w:val="20"/>
        </w:rPr>
        <w:t xml:space="preserve">; and </w:t>
      </w:r>
    </w:p>
    <w:p>
      <w:pPr>
        <w:pStyle w:val="TextBody"/>
        <w:bidi w:val="0"/>
        <w:spacing w:before="240" w:after="0"/>
        <w:jc w:val="both"/>
        <w:rPr>
          <w:rFonts w:ascii="Times New Roman" w:hAnsi="Times New Roman"/>
          <w:sz w:val="20"/>
        </w:rPr>
      </w:pPr>
      <w:r>
        <w:rPr>
          <w:rFonts w:ascii="Times New Roman" w:hAnsi="Times New Roman"/>
          <w:sz w:val="20"/>
        </w:rPr>
        <w:t xml:space="preserve">(p) the provisions of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shall survive the termination of this Agreement and the resignation, replacement or removal of the Rights Agent, and the payment, termination and the expiration of the CVRs or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Rights Agent may resign at any time by giving written notice thereof to Parent specifying a date when such resignation will take effect, which notice will be sent at least thirty (30) days prior to the date so specified. Parent has the right to remove Rights Agent at any time by a Parent Board Resolution specifying a date when such removal will take effect. Notice of such removal will be given by Parent to Rights Agent, which notice will be sent at least sixty (60) days prior to the date so specified. </w:t>
      </w:r>
    </w:p>
    <w:p>
      <w:pPr>
        <w:pStyle w:val="TextBody"/>
        <w:bidi w:val="0"/>
        <w:spacing w:before="240" w:after="0"/>
        <w:jc w:val="both"/>
        <w:rPr>
          <w:rFonts w:ascii="Times New Roman" w:hAnsi="Times New Roman"/>
          <w:sz w:val="20"/>
        </w:rPr>
      </w:pPr>
      <w:r>
        <w:rPr>
          <w:rFonts w:ascii="Times New Roman" w:hAnsi="Times New Roman"/>
          <w:sz w:val="20"/>
        </w:rPr>
        <w:t xml:space="preserve">(b) If the Rights Agent provides notice of its intent to resign, is removed pursuant to </w:t>
      </w:r>
      <w:r>
        <w:rPr>
          <w:rFonts w:ascii="Times New Roman" w:hAnsi="Times New Roman"/>
          <w:sz w:val="20"/>
          <w:u w:val="single"/>
        </w:rPr>
        <w:t>Section 3.3(a)</w:t>
      </w:r>
      <w:r>
        <w:rPr>
          <w:rFonts w:ascii="Times New Roman" w:hAnsi="Times New Roman"/>
          <w:sz w:val="20"/>
        </w:rPr>
        <w:t xml:space="preserve"> 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 The successor Rights Agent so appointed will,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both"/>
        <w:rPr>
          <w:rFonts w:ascii="Times New Roman" w:hAnsi="Times New Roman"/>
          <w:sz w:val="20"/>
        </w:rPr>
      </w:pPr>
      <w:r>
        <w:rPr>
          <w:rFonts w:ascii="Times New Roman" w:hAnsi="Times New Roman"/>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in accordance with </w:t>
      </w:r>
      <w:r>
        <w:rPr>
          <w:rFonts w:ascii="Times New Roman" w:hAnsi="Times New Roman"/>
          <w:sz w:val="20"/>
          <w:u w:val="single"/>
        </w:rPr>
        <w:t>Section 3.4</w:t>
      </w:r>
      <w:r>
        <w:rPr>
          <w:rFonts w:ascii="Times New Roman" w:hAnsi="Times New Roman"/>
          <w:sz w:val="20"/>
        </w:rPr>
        <w:t xml:space="preserve">, the successor Rights Agent will cause the notice to be mailed at the expense of Parent; </w:t>
      </w:r>
      <w:r>
        <w:rPr>
          <w:rFonts w:ascii="Times New Roman" w:hAnsi="Times New Roman"/>
          <w:sz w:val="20"/>
          <w:u w:val="single"/>
        </w:rPr>
        <w:t>provided</w:t>
      </w:r>
      <w:r>
        <w:rPr>
          <w:rFonts w:ascii="Times New Roman" w:hAnsi="Times New Roman"/>
          <w:sz w:val="20"/>
        </w:rPr>
        <w:t xml:space="preserve"> that failure to give any notice provided for in this</w:t>
      </w:r>
      <w:r>
        <w:rPr>
          <w:rFonts w:ascii="Times New Roman" w:hAnsi="Times New Roman"/>
          <w:sz w:val="20"/>
          <w:u w:val="single"/>
        </w:rPr>
        <w:t xml:space="preserve"> Section 3.3(c)</w:t>
      </w:r>
      <w:r>
        <w:rPr>
          <w:rFonts w:ascii="Times New Roman" w:hAnsi="Times New Roman"/>
          <w:sz w:val="20"/>
        </w:rPr>
        <w:t xml:space="preserve">, shall not affect the legality or validity of the resignation or removal of the Rights Agent or the appointment of the successor Rights Agent, as the case may be, in each case, in accordance with this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pursuant to </w:t>
      </w:r>
      <w:r>
        <w:rPr>
          <w:rFonts w:ascii="Times New Roman" w:hAnsi="Times New Roman"/>
          <w:sz w:val="20"/>
          <w:u w:val="single"/>
        </w:rPr>
        <w:t>Section 3.3(b)</w:t>
      </w:r>
      <w:r>
        <w:rPr>
          <w:rFonts w:ascii="Times New Roman" w:hAnsi="Times New Roman"/>
          <w:sz w:val="20"/>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 except such rights which survive its resignation, replacement or removal under the terms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COVENANTS </w:t>
      </w:r>
    </w:p>
    <w:p>
      <w:pPr>
        <w:pStyle w:val="TextBody"/>
        <w:bidi w:val="0"/>
        <w:spacing w:before="240" w:after="0"/>
        <w:jc w:val="both"/>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List of 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Parent will furnish or cause to be furnished to the Rights Agent in such form as Parent receives from the Company’s transfer agent (or other agent performing similar services for the Company), the names and addresses of the Holders promptly after the Closing Date and in any event within thirty (30) days from the Closing Date and such other information as the Rights Agent may determine to be necessary to carry out its obligations under this Agreement. The Rights Agent will reflect such names and addresses on the CVR Register and confirm the write up of the CVR Register to Parent promptly thereafter and, in any event, within thirty (30) days of the receipt of such names and addresses from Parent or the Company’s transfer agent,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Within five (5) Business Days after receipt by the Rights Agent of a written request by any three (3) or more Holders stating such Holders’ desire to communicate with other Holders with respect to their rights under this Agreement, and accompanied by a form of proxy or other communication which the requesting Holders propose to transmit, the Rights Agent shall elect to either (i) deliver to such requesting Holders all information in the possession or control of the Rights Agent as to the names and addresses of all Holders, or (ii) inform such requesting Holders of the approximate number of Holders and the approximate cost of mailing to all Holders the form of proxy or other communication, if any, specified in such written request. In the event the Rights Agent elects to provide the information specified in </w:t>
      </w:r>
      <w:r>
        <w:rPr>
          <w:rFonts w:ascii="Times New Roman" w:hAnsi="Times New Roman"/>
          <w:sz w:val="20"/>
          <w:u w:val="single"/>
        </w:rPr>
        <w:t>Section 4.1(b)(ii)</w:t>
      </w:r>
      <w:r>
        <w:rPr>
          <w:rFonts w:ascii="Times New Roman" w:hAnsi="Times New Roman"/>
          <w:sz w:val="20"/>
        </w:rPr>
        <w:t xml:space="preserve">, the Rights Agent shall, upon the written request of the requesting Holders, mail or otherwise transmit to all Holders copies of the applicable form of proxy or other communication within ten (10) Business Days after the requesting Holders have provided to the Rights Agent the material to be mailed and payment, or provision for the payment, of the reasonable expenses of such mailing. </w:t>
      </w:r>
    </w:p>
    <w:p>
      <w:pPr>
        <w:pStyle w:val="TextBody"/>
        <w:bidi w:val="0"/>
        <w:spacing w:before="240" w:after="0"/>
        <w:jc w:val="both"/>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Payment of CVR Payment Amounts</w:t>
      </w:r>
      <w:r>
        <w:rPr>
          <w:rFonts w:ascii="Times New Roman" w:hAnsi="Times New Roman"/>
          <w:sz w:val="20"/>
        </w:rPr>
        <w:t xml:space="preserve">. Only if (a) a CVR Product License has been executed by Parent or its Affiliates (including the Surviving Company) on or prior to the License Expiration Date, in any calendar quarter when Parent or any of its Affiliates is actually paid any License Proceeds, (b) the First Commercial Sale Milestone occurs on or prior to the License Expiration Date or (c) there are Net Sales of any CVR during a calendar quarter during the Royalty Term, Parent shall, on or before the CVR Payment Date with respect to such License Proceeds, the First Commercial Sale Milestone Payment or Royalties (as applicable), deposit with the Rights Agent, for payment to the Holders in accordance with </w:t>
      </w:r>
      <w:r>
        <w:rPr>
          <w:rFonts w:ascii="Times New Roman" w:hAnsi="Times New Roman"/>
          <w:sz w:val="20"/>
          <w:u w:val="single"/>
        </w:rPr>
        <w:t>Section 2.5</w:t>
      </w:r>
      <w:r>
        <w:rPr>
          <w:rFonts w:ascii="Times New Roman" w:hAnsi="Times New Roman"/>
          <w:sz w:val="20"/>
        </w:rPr>
        <w:t xml:space="preserve">, the aggregate amount necessary to pay the CVR Payment Amount for such calendar quarter to each of the Holders in accordance with this Agreement (not including amounts payable in respect of Equity Award CVRs). Notwithstanding anything to the contrary in this Agreement, once Parent has deposited the CVR Payment Amount in full with respect to the applicable License Proceeds, the First Commercial Sale Milestone Payment Amount, or Royalties (as applicable) no further payments will be due with respect to such License Proceeds, the First Commercial Sale Milestone Payment or Net Sales (as applicable). </w:t>
      </w:r>
    </w:p>
    <w:p>
      <w:pPr>
        <w:pStyle w:val="TextBody"/>
        <w:bidi w:val="0"/>
        <w:spacing w:before="240" w:after="0"/>
        <w:jc w:val="both"/>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Parent Actions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 w:hAnsi="Times New Roman"/>
          <w:sz w:val="20"/>
          <w:u w:val="single"/>
        </w:rPr>
        <w:t>Material Amendment</w:t>
      </w:r>
      <w:r>
        <w:rPr>
          <w:rFonts w:ascii="Times New Roman" w:hAnsi="Times New Roman"/>
          <w:sz w:val="20"/>
        </w:rPr>
        <w:t xml:space="preserve">”). Nothing in the foregoing will prevent Parent or its Affiliates from amending or restating the CVR Product License to the extent necessary to settle disputes or to comply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(b) Parent shall promptly provide the Rights Agent with written notice if any CVR Product License is entered and without limiting the foregoing, in the event of any Material Amendment, and in each case, shall provide a copy of any agreement with respect thereto to the Rights Agent. The Rights Agent will promptly, and in any event, within ten (10) Business Days of receipt of any CVR Product License or Material Amendment, send each Holder at its registered address a copy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CVR Product Licenses</w:t>
      </w:r>
      <w:r>
        <w:rPr>
          <w:rFonts w:ascii="Times New Roman" w:hAnsi="Times New Roman"/>
          <w:sz w:val="20"/>
        </w:rPr>
        <w:t xml:space="preserve"> . Parent shall, and shall cause its Affiliates, to promptly provide the Rights Agent written notice in the event that the CVR Product License expires or otherwise terminates. </w:t>
      </w:r>
    </w:p>
    <w:p>
      <w:pPr>
        <w:pStyle w:val="TextBody"/>
        <w:bidi w:val="0"/>
        <w:spacing w:before="240" w:after="0"/>
        <w:jc w:val="both"/>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Books and Records</w:t>
      </w:r>
      <w:r>
        <w:rPr>
          <w:rFonts w:ascii="Times New Roman" w:hAnsi="Times New Roman"/>
          <w:sz w:val="20"/>
        </w:rPr>
        <w:t xml:space="preserve">. Parent shall, and shall cause its Affiliates (including the Surviving Company) to, keep true, complete and accurate records in sufficient detail to enable the Holders, and their consultants and professional advisors (including the Independent Accountant) to confirm the accuracy of the CVR Payment Amounts payable under this Agreement (including the corresponding Net Sales and License Proceeds (as applicable) reported by Parent). </w:t>
      </w:r>
    </w:p>
    <w:p>
      <w:pPr>
        <w:pStyle w:val="TextBody"/>
        <w:bidi w:val="0"/>
        <w:spacing w:before="240" w:after="0"/>
        <w:jc w:val="both"/>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 w:hAnsi="Times New Roman"/>
          <w:sz w:val="20"/>
          <w:u w:val="single"/>
        </w:rPr>
        <w:t>Independent Accountant</w:t>
      </w:r>
      <w:r>
        <w:rPr>
          <w:rFonts w:ascii="Times New Roman" w:hAnsi="Times New Roman"/>
          <w:sz w:val="20"/>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 and materials (whether written, electronic or otherwise) reasonably requested by such Independent Accountant in connection with the foregoing (such materials, the “</w:t>
      </w:r>
      <w:r>
        <w:rPr>
          <w:rFonts w:ascii="Times New Roman" w:hAnsi="Times New Roman"/>
          <w:sz w:val="20"/>
          <w:u w:val="single"/>
        </w:rPr>
        <w:t>CVR Verification Materials</w:t>
      </w:r>
      <w:r>
        <w:rPr>
          <w:rFonts w:ascii="Times New Roman" w:hAnsi="Times New Roman"/>
          <w:sz w:val="20"/>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 w:hAnsi="Times New Roman"/>
          <w:sz w:val="20"/>
          <w:u w:val="single"/>
        </w:rPr>
        <w:t>Section 4.6</w:t>
      </w:r>
      <w:r>
        <w:rPr>
          <w:rFonts w:ascii="Times New Roman" w:hAnsi="Times New Roman"/>
          <w:sz w:val="20"/>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 </w:t>
      </w:r>
    </w:p>
    <w:p>
      <w:pPr>
        <w:pStyle w:val="TextBody"/>
        <w:bidi w:val="0"/>
        <w:spacing w:before="240" w:after="0"/>
        <w:jc w:val="both"/>
        <w:rPr>
          <w:rFonts w:ascii="Times New Roman" w:hAnsi="Times New Roman"/>
          <w:sz w:val="20"/>
        </w:rPr>
      </w:pPr>
      <w:r>
        <w:rPr>
          <w:rFonts w:ascii="Times New Roman" w:hAnsi="Times New Roman"/>
          <w:sz w:val="20"/>
        </w:rPr>
        <w:t xml:space="preserve">(b) 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 w:hAnsi="Times New Roman"/>
          <w:i/>
          <w:sz w:val="20"/>
        </w:rPr>
        <w:t>plus</w:t>
      </w:r>
      <w:r>
        <w:rPr>
          <w:rFonts w:ascii="Times New Roman" w:hAnsi="Times New Roman"/>
          <w:sz w:val="20"/>
        </w:rPr>
        <w:t xml:space="preserve"> interest on such CVR License Proceeds at three (3) percentage points above the “prime rate” of interest as published in the Money Rates section of the </w:t>
      </w:r>
      <w:r>
        <w:rPr>
          <w:rFonts w:ascii="Times New Roman" w:hAnsi="Times New Roman"/>
          <w:i/>
          <w:sz w:val="20"/>
        </w:rPr>
        <w:t>Wall Street Journal</w:t>
      </w:r>
      <w:r>
        <w:rPr>
          <w:rFonts w:ascii="Times New Roman" w:hAnsi="Times New Roman"/>
          <w:sz w:val="20"/>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including interest being the “</w:t>
      </w:r>
      <w:r>
        <w:rPr>
          <w:rFonts w:ascii="Times New Roman" w:hAnsi="Times New Roman"/>
          <w:sz w:val="20"/>
          <w:u w:val="single"/>
        </w:rPr>
        <w:t>CVR Shortfall</w:t>
      </w:r>
      <w:r>
        <w:rPr>
          <w:rFonts w:ascii="Times New Roman" w:hAnsi="Times New Roman"/>
          <w:sz w:val="20"/>
        </w:rPr>
        <w:t xml:space="preserve">”). The CVR Shortfall shall be paid by Parent within ten (10) days of the date the Independent Accountant delivers to Parent and the Acting Holders the Independent Accountant’s written report (as described in </w:t>
      </w:r>
      <w:r>
        <w:rPr>
          <w:rFonts w:ascii="Times New Roman" w:hAnsi="Times New Roman"/>
          <w:sz w:val="20"/>
          <w:u w:val="single"/>
        </w:rPr>
        <w:t>Section 4.6(a)</w:t>
      </w:r>
      <w:r>
        <w:rPr>
          <w:rFonts w:ascii="Times New Roman" w:hAnsi="Times New Roman"/>
          <w:sz w:val="20"/>
        </w:rPr>
        <w:t xml:space="preserve">). The decision of the Independent Accountant shall be final, conclusive and binding on Parent and the Holders, shall be non-appealable and shall not be subject to further review.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AMENDMENTS </w:t>
      </w:r>
    </w:p>
    <w:p>
      <w:pPr>
        <w:pStyle w:val="TextBody"/>
        <w:bidi w:val="0"/>
        <w:spacing w:before="240" w:after="0"/>
        <w:jc w:val="both"/>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Without the consent of any Holders or the Rights Agent, Parent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 Without the consent of any Holders, Parent and the Rights Agent, at any time and from time to time, may enter into one or more amendments hereto, for any of the following purposes: </w:t>
      </w:r>
    </w:p>
    <w:p>
      <w:pPr>
        <w:pStyle w:val="TextBody"/>
        <w:bidi w:val="0"/>
        <w:spacing w:before="120" w:after="0"/>
        <w:jc w:val="both"/>
        <w:rPr>
          <w:rFonts w:ascii="Times New Roman" w:hAnsi="Times New Roman"/>
          <w:sz w:val="20"/>
        </w:rPr>
      </w:pPr>
      <w:r>
        <w:rPr>
          <w:rFonts w:ascii="Times New Roman" w:hAnsi="Times New Roman"/>
          <w:sz w:val="20"/>
        </w:rPr>
        <w:t xml:space="preserve">(i) to evidence the succession of another Person as the successor Rights Agent and the assumption by any such successor of the covenants and obligations of the Rights Agent herein in accordance with </w:t>
      </w:r>
      <w:r>
        <w:rPr>
          <w:rFonts w:ascii="Times New Roman" w:hAnsi="Times New Roman"/>
          <w:sz w:val="20"/>
          <w:u w:val="single"/>
        </w:rPr>
        <w:t>Sections 3.3</w:t>
      </w:r>
      <w:r>
        <w:rPr>
          <w:rFonts w:ascii="Times New Roman" w:hAnsi="Times New Roman"/>
          <w:sz w:val="20"/>
        </w:rPr>
        <w:t xml:space="preserve"> and </w:t>
      </w:r>
      <w:r>
        <w:rPr>
          <w:rFonts w:ascii="Times New Roman" w:hAnsi="Times New Roman"/>
          <w:sz w:val="20"/>
          <w:u w:val="single"/>
        </w:rPr>
        <w:t>3.4</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and the Rights Agent will consider to be for the protection of the Holders; </w:t>
      </w:r>
      <w:r>
        <w:rPr>
          <w:rFonts w:ascii="Times New Roman" w:hAnsi="Times New Roman"/>
          <w:sz w:val="20"/>
          <w:u w:val="single"/>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both"/>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sz w:val="20"/>
          <w:u w:val="single"/>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both"/>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 w:hAnsi="Times New Roman"/>
          <w:sz w:val="20"/>
          <w:u w:val="single"/>
        </w:rPr>
        <w:t>provided</w:t>
      </w:r>
      <w:r>
        <w:rPr>
          <w:rFonts w:ascii="Times New Roman" w:hAnsi="Times New Roman"/>
          <w:sz w:val="20"/>
        </w:rPr>
        <w:t xml:space="preserve"> that, in each case, such provisions do not adversely affect the interests of the Holders; or </w:t>
      </w:r>
    </w:p>
    <w:p>
      <w:pPr>
        <w:pStyle w:val="TextBody"/>
        <w:bidi w:val="0"/>
        <w:spacing w:before="120" w:after="0"/>
        <w:jc w:val="both"/>
        <w:rPr>
          <w:rFonts w:ascii="Times New Roman" w:hAnsi="Times New Roman"/>
          <w:sz w:val="20"/>
        </w:rPr>
      </w:pPr>
      <w:r>
        <w:rPr>
          <w:rFonts w:ascii="Times New Roman" w:hAnsi="Times New Roman"/>
          <w:sz w:val="20"/>
        </w:rPr>
        <w:t xml:space="preserve">(v) any other amendments hereto for the purpose of adding, eliminating or changing any provisions of this Agreement; </w:t>
      </w:r>
      <w:r>
        <w:rPr>
          <w:rFonts w:ascii="Times New Roman" w:hAnsi="Times New Roman"/>
          <w:sz w:val="20"/>
          <w:u w:val="single"/>
        </w:rPr>
        <w:t>provided</w:t>
      </w:r>
      <w:r>
        <w:rPr>
          <w:rFonts w:ascii="Times New Roman" w:hAnsi="Times New Roman"/>
          <w:sz w:val="20"/>
        </w:rPr>
        <w:t xml:space="preserve"> that such addition, elimination or change does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Promptly after the execution by Parent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will mail (or cause the Rights Agent to mail at the expense of Parent) a notice thereof by first class mail to the Holders at their addresses as they appear on the CVR Register, setting forth such amendment. </w:t>
      </w:r>
    </w:p>
    <w:p>
      <w:pPr>
        <w:pStyle w:val="TextBody"/>
        <w:bidi w:val="0"/>
        <w:spacing w:before="240" w:after="0"/>
        <w:jc w:val="both"/>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shall, without the consent of the Holders of not less than sixty-six percent (66%) of the outstanding CVRs: </w:t>
      </w:r>
    </w:p>
    <w:p>
      <w:pPr>
        <w:pStyle w:val="TextBody"/>
        <w:bidi w:val="0"/>
        <w:spacing w:before="120" w:after="0"/>
        <w:jc w:val="both"/>
        <w:rPr>
          <w:rFonts w:ascii="Times New Roman" w:hAnsi="Times New Roman"/>
          <w:sz w:val="20"/>
        </w:rPr>
      </w:pPr>
      <w:r>
        <w:rPr>
          <w:rFonts w:ascii="Times New Roman" w:hAnsi="Times New Roman"/>
          <w:sz w:val="20"/>
        </w:rPr>
        <w:t xml:space="preserve">(i) 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Amount, CVR Payment Amount, Net Sales, Royalty Term or Royalties; </w:t>
      </w:r>
    </w:p>
    <w:p>
      <w:pPr>
        <w:pStyle w:val="TextBody"/>
        <w:bidi w:val="0"/>
        <w:spacing w:before="120" w:after="0"/>
        <w:jc w:val="both"/>
        <w:rPr>
          <w:rFonts w:ascii="Times New Roman" w:hAnsi="Times New Roman"/>
          <w:sz w:val="20"/>
        </w:rPr>
      </w:pPr>
      <w:r>
        <w:rPr>
          <w:rFonts w:ascii="Times New Roman" w:hAnsi="Times New Roman"/>
          <w:sz w:val="20"/>
        </w:rPr>
        <w:t xml:space="preserve">(ii) reduce the number of CVRs; or </w:t>
      </w:r>
    </w:p>
    <w:p>
      <w:pPr>
        <w:pStyle w:val="TextBody"/>
        <w:bidi w:val="0"/>
        <w:spacing w:before="120" w:after="0"/>
        <w:jc w:val="both"/>
        <w:rPr>
          <w:rFonts w:ascii="Times New Roman" w:hAnsi="Times New Roman"/>
          <w:sz w:val="20"/>
        </w:rPr>
      </w:pPr>
      <w:r>
        <w:rPr>
          <w:rFonts w:ascii="Times New Roman" w:hAnsi="Times New Roman"/>
          <w:sz w:val="20"/>
        </w:rPr>
        <w:t xml:space="preserve">(iii) modify any provisions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240" w:after="0"/>
        <w:jc w:val="both"/>
        <w:rPr>
          <w:rFonts w:ascii="Times New Roman" w:hAnsi="Times New Roman"/>
          <w:sz w:val="20"/>
        </w:rPr>
      </w:pPr>
      <w:r>
        <w:rPr>
          <w:rFonts w:ascii="Times New Roman" w:hAnsi="Times New Roman"/>
          <w:sz w:val="20"/>
        </w:rPr>
        <w:t xml:space="preserve">No amendment pursuant to this </w:t>
      </w:r>
      <w:r>
        <w:rPr>
          <w:rFonts w:ascii="Times New Roman" w:hAnsi="Times New Roman"/>
          <w:sz w:val="20"/>
          <w:u w:val="single"/>
        </w:rPr>
        <w:t>Section 5.2</w:t>
      </w:r>
      <w:r>
        <w:rPr>
          <w:rFonts w:ascii="Times New Roman" w:hAnsi="Times New Roman"/>
          <w:sz w:val="20"/>
        </w:rPr>
        <w:t xml:space="preserve"> shall adversely affect the interest of a Holder (in its capacity as a Holder) relative to the interests of all other Holders, without the prior written consent of the affected Holder. </w:t>
      </w:r>
    </w:p>
    <w:p>
      <w:pPr>
        <w:pStyle w:val="TextBody"/>
        <w:bidi w:val="0"/>
        <w:spacing w:before="240" w:after="0"/>
        <w:jc w:val="both"/>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will mail (or cause the Rights Agent to mail at the expense of Parent) a notice thereof by first class mail to the Holders at their addresses as they appear on the CVR Register, setting forth such amendment. </w:t>
      </w:r>
    </w:p>
    <w:p>
      <w:pPr>
        <w:pStyle w:val="TextBody"/>
        <w:bidi w:val="0"/>
        <w:spacing w:before="240" w:after="0"/>
        <w:jc w:val="both"/>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Execution of Amendments</w:t>
      </w:r>
      <w:r>
        <w:rPr>
          <w:rFonts w:ascii="Times New Roman" w:hAnsi="Times New Roman"/>
          <w:sz w:val="20"/>
        </w:rPr>
        <w:t xml:space="preserve">. In executing any amendment permitted by this </w:t>
      </w:r>
      <w:r>
        <w:rPr>
          <w:rFonts w:ascii="Times New Roman" w:hAnsi="Times New Roman"/>
          <w:sz w:val="20"/>
          <w:u w:val="single"/>
        </w:rPr>
        <w:t>Article V</w:t>
      </w:r>
      <w:r>
        <w:rPr>
          <w:rFonts w:ascii="Times New Roman" w:hAnsi="Times New Roman"/>
          <w:sz w:val="20"/>
        </w:rPr>
        <w:t xml:space="preserve">,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Each amendment to this Agreement shall be evidenced by a writing signed by the Rights Agent and Parent. Any purported amendment to this Agreement not made in accordance with this </w:t>
      </w:r>
      <w:r>
        <w:rPr>
          <w:rFonts w:ascii="Times New Roman" w:hAnsi="Times New Roman"/>
          <w:sz w:val="20"/>
          <w:u w:val="single"/>
        </w:rPr>
        <w:t>Article V</w:t>
      </w:r>
      <w:r>
        <w:rPr>
          <w:rFonts w:ascii="Times New Roman" w:hAnsi="Times New Roman"/>
          <w:sz w:val="20"/>
        </w:rPr>
        <w:t xml:space="preserve"> shall be void ab initio and be of no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V</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OTHER PROVISIONS OF GENERAL APPLICATION </w:t>
      </w:r>
    </w:p>
    <w:p>
      <w:pPr>
        <w:pStyle w:val="TextBody"/>
        <w:bidi w:val="0"/>
        <w:spacing w:before="240" w:after="0"/>
        <w:jc w:val="both"/>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Notices to Rights Agent and Parent</w:t>
      </w:r>
      <w:r>
        <w:rPr>
          <w:rFonts w:ascii="Times New Roman" w:hAnsi="Times New Roman"/>
          <w:sz w:val="20"/>
        </w:rPr>
        <w:t xml:space="preserve">. Any notice or other communication required or permitted hereunder shall be in writing and shall be deemed given when delivered in person, by overnight courier, by facsimile transmission (with receipt confirmed by telephone or by automatic transmission report) or by electronic mail, or two (2) Business Days after being sent by registered or certified mail (postage prepaid, return receipt requested),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5"/>
        <w:gridCol w:w="123"/>
        <w:gridCol w:w="8047"/>
      </w:tblGrid>
      <w:tr>
        <w:trPr/>
        <w:tc>
          <w:tcPr>
            <w:tcW w:w="20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to the Rights Agent, to it at: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Computershare Inc.</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Computershare Trust Company, N.A.</w:t>
            </w:r>
          </w:p>
          <w:p>
            <w:pPr>
              <w:pStyle w:val="TableContents"/>
              <w:bidi w:val="0"/>
              <w:spacing w:before="0" w:after="20"/>
              <w:jc w:val="left"/>
              <w:rPr>
                <w:rFonts w:ascii="Times New Roman" w:hAnsi="Times New Roman"/>
                <w:sz w:val="20"/>
              </w:rPr>
            </w:pPr>
            <w:r>
              <w:rPr>
                <w:rFonts w:ascii="Times New Roman" w:hAnsi="Times New Roman"/>
                <w:sz w:val="20"/>
              </w:rPr>
              <w:t>150 Royall Street</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Canton, MA 02021</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Attention:   Client Services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to Parent, to it at: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Zymeworks Inc.</w:t>
            </w:r>
          </w:p>
          <w:p>
            <w:pPr>
              <w:pStyle w:val="TableContents"/>
              <w:bidi w:val="0"/>
              <w:spacing w:before="0" w:after="20"/>
              <w:jc w:val="left"/>
              <w:rPr>
                <w:rFonts w:ascii="Times New Roman" w:hAnsi="Times New Roman"/>
                <w:sz w:val="20"/>
              </w:rPr>
            </w:pPr>
            <w:r>
              <w:rPr>
                <w:rFonts w:ascii="Times New Roman" w:hAnsi="Times New Roman"/>
                <w:sz w:val="20"/>
              </w:rPr>
              <w:t>114 East 4th Avenue, Suite 800</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Vancouver, BC, Canada V5T 1G4</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123"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283"/>
              <w:jc w:val="left"/>
              <w:rPr/>
            </w:pPr>
            <w:r>
              <w:rPr/>
              <w:t>Scott Platshon</w:t>
            </w:r>
          </w:p>
        </w:tc>
      </w:tr>
      <w:tr>
        <w:trPr/>
        <w:tc>
          <w:tcPr>
            <w:tcW w:w="20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283"/>
              <w:jc w:val="left"/>
              <w:rPr/>
            </w:pPr>
            <w:r>
              <w:rPr/>
              <w:t>Kristin Stafford</w:t>
            </w:r>
          </w:p>
        </w:tc>
      </w:tr>
      <w:tr>
        <w:trPr/>
        <w:tc>
          <w:tcPr>
            <w:tcW w:w="20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283"/>
              <w:jc w:val="left"/>
              <w:rPr/>
            </w:pPr>
            <w:r>
              <w:rPr/>
              <w:t>Paul Schneider</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23"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20"/>
              <w:jc w:val="left"/>
              <w:rPr>
                <w:rFonts w:ascii="Times New Roman" w:hAnsi="Times New Roman"/>
                <w:sz w:val="20"/>
              </w:rPr>
            </w:pPr>
            <w:r>
              <w:rPr>
                <w:rFonts w:ascii="Times New Roman" w:hAnsi="Times New Roman"/>
                <w:sz w:val="20"/>
              </w:rPr>
              <w:t>****</w:t>
            </w:r>
          </w:p>
        </w:tc>
      </w:tr>
      <w:tr>
        <w:trPr/>
        <w:tc>
          <w:tcPr>
            <w:tcW w:w="20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47"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to: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Kirkland &amp; Ellis LLP</w:t>
            </w:r>
          </w:p>
          <w:p>
            <w:pPr>
              <w:pStyle w:val="TableContents"/>
              <w:bidi w:val="0"/>
              <w:spacing w:before="0" w:after="20"/>
              <w:jc w:val="left"/>
              <w:rPr>
                <w:rFonts w:ascii="Times New Roman" w:hAnsi="Times New Roman"/>
                <w:sz w:val="20"/>
              </w:rPr>
            </w:pPr>
            <w:r>
              <w:rPr>
                <w:rFonts w:ascii="Times New Roman" w:hAnsi="Times New Roman"/>
                <w:sz w:val="20"/>
              </w:rPr>
              <w:t>200 Clarendon Street</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Boston, MA 02116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34"/>
        <w:gridCol w:w="122"/>
        <w:gridCol w:w="8049"/>
      </w:tblGrid>
      <w:tr>
        <w:trPr/>
        <w:tc>
          <w:tcPr>
            <w:tcW w:w="20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049" w:type="dxa"/>
            <w:tcBorders/>
            <w:vAlign w:val="center"/>
          </w:tcPr>
          <w:p>
            <w:pPr>
              <w:pStyle w:val="TableContents"/>
              <w:bidi w:val="0"/>
              <w:spacing w:before="0" w:after="283"/>
              <w:jc w:val="left"/>
              <w:rPr>
                <w:sz w:val="4"/>
                <w:szCs w:val="4"/>
              </w:rPr>
            </w:pPr>
            <w:r>
              <w:rPr>
                <w:sz w:val="4"/>
                <w:szCs w:val="4"/>
              </w:rPr>
            </w:r>
          </w:p>
        </w:tc>
      </w:tr>
      <w:tr>
        <w:trPr/>
        <w:tc>
          <w:tcPr>
            <w:tcW w:w="2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Attention:</w:t>
            </w:r>
          </w:p>
        </w:tc>
        <w:tc>
          <w:tcPr>
            <w:tcW w:w="122" w:type="dxa"/>
            <w:tcBorders/>
            <w:vAlign w:val="bottom"/>
          </w:tcPr>
          <w:p>
            <w:pPr>
              <w:pStyle w:val="TableContents"/>
              <w:bidi w:val="0"/>
              <w:spacing w:before="0" w:after="283"/>
              <w:jc w:val="left"/>
              <w:rPr/>
            </w:pPr>
            <w:r>
              <w:rPr/>
              <w:t>  </w:t>
            </w:r>
          </w:p>
        </w:tc>
        <w:tc>
          <w:tcPr>
            <w:tcW w:w="80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Graham Robinson</w:t>
            </w:r>
          </w:p>
        </w:tc>
      </w:tr>
      <w:tr>
        <w:trPr/>
        <w:tc>
          <w:tcPr>
            <w:tcW w:w="20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Rachael G. Coffey</w:t>
            </w:r>
          </w:p>
        </w:tc>
      </w:tr>
      <w:tr>
        <w:trPr/>
        <w:tc>
          <w:tcPr>
            <w:tcW w:w="20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Dan Li</w:t>
            </w:r>
          </w:p>
        </w:tc>
      </w:tr>
      <w:tr>
        <w:trPr/>
        <w:tc>
          <w:tcPr>
            <w:tcW w:w="2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22" w:type="dxa"/>
            <w:tcBorders/>
            <w:vAlign w:val="bottom"/>
          </w:tcPr>
          <w:p>
            <w:pPr>
              <w:pStyle w:val="TableContents"/>
              <w:bidi w:val="0"/>
              <w:spacing w:before="0" w:after="283"/>
              <w:jc w:val="left"/>
              <w:rPr/>
            </w:pPr>
            <w:r>
              <w:rPr/>
              <w:t>  </w:t>
            </w:r>
          </w:p>
        </w:tc>
        <w:tc>
          <w:tcPr>
            <w:tcW w:w="80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04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t>
            </w:r>
          </w:p>
        </w:tc>
      </w:tr>
      <w:tr>
        <w:trPr/>
        <w:tc>
          <w:tcPr>
            <w:tcW w:w="20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04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Rights Agent or Parent may specify a different address or facsimile number by giving notice in accordance with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both"/>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Parent Successors and Assigns; Change of Control</w:t>
      </w:r>
      <w:r>
        <w:rPr>
          <w:rFonts w:ascii="Times New Roman" w:hAnsi="Times New Roman"/>
          <w:sz w:val="20"/>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 w:hAnsi="Times New Roman"/>
          <w:sz w:val="20"/>
          <w:u w:val="single"/>
        </w:rPr>
        <w:t>Assignee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 w:hAnsi="Times New Roman"/>
          <w:sz w:val="20"/>
          <w:u w:val="single"/>
        </w:rPr>
        <w:t>Section 6.3</w:t>
      </w:r>
      <w:r>
        <w:rPr>
          <w:rFonts w:ascii="Times New Roman" w:hAnsi="Times New Roman"/>
          <w:sz w:val="20"/>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 w:hAnsi="Times New Roman"/>
          <w:sz w:val="20"/>
          <w:u w:val="single"/>
        </w:rPr>
        <w:t>Section 6.3</w:t>
      </w:r>
      <w:r>
        <w:rPr>
          <w:rFonts w:ascii="Times New Roman" w:hAnsi="Times New Roman"/>
          <w:sz w:val="20"/>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 w:hAnsi="Times New Roman"/>
          <w:sz w:val="20"/>
          <w:u w:val="single"/>
        </w:rPr>
        <w:t>Section 6.3</w:t>
      </w:r>
      <w:r>
        <w:rPr>
          <w:rFonts w:ascii="Times New Roman" w:hAnsi="Times New Roman"/>
          <w:sz w:val="20"/>
        </w:rPr>
        <w:t xml:space="preserve"> shall be void and of no effect. </w:t>
      </w:r>
    </w:p>
    <w:p>
      <w:pPr>
        <w:pStyle w:val="TextBody"/>
        <w:bidi w:val="0"/>
        <w:spacing w:before="240" w:after="0"/>
        <w:jc w:val="both"/>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Benefits of Agreement</w:t>
      </w:r>
      <w:r>
        <w:rPr>
          <w:rFonts w:ascii="Times New Roman" w:hAnsi="Times New Roman"/>
          <w:sz w:val="20"/>
        </w:rPr>
        <w:t xml:space="preserve">. Nothing in this Agreement, express or implied, will give to any Person (other than the Rights Agent, Parent, Parent’s successors and Assignees,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and the Merger Agreement. Notwithstanding anything to the contrary contained herein, any Holder or Holder’s successor or assign pursuant to a Permitted Transfer may agree to renounce, in whole or in part, its rights under this Agreement by written notice to the Rights Agent and Parent, which notice, if given, shall be irrevocable.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This Agreement, the CVRs and all actions arising under or in connection therewith shall be governed by and construed in accordance with the laws of the State of Delaware, regardless of the laws that might otherwise govern under applicable principles of conflicts of law thereof. </w:t>
      </w:r>
    </w:p>
    <w:p>
      <w:pPr>
        <w:pStyle w:val="TextBody"/>
        <w:bidi w:val="0"/>
        <w:spacing w:before="240" w:after="0"/>
        <w:jc w:val="both"/>
        <w:rPr>
          <w:rFonts w:ascii="Times New Roman" w:hAnsi="Times New Roman"/>
          <w:sz w:val="20"/>
        </w:rPr>
      </w:pPr>
      <w:r>
        <w:rPr>
          <w:rFonts w:ascii="Times New Roman" w:hAnsi="Times New Roman"/>
          <w:sz w:val="20"/>
        </w:rPr>
        <w:t xml:space="preserve">(b)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w:t>
      </w:r>
      <w:r>
        <w:rPr>
          <w:rFonts w:ascii="Times New Roman" w:hAnsi="Times New Roman"/>
          <w:sz w:val="20"/>
          <w:u w:val="single"/>
        </w:rPr>
        <w:t>Section 6.5(b)(i)</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and (v) agrees that service of process in English upon such Party in any such action or proceeding shall be effective if notice is given in accordance with </w:t>
      </w:r>
      <w:r>
        <w:rPr>
          <w:rFonts w:ascii="Times New Roman" w:hAnsi="Times New Roman"/>
          <w:sz w:val="20"/>
          <w:u w:val="single"/>
        </w:rPr>
        <w:t>Section 6.1</w:t>
      </w:r>
      <w:r>
        <w:rPr>
          <w:rFonts w:ascii="Times New Roman" w:hAnsi="Times New Roman"/>
          <w:sz w:val="20"/>
        </w:rPr>
        <w:t xml:space="preserve">. Each of the parties hereto irrevocably agrees that, subject to any available appeal rights, any decision, order, or judgment issued by such above named courts shall be binding and enforceable, and irrevocably agrees to abide by any such decision, order, or judgment. </w:t>
      </w:r>
    </w:p>
    <w:p>
      <w:pPr>
        <w:pStyle w:val="TextBody"/>
        <w:bidi w:val="0"/>
        <w:spacing w:before="240" w:after="0"/>
        <w:jc w:val="both"/>
        <w:rPr>
          <w:rFonts w:ascii="Times New Roman" w:hAnsi="Times New Roman"/>
          <w:sz w:val="20"/>
        </w:rPr>
      </w:pPr>
      <w:r>
        <w:rPr>
          <w:rFonts w:ascii="Times New Roman" w:hAnsi="Times New Roman"/>
          <w:sz w:val="20"/>
        </w:rPr>
        <w:t xml:space="preserve">(c) EACH PARTY HERETO HEREBY WAIVES, TO THE FULLEST EXTENT PERMITTED BY APPLICABLE LAW, ANY RIGHT IT MAY HAVE TO A TRIAL BY JURY IN RESPECT OF ANY ACTION ARISING OUT OF THIS AGREEMENT OR THE TRANSACTIONS CONTEMPLATED BY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Severability</w:t>
      </w:r>
      <w:r>
        <w:rPr>
          <w:rFonts w:ascii="Times New Roman" w:hAnsi="Times New Roman"/>
          <w:sz w:val="20"/>
        </w:rPr>
        <w:t xml:space="preserve">.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hereto further agree to replace such invalid or unenforceable provision of this Agreement with a valid and enforceable provision that will achieve, to the extent possible, the economic, business and other purposes of such invalid or unenforceable provision;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excluded term, provision, covenant or restriction shall materially and adversely affect the rights, immunities, liabilities, duties or obligations of the Rights Agent, the Rights Agent shall be entitled to resign immediately. </w:t>
      </w:r>
    </w:p>
    <w:p>
      <w:pPr>
        <w:pStyle w:val="TextBody"/>
        <w:bidi w:val="0"/>
        <w:spacing w:before="240" w:after="0"/>
        <w:jc w:val="both"/>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Counterparts and Signature</w:t>
      </w:r>
      <w:r>
        <w:rPr>
          <w:rFonts w:ascii="Times New Roman" w:hAnsi="Times New Roman"/>
          <w:sz w:val="20"/>
        </w:rPr>
        <w:t xml:space="preserve">.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Termination</w:t>
      </w:r>
      <w:r>
        <w:rPr>
          <w:rFonts w:ascii="Times New Roman" w:hAnsi="Times New Roman"/>
          <w:sz w:val="20"/>
        </w:rPr>
        <w:t xml:space="preserve">. This Agreement will terminate and be of no force or effect (except for such provisions hereunder which expressly survive under their terms), the parties hereto will have no liability hereunder (other than with respect to monies due and owing by Parent to the Rights Agent prior to the effectiveness of such termination), and no payments will be required to be made to Holders,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Further Assurance</w:t>
      </w:r>
      <w:r>
        <w:rPr>
          <w:rFonts w:ascii="Times New Roman" w:hAnsi="Times New Roman"/>
          <w:sz w:val="20"/>
        </w:rPr>
        <w:t>. Subject to the provisions of this Agreement, Parent and the Rights Agent will, from time to time, do all commercially reasonable acts and things and execute and deliver all such further documents and instruments, as Parent and the Rights Agent may reasonably require for the carrying out or performing by the Rights Agent of the provisions of this Agreement.</w:t>
      </w:r>
      <w:r>
        <w:rPr>
          <w:rFonts w:ascii="Times New Roman" w:hAnsi="Times New Roman"/>
          <w:sz w:val="20"/>
          <w:u w:val="single"/>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Force Majeure</w:t>
      </w:r>
      <w:r>
        <w:rPr>
          <w:rFonts w:ascii="Times New Roman" w:hAnsi="Times New Roman"/>
          <w:sz w:val="20"/>
        </w:rPr>
        <w:t xml:space="preserve">.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(other than with respect to the affected party and its Affiliates), war or civil unrest, it being understood that such parties shall use commercially reasonable efforts to resume performance as soon as reasonably practicable under the circumstances. </w:t>
      </w:r>
    </w:p>
    <w:p>
      <w:pPr>
        <w:pStyle w:val="TextBody"/>
        <w:bidi w:val="0"/>
        <w:spacing w:before="240" w:after="0"/>
        <w:jc w:val="both"/>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Confidentiality</w:t>
      </w:r>
      <w:r>
        <w:rPr>
          <w:rFonts w:ascii="Times New Roman" w:hAnsi="Times New Roman"/>
          <w:sz w:val="20"/>
        </w:rPr>
        <w:t xml:space="preserve">. The Rights Agent and Parent agree that all books, records, information and data pertaining to the business of the other party that are exchanged or received pursuant to the negotiation or the carrying out of this Agreement, including the amount and terms of fees for services, any CVR Product License (or amendment thereto) or the RP Agreement (or amendment thereto), shall remain confidential and shall be used solely to perform their respective obligations under this Agreement, and shall not be voluntarily disclosed to any other Person, except as may be required by applicable Law.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Entire Agreement</w:t>
      </w:r>
      <w:r>
        <w:rPr>
          <w:rFonts w:ascii="Times New Roman" w:hAnsi="Times New Roman"/>
          <w:sz w:val="20"/>
        </w:rPr>
        <w:t xml:space="preserve">. As to the Holders and the Company, this Agreement and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supersedes all prior agreements, written or oral, among the parties with respect hereto and thereto. With respect to the duties, obligations and immunities of the Rights Agent and the obligations of the Company, this Agreement shall govern and control. If and to the extent that any provision of this Agreement is inconsistent or conflicts with the Merger Agreement, this Agreement will govern and be controlling with respect to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5575" w:type="dxa"/>
        <w:jc w:val="right"/>
        <w:tblInd w:w="0" w:type="dxa"/>
        <w:tblLayout w:type="fixed"/>
        <w:tblCellMar>
          <w:top w:w="0" w:type="dxa"/>
          <w:left w:w="0" w:type="dxa"/>
          <w:bottom w:w="0" w:type="dxa"/>
          <w:right w:w="0" w:type="dxa"/>
        </w:tblCellMar>
      </w:tblPr>
      <w:tblGrid>
        <w:gridCol w:w="485"/>
        <w:gridCol w:w="60"/>
        <w:gridCol w:w="5030"/>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ZYMEWORKS INC.</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0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Platshon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Scott Platshon</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Executive Vice President and Chief Business Officer</w:t>
            </w:r>
          </w:p>
        </w:tc>
      </w:tr>
      <w:tr>
        <w:trPr>
          <w:trHeight w:val="975" w:hRule="atLeast"/>
        </w:trPr>
        <w:tc>
          <w:tcPr>
            <w:tcW w:w="5575" w:type="dxa"/>
            <w:gridSpan w:val="3"/>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Pr>
          <w:p>
            <w:pPr>
              <w:pStyle w:val="TableContents"/>
              <w:bidi w:val="0"/>
              <w:spacing w:before="0" w:after="283"/>
              <w:jc w:val="left"/>
              <w:rPr/>
            </w:pPr>
            <w:r>
              <w:rPr/>
              <w:t xml:space="preserve">COMPUTERSHARE TRUST COMPANY, N.A., </w:t>
            </w:r>
            <w:r>
              <w:rPr>
                <w:i/>
              </w:rPr>
              <w:t>and</w:t>
            </w:r>
            <w:r>
              <w:rPr/>
              <w:t xml:space="preserve"> COMPUTERSHARE INC., </w:t>
            </w:r>
            <w:r>
              <w:rPr>
                <w:i/>
              </w:rPr>
              <w:t>on behalf of both parties</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50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Collin Ekeogu</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Collin Ekeogu</w:t>
            </w:r>
          </w:p>
        </w:tc>
      </w:tr>
      <w:tr>
        <w:trPr/>
        <w:tc>
          <w:tcPr>
            <w:tcW w:w="48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Director, Corporate Actions</w:t>
            </w:r>
          </w:p>
        </w:tc>
      </w:tr>
    </w:tbl>
    <w:p>
      <w:pPr>
        <w:pStyle w:val="TextBody"/>
        <w:bidi w:val="0"/>
        <w:spacing w:before="0" w:after="0"/>
        <w:jc w:val="right"/>
        <w:rPr>
          <w:rFonts w:ascii="Times New Roman" w:hAnsi="Times New Roman"/>
          <w:b/>
          <w:sz w:val="20"/>
        </w:rPr>
      </w:pPr>
      <w:bookmarkStart w:id="4" w:name="d270232dex102.htm"/>
      <w:bookmarkStart w:id="5" w:name="ksd270232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THIS DEBT INSTRUMENT NOR THE NOTES ISSUED IN CONNECTION HEREWITH HAVE BEEN REGISTERED UNDER THE SECURITIES ACT (AS DEFINED BELOW), OR ANY APPLICABLE STATE SECURITIES LAWS. SUCH SECURITIES HAVE BEEN ACQUIRED FOR INVESTMENT PURPOSES AND MAY NOT BE OFFERED FOR SALE, SOLD, DELIVERED AFTER SALE, TRANSFERRED, PLEDGED OR HYPOTHECATED IN THE ABSENCE OF AN EFFECTIVE REGISTRATION STATEMENT FILED BY THE ISSUERS (AS DEFINED BELOW) WITH THE U.S. SECURITIES AND EXCHANGE COMMISSION COVERING SUCH SECURITIES UNDER THE SECURITIES ACT, UNLESS AN EXEMPTION FROM SUCH REGISTRATION IS AVAILABLE. </w:t>
      </w:r>
    </w:p>
    <w:p>
      <w:pPr>
        <w:pStyle w:val="TextBody"/>
        <w:bidi w:val="0"/>
        <w:spacing w:before="240" w:after="0"/>
        <w:jc w:val="both"/>
        <w:rPr>
          <w:rFonts w:ascii="Times New Roman" w:hAnsi="Times New Roman"/>
          <w:b/>
          <w:sz w:val="20"/>
        </w:rPr>
      </w:pPr>
      <w:r>
        <w:rPr>
          <w:rFonts w:ascii="Times New Roman" w:hAnsi="Times New Roman"/>
          <w:b/>
          <w:sz w:val="20"/>
        </w:rPr>
        <w:t xml:space="preserve">THE FOLLOWING INFORMATION IS PROVIDED PURSUANT TO TREASURY REGULATIONS SECTION 1.1275-3: THIS DEBT INSTRUMENT IS ISSUED WITH ORIGINAL ISSUE DISCOUNT. HOLDERS MAY OBTAIN INFORMATION REGARDING THE ISSUE PRICE, THE AMOUNT OF ORIGINAL ISSUE DISCOUNT, THE ISSUE DATE AND THE YIELD TO MATURITY OF THIS DEBT INSTRUMENT BY SUBMITTING A WRITTEN REQUEST TO THE ISSUERS, AT THE ADDRESS LISTED IN SCHEDULE 11.03.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September 23,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CLOVER FINANCE TRUST, </w:t>
      </w:r>
    </w:p>
    <w:p>
      <w:pPr>
        <w:pStyle w:val="TextBody"/>
        <w:bidi w:val="0"/>
        <w:spacing w:before="0" w:after="0"/>
        <w:jc w:val="center"/>
        <w:rPr>
          <w:rFonts w:ascii="Times New Roman" w:hAnsi="Times New Roman"/>
          <w:b/>
          <w:sz w:val="20"/>
        </w:rPr>
      </w:pPr>
      <w:r>
        <w:rPr>
          <w:rFonts w:ascii="Times New Roman" w:hAnsi="Times New Roman"/>
          <w:b/>
          <w:sz w:val="20"/>
        </w:rPr>
        <w:t xml:space="preserve">as an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CLOVER FINANCE LLC, </w:t>
      </w:r>
    </w:p>
    <w:p>
      <w:pPr>
        <w:pStyle w:val="TextBody"/>
        <w:bidi w:val="0"/>
        <w:spacing w:before="0" w:after="0"/>
        <w:jc w:val="center"/>
        <w:rPr>
          <w:rFonts w:ascii="Times New Roman" w:hAnsi="Times New Roman"/>
          <w:b/>
          <w:sz w:val="20"/>
        </w:rPr>
      </w:pPr>
      <w:r>
        <w:rPr>
          <w:rFonts w:ascii="Times New Roman" w:hAnsi="Times New Roman"/>
          <w:b/>
          <w:sz w:val="20"/>
        </w:rPr>
        <w:t xml:space="preserve">as an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the various Purchasers from time to time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as the Agent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6"/>
        <w:gridCol w:w="101"/>
        <w:gridCol w:w="7855"/>
        <w:gridCol w:w="154"/>
        <w:gridCol w:w="90"/>
        <w:gridCol w:w="396"/>
        <w:gridCol w:w="63"/>
      </w:tblGrid>
      <w:tr>
        <w:trPr/>
        <w:tc>
          <w:tcPr>
            <w:tcW w:w="15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8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CERTAIN DEFINITIONS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Definitions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Rules of Construction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Divisions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Accounting Terms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Irish Terms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502" w:type="dxa"/>
            <w:gridSpan w:val="3"/>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NOTES; DISBURSEMENT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Notes Issuance</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Disbursement of Note Amount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No Right to Reborrow or Reissue</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Availability of Funds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Protective Advances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Representations and Warranties of Purchasers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502" w:type="dxa"/>
            <w:gridSpan w:val="3"/>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PAYMENTS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Payment of the Notes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Interest on the Notes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Collection Account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Promise to Pay; Manner of Payment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Optional Redemption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Triggering Events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General Provisions Regarding Payments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Ratable Sharing</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502" w:type="dxa"/>
            <w:gridSpan w:val="3"/>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TAXES; INCREASED COSTS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Taxes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Receipt of Payment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Other Taxes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Indemnification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Registered Obligation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Tax Treatment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Treatment of Certain Refunds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Increased Cost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502" w:type="dxa"/>
            <w:gridSpan w:val="3"/>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CLOSING CONDITIONS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Conditions Precedent to the Notes Issuance</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502" w:type="dxa"/>
            <w:gridSpan w:val="3"/>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7956"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Organization; Requisite Power and Authority</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No Conflict</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No Liens</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Due Authorization; Enforceability</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01" w:type="dxa"/>
            <w:tcBorders/>
            <w:vAlign w:val="bottom"/>
          </w:tcPr>
          <w:p>
            <w:pPr>
              <w:pStyle w:val="TableContents"/>
              <w:bidi w:val="0"/>
              <w:spacing w:before="0" w:after="283"/>
              <w:jc w:val="left"/>
              <w:rPr/>
            </w:pPr>
            <w:r>
              <w:rPr/>
              <w:t> </w:t>
            </w:r>
          </w:p>
        </w:tc>
        <w:tc>
          <w:tcPr>
            <w:tcW w:w="7855" w:type="dxa"/>
            <w:tcBorders/>
            <w:vAlign w:val="bottom"/>
          </w:tcPr>
          <w:p>
            <w:pPr>
              <w:pStyle w:val="TableContents"/>
              <w:bidi w:val="0"/>
              <w:spacing w:before="0" w:after="283"/>
              <w:jc w:val="left"/>
              <w:rPr/>
            </w:pPr>
            <w:r>
              <w:rPr/>
              <w:t>Title to Properties; Capitalization</w:t>
            </w:r>
          </w:p>
        </w:tc>
        <w:tc>
          <w:tcPr>
            <w:tcW w:w="1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5300" w:type="dxa"/>
        <w:jc w:val="center"/>
        <w:tblInd w:w="0" w:type="dxa"/>
        <w:tblLayout w:type="fixed"/>
        <w:tblCellMar>
          <w:top w:w="0" w:type="dxa"/>
          <w:left w:w="0" w:type="dxa"/>
          <w:bottom w:w="0" w:type="dxa"/>
          <w:right w:w="0" w:type="dxa"/>
        </w:tblCellMar>
      </w:tblPr>
      <w:tblGrid>
        <w:gridCol w:w="1040"/>
        <w:gridCol w:w="60"/>
        <w:gridCol w:w="13535"/>
        <w:gridCol w:w="120"/>
        <w:gridCol w:w="90"/>
        <w:gridCol w:w="39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Governmental and Third Party Consents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Grants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Adverse Proceedings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No Defaults; No Material Adverse Effect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Taxes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Certain Fees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Compliance with Laws; ERISA; Labor Matters; Environmental Matters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Compliance of Licensed Products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IP Rights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Margin Stock; Use of Proceeds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Collaboration Agreement and Co-Promotion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Servicing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Principal Place of Business; Chief Executive Office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Other Names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Disclosure; SEC Filings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6.22</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Sanctions; Anti-Corruption Laws; Anti-Terrorism and AML Laws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6.23</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Privacy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6.24</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6.25</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Ranking of Debt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6.26</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No Set-Off</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6.27</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Covered Agreements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6.28</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Investment Company Act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6.29</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Special Purpose Entity/Separateness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6.30</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License Agreements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6.31</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Private Placement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6.32</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Survival of Representations and Warranties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4635"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46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AFFIRMATIVE COVENANTS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359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Financial Statements; Information; Purchaser Calls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Maintenance of Existence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Compliance with Laws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Books and Records; Audit Rights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Collections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Governmental Authorizations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Payment of Taxes and Tax Disputes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Collaboration Agreement; Co-Promotion Agreement; Servicing Agreement; Covered Agreements; Contribution, Purchase and Sale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Security Documents; Further Assurances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Additional Guarantors; Additional Collateral; New License Arrangement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13535" w:type="dxa"/>
            <w:tcBorders/>
            <w:vAlign w:val="bottom"/>
          </w:tcPr>
          <w:p>
            <w:pPr>
              <w:pStyle w:val="TableContents"/>
              <w:bidi w:val="0"/>
              <w:spacing w:before="0" w:after="283"/>
              <w:jc w:val="left"/>
              <w:rPr/>
            </w:pPr>
            <w:r>
              <w:rPr/>
              <w:t>Listing of Notes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3155" w:type="dxa"/>
        <w:jc w:val="center"/>
        <w:tblInd w:w="0" w:type="dxa"/>
        <w:tblLayout w:type="fixed"/>
        <w:tblCellMar>
          <w:top w:w="0" w:type="dxa"/>
          <w:left w:w="0" w:type="dxa"/>
          <w:bottom w:w="0" w:type="dxa"/>
          <w:right w:w="0" w:type="dxa"/>
        </w:tblCellMar>
      </w:tblPr>
      <w:tblGrid>
        <w:gridCol w:w="1145"/>
        <w:gridCol w:w="60"/>
        <w:gridCol w:w="11285"/>
        <w:gridCol w:w="120"/>
        <w:gridCol w:w="66"/>
        <w:gridCol w:w="419"/>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Tax and Financial Reporting</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Post-Closing Obligations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249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NEGATIVE COVENANTS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34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Special Purpose Entity</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Dispositions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Indebtedness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Permitted Investments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Restricted Payments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Collaboration Agreement and Co-Promotion Agreement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Servicing Agreement; Covered Agreements; Contribution, Purchase and Sale Agreement; Payment Auditor Agreement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Amendments to Organizational Documents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Accounts and Payment Instructions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Investment Company Act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ERISA</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Sanctions; Anti-Corruption; Use of Proceeds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Burdensome Agreements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Fundamental Change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Nature of Business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8.17</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8.18</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Filing Information; Fiscal Year</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8.19</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Certain Tax Matters; Co-Promotion</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rHeight w:val="120" w:hRule="atLeast"/>
        </w:trPr>
        <w:tc>
          <w:tcPr>
            <w:tcW w:w="1249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EVENTS OF DEFAULT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34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Right of Set-Off; Sharing of Set-Off</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Control by Majority</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Limitation on Suits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Rights Not Exclusive</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rHeight w:val="120" w:hRule="atLeast"/>
        </w:trPr>
        <w:tc>
          <w:tcPr>
            <w:tcW w:w="1249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INDEMNIFICATION; EXPENSES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34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Losses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Expenses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rHeight w:val="120" w:hRule="atLeast"/>
        </w:trPr>
        <w:tc>
          <w:tcPr>
            <w:tcW w:w="1249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MISCELLANEOUS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34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Assignments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Successors and Assigns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Entire Agreement</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0" w:type="dxa"/>
            <w:tcBorders/>
            <w:vAlign w:val="bottom"/>
          </w:tcPr>
          <w:p>
            <w:pPr>
              <w:pStyle w:val="TableContents"/>
              <w:bidi w:val="0"/>
              <w:spacing w:before="0" w:after="283"/>
              <w:jc w:val="left"/>
              <w:rPr/>
            </w:pPr>
            <w:r>
              <w:rPr/>
              <w:t> </w:t>
            </w:r>
          </w:p>
        </w:tc>
        <w:tc>
          <w:tcPr>
            <w:tcW w:w="11285"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7"/>
        <w:gridCol w:w="74"/>
        <w:gridCol w:w="8158"/>
        <w:gridCol w:w="128"/>
        <w:gridCol w:w="66"/>
        <w:gridCol w:w="419"/>
        <w:gridCol w:w="63"/>
      </w:tblGrid>
      <w:tr>
        <w:trPr/>
        <w:tc>
          <w:tcPr>
            <w:tcW w:w="1297"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9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No Delay; Waivers; etc.</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Severability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Determinations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Replacement of Note</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Governing Law</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Jurisdiction; Venue; Service of Process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Waiver of Jury Trial</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Waiver of Immunity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Counterparts; Electronic Execution</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Limitation on Rights of Others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Survival</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Confidentiality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11.18</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Certain ERISA Matters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11.19</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Patriot Act Notification</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11.20</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Injunction Relief; Waiver of Stay, Extension or Usury Laws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11.21</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Third Parties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11.22</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Intent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11.23</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Judgment Currency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11.24</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Acknowledgement and Consent to Bail-In of Affected Financial Institutions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rHeight w:val="120" w:hRule="atLeast"/>
        </w:trPr>
        <w:tc>
          <w:tcPr>
            <w:tcW w:w="9529" w:type="dxa"/>
            <w:gridSpan w:val="3"/>
            <w:tcBorders/>
            <w:vAlign w:val="center"/>
          </w:tcPr>
          <w:p>
            <w:pPr>
              <w:pStyle w:val="TableContents"/>
              <w:bidi w:val="0"/>
              <w:spacing w:before="0" w:after="283"/>
              <w:jc w:val="left"/>
              <w:rPr>
                <w:sz w:val="4"/>
                <w:szCs w:val="4"/>
              </w:rPr>
            </w:pPr>
            <w:r>
              <w:rPr>
                <w:sz w:val="4"/>
                <w:szCs w:val="4"/>
              </w:rPr>
            </w:r>
          </w:p>
        </w:tc>
        <w:tc>
          <w:tcPr>
            <w:tcW w:w="676" w:type="dxa"/>
            <w:gridSpan w:val="4"/>
            <w:tcBorders/>
            <w:vAlign w:val="center"/>
          </w:tcPr>
          <w:p>
            <w:pPr>
              <w:pStyle w:val="TableContents"/>
              <w:bidi w:val="0"/>
              <w:spacing w:before="0" w:after="283"/>
              <w:jc w:val="left"/>
              <w:rPr>
                <w:sz w:val="4"/>
                <w:szCs w:val="4"/>
              </w:rPr>
            </w:pPr>
            <w:r>
              <w:rPr>
                <w:sz w:val="4"/>
                <w:szCs w:val="4"/>
              </w:rPr>
            </w:r>
          </w:p>
        </w:tc>
      </w:tr>
      <w:tr>
        <w:trPr/>
        <w:tc>
          <w:tcPr>
            <w:tcW w:w="952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AGENCY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232" w:type="dxa"/>
            <w:gridSpan w:val="2"/>
            <w:tcBorders/>
            <w:vAlign w:val="center"/>
          </w:tcPr>
          <w:p>
            <w:pPr>
              <w:pStyle w:val="TableContents"/>
              <w:bidi w:val="0"/>
              <w:spacing w:before="0" w:after="283"/>
              <w:jc w:val="left"/>
              <w:rPr>
                <w:sz w:val="4"/>
                <w:szCs w:val="4"/>
              </w:rPr>
            </w:pPr>
            <w:r>
              <w:rPr>
                <w:sz w:val="4"/>
                <w:szCs w:val="4"/>
              </w:rPr>
            </w:r>
          </w:p>
        </w:tc>
        <w:tc>
          <w:tcPr>
            <w:tcW w:w="676"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Appointment of the Agent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Exculpatory Provisions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Agent Entitled to Act as Purchaser</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Delegation of Duties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Purchasers’ Representations, Warranties and Acknowledgment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Right to Indemnity</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Successor Agent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Collateral Documents</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The Agent May File Proofs of Claim</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Reliance by the Agent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All Powers Coupled With Interest</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74" w:type="dxa"/>
            <w:tcBorders/>
            <w:vAlign w:val="bottom"/>
          </w:tcPr>
          <w:p>
            <w:pPr>
              <w:pStyle w:val="TableContents"/>
              <w:bidi w:val="0"/>
              <w:spacing w:before="0" w:after="283"/>
              <w:jc w:val="left"/>
              <w:rPr/>
            </w:pPr>
            <w:r>
              <w:rPr/>
              <w:t> </w:t>
            </w:r>
          </w:p>
        </w:tc>
        <w:tc>
          <w:tcPr>
            <w:tcW w:w="8158" w:type="dxa"/>
            <w:tcBorders/>
            <w:vAlign w:val="bottom"/>
          </w:tcPr>
          <w:p>
            <w:pPr>
              <w:pStyle w:val="TableContents"/>
              <w:bidi w:val="0"/>
              <w:spacing w:before="0" w:after="283"/>
              <w:jc w:val="left"/>
              <w:rPr/>
            </w:pPr>
            <w:r>
              <w:rPr/>
              <w:t>Dissemination of Information</w:t>
            </w:r>
          </w:p>
        </w:tc>
        <w:tc>
          <w:tcPr>
            <w:tcW w:w="12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124"/>
        <w:gridCol w:w="8472"/>
      </w:tblGrid>
      <w:tr>
        <w:trPr/>
        <w:tc>
          <w:tcPr>
            <w:tcW w:w="16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609"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p>
            <w:pPr>
              <w:pStyle w:val="TableContents"/>
              <w:bidi w:val="0"/>
              <w:spacing w:before="0" w:after="0"/>
              <w:jc w:val="left"/>
              <w:rPr>
                <w:rFonts w:ascii="Times New Roman" w:hAnsi="Times New Roman"/>
                <w:sz w:val="20"/>
              </w:rPr>
            </w:pPr>
            <w:r>
              <w:rPr>
                <w:rFonts w:ascii="Times New Roman" w:hAnsi="Times New Roman"/>
                <w:sz w:val="20"/>
              </w:rPr>
              <w:t>Exhibit B</w:t>
            </w:r>
          </w:p>
          <w:p>
            <w:pPr>
              <w:pStyle w:val="TableContents"/>
              <w:bidi w:val="0"/>
              <w:spacing w:before="0" w:after="0"/>
              <w:jc w:val="left"/>
              <w:rPr>
                <w:rFonts w:ascii="Times New Roman" w:hAnsi="Times New Roman"/>
                <w:sz w:val="20"/>
              </w:rPr>
            </w:pPr>
            <w:r>
              <w:rPr>
                <w:rFonts w:ascii="Times New Roman" w:hAnsi="Times New Roman"/>
                <w:sz w:val="20"/>
              </w:rPr>
              <w:t>Exhibit C</w:t>
            </w:r>
          </w:p>
          <w:p>
            <w:pPr>
              <w:pStyle w:val="TableContents"/>
              <w:bidi w:val="0"/>
              <w:spacing w:before="0" w:after="0"/>
              <w:jc w:val="left"/>
              <w:rPr>
                <w:rFonts w:ascii="Times New Roman" w:hAnsi="Times New Roman"/>
                <w:sz w:val="20"/>
              </w:rPr>
            </w:pPr>
            <w:r>
              <w:rPr>
                <w:rFonts w:ascii="Times New Roman" w:hAnsi="Times New Roman"/>
                <w:sz w:val="20"/>
              </w:rPr>
              <w:t>Exhibit D</w:t>
            </w:r>
          </w:p>
          <w:p>
            <w:pPr>
              <w:pStyle w:val="TableContents"/>
              <w:bidi w:val="0"/>
              <w:spacing w:before="0" w:after="0"/>
              <w:jc w:val="left"/>
              <w:rPr>
                <w:rFonts w:ascii="Times New Roman" w:hAnsi="Times New Roman"/>
                <w:sz w:val="20"/>
              </w:rPr>
            </w:pPr>
            <w:r>
              <w:rPr>
                <w:rFonts w:ascii="Times New Roman" w:hAnsi="Times New Roman"/>
                <w:sz w:val="20"/>
              </w:rPr>
              <w:t>Exhibit E-1</w:t>
            </w:r>
          </w:p>
          <w:p>
            <w:pPr>
              <w:pStyle w:val="TableContents"/>
              <w:bidi w:val="0"/>
              <w:spacing w:before="0" w:after="0"/>
              <w:jc w:val="left"/>
              <w:rPr>
                <w:rFonts w:ascii="Times New Roman" w:hAnsi="Times New Roman"/>
                <w:sz w:val="20"/>
              </w:rPr>
            </w:pPr>
            <w:r>
              <w:rPr>
                <w:rFonts w:ascii="Times New Roman" w:hAnsi="Times New Roman"/>
                <w:sz w:val="20"/>
              </w:rPr>
              <w:t>Exhibit E-2</w:t>
            </w:r>
          </w:p>
          <w:p>
            <w:pPr>
              <w:pStyle w:val="TableContents"/>
              <w:bidi w:val="0"/>
              <w:spacing w:before="0" w:after="0"/>
              <w:jc w:val="left"/>
              <w:rPr>
                <w:rFonts w:ascii="Times New Roman" w:hAnsi="Times New Roman"/>
                <w:sz w:val="20"/>
              </w:rPr>
            </w:pPr>
            <w:r>
              <w:rPr>
                <w:rFonts w:ascii="Times New Roman" w:hAnsi="Times New Roman"/>
                <w:sz w:val="20"/>
              </w:rPr>
              <w:t>Exhibit F</w:t>
            </w:r>
          </w:p>
          <w:p>
            <w:pPr>
              <w:pStyle w:val="TableContents"/>
              <w:bidi w:val="0"/>
              <w:spacing w:before="0" w:after="0"/>
              <w:jc w:val="left"/>
              <w:rPr>
                <w:rFonts w:ascii="Times New Roman" w:hAnsi="Times New Roman"/>
                <w:sz w:val="20"/>
              </w:rPr>
            </w:pPr>
            <w:r>
              <w:rPr>
                <w:rFonts w:ascii="Times New Roman" w:hAnsi="Times New Roman"/>
                <w:sz w:val="20"/>
              </w:rPr>
              <w:t>Exhibit G</w:t>
            </w:r>
          </w:p>
          <w:p>
            <w:pPr>
              <w:pStyle w:val="TableContents"/>
              <w:bidi w:val="0"/>
              <w:spacing w:before="0" w:after="20"/>
              <w:jc w:val="left"/>
              <w:rPr>
                <w:rFonts w:ascii="Times New Roman" w:hAnsi="Times New Roman"/>
                <w:sz w:val="20"/>
              </w:rPr>
            </w:pPr>
            <w:r>
              <w:rPr>
                <w:rFonts w:ascii="Times New Roman" w:hAnsi="Times New Roman"/>
                <w:sz w:val="20"/>
              </w:rPr>
              <w:t>Exhibit H</w:t>
            </w:r>
          </w:p>
        </w:tc>
        <w:tc>
          <w:tcPr>
            <w:tcW w:w="12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Form of Note</w:t>
            </w:r>
          </w:p>
          <w:p>
            <w:pPr>
              <w:pStyle w:val="TableContents"/>
              <w:bidi w:val="0"/>
              <w:spacing w:before="0" w:after="0"/>
              <w:jc w:val="left"/>
              <w:rPr>
                <w:rFonts w:ascii="Times New Roman" w:hAnsi="Times New Roman"/>
                <w:sz w:val="20"/>
              </w:rPr>
            </w:pPr>
            <w:r>
              <w:rPr>
                <w:rFonts w:ascii="Times New Roman" w:hAnsi="Times New Roman"/>
                <w:sz w:val="20"/>
              </w:rPr>
              <w:t>Form of Waterfall Report Certificate</w:t>
            </w:r>
          </w:p>
          <w:p>
            <w:pPr>
              <w:pStyle w:val="TableContents"/>
              <w:bidi w:val="0"/>
              <w:spacing w:before="0" w:after="0"/>
              <w:jc w:val="left"/>
              <w:rPr>
                <w:rFonts w:ascii="Times New Roman" w:hAnsi="Times New Roman"/>
                <w:sz w:val="20"/>
              </w:rPr>
            </w:pPr>
            <w:r>
              <w:rPr>
                <w:rFonts w:ascii="Times New Roman" w:hAnsi="Times New Roman"/>
                <w:sz w:val="20"/>
              </w:rPr>
              <w:t>Form of Instruction Letter</w:t>
            </w:r>
          </w:p>
          <w:p>
            <w:pPr>
              <w:pStyle w:val="TableContents"/>
              <w:bidi w:val="0"/>
              <w:spacing w:before="0" w:after="0"/>
              <w:jc w:val="left"/>
              <w:rPr>
                <w:rFonts w:ascii="Times New Roman" w:hAnsi="Times New Roman"/>
                <w:sz w:val="20"/>
              </w:rPr>
            </w:pPr>
            <w:r>
              <w:rPr>
                <w:rFonts w:ascii="Times New Roman" w:hAnsi="Times New Roman"/>
                <w:sz w:val="20"/>
              </w:rPr>
              <w:t>Form of Closing Date Certificate</w:t>
            </w:r>
          </w:p>
          <w:p>
            <w:pPr>
              <w:pStyle w:val="TableContents"/>
              <w:bidi w:val="0"/>
              <w:spacing w:before="0" w:after="0"/>
              <w:jc w:val="left"/>
              <w:rPr>
                <w:rFonts w:ascii="Times New Roman" w:hAnsi="Times New Roman"/>
                <w:sz w:val="20"/>
              </w:rPr>
            </w:pPr>
            <w:r>
              <w:rPr>
                <w:rFonts w:ascii="Times New Roman" w:hAnsi="Times New Roman"/>
                <w:sz w:val="20"/>
              </w:rPr>
              <w:t>Form of Solvency Certificate</w:t>
            </w:r>
          </w:p>
          <w:p>
            <w:pPr>
              <w:pStyle w:val="TableContents"/>
              <w:bidi w:val="0"/>
              <w:spacing w:before="0" w:after="0"/>
              <w:jc w:val="left"/>
              <w:rPr>
                <w:rFonts w:ascii="Times New Roman" w:hAnsi="Times New Roman"/>
                <w:sz w:val="20"/>
              </w:rPr>
            </w:pPr>
            <w:r>
              <w:rPr>
                <w:rFonts w:ascii="Times New Roman" w:hAnsi="Times New Roman"/>
                <w:sz w:val="20"/>
              </w:rPr>
              <w:t>Form of SAP Declaration</w:t>
            </w:r>
          </w:p>
          <w:p>
            <w:pPr>
              <w:pStyle w:val="TableContents"/>
              <w:bidi w:val="0"/>
              <w:spacing w:before="0" w:after="0"/>
              <w:jc w:val="left"/>
              <w:rPr>
                <w:rFonts w:ascii="Times New Roman" w:hAnsi="Times New Roman"/>
                <w:sz w:val="20"/>
              </w:rPr>
            </w:pPr>
            <w:r>
              <w:rPr>
                <w:rFonts w:ascii="Times New Roman" w:hAnsi="Times New Roman"/>
                <w:sz w:val="20"/>
              </w:rPr>
              <w:t>Purchaser Call Agenda Items</w:t>
            </w:r>
          </w:p>
          <w:p>
            <w:pPr>
              <w:pStyle w:val="TableContents"/>
              <w:bidi w:val="0"/>
              <w:spacing w:before="0" w:after="0"/>
              <w:jc w:val="left"/>
              <w:rPr>
                <w:rFonts w:ascii="Times New Roman" w:hAnsi="Times New Roman"/>
                <w:sz w:val="20"/>
              </w:rPr>
            </w:pPr>
            <w:r>
              <w:rPr>
                <w:rFonts w:ascii="Times New Roman" w:hAnsi="Times New Roman"/>
                <w:sz w:val="20"/>
              </w:rPr>
              <w:t>Form of Subordinated Intercompany Note</w:t>
            </w:r>
          </w:p>
          <w:p>
            <w:pPr>
              <w:pStyle w:val="TableContents"/>
              <w:bidi w:val="0"/>
              <w:spacing w:before="0" w:after="20"/>
              <w:jc w:val="left"/>
              <w:rPr>
                <w:rFonts w:ascii="Times New Roman" w:hAnsi="Times New Roman"/>
                <w:sz w:val="20"/>
              </w:rPr>
            </w:pPr>
            <w:r>
              <w:rPr>
                <w:rFonts w:ascii="Times New Roman" w:hAnsi="Times New Roman"/>
                <w:sz w:val="20"/>
              </w:rPr>
              <w:t>Form of Payment Instruction</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2"/>
        <w:gridCol w:w="120"/>
        <w:gridCol w:w="8373"/>
      </w:tblGrid>
      <w:tr>
        <w:trPr/>
        <w:tc>
          <w:tcPr>
            <w:tcW w:w="17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73" w:type="dxa"/>
            <w:tcBorders/>
            <w:vAlign w:val="center"/>
          </w:tcPr>
          <w:p>
            <w:pPr>
              <w:pStyle w:val="TableContents"/>
              <w:bidi w:val="0"/>
              <w:spacing w:before="0" w:after="283"/>
              <w:jc w:val="left"/>
              <w:rPr>
                <w:sz w:val="4"/>
                <w:szCs w:val="4"/>
              </w:rPr>
            </w:pPr>
            <w:r>
              <w:rPr>
                <w:sz w:val="4"/>
                <w:szCs w:val="4"/>
              </w:rPr>
            </w:r>
          </w:p>
        </w:tc>
      </w:tr>
      <w:tr>
        <w:trPr/>
        <w:tc>
          <w:tcPr>
            <w:tcW w:w="1712" w:type="dxa"/>
            <w:tcBorders/>
          </w:tcPr>
          <w:p>
            <w:pPr>
              <w:pStyle w:val="TableContents"/>
              <w:bidi w:val="0"/>
              <w:spacing w:before="0" w:after="0"/>
              <w:jc w:val="left"/>
              <w:rPr>
                <w:rFonts w:ascii="Times New Roman" w:hAnsi="Times New Roman"/>
                <w:sz w:val="20"/>
              </w:rPr>
            </w:pPr>
            <w:r>
              <w:rPr>
                <w:rFonts w:ascii="Times New Roman" w:hAnsi="Times New Roman"/>
                <w:sz w:val="20"/>
              </w:rPr>
              <w:t>Schedule I</w:t>
            </w:r>
          </w:p>
          <w:p>
            <w:pPr>
              <w:pStyle w:val="TableContents"/>
              <w:bidi w:val="0"/>
              <w:spacing w:before="0" w:after="0"/>
              <w:jc w:val="left"/>
              <w:rPr>
                <w:rFonts w:ascii="Times New Roman" w:hAnsi="Times New Roman"/>
                <w:sz w:val="20"/>
              </w:rPr>
            </w:pPr>
            <w:r>
              <w:rPr>
                <w:rFonts w:ascii="Times New Roman" w:hAnsi="Times New Roman"/>
                <w:sz w:val="20"/>
              </w:rPr>
              <w:t>Schedule II</w:t>
            </w:r>
          </w:p>
          <w:p>
            <w:pPr>
              <w:pStyle w:val="TableContents"/>
              <w:bidi w:val="0"/>
              <w:spacing w:before="0" w:after="0"/>
              <w:jc w:val="left"/>
              <w:rPr>
                <w:rFonts w:ascii="Times New Roman" w:hAnsi="Times New Roman"/>
                <w:sz w:val="20"/>
              </w:rPr>
            </w:pPr>
            <w:r>
              <w:rPr>
                <w:rFonts w:ascii="Times New Roman" w:hAnsi="Times New Roman"/>
                <w:sz w:val="20"/>
              </w:rPr>
              <w:t>Schedule 2.01</w:t>
            </w:r>
          </w:p>
          <w:p>
            <w:pPr>
              <w:pStyle w:val="TableContents"/>
              <w:bidi w:val="0"/>
              <w:spacing w:before="0" w:after="0"/>
              <w:jc w:val="left"/>
              <w:rPr>
                <w:rFonts w:ascii="Times New Roman" w:hAnsi="Times New Roman"/>
                <w:sz w:val="20"/>
              </w:rPr>
            </w:pPr>
            <w:r>
              <w:rPr>
                <w:rFonts w:ascii="Times New Roman" w:hAnsi="Times New Roman"/>
                <w:sz w:val="20"/>
              </w:rPr>
              <w:t>Schedule 4</w:t>
            </w:r>
          </w:p>
          <w:p>
            <w:pPr>
              <w:pStyle w:val="TableContents"/>
              <w:bidi w:val="0"/>
              <w:spacing w:before="0" w:after="0"/>
              <w:jc w:val="left"/>
              <w:rPr>
                <w:rFonts w:ascii="Times New Roman" w:hAnsi="Times New Roman"/>
                <w:sz w:val="20"/>
              </w:rPr>
            </w:pPr>
            <w:r>
              <w:rPr>
                <w:rFonts w:ascii="Times New Roman" w:hAnsi="Times New Roman"/>
                <w:sz w:val="20"/>
              </w:rPr>
              <w:t>Schedule 6.01</w:t>
            </w:r>
          </w:p>
          <w:p>
            <w:pPr>
              <w:pStyle w:val="TableContents"/>
              <w:bidi w:val="0"/>
              <w:spacing w:before="0" w:after="0"/>
              <w:jc w:val="left"/>
              <w:rPr>
                <w:rFonts w:ascii="Times New Roman" w:hAnsi="Times New Roman"/>
                <w:sz w:val="20"/>
              </w:rPr>
            </w:pPr>
            <w:r>
              <w:rPr>
                <w:rFonts w:ascii="Times New Roman" w:hAnsi="Times New Roman"/>
                <w:sz w:val="20"/>
              </w:rPr>
              <w:t>Schedule 6.14</w:t>
            </w:r>
          </w:p>
          <w:p>
            <w:pPr>
              <w:pStyle w:val="TableContents"/>
              <w:bidi w:val="0"/>
              <w:spacing w:before="0" w:after="0"/>
              <w:jc w:val="left"/>
              <w:rPr>
                <w:rFonts w:ascii="Times New Roman" w:hAnsi="Times New Roman"/>
                <w:sz w:val="20"/>
              </w:rPr>
            </w:pPr>
            <w:r>
              <w:rPr>
                <w:rFonts w:ascii="Times New Roman" w:hAnsi="Times New Roman"/>
                <w:sz w:val="20"/>
              </w:rPr>
              <w:t>Schedule 6.15</w:t>
            </w:r>
          </w:p>
          <w:p>
            <w:pPr>
              <w:pStyle w:val="TableContents"/>
              <w:bidi w:val="0"/>
              <w:spacing w:before="0" w:after="0"/>
              <w:jc w:val="left"/>
              <w:rPr>
                <w:rFonts w:ascii="Times New Roman" w:hAnsi="Times New Roman"/>
                <w:sz w:val="20"/>
              </w:rPr>
            </w:pPr>
            <w:r>
              <w:rPr>
                <w:rFonts w:ascii="Times New Roman" w:hAnsi="Times New Roman"/>
                <w:sz w:val="20"/>
              </w:rPr>
              <w:t>Schedule 6.19</w:t>
            </w:r>
          </w:p>
          <w:p>
            <w:pPr>
              <w:pStyle w:val="TableContents"/>
              <w:bidi w:val="0"/>
              <w:spacing w:before="0" w:after="0"/>
              <w:jc w:val="left"/>
              <w:rPr>
                <w:rFonts w:ascii="Times New Roman" w:hAnsi="Times New Roman"/>
                <w:sz w:val="20"/>
              </w:rPr>
            </w:pPr>
            <w:r>
              <w:rPr>
                <w:rFonts w:ascii="Times New Roman" w:hAnsi="Times New Roman"/>
                <w:sz w:val="20"/>
              </w:rPr>
              <w:t>Schedule 6.27</w:t>
            </w:r>
          </w:p>
          <w:p>
            <w:pPr>
              <w:pStyle w:val="TableContents"/>
              <w:bidi w:val="0"/>
              <w:spacing w:before="0" w:after="0"/>
              <w:jc w:val="left"/>
              <w:rPr>
                <w:rFonts w:ascii="Times New Roman" w:hAnsi="Times New Roman"/>
                <w:sz w:val="20"/>
              </w:rPr>
            </w:pPr>
            <w:r>
              <w:rPr>
                <w:rFonts w:ascii="Times New Roman" w:hAnsi="Times New Roman"/>
                <w:sz w:val="20"/>
              </w:rPr>
              <w:t>Schedule 6.30</w:t>
            </w:r>
          </w:p>
          <w:p>
            <w:pPr>
              <w:pStyle w:val="TableContents"/>
              <w:bidi w:val="0"/>
              <w:spacing w:before="0" w:after="0"/>
              <w:jc w:val="left"/>
              <w:rPr>
                <w:rFonts w:ascii="Times New Roman" w:hAnsi="Times New Roman"/>
                <w:sz w:val="20"/>
              </w:rPr>
            </w:pPr>
            <w:r>
              <w:rPr>
                <w:rFonts w:ascii="Times New Roman" w:hAnsi="Times New Roman"/>
                <w:sz w:val="20"/>
              </w:rPr>
              <w:t>Schedule 7.18</w:t>
            </w:r>
          </w:p>
          <w:p>
            <w:pPr>
              <w:pStyle w:val="TableContents"/>
              <w:bidi w:val="0"/>
              <w:spacing w:before="0" w:after="0"/>
              <w:jc w:val="left"/>
              <w:rPr>
                <w:rFonts w:ascii="Times New Roman" w:hAnsi="Times New Roman"/>
                <w:sz w:val="20"/>
              </w:rPr>
            </w:pPr>
            <w:r>
              <w:rPr>
                <w:rFonts w:ascii="Times New Roman" w:hAnsi="Times New Roman"/>
                <w:sz w:val="20"/>
              </w:rPr>
              <w:t>Schedule 8.17</w:t>
            </w:r>
          </w:p>
          <w:p>
            <w:pPr>
              <w:pStyle w:val="TableContents"/>
              <w:bidi w:val="0"/>
              <w:spacing w:before="0" w:after="20"/>
              <w:jc w:val="left"/>
              <w:rPr>
                <w:rFonts w:ascii="Times New Roman" w:hAnsi="Times New Roman"/>
                <w:sz w:val="20"/>
              </w:rPr>
            </w:pPr>
            <w:r>
              <w:rPr>
                <w:rFonts w:ascii="Times New Roman" w:hAnsi="Times New Roman"/>
                <w:sz w:val="20"/>
              </w:rPr>
              <w:t>Schedule 11.03</w:t>
            </w:r>
          </w:p>
        </w:tc>
        <w:tc>
          <w:tcPr>
            <w:tcW w:w="120" w:type="dxa"/>
            <w:tcBorders/>
            <w:vAlign w:val="bottom"/>
          </w:tcPr>
          <w:p>
            <w:pPr>
              <w:pStyle w:val="TableContents"/>
              <w:bidi w:val="0"/>
              <w:spacing w:before="0" w:after="283"/>
              <w:jc w:val="left"/>
              <w:rPr/>
            </w:pPr>
            <w:r>
              <w:rPr/>
              <w:t>  </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Financing Reorganization</w:t>
            </w:r>
          </w:p>
          <w:p>
            <w:pPr>
              <w:pStyle w:val="TableContents"/>
              <w:bidi w:val="0"/>
              <w:spacing w:before="0" w:after="0"/>
              <w:jc w:val="left"/>
              <w:rPr>
                <w:rFonts w:ascii="Times New Roman" w:hAnsi="Times New Roman"/>
                <w:sz w:val="20"/>
              </w:rPr>
            </w:pPr>
            <w:r>
              <w:rPr>
                <w:rFonts w:ascii="Times New Roman" w:hAnsi="Times New Roman"/>
                <w:sz w:val="20"/>
              </w:rPr>
              <w:t>Licensed Compound</w:t>
            </w:r>
          </w:p>
          <w:p>
            <w:pPr>
              <w:pStyle w:val="TableContents"/>
              <w:bidi w:val="0"/>
              <w:spacing w:before="0" w:after="0"/>
              <w:jc w:val="left"/>
              <w:rPr>
                <w:rFonts w:ascii="Times New Roman" w:hAnsi="Times New Roman"/>
                <w:sz w:val="20"/>
              </w:rPr>
            </w:pPr>
            <w:r>
              <w:rPr>
                <w:rFonts w:ascii="Times New Roman" w:hAnsi="Times New Roman"/>
                <w:sz w:val="20"/>
              </w:rPr>
              <w:t>Allocated Share</w:t>
            </w:r>
          </w:p>
          <w:p>
            <w:pPr>
              <w:pStyle w:val="TableContents"/>
              <w:bidi w:val="0"/>
              <w:spacing w:before="0" w:after="0"/>
              <w:jc w:val="left"/>
              <w:rPr>
                <w:rFonts w:ascii="Times New Roman" w:hAnsi="Times New Roman"/>
                <w:sz w:val="20"/>
              </w:rPr>
            </w:pPr>
            <w:r>
              <w:rPr>
                <w:rFonts w:ascii="Times New Roman" w:hAnsi="Times New Roman"/>
                <w:sz w:val="20"/>
              </w:rPr>
              <w:t>Collection Account</w:t>
            </w:r>
          </w:p>
          <w:p>
            <w:pPr>
              <w:pStyle w:val="TableContents"/>
              <w:bidi w:val="0"/>
              <w:spacing w:before="0" w:after="0"/>
              <w:jc w:val="left"/>
              <w:rPr>
                <w:rFonts w:ascii="Times New Roman" w:hAnsi="Times New Roman"/>
                <w:sz w:val="20"/>
              </w:rPr>
            </w:pPr>
            <w:r>
              <w:rPr>
                <w:rFonts w:ascii="Times New Roman" w:hAnsi="Times New Roman"/>
                <w:sz w:val="20"/>
              </w:rPr>
              <w:t>Patents and Trademarks</w:t>
            </w:r>
          </w:p>
          <w:p>
            <w:pPr>
              <w:pStyle w:val="TableContents"/>
              <w:bidi w:val="0"/>
              <w:spacing w:before="0" w:after="0"/>
              <w:jc w:val="left"/>
              <w:rPr>
                <w:rFonts w:ascii="Times New Roman" w:hAnsi="Times New Roman"/>
                <w:sz w:val="20"/>
              </w:rPr>
            </w:pPr>
            <w:r>
              <w:rPr>
                <w:rFonts w:ascii="Times New Roman" w:hAnsi="Times New Roman"/>
                <w:sz w:val="20"/>
              </w:rPr>
              <w:t>Licensed Products</w:t>
            </w:r>
          </w:p>
          <w:p>
            <w:pPr>
              <w:pStyle w:val="TableContents"/>
              <w:bidi w:val="0"/>
              <w:spacing w:before="0" w:after="0"/>
              <w:jc w:val="left"/>
              <w:rPr>
                <w:rFonts w:ascii="Times New Roman" w:hAnsi="Times New Roman"/>
                <w:sz w:val="20"/>
              </w:rPr>
            </w:pPr>
            <w:r>
              <w:rPr>
                <w:rFonts w:ascii="Times New Roman" w:hAnsi="Times New Roman"/>
                <w:sz w:val="20"/>
              </w:rPr>
              <w:t>Product Patents</w:t>
            </w:r>
          </w:p>
          <w:p>
            <w:pPr>
              <w:pStyle w:val="TableContents"/>
              <w:bidi w:val="0"/>
              <w:spacing w:before="0" w:after="0"/>
              <w:jc w:val="left"/>
              <w:rPr>
                <w:rFonts w:ascii="Times New Roman" w:hAnsi="Times New Roman"/>
                <w:sz w:val="20"/>
              </w:rPr>
            </w:pPr>
            <w:r>
              <w:rPr>
                <w:rFonts w:ascii="Times New Roman" w:hAnsi="Times New Roman"/>
                <w:sz w:val="20"/>
              </w:rPr>
              <w:t>Principal Place of Business; Chief Executive Office</w:t>
            </w:r>
          </w:p>
          <w:p>
            <w:pPr>
              <w:pStyle w:val="TableContents"/>
              <w:bidi w:val="0"/>
              <w:spacing w:before="0" w:after="0"/>
              <w:jc w:val="left"/>
              <w:rPr>
                <w:rFonts w:ascii="Times New Roman" w:hAnsi="Times New Roman"/>
                <w:sz w:val="20"/>
              </w:rPr>
            </w:pPr>
            <w:r>
              <w:rPr>
                <w:rFonts w:ascii="Times New Roman" w:hAnsi="Times New Roman"/>
                <w:sz w:val="20"/>
              </w:rPr>
              <w:t>Covered Agreements</w:t>
            </w:r>
          </w:p>
          <w:p>
            <w:pPr>
              <w:pStyle w:val="TableContents"/>
              <w:bidi w:val="0"/>
              <w:spacing w:before="0" w:after="0"/>
              <w:jc w:val="left"/>
              <w:rPr>
                <w:rFonts w:ascii="Times New Roman" w:hAnsi="Times New Roman"/>
                <w:sz w:val="20"/>
              </w:rPr>
            </w:pPr>
            <w:r>
              <w:rPr>
                <w:rFonts w:ascii="Times New Roman" w:hAnsi="Times New Roman"/>
                <w:sz w:val="20"/>
              </w:rPr>
              <w:t>License Agreements</w:t>
            </w:r>
          </w:p>
          <w:p>
            <w:pPr>
              <w:pStyle w:val="TableContents"/>
              <w:bidi w:val="0"/>
              <w:spacing w:before="0" w:after="0"/>
              <w:jc w:val="left"/>
              <w:rPr>
                <w:rFonts w:ascii="Times New Roman" w:hAnsi="Times New Roman"/>
                <w:sz w:val="20"/>
              </w:rPr>
            </w:pPr>
            <w:r>
              <w:rPr>
                <w:rFonts w:ascii="Times New Roman" w:hAnsi="Times New Roman"/>
                <w:sz w:val="20"/>
              </w:rPr>
              <w:t>Post-Closing Obligations</w:t>
            </w:r>
          </w:p>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p>
            <w:pPr>
              <w:pStyle w:val="TableContents"/>
              <w:bidi w:val="0"/>
              <w:spacing w:before="0" w:after="20"/>
              <w:jc w:val="left"/>
              <w:rPr>
                <w:rFonts w:ascii="Times New Roman" w:hAnsi="Times New Roman"/>
                <w:sz w:val="20"/>
              </w:rPr>
            </w:pPr>
            <w:r>
              <w:rPr>
                <w:rFonts w:ascii="Times New Roman" w:hAnsi="Times New Roman"/>
                <w:sz w:val="20"/>
              </w:rPr>
              <w:t>Notice Addresses</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both"/>
        <w:rPr>
          <w:rFonts w:ascii="Times New Roman" w:hAnsi="Times New Roman"/>
          <w:sz w:val="20"/>
        </w:rPr>
      </w:pPr>
      <w:r>
        <w:rPr>
          <w:rFonts w:ascii="Times New Roman" w:hAnsi="Times New Roman"/>
          <w:sz w:val="20"/>
        </w:rPr>
        <w:t>This NOTE PURCHASE AGREEMENT (this “</w:t>
      </w:r>
      <w:r>
        <w:rPr>
          <w:rFonts w:ascii="Times New Roman" w:hAnsi="Times New Roman"/>
          <w:sz w:val="20"/>
          <w:u w:val="single"/>
        </w:rPr>
        <w:t>Agreement</w:t>
      </w:r>
      <w:r>
        <w:rPr>
          <w:rFonts w:ascii="Times New Roman" w:hAnsi="Times New Roman"/>
          <w:sz w:val="20"/>
        </w:rPr>
        <w:t xml:space="preserve">”) dated as of September 23, 2026, is entered into by and among </w:t>
      </w:r>
      <w:r>
        <w:rPr>
          <w:rFonts w:ascii="Times New Roman" w:hAnsi="Times New Roman"/>
          <w:b/>
          <w:sz w:val="20"/>
        </w:rPr>
        <w:t>Clover Finance Trust</w:t>
      </w:r>
      <w:r>
        <w:rPr>
          <w:rFonts w:ascii="Times New Roman" w:hAnsi="Times New Roman"/>
          <w:sz w:val="20"/>
        </w:rPr>
        <w:t>, a Delaware statutory trust (the “</w:t>
      </w:r>
      <w:r>
        <w:rPr>
          <w:rFonts w:ascii="Times New Roman" w:hAnsi="Times New Roman"/>
          <w:sz w:val="20"/>
          <w:u w:val="single"/>
        </w:rPr>
        <w:t>DST Issuer</w:t>
      </w:r>
      <w:r>
        <w:rPr>
          <w:rFonts w:ascii="Times New Roman" w:hAnsi="Times New Roman"/>
          <w:sz w:val="20"/>
        </w:rPr>
        <w:t xml:space="preserve">”), and </w:t>
      </w:r>
      <w:r>
        <w:rPr>
          <w:rFonts w:ascii="Times New Roman" w:hAnsi="Times New Roman"/>
          <w:b/>
          <w:sz w:val="20"/>
        </w:rPr>
        <w:t>Clover Finance LLC</w:t>
      </w:r>
      <w:r>
        <w:rPr>
          <w:rFonts w:ascii="Times New Roman" w:hAnsi="Times New Roman"/>
          <w:sz w:val="20"/>
        </w:rPr>
        <w:t>, a Delaware limited liability company (the “</w:t>
      </w:r>
      <w:r>
        <w:rPr>
          <w:rFonts w:ascii="Times New Roman" w:hAnsi="Times New Roman"/>
          <w:sz w:val="20"/>
          <w:u w:val="single"/>
        </w:rPr>
        <w:t>Trustee Co-Issuer</w:t>
      </w:r>
      <w:r>
        <w:rPr>
          <w:rFonts w:ascii="Times New Roman" w:hAnsi="Times New Roman"/>
          <w:sz w:val="20"/>
        </w:rPr>
        <w:t>” and together with the DST Issuer, collectively, the “</w:t>
      </w:r>
      <w:r>
        <w:rPr>
          <w:rFonts w:ascii="Times New Roman" w:hAnsi="Times New Roman"/>
          <w:sz w:val="20"/>
          <w:u w:val="single"/>
        </w:rPr>
        <w:t>Issuers</w:t>
      </w:r>
      <w:r>
        <w:rPr>
          <w:rFonts w:ascii="Times New Roman" w:hAnsi="Times New Roman"/>
          <w:sz w:val="20"/>
        </w:rPr>
        <w:t>” and each an “</w:t>
      </w:r>
      <w:r>
        <w:rPr>
          <w:rFonts w:ascii="Times New Roman" w:hAnsi="Times New Roman"/>
          <w:sz w:val="20"/>
          <w:u w:val="single"/>
        </w:rPr>
        <w:t>Issuer</w:t>
      </w:r>
      <w:r>
        <w:rPr>
          <w:rFonts w:ascii="Times New Roman" w:hAnsi="Times New Roman"/>
          <w:sz w:val="20"/>
        </w:rPr>
        <w:t xml:space="preserve">”), the Purchasers (as defined below) from time to time party hereto and </w:t>
      </w:r>
      <w:r>
        <w:rPr>
          <w:rFonts w:ascii="Times New Roman" w:hAnsi="Times New Roman"/>
          <w:b/>
          <w:sz w:val="20"/>
        </w:rPr>
        <w:t>U.S. Bank Trust Company, National Association</w:t>
      </w:r>
      <w:r>
        <w:rPr>
          <w:rFonts w:ascii="Times New Roman" w:hAnsi="Times New Roman"/>
          <w:sz w:val="20"/>
        </w:rPr>
        <w:t>, as administrative agent, collateral agent and security trustee for the Purchasers (in such capacities, the “</w:t>
      </w:r>
      <w:r>
        <w:rPr>
          <w:rFonts w:ascii="Times New Roman" w:hAnsi="Times New Roman"/>
          <w:sz w:val="20"/>
          <w:u w:val="single"/>
        </w:rPr>
        <w:t>Agent</w:t>
      </w:r>
      <w:r>
        <w:rPr>
          <w:rFonts w:ascii="Times New Roman" w:hAnsi="Times New Roman"/>
          <w:sz w:val="20"/>
        </w:rPr>
        <w:t xml:space="preserve">”). Capitalized terms used herein are defined in </w:t>
      </w:r>
      <w:r>
        <w:rPr>
          <w:rFonts w:ascii="Times New Roman" w:hAnsi="Times New Roman"/>
          <w:sz w:val="20"/>
          <w:u w:val="single"/>
        </w:rPr>
        <w:t>Article I</w:t>
      </w:r>
      <w:r>
        <w:rPr>
          <w:rFonts w:ascii="Times New Roman" w:hAnsi="Times New Roman"/>
          <w:sz w:val="20"/>
        </w:rPr>
        <w:t xml:space="preserve"> below.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 xml:space="preserve">WHEREAS, pursuant to the Contribution, Purchase and Sale Agreement, DST Issuer desires to purchase the Transferred Assets; </w:t>
      </w:r>
    </w:p>
    <w:p>
      <w:pPr>
        <w:pStyle w:val="TextBody"/>
        <w:bidi w:val="0"/>
        <w:spacing w:before="240" w:after="0"/>
        <w:jc w:val="both"/>
        <w:rPr>
          <w:rFonts w:ascii="Times New Roman" w:hAnsi="Times New Roman"/>
          <w:sz w:val="20"/>
        </w:rPr>
      </w:pPr>
      <w:r>
        <w:rPr>
          <w:rFonts w:ascii="Times New Roman" w:hAnsi="Times New Roman"/>
          <w:sz w:val="20"/>
        </w:rPr>
        <w:t xml:space="preserve">WHEREAS, Issuers have requested that the Purchasers purchase senior secured notes in an aggregate initial principal amount of up to three-hundred and fifty million Dollars ($350,000,000.00); </w:t>
      </w:r>
    </w:p>
    <w:p>
      <w:pPr>
        <w:pStyle w:val="TextBody"/>
        <w:bidi w:val="0"/>
        <w:spacing w:before="240" w:after="0"/>
        <w:jc w:val="both"/>
        <w:rPr>
          <w:rFonts w:ascii="Times New Roman" w:hAnsi="Times New Roman"/>
          <w:sz w:val="20"/>
        </w:rPr>
      </w:pPr>
      <w:r>
        <w:rPr>
          <w:rFonts w:ascii="Times New Roman" w:hAnsi="Times New Roman"/>
          <w:sz w:val="20"/>
        </w:rPr>
        <w:t xml:space="preserve">WHEREAS, DST Issuer intends to use the proceeds of the sale of the Notes to purchase all or a portion of the Transferred Assets from the Seller pursuant to the Contribution, Purchase and Sale Agreement, to pay fees and expenses, and to pay amounts owing to the Agent and the Purchasers on or around the Closing Date; </w:t>
      </w:r>
    </w:p>
    <w:p>
      <w:pPr>
        <w:pStyle w:val="TextBody"/>
        <w:bidi w:val="0"/>
        <w:spacing w:before="240" w:after="0"/>
        <w:jc w:val="both"/>
        <w:rPr>
          <w:rFonts w:ascii="Times New Roman" w:hAnsi="Times New Roman"/>
          <w:sz w:val="20"/>
        </w:rPr>
      </w:pPr>
      <w:r>
        <w:rPr>
          <w:rFonts w:ascii="Times New Roman" w:hAnsi="Times New Roman"/>
          <w:sz w:val="20"/>
        </w:rPr>
        <w:t xml:space="preserve">WHEREAS, the Note Parties have agreed to secure the Obligations by granting to the Agent, for the benefit of the Secured Parties, a first priority Lien on the Collateral; and </w:t>
      </w:r>
    </w:p>
    <w:p>
      <w:pPr>
        <w:pStyle w:val="TextBody"/>
        <w:bidi w:val="0"/>
        <w:spacing w:before="240" w:after="0"/>
        <w:jc w:val="both"/>
        <w:rPr>
          <w:rFonts w:ascii="Times New Roman" w:hAnsi="Times New Roman"/>
          <w:sz w:val="20"/>
        </w:rPr>
      </w:pPr>
      <w:r>
        <w:rPr>
          <w:rFonts w:ascii="Times New Roman" w:hAnsi="Times New Roman"/>
          <w:sz w:val="20"/>
        </w:rPr>
        <w:t xml:space="preserve">WHEREAS, in connection with the Transactions, the Guarantors have agreed to unconditionally guarantee the Obligations of the Issuers, and the Bad Acts Guarantors have agreed to provide the limited guaranties and other credit support set forth in the Bad Acts Guaranty; and </w:t>
      </w:r>
    </w:p>
    <w:p>
      <w:pPr>
        <w:pStyle w:val="TextBody"/>
        <w:bidi w:val="0"/>
        <w:spacing w:before="240" w:after="0"/>
        <w:jc w:val="both"/>
        <w:rPr>
          <w:rFonts w:ascii="Times New Roman" w:hAnsi="Times New Roman"/>
          <w:sz w:val="20"/>
        </w:rPr>
      </w:pPr>
      <w:r>
        <w:rPr>
          <w:rFonts w:ascii="Times New Roman" w:hAnsi="Times New Roman"/>
          <w:sz w:val="20"/>
        </w:rPr>
        <w:t xml:space="preserve">WHEREAS, the Purchasers are willing to purchase the Notes from the Issuers upon the terms and subject to the conditions set forth herein.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mutual promises of the Parties, and for other good and valuable consideration, the receipt and sufficiency of which are hereby acknowledged, it is mutually agreed by the Parties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both"/>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As used herein: </w:t>
      </w:r>
    </w:p>
    <w:p>
      <w:pPr>
        <w:pStyle w:val="TextBody"/>
        <w:bidi w:val="0"/>
        <w:spacing w:before="240" w:after="0"/>
        <w:jc w:val="both"/>
        <w:rPr/>
      </w:pPr>
      <w:r>
        <w:rPr/>
        <w:t>“</w:t>
      </w:r>
      <w:r>
        <w:rPr>
          <w:rFonts w:ascii="Times New Roman" w:hAnsi="Times New Roman"/>
          <w:sz w:val="20"/>
          <w:u w:val="single"/>
        </w:rPr>
        <w:t>Account Bank</w:t>
      </w:r>
      <w:r>
        <w:rPr>
          <w:rFonts w:ascii="Times New Roman" w:hAnsi="Times New Roman"/>
          <w:sz w:val="20"/>
        </w:rPr>
        <w:t xml:space="preserve">” means U.S. Bank National Association, or such other bank or financial institution approved by the Agent. </w:t>
      </w:r>
    </w:p>
    <w:p>
      <w:pPr>
        <w:pStyle w:val="TextBody"/>
        <w:bidi w:val="0"/>
        <w:spacing w:before="240" w:after="0"/>
        <w:jc w:val="both"/>
        <w:rPr/>
      </w:pPr>
      <w:r>
        <w:rPr/>
        <w:t>“</w:t>
      </w:r>
      <w:r>
        <w:rPr>
          <w:rFonts w:ascii="Times New Roman" w:hAnsi="Times New Roman"/>
          <w:sz w:val="20"/>
          <w:u w:val="single"/>
        </w:rPr>
        <w:t>Account Debtor</w:t>
      </w:r>
      <w:r>
        <w:rPr>
          <w:rFonts w:ascii="Times New Roman" w:hAnsi="Times New Roman"/>
          <w:sz w:val="20"/>
        </w:rPr>
        <w:t xml:space="preserve">” means any Person that is obligated to make payments to the DST Issuer under the Collaboration Agreement. </w:t>
      </w:r>
    </w:p>
    <w:p>
      <w:pPr>
        <w:pStyle w:val="TextBody"/>
        <w:bidi w:val="0"/>
        <w:spacing w:before="240" w:after="0"/>
        <w:jc w:val="both"/>
        <w:rPr/>
      </w:pPr>
      <w:r>
        <w:rPr/>
        <w:t>“</w:t>
      </w:r>
      <w:r>
        <w:rPr>
          <w:rFonts w:ascii="Times New Roman" w:hAnsi="Times New Roman"/>
          <w:sz w:val="20"/>
          <w:u w:val="single"/>
        </w:rPr>
        <w:t>Acquisition Agreement</w:t>
      </w:r>
      <w:r>
        <w:rPr>
          <w:rFonts w:ascii="Times New Roman" w:hAnsi="Times New Roman"/>
          <w:sz w:val="20"/>
        </w:rPr>
        <w:t xml:space="preserve">” means that certain Agreement and Plan of Merger, dated as of June 28, 2026 (together with the schedules and exhibits thereto and all of the other documents, exhibits and pre-closing and closing steps contemplated thereby) by and between Parent, Merger Sub 1 and TBPH.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Adjusted Operating Profit (Loss)</w:t>
      </w:r>
      <w:r>
        <w:rPr>
          <w:rFonts w:ascii="Times New Roman" w:hAnsi="Times New Roman"/>
          <w:sz w:val="20"/>
        </w:rPr>
        <w:t xml:space="preserve">” means, for any Collection Period, the sum of (i) 35% of Operating Profit (Loss) payable to the DST Issuer (as assignee of TBIL) pursuant to Section 1.03 of Exhibit F to the Collaboration Agreement plus (ii) Non-Deductible Shared Expenses, in each case, for such applicable Collection Period. </w:t>
      </w:r>
    </w:p>
    <w:p>
      <w:pPr>
        <w:pStyle w:val="TextBody"/>
        <w:bidi w:val="0"/>
        <w:spacing w:before="240" w:after="0"/>
        <w:jc w:val="both"/>
        <w:rPr/>
      </w:pPr>
      <w:r>
        <w:rPr/>
        <w:t>“</w:t>
      </w:r>
      <w:r>
        <w:rPr>
          <w:rFonts w:ascii="Times New Roman" w:hAnsi="Times New Roman"/>
          <w:sz w:val="20"/>
          <w:u w:val="single"/>
        </w:rPr>
        <w:t>Affected Financial Institution</w:t>
      </w:r>
      <w:r>
        <w:rPr>
          <w:rFonts w:ascii="Times New Roman" w:hAnsi="Times New Roman"/>
          <w:sz w:val="20"/>
        </w:rPr>
        <w:t xml:space="preserve">” means (i) any EEA Financial Institution or (ii) any UK Financial Institution. </w:t>
      </w:r>
    </w:p>
    <w:p>
      <w:pPr>
        <w:pStyle w:val="TextBody"/>
        <w:bidi w:val="0"/>
        <w:spacing w:before="240" w:after="0"/>
        <w:jc w:val="both"/>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is controlled by, or is under common control with another Person; </w:t>
      </w:r>
      <w:r>
        <w:rPr>
          <w:rFonts w:ascii="Times New Roman" w:hAnsi="Times New Roman"/>
          <w:sz w:val="20"/>
          <w:u w:val="single"/>
        </w:rPr>
        <w:t>provided</w:t>
      </w:r>
      <w:r>
        <w:rPr>
          <w:rFonts w:ascii="Times New Roman" w:hAnsi="Times New Roman"/>
          <w:sz w:val="20"/>
        </w:rPr>
        <w:t xml:space="preserve"> that with respect to OCM IP Healthcare Portfolio LP (or any Affiliate thereof), an Affiliate shall include any person in respect of which OMERS Administration Corporation, as administrator of the OMERS primary pension plan and trustee of the pension funds thereunder, holds, directly or indirectly, more than 50% of the Equity Interests of such Person. For purposes of this definition, “</w:t>
      </w:r>
      <w:r>
        <w:rPr>
          <w:rFonts w:ascii="Times New Roman" w:hAnsi="Times New Roman"/>
          <w:sz w:val="20"/>
          <w:u w:val="single"/>
        </w:rPr>
        <w:t>control</w:t>
      </w:r>
      <w:r>
        <w:rPr>
          <w:rFonts w:ascii="Times New Roman" w:hAnsi="Times New Roman"/>
          <w:sz w:val="20"/>
        </w:rPr>
        <w:t>” (including the correlative meanings “controlled by” and “under common control with”) means (i) in the case of corporate entities, direct or indirect ownership of more than ten percent (10%) of the stock or shares having the right to vote for the election of directors, and (ii) in the case of non-corporate entities, direct or indirect ownership of more than ten percent (10%) of the Equity Interests in such non-corporate entities. Unless otherwise stated, any usage of “</w:t>
      </w:r>
      <w:r>
        <w:rPr>
          <w:rFonts w:ascii="Times New Roman" w:hAnsi="Times New Roman"/>
          <w:sz w:val="20"/>
          <w:u w:val="single"/>
        </w:rPr>
        <w:t>Affiliate</w:t>
      </w:r>
      <w:r>
        <w:rPr>
          <w:rFonts w:ascii="Times New Roman" w:hAnsi="Times New Roman"/>
          <w:sz w:val="20"/>
        </w:rPr>
        <w:t xml:space="preserve">” herein means an Affiliate of the Issuers. </w:t>
      </w:r>
    </w:p>
    <w:p>
      <w:pPr>
        <w:pStyle w:val="TextBody"/>
        <w:bidi w:val="0"/>
        <w:spacing w:before="240" w:after="0"/>
        <w:jc w:val="both"/>
        <w:rPr/>
      </w:pPr>
      <w:r>
        <w:rPr/>
        <w:t>“</w:t>
      </w:r>
      <w:r>
        <w:rPr>
          <w:rFonts w:ascii="Times New Roman" w:hAnsi="Times New Roman"/>
          <w:sz w:val="20"/>
          <w:u w:val="single"/>
        </w:rPr>
        <w:t>Agent</w:t>
      </w:r>
      <w:r>
        <w:rPr>
          <w:rFonts w:ascii="Times New Roman" w:hAnsi="Times New Roman"/>
          <w:sz w:val="20"/>
        </w:rPr>
        <w:t xml:space="preserve">” has the meaning set forth in the preamble hereto. </w:t>
      </w:r>
    </w:p>
    <w:p>
      <w:pPr>
        <w:pStyle w:val="TextBody"/>
        <w:bidi w:val="0"/>
        <w:spacing w:before="240" w:after="0"/>
        <w:jc w:val="both"/>
        <w:rPr/>
      </w:pPr>
      <w:r>
        <w:rPr/>
        <w:t>“</w:t>
      </w:r>
      <w:r>
        <w:rPr>
          <w:rFonts w:ascii="Times New Roman" w:hAnsi="Times New Roman"/>
          <w:sz w:val="20"/>
          <w:u w:val="single"/>
        </w:rPr>
        <w:t>Agent Fees</w:t>
      </w:r>
      <w:r>
        <w:rPr>
          <w:rFonts w:ascii="Times New Roman" w:hAnsi="Times New Roman"/>
          <w:sz w:val="20"/>
        </w:rPr>
        <w:t xml:space="preserve">” means any annual agency fees payable to the Agent under a Closing Date Fee Letter or any other fee letter (or similar agreement) entered into after the Closing Date with any Person serving as Successor Agent hereunder pursuant to </w:t>
      </w:r>
      <w:r>
        <w:rPr>
          <w:rFonts w:ascii="Times New Roman" w:hAnsi="Times New Roman"/>
          <w:sz w:val="20"/>
          <w:u w:val="single"/>
        </w:rPr>
        <w:t>Section 12.08</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Aggregate Amounts Due</w:t>
      </w:r>
      <w:r>
        <w:rPr>
          <w:rFonts w:ascii="Times New Roman" w:hAnsi="Times New Roman"/>
          <w:sz w:val="20"/>
        </w:rPr>
        <w:t xml:space="preserve">” has the meaning set forth in </w:t>
      </w:r>
      <w:r>
        <w:rPr>
          <w:rFonts w:ascii="Times New Roman" w:hAnsi="Times New Roman"/>
          <w:sz w:val="20"/>
          <w:u w:val="single"/>
        </w:rPr>
        <w:t>Section 3.08</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Agreement</w:t>
      </w:r>
      <w:r>
        <w:rPr>
          <w:rFonts w:ascii="Times New Roman" w:hAnsi="Times New Roman"/>
          <w:sz w:val="20"/>
        </w:rPr>
        <w:t xml:space="preserve">” has the meaning set forth in the preamble hereto. </w:t>
      </w:r>
    </w:p>
    <w:p>
      <w:pPr>
        <w:pStyle w:val="TextBody"/>
        <w:bidi w:val="0"/>
        <w:spacing w:before="240" w:after="0"/>
        <w:jc w:val="both"/>
        <w:rPr/>
      </w:pPr>
      <w:r>
        <w:rPr/>
        <w:t>“</w:t>
      </w:r>
      <w:r>
        <w:rPr>
          <w:rFonts w:ascii="Times New Roman" w:hAnsi="Times New Roman"/>
          <w:sz w:val="20"/>
          <w:u w:val="single"/>
        </w:rPr>
        <w:t>Agreement Currency</w:t>
      </w:r>
      <w:r>
        <w:rPr>
          <w:rFonts w:ascii="Times New Roman" w:hAnsi="Times New Roman"/>
          <w:sz w:val="20"/>
        </w:rPr>
        <w:t xml:space="preserve">” has the meaning set forth in </w:t>
      </w:r>
      <w:r>
        <w:rPr>
          <w:rFonts w:ascii="Times New Roman" w:hAnsi="Times New Roman"/>
          <w:sz w:val="20"/>
          <w:u w:val="single"/>
        </w:rPr>
        <w:t>Section 11.23</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Allocated Share</w:t>
      </w:r>
      <w:r>
        <w:rPr>
          <w:rFonts w:ascii="Times New Roman" w:hAnsi="Times New Roman"/>
          <w:sz w:val="20"/>
        </w:rPr>
        <w:t xml:space="preserve">” means, (i) on the Closing Date, immediately prior to the Notes Issuance, the percentage set forth opposite such Purchaser’s name on </w:t>
      </w:r>
      <w:r>
        <w:rPr>
          <w:rFonts w:ascii="Times New Roman" w:hAnsi="Times New Roman"/>
          <w:sz w:val="20"/>
          <w:u w:val="single"/>
        </w:rPr>
        <w:t>Schedule 2.01</w:t>
      </w:r>
      <w:r>
        <w:rPr>
          <w:rFonts w:ascii="Times New Roman" w:hAnsi="Times New Roman"/>
          <w:sz w:val="20"/>
        </w:rPr>
        <w:t xml:space="preserve"> and (ii) at any time of determination thereafter, with respect to any Purchaser, a percentage equal to a fraction the numerator of which is the aggregate outstanding Principal Amount owing to such Purchaser and the denominator of which is the aggregate outstanding Principal Amount owing to all Purchasers, as such percentage may be adjusted by assignments as permitted hereunder. </w:t>
      </w:r>
    </w:p>
    <w:p>
      <w:pPr>
        <w:pStyle w:val="TextBody"/>
        <w:bidi w:val="0"/>
        <w:spacing w:before="240" w:after="0"/>
        <w:jc w:val="both"/>
        <w:rPr/>
      </w:pPr>
      <w:r>
        <w:rPr/>
        <w:t>“</w:t>
      </w:r>
      <w:r>
        <w:rPr>
          <w:rFonts w:ascii="Times New Roman" w:hAnsi="Times New Roman"/>
          <w:sz w:val="20"/>
          <w:u w:val="single"/>
        </w:rPr>
        <w:t>Ancillary IP Rights</w:t>
      </w:r>
      <w:r>
        <w:rPr>
          <w:rFonts w:ascii="Times New Roman" w:hAnsi="Times New Roman"/>
          <w:sz w:val="20"/>
        </w:rPr>
        <w:t xml:space="preserve">” means, with respect to any Copyrights, Patents, Trademarks or other Intellectual Property (a) all income, royalties, damages and payments now or hereafter due or payable under any of the foregoing, including damages or payments for past, present or future infringements of any of the foregoing; (b) the right to sue for past, present and future infringements of any of the foregoing; and (c) all rights and privileges corresponding to any of the foregoing throughout the world. </w:t>
      </w:r>
    </w:p>
    <w:p>
      <w:pPr>
        <w:pStyle w:val="TextBody"/>
        <w:bidi w:val="0"/>
        <w:spacing w:before="240" w:after="0"/>
        <w:jc w:val="both"/>
        <w:rPr/>
      </w:pPr>
      <w:r>
        <w:rPr/>
        <w:t>“</w:t>
      </w:r>
      <w:r>
        <w:rPr>
          <w:rFonts w:ascii="Times New Roman" w:hAnsi="Times New Roman"/>
          <w:sz w:val="20"/>
          <w:u w:val="single"/>
        </w:rPr>
        <w:t>Anti-Corruption Laws</w:t>
      </w:r>
      <w:r>
        <w:rPr>
          <w:rFonts w:ascii="Times New Roman" w:hAnsi="Times New Roman"/>
          <w:sz w:val="20"/>
        </w:rPr>
        <w:t xml:space="preserve">” means the United States Foreign Corrupt Practices Act, the Corruption of Foreign Public Officials Act (Canada) and the U.K. Bribery Act of 2010 and any other Law, rule or regulation of any jurisdiction applicable to the Parent and its Subsidiaries concerning or relating to bribery or corruption.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Anti-Terrorism and AML Laws</w:t>
      </w:r>
      <w:r>
        <w:rPr>
          <w:rFonts w:ascii="Times New Roman" w:hAnsi="Times New Roman"/>
          <w:sz w:val="20"/>
        </w:rPr>
        <w:t>” means any Laws relating to terrorism or money laundering, including (i) the Money Laundering Control Act of 1986 (e.g., 18 U.S.C. §§ 1956 and 1957), (ii) the Patriot Act and the Bank Secrecy Act of 1970 (e.g., 31 U.S.C. §§ 5311 – 5330 and 12 U.S.C. §§ 1818(s), 1820(b) and 1951-1959), including as amended by the Patriot Act, and the Proceeds of Crime (Money Laundering) and Terrorist Financing Act (Canada), (iii) the laws, regulations and Executive Orders administered by the United States Department of the Treasury’s Office of Foreign Assets Control (“</w:t>
      </w:r>
      <w:r>
        <w:rPr>
          <w:rFonts w:ascii="Times New Roman" w:hAnsi="Times New Roman"/>
          <w:sz w:val="20"/>
          <w:u w:val="single"/>
        </w:rPr>
        <w:t>OFAC</w:t>
      </w:r>
      <w:r>
        <w:rPr>
          <w:rFonts w:ascii="Times New Roman" w:hAnsi="Times New Roman"/>
          <w:sz w:val="20"/>
        </w:rPr>
        <w:t xml:space="preserve">”), (iv) the Comprehensive Iran Sanctions, Accountability, and Divestment Act of 2010 and implementing regulations by the United States Department of the Treasury, (v) the laws, regulations and orders administered by the UK Office of Financial Sanctions Implementation, (vi) any law prohibiting or directed against terrorist activities or the financing of terrorist activities (e.g., 18 U.S.C. §§ 2339A and 2339B) or (vii) any similar laws enacted in the United States, the United Kingdom, European Union, Canada or any other jurisdictions in which the parties to this Agreement operate, and all other present and future legal requirements of any Governmental Authority governing, addressing, relating to, or attempting to eliminate, terrorist acts and acts of war. </w:t>
      </w:r>
    </w:p>
    <w:p>
      <w:pPr>
        <w:pStyle w:val="TextBody"/>
        <w:bidi w:val="0"/>
        <w:spacing w:before="240" w:after="0"/>
        <w:jc w:val="both"/>
        <w:rPr/>
      </w:pPr>
      <w:r>
        <w:rPr/>
        <w:t>“</w:t>
      </w:r>
      <w:r>
        <w:rPr>
          <w:rFonts w:ascii="Times New Roman" w:hAnsi="Times New Roman"/>
          <w:sz w:val="20"/>
          <w:u w:val="single"/>
        </w:rPr>
        <w:t>Applicable Rate</w:t>
      </w:r>
      <w:r>
        <w:rPr>
          <w:rFonts w:ascii="Times New Roman" w:hAnsi="Times New Roman"/>
          <w:sz w:val="20"/>
        </w:rPr>
        <w:t>” means, (i) with respect to the Protective Advance Amounts, 11.25% per annum and (ii) with respect to the Principal Amount (other than Protective Advance Amounts) and all other cases, 8.25% per annum (the “</w:t>
      </w:r>
      <w:r>
        <w:rPr>
          <w:rFonts w:ascii="Times New Roman" w:hAnsi="Times New Roman"/>
          <w:sz w:val="20"/>
          <w:u w:val="single"/>
        </w:rPr>
        <w:t>Base Rate</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Assignee</w:t>
      </w:r>
      <w:r>
        <w:rPr>
          <w:rFonts w:ascii="Times New Roman" w:hAnsi="Times New Roman"/>
          <w:sz w:val="20"/>
        </w:rPr>
        <w:t xml:space="preserve">” means any other Person to which a Purchaser has assigned or is assigning its rights and obligations hereunder, whether in whole or in part. </w:t>
      </w:r>
    </w:p>
    <w:p>
      <w:pPr>
        <w:pStyle w:val="TextBody"/>
        <w:bidi w:val="0"/>
        <w:spacing w:before="240" w:after="0"/>
        <w:jc w:val="both"/>
        <w:rPr/>
      </w:pPr>
      <w:r>
        <w:rPr/>
        <w:t>“</w:t>
      </w:r>
      <w:r>
        <w:rPr>
          <w:rFonts w:ascii="Times New Roman" w:hAnsi="Times New Roman"/>
          <w:sz w:val="20"/>
          <w:u w:val="single"/>
        </w:rPr>
        <w:t>Attorneys’ Fees</w:t>
      </w:r>
      <w:r>
        <w:rPr>
          <w:rFonts w:ascii="Times New Roman" w:hAnsi="Times New Roman"/>
          <w:sz w:val="20"/>
        </w:rPr>
        <w:t xml:space="preserve">” means and includes any and all reasonable and documented attorneys’ fees that are incurred by the Agent or any other Secured Party incident to, arising out of, or in any way in connection with the Agent’s or other Secured Party’s interests in, or defense of, any action, claim, proceeding or the Agent’s or other Secured Party’s enforcement of its rights and interests with respect to any Collateral or under any Note or any other Transaction Document, which shall include all reasonable and documented attorneys’ fees incurred by the Agent and other Secured Parties (including, without limitation, all expenses of litigation or preparation therefor whether or not the Agent or applicable Secured Party is a party thereto) whether or not a suit or action is commenced, and all costs in collection of sums due during any workout or with respect to settlement negotiations, or the cost to defend the Agent or other Secured Party or to enforce any of its rights, including, without limitation, during any Bankruptcy Event or other Insolvency Proceeding. </w:t>
      </w:r>
    </w:p>
    <w:p>
      <w:pPr>
        <w:pStyle w:val="TextBody"/>
        <w:bidi w:val="0"/>
        <w:spacing w:before="240" w:after="0"/>
        <w:jc w:val="both"/>
        <w:rPr/>
      </w:pPr>
      <w:r>
        <w:rPr/>
        <w:t>“</w:t>
      </w:r>
      <w:r>
        <w:rPr>
          <w:rFonts w:ascii="Times New Roman" w:hAnsi="Times New Roman"/>
          <w:sz w:val="20"/>
          <w:u w:val="single"/>
        </w:rPr>
        <w:t>Bad Acts Guarantors</w:t>
      </w:r>
      <w:r>
        <w:rPr>
          <w:rFonts w:ascii="Times New Roman" w:hAnsi="Times New Roman"/>
          <w:sz w:val="20"/>
        </w:rPr>
        <w:t xml:space="preserve">” means each of the Parent, TBPH and TBUH. </w:t>
      </w:r>
    </w:p>
    <w:p>
      <w:pPr>
        <w:pStyle w:val="TextBody"/>
        <w:bidi w:val="0"/>
        <w:spacing w:before="240" w:after="0"/>
        <w:jc w:val="both"/>
        <w:rPr/>
      </w:pPr>
      <w:r>
        <w:rPr/>
        <w:t>“</w:t>
      </w:r>
      <w:r>
        <w:rPr>
          <w:rFonts w:ascii="Times New Roman" w:hAnsi="Times New Roman"/>
          <w:sz w:val="20"/>
          <w:u w:val="single"/>
        </w:rPr>
        <w:t>Bad Acts Guaranty</w:t>
      </w:r>
      <w:r>
        <w:rPr>
          <w:rFonts w:ascii="Times New Roman" w:hAnsi="Times New Roman"/>
          <w:sz w:val="20"/>
        </w:rPr>
        <w:t xml:space="preserve">” means that certain Bad Acts Guaranty Agreement dated as of the Closing Date, made by each Bad Acts Guarantor in favor of the Agent. </w:t>
      </w:r>
    </w:p>
    <w:p>
      <w:pPr>
        <w:pStyle w:val="TextBody"/>
        <w:bidi w:val="0"/>
        <w:spacing w:before="240" w:after="0"/>
        <w:jc w:val="both"/>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both"/>
        <w:rPr/>
      </w:pPr>
      <w:r>
        <w:rPr/>
        <w:t>“</w:t>
      </w:r>
      <w:r>
        <w:rPr>
          <w:rFonts w:ascii="Times New Roman" w:hAnsi="Times New Roman"/>
          <w:sz w:val="20"/>
          <w:u w:val="single"/>
        </w:rPr>
        <w:t>Bail-In Legislation</w:t>
      </w:r>
      <w:r>
        <w:rPr>
          <w:rFonts w:ascii="Times New Roman" w:hAnsi="Times New Roman"/>
          <w:sz w:val="20"/>
        </w:rPr>
        <w:t xml:space="preserve">” means (i)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(ii) with respect to the United Kingdom, Part I of the United Kingdom Banking Act 2009 and any other Law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Bankruptcy Code</w:t>
      </w:r>
      <w:r>
        <w:rPr>
          <w:rFonts w:ascii="Times New Roman" w:hAnsi="Times New Roman"/>
          <w:sz w:val="20"/>
        </w:rPr>
        <w:t>” means (i) Title 11 of the United States Code entitled “Bankruptcy,” (the “</w:t>
      </w:r>
      <w:r>
        <w:rPr>
          <w:rFonts w:ascii="Times New Roman" w:hAnsi="Times New Roman"/>
          <w:sz w:val="20"/>
          <w:u w:val="single"/>
        </w:rPr>
        <w:t>U.S. Bankruptcy Code</w:t>
      </w:r>
      <w:r>
        <w:rPr>
          <w:rFonts w:ascii="Times New Roman" w:hAnsi="Times New Roman"/>
          <w:sz w:val="20"/>
        </w:rPr>
        <w:t xml:space="preserve">”), or (ii) equivalent legislation in any jurisdiction applicable to the Parent or any of its Subsidiaries. </w:t>
      </w:r>
    </w:p>
    <w:p>
      <w:pPr>
        <w:pStyle w:val="TextBody"/>
        <w:bidi w:val="0"/>
        <w:spacing w:before="240" w:after="0"/>
        <w:jc w:val="both"/>
        <w:rPr/>
      </w:pPr>
      <w:r>
        <w:rPr/>
        <w:t>“</w:t>
      </w:r>
      <w:r>
        <w:rPr>
          <w:rFonts w:ascii="Times New Roman" w:hAnsi="Times New Roman"/>
          <w:sz w:val="20"/>
          <w:u w:val="single"/>
        </w:rPr>
        <w:t>Bankruptcy Event</w:t>
      </w:r>
      <w:r>
        <w:rPr>
          <w:rFonts w:ascii="Times New Roman" w:hAnsi="Times New Roman"/>
          <w:sz w:val="20"/>
        </w:rPr>
        <w:t xml:space="preserve">” means, with respect to any Person, the occurrence of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(i) such Person becomes insolvent within the meaning of 11 U.S.C. §101(32) or any other Debtor Relief Laws; </w:t>
      </w:r>
    </w:p>
    <w:p>
      <w:pPr>
        <w:pStyle w:val="TextBody"/>
        <w:bidi w:val="0"/>
        <w:spacing w:before="120" w:after="0"/>
        <w:jc w:val="both"/>
        <w:rPr>
          <w:rFonts w:ascii="Times New Roman" w:hAnsi="Times New Roman"/>
          <w:sz w:val="20"/>
        </w:rPr>
      </w:pPr>
      <w:r>
        <w:rPr>
          <w:rFonts w:ascii="Times New Roman" w:hAnsi="Times New Roman"/>
          <w:sz w:val="20"/>
        </w:rPr>
        <w:t xml:space="preserve">(ii) such Person generally does not pay its debts or becomes unable to pay its debts or meet its liabilities as the same become due, or admits in writing its inability to pay its debts generally, or declares any general moratorium on its debt, or proposes a compromise or arrangement between it and any class of its creditors; </w:t>
      </w:r>
    </w:p>
    <w:p>
      <w:pPr>
        <w:pStyle w:val="TextBody"/>
        <w:bidi w:val="0"/>
        <w:spacing w:before="120" w:after="0"/>
        <w:jc w:val="both"/>
        <w:rPr>
          <w:rFonts w:ascii="Times New Roman" w:hAnsi="Times New Roman"/>
          <w:sz w:val="20"/>
        </w:rPr>
      </w:pPr>
      <w:r>
        <w:rPr>
          <w:rFonts w:ascii="Times New Roman" w:hAnsi="Times New Roman"/>
          <w:sz w:val="20"/>
        </w:rPr>
        <w:t xml:space="preserve">(iii) such Person makes an assignment of its property for the general benefit of its creditors or makes a proposal of such an assignment (or files a notice of its intention to do so); </w:t>
      </w:r>
    </w:p>
    <w:p>
      <w:pPr>
        <w:pStyle w:val="TextBody"/>
        <w:bidi w:val="0"/>
        <w:spacing w:before="120" w:after="0"/>
        <w:jc w:val="both"/>
        <w:rPr>
          <w:rFonts w:ascii="Times New Roman" w:hAnsi="Times New Roman"/>
          <w:sz w:val="20"/>
        </w:rPr>
      </w:pPr>
      <w:r>
        <w:rPr>
          <w:rFonts w:ascii="Times New Roman" w:hAnsi="Times New Roman"/>
          <w:sz w:val="20"/>
        </w:rPr>
        <w:t xml:space="preserve">(iv) such Person institutes a proceeding seeking to adjudicate it as bankrupt, insolvent, or seeking liquidation, examinership, rescue process, dissolution, winding-up, reorganization, restructuring, compromise, rearrangement, arrangement, adjustment, protection, moratorium, relief, stay of proceedings of creditors generally (or any class of creditors), or composition of it or its debts or any other relief, under any applicable Debtor Relief Law or at common law or in equity, or files an answer admitting the material allegations of a petition filed against it in any such proceeding; </w:t>
      </w:r>
    </w:p>
    <w:p>
      <w:pPr>
        <w:pStyle w:val="TextBody"/>
        <w:bidi w:val="0"/>
        <w:spacing w:before="120" w:after="0"/>
        <w:jc w:val="both"/>
        <w:rPr>
          <w:rFonts w:ascii="Times New Roman" w:hAnsi="Times New Roman"/>
          <w:sz w:val="20"/>
        </w:rPr>
      </w:pPr>
      <w:r>
        <w:rPr>
          <w:rFonts w:ascii="Times New Roman" w:hAnsi="Times New Roman"/>
          <w:sz w:val="20"/>
        </w:rPr>
        <w:t xml:space="preserve">(v) such Person applies for the appointment of, or the taking of possession by, a receiver, examiner, process adviser, interim receiver, receiver/manager, sequestrator, conservator, custodian, administrator, trustee, liquidator, voluntary administrator, receiver and manager or other similar official (whether temporary, provisional or permanent) for it or any substantial part of its property; </w:t>
      </w:r>
    </w:p>
    <w:p>
      <w:pPr>
        <w:pStyle w:val="TextBody"/>
        <w:bidi w:val="0"/>
        <w:spacing w:before="120" w:after="0"/>
        <w:jc w:val="both"/>
        <w:rPr>
          <w:rFonts w:ascii="Times New Roman" w:hAnsi="Times New Roman"/>
          <w:sz w:val="20"/>
        </w:rPr>
      </w:pPr>
      <w:r>
        <w:rPr>
          <w:rFonts w:ascii="Times New Roman" w:hAnsi="Times New Roman"/>
          <w:sz w:val="20"/>
        </w:rPr>
        <w:t xml:space="preserve">(vi) any petition is filed, application made or other proceeding instituted against or in respect of such Person: </w:t>
      </w:r>
    </w:p>
    <w:p>
      <w:pPr>
        <w:pStyle w:val="TextBody"/>
        <w:bidi w:val="0"/>
        <w:spacing w:before="120" w:after="0"/>
        <w:jc w:val="both"/>
        <w:rPr>
          <w:rFonts w:ascii="Times New Roman" w:hAnsi="Times New Roman"/>
          <w:sz w:val="20"/>
        </w:rPr>
      </w:pPr>
      <w:r>
        <w:rPr>
          <w:rFonts w:ascii="Times New Roman" w:hAnsi="Times New Roman"/>
          <w:sz w:val="20"/>
        </w:rPr>
        <w:t xml:space="preserve">(A) seeking to adjudicate it as insolvent or bankrupt; </w:t>
      </w:r>
    </w:p>
    <w:p>
      <w:pPr>
        <w:pStyle w:val="TextBody"/>
        <w:bidi w:val="0"/>
        <w:spacing w:before="120" w:after="0"/>
        <w:jc w:val="both"/>
        <w:rPr>
          <w:rFonts w:ascii="Times New Roman" w:hAnsi="Times New Roman"/>
          <w:sz w:val="20"/>
        </w:rPr>
      </w:pPr>
      <w:r>
        <w:rPr>
          <w:rFonts w:ascii="Times New Roman" w:hAnsi="Times New Roman"/>
          <w:sz w:val="20"/>
        </w:rPr>
        <w:t xml:space="preserve">(B) seeking liquidation, a rescue process, examinership, dissolution, winding-up, reorganization, restructuring, compromise, rearrangement, arrangement, adjustment, protection, moratorium, relief, stay of proceedings of creditors generally (or any class of creditors), or composition of it or its debts or any other relief under any Debtor Relief Law or at common law or in equity; or </w:t>
      </w:r>
    </w:p>
    <w:p>
      <w:pPr>
        <w:pStyle w:val="TextBody"/>
        <w:bidi w:val="0"/>
        <w:spacing w:before="120" w:after="0"/>
        <w:jc w:val="both"/>
        <w:rPr>
          <w:rFonts w:ascii="Times New Roman" w:hAnsi="Times New Roman"/>
          <w:sz w:val="20"/>
        </w:rPr>
      </w:pPr>
      <w:r>
        <w:rPr>
          <w:rFonts w:ascii="Times New Roman" w:hAnsi="Times New Roman"/>
          <w:sz w:val="20"/>
        </w:rPr>
        <w:t xml:space="preserve">(C) seeking the entry of an order for relief or the appointment of, or the taking of possession by, a receiver, examiner, process adviser, interim receiver, receiver/manager, sequestrator, conservator, custodian, administrator, trustee, liquidator, voluntary administrator, receiver and manager or other similar official (whether temporary, provisional or permanent) for it or any substantial part of its property, </w:t>
      </w:r>
    </w:p>
    <w:p>
      <w:pPr>
        <w:pStyle w:val="TextBody"/>
        <w:bidi w:val="0"/>
        <w:spacing w:before="120" w:after="0"/>
        <w:jc w:val="both"/>
        <w:rPr>
          <w:rFonts w:ascii="Times New Roman" w:hAnsi="Times New Roman"/>
          <w:sz w:val="20"/>
        </w:rPr>
      </w:pPr>
      <w:r>
        <w:rPr>
          <w:rFonts w:ascii="Times New Roman" w:hAnsi="Times New Roman"/>
          <w:sz w:val="20"/>
        </w:rPr>
        <w:t xml:space="preserve">and, in each case under this </w:t>
      </w:r>
      <w:r>
        <w:rPr>
          <w:rFonts w:ascii="Times New Roman" w:hAnsi="Times New Roman"/>
          <w:sz w:val="20"/>
          <w:u w:val="single"/>
        </w:rPr>
        <w:t>clause (vi)</w:t>
      </w:r>
      <w:r>
        <w:rPr>
          <w:rFonts w:ascii="Times New Roman" w:hAnsi="Times New Roman"/>
          <w:sz w:val="20"/>
        </w:rPr>
        <w:t xml:space="preserve">, such petition, application or proceeding continues undismissed, or unstayed and in effect, for a period of sixty (60) days after the institution thereof; </w:t>
      </w:r>
      <w:r>
        <w:rPr>
          <w:rFonts w:ascii="Times New Roman" w:hAnsi="Times New Roman"/>
          <w:sz w:val="20"/>
          <w:u w:val="single"/>
        </w:rPr>
        <w:t>provided</w:t>
      </w:r>
      <w:r>
        <w:rPr>
          <w:rFonts w:ascii="Times New Roman" w:hAnsi="Times New Roman"/>
          <w:sz w:val="20"/>
        </w:rPr>
        <w:t xml:space="preserve">, that if an order, decree or judgment is granted or entered (whether or not entered or subject to appeal) against such Person thereunder in the interim, such grace period will cease to apply;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Person files an answer admitting the material allegations of a petition filed against it in any such proceeding prior to such date, the grace period will cease to apply;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(vii) such Person takes any action, corporate or otherwise, including, an affirmative vote by the board of directors (or equivalent management or oversight body) of such Person, to commence any Insolvency Proceeding or to approve, effect, consent to or authorize any of the actions described in the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w:t>
      </w:r>
      <w:r>
        <w:rPr>
          <w:rFonts w:ascii="Times New Roman" w:hAnsi="Times New Roman"/>
          <w:sz w:val="20"/>
        </w:rPr>
        <w:t xml:space="preserve"> above, or otherwise acts in furtherance thereof; or </w:t>
      </w:r>
    </w:p>
    <w:p>
      <w:pPr>
        <w:pStyle w:val="TextBody"/>
        <w:bidi w:val="0"/>
        <w:spacing w:before="120" w:after="0"/>
        <w:jc w:val="both"/>
        <w:rPr>
          <w:rFonts w:ascii="Times New Roman" w:hAnsi="Times New Roman"/>
          <w:sz w:val="20"/>
        </w:rPr>
      </w:pPr>
      <w:r>
        <w:rPr>
          <w:rFonts w:ascii="Times New Roman" w:hAnsi="Times New Roman"/>
          <w:sz w:val="20"/>
        </w:rPr>
        <w:t xml:space="preserve">(viii) any other event or circumstance occurs which, under applicable Debtor Relief Laws, has an equivalent effect to any of the events or circumstances referred to in the other clauses of this definition. </w:t>
      </w:r>
    </w:p>
    <w:p>
      <w:pPr>
        <w:pStyle w:val="TextBody"/>
        <w:bidi w:val="0"/>
        <w:spacing w:before="240" w:after="0"/>
        <w:jc w:val="both"/>
        <w:rPr/>
      </w:pPr>
      <w:r>
        <w:rPr/>
        <w:t>“</w:t>
      </w:r>
      <w:r>
        <w:rPr>
          <w:rFonts w:ascii="Times New Roman" w:hAnsi="Times New Roman"/>
          <w:sz w:val="20"/>
          <w:u w:val="single"/>
        </w:rPr>
        <w:t>Base Rate</w:t>
      </w:r>
      <w:r>
        <w:rPr>
          <w:rFonts w:ascii="Times New Roman" w:hAnsi="Times New Roman"/>
          <w:sz w:val="20"/>
        </w:rPr>
        <w:t xml:space="preserve">” has the meaning set forth in the definition of Applicable Rate. </w:t>
      </w:r>
    </w:p>
    <w:p>
      <w:pPr>
        <w:pStyle w:val="TextBody"/>
        <w:bidi w:val="0"/>
        <w:spacing w:before="240" w:after="0"/>
        <w:jc w:val="both"/>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both"/>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both"/>
        <w:rPr/>
      </w:pPr>
      <w:r>
        <w:rPr/>
        <w:t>“</w:t>
      </w:r>
      <w:r>
        <w:rPr>
          <w:rFonts w:ascii="Times New Roman" w:hAnsi="Times New Roman"/>
          <w:sz w:val="20"/>
          <w:u w:val="single"/>
        </w:rPr>
        <w:t>Benefit Plan</w:t>
      </w:r>
      <w:r>
        <w:rPr>
          <w:rFonts w:ascii="Times New Roman" w:hAnsi="Times New Roman"/>
          <w:sz w:val="20"/>
        </w:rPr>
        <w:t xml:space="preserve">” means any of (i) an “employee benefit plan” (as defined in ERISA) that is subject to Title I of ERISA, (ii) a “plan” as defined in and subject to Section 4975 of the Code or (iii)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both"/>
        <w:rPr/>
      </w:pPr>
      <w:r>
        <w:rPr/>
        <w:t>“</w:t>
      </w:r>
      <w:r>
        <w:rPr>
          <w:rFonts w:ascii="Times New Roman" w:hAnsi="Times New Roman"/>
          <w:sz w:val="20"/>
          <w:u w:val="single"/>
        </w:rPr>
        <w:t>Bill of Sale</w:t>
      </w:r>
      <w:r>
        <w:rPr>
          <w:rFonts w:ascii="Times New Roman" w:hAnsi="Times New Roman"/>
          <w:sz w:val="20"/>
        </w:rPr>
        <w:t xml:space="preserve">” means that certain Bill of Sale and Assignment made as of the Closing Date, by and between TBIL, as Seller, and the DST Issuer, as Buyer, pursuant to the Contribution, Purchase and Sale Agreement. </w:t>
      </w:r>
    </w:p>
    <w:p>
      <w:pPr>
        <w:pStyle w:val="TextBody"/>
        <w:bidi w:val="0"/>
        <w:spacing w:before="240" w:after="0"/>
        <w:jc w:val="both"/>
        <w:rPr/>
      </w:pPr>
      <w:r>
        <w:rPr/>
        <w:t>“</w:t>
      </w:r>
      <w:r>
        <w:rPr>
          <w:rFonts w:ascii="Times New Roman" w:hAnsi="Times New Roman"/>
          <w:sz w:val="20"/>
          <w:u w:val="single"/>
        </w:rPr>
        <w:t>Blocked Account</w:t>
      </w:r>
      <w:r>
        <w:rPr>
          <w:rFonts w:ascii="Times New Roman" w:hAnsi="Times New Roman"/>
          <w:sz w:val="20"/>
        </w:rPr>
        <w:t xml:space="preserve">” means, collectively, any deposit account established and maintained in the United States at the Account Bank and pledged as Collateral pursuant to the terms of the Collateral Documents and subject to a Control Agreement that is subject to the full dominion and “control” of the Agent within the meaning of Section 9-104 of the UCC. </w:t>
      </w:r>
    </w:p>
    <w:p>
      <w:pPr>
        <w:pStyle w:val="TextBody"/>
        <w:bidi w:val="0"/>
        <w:spacing w:before="240" w:after="0"/>
        <w:jc w:val="both"/>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or the City of Toronto, St. Paul, Minnesota or Boston, Massachusetts are authorized or required by Law to remain closed. </w:t>
      </w:r>
    </w:p>
    <w:p>
      <w:pPr>
        <w:pStyle w:val="TextBody"/>
        <w:bidi w:val="0"/>
        <w:spacing w:before="240" w:after="0"/>
        <w:jc w:val="both"/>
        <w:rPr/>
      </w:pPr>
      <w:r>
        <w:rPr/>
        <w:t>“</w:t>
      </w:r>
      <w:r>
        <w:rPr>
          <w:rFonts w:ascii="Times New Roman" w:hAnsi="Times New Roman"/>
          <w:sz w:val="20"/>
          <w:u w:val="single"/>
        </w:rPr>
        <w:t>Calendar Quarter</w:t>
      </w:r>
      <w:r>
        <w:rPr>
          <w:rFonts w:ascii="Times New Roman" w:hAnsi="Times New Roman"/>
          <w:sz w:val="20"/>
        </w:rPr>
        <w:t xml:space="preserve">” means each successive period of three (3) consecutive calendar months ending on March 31, June 30, September 30 or December 31. </w:t>
      </w:r>
    </w:p>
    <w:p>
      <w:pPr>
        <w:pStyle w:val="TextBody"/>
        <w:bidi w:val="0"/>
        <w:spacing w:before="240" w:after="0"/>
        <w:jc w:val="both"/>
        <w:rPr/>
      </w:pPr>
      <w:r>
        <w:rPr/>
        <w:t>“</w:t>
      </w:r>
      <w:r>
        <w:rPr>
          <w:rFonts w:ascii="Times New Roman" w:hAnsi="Times New Roman"/>
          <w:sz w:val="20"/>
          <w:u w:val="single"/>
        </w:rPr>
        <w:t>CDD Rule</w:t>
      </w:r>
      <w:r>
        <w:rPr>
          <w:rFonts w:ascii="Times New Roman" w:hAnsi="Times New Roman"/>
          <w:sz w:val="20"/>
        </w:rPr>
        <w:t xml:space="preserve">” means the Customer Due Diligence Requirements for Financial Institutions issued by the U.S. Department of Treasury Financial Crimes Enforcement Network under the Bank Secrecy Act (such rule published May 11, 2016, and effective as of May 11, 2018),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Certain Funds Provision</w:t>
      </w:r>
      <w:r>
        <w:rPr>
          <w:rFonts w:ascii="Times New Roman" w:hAnsi="Times New Roman"/>
          <w:sz w:val="20"/>
        </w:rPr>
        <w:t xml:space="preserve">” means the following provisions: notwithstanding anything in this Agreement or any other Note Document to the contrary, (i) the only representations the accuracy of which shall be a condition to the purchase of the Notes on the Closing Date shall be (A) the Specified Acquisition Agreement Representations and (B) the Specified Representations, and (ii) to the extent any security interest in any Collateral is not or cannot be provided or perfected on the Closing Date as required under the Collateral Documents (other than the creation and perfection of a security interest in Collateral with respect to which a Lien may be perfected by (w) the filing of financing statements under the UCC, (x) entry into Control Agreements in favor of the Agent and/or the Account Bank, for the benefit of the Secured Parties, over the deposit accounts and securities accounts of the Issuers, (y) delivery of certificates representing the Equity Interests and/or beneficial interests (to the extent such Equity Interests and/or beneficial interests are certificated) in each of the Issuers and any subsidiaries of the Issuers and/or (z) the filing of an IP Security Agreement with the United States Patent and Trademark Office or the United States Copyright Office) after the Note Parties’ use of reasonable best efforts to do so without undue burden or expense, then the provision and/or perfection of a security interest in such Collateral shall not constitute a condition precedent to the purchase of the Notes on the Closing Date, and such security interest shall instead be provided or perfected as required by the relevant Collateral Documents (subject to such extensions as are reasonably agreed by the Agent (at the direction of the Requisite Purchasers)); </w:t>
      </w:r>
      <w:r>
        <w:rPr>
          <w:rFonts w:ascii="Times New Roman" w:hAnsi="Times New Roman"/>
          <w:sz w:val="20"/>
          <w:u w:val="single"/>
        </w:rPr>
        <w:t>provided</w:t>
      </w:r>
      <w:r>
        <w:rPr>
          <w:rFonts w:ascii="Times New Roman" w:hAnsi="Times New Roman"/>
          <w:sz w:val="20"/>
        </w:rPr>
        <w:t xml:space="preserve">, that the guarantees under the Guaranty and Security Agreement and the Bad Acts Guaranty required to be provided on the Closing Date shall be provided on the Closing Date. </w:t>
      </w:r>
    </w:p>
    <w:p>
      <w:pPr>
        <w:pStyle w:val="TextBody"/>
        <w:bidi w:val="0"/>
        <w:spacing w:before="240" w:after="0"/>
        <w:jc w:val="both"/>
        <w:rPr/>
      </w:pPr>
      <w:r>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(i)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of more than fifty percent (50%) of the Equity Interests of the Parent entitled to vote (through contract, ownership of voting securities or otherwise) for members of its board of directors on a fully diluted basis (and taking into account all such securities that such person or group has the right to acquire pursuant to any option right); </w:t>
      </w:r>
    </w:p>
    <w:p>
      <w:pPr>
        <w:pStyle w:val="TextBody"/>
        <w:bidi w:val="0"/>
        <w:spacing w:before="120" w:after="0"/>
        <w:jc w:val="both"/>
        <w:rPr>
          <w:rFonts w:ascii="Times New Roman" w:hAnsi="Times New Roman"/>
          <w:sz w:val="20"/>
        </w:rPr>
      </w:pPr>
      <w:r>
        <w:rPr>
          <w:rFonts w:ascii="Times New Roman" w:hAnsi="Times New Roman"/>
          <w:sz w:val="20"/>
        </w:rPr>
        <w:t xml:space="preserve">(ii) at any time, the Parent shall cease to own and control, of record and beneficially, directly or indirectly, one hundred percent (100%) of the aggregate voting and economic power of the Equity Interests of TBIL or TBUS free and clear of all Liens (other than non-consensual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(iii) at any time, TBIL shall cease to own and control, of record and beneficially, directly, one hundred percent (100%) of the aggregate voting and economic power of the Equity Interests of the DST Issuer or Trustee Co-Issuer free and clear of all Liens (other than Liens in favor of the Agent, for the benefit of the Secured Parties, and non-consensual Permitted Liens); and </w:t>
      </w:r>
    </w:p>
    <w:p>
      <w:pPr>
        <w:pStyle w:val="TextBody"/>
        <w:bidi w:val="0"/>
        <w:spacing w:before="120" w:after="0"/>
        <w:jc w:val="both"/>
        <w:rPr>
          <w:rFonts w:ascii="Times New Roman" w:hAnsi="Times New Roman"/>
          <w:sz w:val="20"/>
        </w:rPr>
      </w:pPr>
      <w:r>
        <w:rPr>
          <w:rFonts w:ascii="Times New Roman" w:hAnsi="Times New Roman"/>
          <w:sz w:val="20"/>
        </w:rPr>
        <w:t xml:space="preserve">(iv) at any time, the DST Issuer shall cease to own and control, of record and beneficially, directly, one hundred percent (100%) of the aggregate voting and economic power of the Equity Interests of TABI or RDIP free and clear of all Liens (other than Liens in favor of the Agent, for the benefit of the Secured Parties, and non-consensual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and solely in respect of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 transaction will not be deemed a “Change of Control” if such transaction is a Permitted Change of Control. </w:t>
      </w:r>
    </w:p>
    <w:p>
      <w:pPr>
        <w:pStyle w:val="TextBody"/>
        <w:bidi w:val="0"/>
        <w:spacing w:before="240" w:after="0"/>
        <w:jc w:val="both"/>
        <w:rPr/>
      </w:pPr>
      <w:r>
        <w:rPr/>
        <w:t>“</w:t>
      </w:r>
      <w:r>
        <w:rPr>
          <w:rFonts w:ascii="Times New Roman" w:hAnsi="Times New Roman"/>
          <w:sz w:val="20"/>
          <w:u w:val="single"/>
        </w:rPr>
        <w:t>Closing Date</w:t>
      </w:r>
      <w:r>
        <w:rPr>
          <w:rFonts w:ascii="Times New Roman" w:hAnsi="Times New Roman"/>
          <w:sz w:val="20"/>
        </w:rPr>
        <w:t xml:space="preserve">” means September 23, 2026. </w:t>
      </w:r>
    </w:p>
    <w:p>
      <w:pPr>
        <w:pStyle w:val="TextBody"/>
        <w:bidi w:val="0"/>
        <w:spacing w:before="240" w:after="0"/>
        <w:jc w:val="both"/>
        <w:rPr/>
      </w:pPr>
      <w:r>
        <w:rPr/>
        <w:t>“</w:t>
      </w:r>
      <w:r>
        <w:rPr>
          <w:rFonts w:ascii="Times New Roman" w:hAnsi="Times New Roman"/>
          <w:sz w:val="20"/>
          <w:u w:val="single"/>
        </w:rPr>
        <w:t>Closing Date Fee Letters</w:t>
      </w:r>
      <w:r>
        <w:rPr>
          <w:rFonts w:ascii="Times New Roman" w:hAnsi="Times New Roman"/>
          <w:sz w:val="20"/>
        </w:rPr>
        <w:t xml:space="preserve">” means that certain (i) fee letter dated as of the Closing Date, entered into by the Issuers and the Agent and (ii) fee letter dated as of the Closing Date, entered into by the Issuers and the Purchasers. </w:t>
      </w:r>
    </w:p>
    <w:p>
      <w:pPr>
        <w:pStyle w:val="TextBody"/>
        <w:bidi w:val="0"/>
        <w:spacing w:before="240" w:after="0"/>
        <w:jc w:val="both"/>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Collaboration Agreement</w:t>
      </w:r>
      <w:r>
        <w:rPr>
          <w:rFonts w:ascii="Times New Roman" w:hAnsi="Times New Roman"/>
          <w:sz w:val="20"/>
        </w:rPr>
        <w:t xml:space="preserve">” means that certain Development and Commercialization Agreement dated as of January 30, 2015, by and between TBIL (as assignee of Theravance Biopharma R&amp;D, Inc.) and the Collaboration Partner, as amended by the Side Letter to the Development and Commercialization Agreement, dated as of May 1, 2022, and Amendment No. 1 to the Development and Commercialization Agreement, dated as of June 12, 2019, in each case, in the form existing on the Closing Date and acquired by the DST Issuer pursuant to the Contribution, Purchase and Sale Agreement; </w:t>
      </w:r>
      <w:r>
        <w:rPr>
          <w:rFonts w:ascii="Times New Roman" w:hAnsi="Times New Roman"/>
          <w:sz w:val="20"/>
          <w:u w:val="single"/>
        </w:rPr>
        <w:t>provided</w:t>
      </w:r>
      <w:r>
        <w:rPr>
          <w:rFonts w:ascii="Times New Roman" w:hAnsi="Times New Roman"/>
          <w:sz w:val="20"/>
        </w:rPr>
        <w:t xml:space="preserve">, that the Collaboration Agreement may be further amended, restated, amended and restated, reformed, supplemented or otherwise modified from time to time after the Closing Date solely to the extent such amendment, restatement, amendment and restatement, reformation, supplement or other modification is made in compliance with the terms of this Agreement. For clarity, the Collaboration Agreement includes (i) the Pharmacovigilance Agreement, effective as of March 3, 2023, by and between TBIL and the Collaboration Partner, (ii) the Pharmacovigilance Agreement, effective as of April 14, 2022, by and between TBIL and the Collaboration Partner, as amended by Amendment 1 of Pharmacovigilance Agreement, effective as of June 16, 2022, (iii) the Pharmacovigilance Agreement, effective as of August 1, 2018, by and between TBIL and the Collaboration Partner, as amended by Amendment #1 to the Pharmacovigilance Agreement, effective as of April 29, 2019, and (iv) the Pharmacovigilance Agreement, effective as of March 11, 2020, by and between TBIL and the Collaboration Partner, as amended by Amendment #1 of Pharmacovigilance Agreement, effective as of November 17, 2021. </w:t>
      </w:r>
    </w:p>
    <w:p>
      <w:pPr>
        <w:pStyle w:val="TextBody"/>
        <w:bidi w:val="0"/>
        <w:spacing w:before="240" w:after="0"/>
        <w:jc w:val="both"/>
        <w:rPr/>
      </w:pPr>
      <w:r>
        <w:rPr/>
        <w:t>“</w:t>
      </w:r>
      <w:r>
        <w:rPr>
          <w:rFonts w:ascii="Times New Roman" w:hAnsi="Times New Roman"/>
          <w:sz w:val="20"/>
          <w:u w:val="single"/>
        </w:rPr>
        <w:t>Collaboration Partner</w:t>
      </w:r>
      <w:r>
        <w:rPr>
          <w:rFonts w:ascii="Times New Roman" w:hAnsi="Times New Roman"/>
          <w:sz w:val="20"/>
        </w:rPr>
        <w:t xml:space="preserve">” means Mylan Ireland Limited. </w:t>
      </w:r>
    </w:p>
    <w:p>
      <w:pPr>
        <w:pStyle w:val="TextBody"/>
        <w:bidi w:val="0"/>
        <w:spacing w:before="240" w:after="0"/>
        <w:jc w:val="both"/>
        <w:rPr/>
      </w:pPr>
      <w:r>
        <w:rPr/>
        <w:t>“</w:t>
      </w:r>
      <w:r>
        <w:rPr>
          <w:rFonts w:ascii="Times New Roman" w:hAnsi="Times New Roman"/>
          <w:sz w:val="20"/>
          <w:u w:val="single"/>
        </w:rPr>
        <w:t>Collaboration Partner Confidential Information</w:t>
      </w:r>
      <w:r>
        <w:rPr>
          <w:rFonts w:ascii="Times New Roman" w:hAnsi="Times New Roman"/>
          <w:sz w:val="20"/>
        </w:rPr>
        <w:t xml:space="preserve">” means the Confidential Information (as defined in the Collaboration Agreement) of the Collaboration Partner. </w:t>
      </w:r>
    </w:p>
    <w:p>
      <w:pPr>
        <w:pStyle w:val="TextBody"/>
        <w:bidi w:val="0"/>
        <w:spacing w:before="240" w:after="0"/>
        <w:jc w:val="both"/>
        <w:rPr/>
      </w:pPr>
      <w:r>
        <w:rPr/>
        <w:t>“</w:t>
      </w:r>
      <w:r>
        <w:rPr>
          <w:rFonts w:ascii="Times New Roman" w:hAnsi="Times New Roman"/>
          <w:sz w:val="20"/>
          <w:u w:val="single"/>
        </w:rPr>
        <w:t>Collateral</w:t>
      </w:r>
      <w:r>
        <w:rPr>
          <w:rFonts w:ascii="Times New Roman" w:hAnsi="Times New Roman"/>
          <w:sz w:val="20"/>
        </w:rPr>
        <w:t xml:space="preserve">” means, all personal, intangible (including Intellectual Property and Ancillary IP Rights) and mixed property, leases, rents, rights, powers, benefits, privileges, remedies, and interests therein and proceeds thereof (including Product Rights and all rights of the Note Parties in, to and under the Covered Agreements, including all rights to receive, access, use and enforce all written information delivered or received under or pursuant to the Covered Agreements, including all written reports, minutes and material records from, and written meeting materials of, the joint steering committee, joint product committee and/or joint commercialization committee), whether now owned or hereafter acquired, in or upon which Liens are purported to be granted pursuant to any of the Collateral Documents and/or other Note Documents as security for the Obligations. </w:t>
      </w:r>
    </w:p>
    <w:p>
      <w:pPr>
        <w:pStyle w:val="TextBody"/>
        <w:bidi w:val="0"/>
        <w:spacing w:before="240" w:after="0"/>
        <w:jc w:val="both"/>
        <w:rPr/>
      </w:pPr>
      <w:r>
        <w:rPr/>
        <w:t>“</w:t>
      </w:r>
      <w:r>
        <w:rPr>
          <w:rFonts w:ascii="Times New Roman" w:hAnsi="Times New Roman"/>
          <w:sz w:val="20"/>
          <w:u w:val="single"/>
        </w:rPr>
        <w:t>Collateral Documents</w:t>
      </w:r>
      <w:r>
        <w:rPr>
          <w:rFonts w:ascii="Times New Roman" w:hAnsi="Times New Roman"/>
          <w:sz w:val="20"/>
        </w:rPr>
        <w:t xml:space="preserve">” means the Guaranty and Security Agreement, Irish Security Agreement, any Control Agreement, each IP Security Agreement and each acknowledgement with respect to any such agreements, and all other instruments, powers of attorney, intercompany notes, allonges, certificates, documents, agreements, acknowledgements, collateral assignments, notices and filings delivered in connection with the Collateral, this Agreement or any of the other Note Documents in order to grant to (or evidence the grant to) the Agent, for the benefit of the Secured Parties, a Lien on Collateral as security for the Obligations. </w:t>
      </w:r>
    </w:p>
    <w:p>
      <w:pPr>
        <w:pStyle w:val="TextBody"/>
        <w:bidi w:val="0"/>
        <w:spacing w:before="240" w:after="0"/>
        <w:jc w:val="both"/>
        <w:rPr/>
      </w:pPr>
      <w:r>
        <w:rPr/>
        <w:t>“</w:t>
      </w:r>
      <w:r>
        <w:rPr>
          <w:rFonts w:ascii="Times New Roman" w:hAnsi="Times New Roman"/>
          <w:sz w:val="20"/>
          <w:u w:val="single"/>
        </w:rPr>
        <w:t>Collection Account</w:t>
      </w:r>
      <w:r>
        <w:rPr>
          <w:rFonts w:ascii="Times New Roman" w:hAnsi="Times New Roman"/>
          <w:sz w:val="20"/>
        </w:rPr>
        <w:t xml:space="preserve">” means that certain Blocked Account described on </w:t>
      </w:r>
      <w:r>
        <w:rPr>
          <w:rFonts w:ascii="Times New Roman" w:hAnsi="Times New Roman"/>
          <w:sz w:val="20"/>
          <w:u w:val="single"/>
        </w:rPr>
        <w:t>Schedule 4</w:t>
      </w:r>
      <w:r>
        <w:rPr>
          <w:rFonts w:ascii="Times New Roman" w:hAnsi="Times New Roman"/>
          <w:sz w:val="20"/>
        </w:rPr>
        <w:t xml:space="preserve"> of this Agreement maintained with the Account Bank and established solely for the purpose of receiving remittance of all payments (a) as provided in </w:t>
      </w:r>
      <w:r>
        <w:rPr>
          <w:rFonts w:ascii="Times New Roman" w:hAnsi="Times New Roman"/>
          <w:sz w:val="20"/>
          <w:u w:val="single"/>
        </w:rPr>
        <w:t>Section 3.03(g)</w:t>
      </w:r>
      <w:r>
        <w:rPr>
          <w:rFonts w:ascii="Times New Roman" w:hAnsi="Times New Roman"/>
          <w:sz w:val="20"/>
        </w:rPr>
        <w:t xml:space="preserve"> or (b) in respect of or derived from the Collaboration Agreement or the Co-Promotion Agreement and disbursement thereof as provided herein, and any successor Collection Account entered into in accordance with </w:t>
      </w:r>
      <w:r>
        <w:rPr>
          <w:rFonts w:ascii="Times New Roman" w:hAnsi="Times New Roman"/>
          <w:sz w:val="20"/>
          <w:u w:val="single"/>
        </w:rPr>
        <w:t>Section 3.03</w:t>
      </w:r>
      <w:r>
        <w:rPr>
          <w:rFonts w:ascii="Times New Roman" w:hAnsi="Times New Roman"/>
          <w:sz w:val="20"/>
        </w:rPr>
        <w:t xml:space="preserve"> and the related Control Agreement. </w:t>
      </w:r>
    </w:p>
    <w:p>
      <w:pPr>
        <w:pStyle w:val="TextBody"/>
        <w:bidi w:val="0"/>
        <w:spacing w:before="240" w:after="0"/>
        <w:jc w:val="both"/>
        <w:rPr/>
      </w:pPr>
      <w:r>
        <w:rPr/>
        <w:t>“</w:t>
      </w:r>
      <w:r>
        <w:rPr>
          <w:rFonts w:ascii="Times New Roman" w:hAnsi="Times New Roman"/>
          <w:sz w:val="20"/>
          <w:u w:val="single"/>
        </w:rPr>
        <w:t>Collection Period</w:t>
      </w:r>
      <w:r>
        <w:rPr>
          <w:rFonts w:ascii="Times New Roman" w:hAnsi="Times New Roman"/>
          <w:sz w:val="20"/>
        </w:rPr>
        <w:t xml:space="preserve">” means each Calendar Quarter commencing with the Calendar Quarter in which the Closing Date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Commercialization</w:t>
      </w:r>
      <w:r>
        <w:rPr>
          <w:rFonts w:ascii="Times New Roman" w:hAnsi="Times New Roman"/>
          <w:sz w:val="20"/>
        </w:rPr>
        <w:t xml:space="preserve">” means any and all activities directed to marketing, advertising, promoting, distributing (including storing, transporting), detailing and otherwise offering for sale and selling Licensed Product, regardless of whether such activities occur prior to or after receipt of marketing authorization (including medical support planning) of such Licensed Product, including exporting or importing Licensed Product (to the extent applicable) for such purposes, conducting health economic studies and Phase 4 Studies, market research, and regulatory affairs and interactions with Governmental Authorities in support of the foregoing. For clarity, Commercialization includes any and all (a) Co-Promotion (as defined in the Co-Promotion Agreement) activities and (b) activities with respect to pricing, discounting, reimbursement and patient access for Licensed Product through all private and public channels. When used as a verb, “Commercialize” means to engage in Commercialization. </w:t>
      </w:r>
    </w:p>
    <w:p>
      <w:pPr>
        <w:pStyle w:val="TextBody"/>
        <w:bidi w:val="0"/>
        <w:spacing w:before="240" w:after="0"/>
        <w:jc w:val="both"/>
        <w:rPr/>
      </w:pPr>
      <w:r>
        <w:rPr/>
        <w:t>“</w:t>
      </w:r>
      <w:r>
        <w:rPr>
          <w:rFonts w:ascii="Times New Roman" w:hAnsi="Times New Roman"/>
          <w:sz w:val="20"/>
          <w:u w:val="single"/>
        </w:rPr>
        <w:t>Commitment Letter</w:t>
      </w:r>
      <w:r>
        <w:rPr>
          <w:rFonts w:ascii="Times New Roman" w:hAnsi="Times New Roman"/>
          <w:sz w:val="20"/>
        </w:rPr>
        <w:t xml:space="preserve">” means that certain Commitment Letter, dated as of June 28, 2026 by and among Parent, Merger Sub 1 and OMERS Life Sciences. </w:t>
      </w:r>
    </w:p>
    <w:p>
      <w:pPr>
        <w:pStyle w:val="TextBody"/>
        <w:bidi w:val="0"/>
        <w:spacing w:before="240" w:after="0"/>
        <w:jc w:val="both"/>
        <w:rPr/>
      </w:pPr>
      <w:r>
        <w:rPr/>
        <w:t>“</w:t>
      </w:r>
      <w:r>
        <w:rPr>
          <w:rFonts w:ascii="Times New Roman" w:hAnsi="Times New Roman"/>
          <w:sz w:val="20"/>
          <w:u w:val="single"/>
        </w:rPr>
        <w:t>Confidential Information</w:t>
      </w:r>
      <w:r>
        <w:rPr>
          <w:rFonts w:ascii="Times New Roman" w:hAnsi="Times New Roman"/>
          <w:sz w:val="20"/>
        </w:rPr>
        <w:t xml:space="preserve">” means any and all technical and non-technical non-public information provided by either Party to the other (including, without limitation, any notices or other information provided pursuant to </w:t>
      </w:r>
      <w:r>
        <w:rPr>
          <w:rFonts w:ascii="Times New Roman" w:hAnsi="Times New Roman"/>
          <w:sz w:val="20"/>
          <w:u w:val="single"/>
        </w:rPr>
        <w:t>Section 7.02</w:t>
      </w:r>
      <w:r>
        <w:rPr>
          <w:rFonts w:ascii="Times New Roman" w:hAnsi="Times New Roman"/>
          <w:sz w:val="20"/>
        </w:rPr>
        <w:t xml:space="preserve">), either directly or indirectly, whether in graphic, written, electronic or oral form, and marked or identified at the time of disclosure as confidential, or which by its context would reasonably be deemed to be confidential), including information relating to a Party’s, its Affiliates’, or its licensees’ or sublicensees’ revenues, net sales, costs, technology, products and services, and any business, financial or customer information relating to a Party. Confidential Information shall not include any information that is: (i) known to the general public at the time of its disclosure to such Party or its Affiliates, or thereafter became generally known to the general public, other than as a result of actions or omissions of the receiving Party, its Affiliates, or anyone to whom the receiving Party or its Affiliates disclosed such portion in violation of </w:t>
      </w:r>
      <w:r>
        <w:rPr>
          <w:rFonts w:ascii="Times New Roman" w:hAnsi="Times New Roman"/>
          <w:sz w:val="20"/>
          <w:u w:val="single"/>
        </w:rPr>
        <w:t>Section 11.17</w:t>
      </w:r>
      <w:r>
        <w:rPr>
          <w:rFonts w:ascii="Times New Roman" w:hAnsi="Times New Roman"/>
          <w:sz w:val="20"/>
        </w:rPr>
        <w:t xml:space="preserve">; (ii) known by the receiving Party or its Affiliates prior to the date of disclosure by the disclosing Party and not subject to confidentiality obligations; (iii) disclosed to the receiving Party or its Affiliates on an unrestricted basis from a source unrelated to the disclosing Party and not known by the receiving Party or its Affiliates to be under a duty of confidentiality to the disclosing Party; or (iv) independently developed by the receiving Party or its Affiliates without use of or reference to the Confidential Information. </w:t>
      </w:r>
    </w:p>
    <w:p>
      <w:pPr>
        <w:pStyle w:val="TextBody"/>
        <w:bidi w:val="0"/>
        <w:spacing w:before="240" w:after="0"/>
        <w:jc w:val="both"/>
        <w:rPr/>
      </w:pPr>
      <w:r>
        <w:rPr/>
        <w:t>“</w:t>
      </w:r>
      <w:r>
        <w:rPr>
          <w:rFonts w:ascii="Times New Roman" w:hAnsi="Times New Roman"/>
          <w:sz w:val="20"/>
          <w:u w:val="single"/>
        </w:rPr>
        <w:t>Contract</w:t>
      </w:r>
      <w:r>
        <w:rPr>
          <w:rFonts w:ascii="Times New Roman" w:hAnsi="Times New Roman"/>
          <w:sz w:val="20"/>
        </w:rPr>
        <w:t xml:space="preserve">” means any agreement, instrument, contract, lease, commitment, license, sublicense, letters of intent, memorandum of understanding, offer letter and other arrangement or undertaking that is legally binding, whether written or oral. </w:t>
      </w:r>
    </w:p>
    <w:p>
      <w:pPr>
        <w:pStyle w:val="TextBody"/>
        <w:bidi w:val="0"/>
        <w:spacing w:before="240" w:after="0"/>
        <w:jc w:val="both"/>
        <w:rPr/>
      </w:pPr>
      <w:r>
        <w:rPr/>
        <w:t>“</w:t>
      </w:r>
      <w:r>
        <w:rPr>
          <w:rFonts w:ascii="Times New Roman" w:hAnsi="Times New Roman"/>
          <w:sz w:val="20"/>
          <w:u w:val="single"/>
        </w:rPr>
        <w:t>Contractual Obligation</w:t>
      </w:r>
      <w:r>
        <w:rPr>
          <w:rFonts w:ascii="Times New Roman" w:hAnsi="Times New Roman"/>
          <w:sz w:val="20"/>
        </w:rPr>
        <w:t xml:space="preserve">” means, as to any Person, any Contract to which such Person is a party or by which it or any of its property is bound. </w:t>
      </w:r>
    </w:p>
    <w:p>
      <w:pPr>
        <w:pStyle w:val="TextBody"/>
        <w:bidi w:val="0"/>
        <w:spacing w:before="240" w:after="0"/>
        <w:jc w:val="both"/>
        <w:rPr/>
      </w:pPr>
      <w:r>
        <w:rPr/>
        <w:t>“</w:t>
      </w:r>
      <w:r>
        <w:rPr>
          <w:rFonts w:ascii="Times New Roman" w:hAnsi="Times New Roman"/>
          <w:sz w:val="20"/>
          <w:u w:val="single"/>
        </w:rPr>
        <w:t>Contribution, Purchase and Sale Agreement</w:t>
      </w:r>
      <w:r>
        <w:rPr>
          <w:rFonts w:ascii="Times New Roman" w:hAnsi="Times New Roman"/>
          <w:sz w:val="20"/>
        </w:rPr>
        <w:t xml:space="preserve">” means that certain Contribution, Purchase and Sale Agreement dated as of the Closing Date, by and between TBIL, as Seller, and DST Issuer, as purchaser. </w:t>
      </w:r>
    </w:p>
    <w:p>
      <w:pPr>
        <w:pStyle w:val="TextBody"/>
        <w:bidi w:val="0"/>
        <w:spacing w:before="240" w:after="0"/>
        <w:jc w:val="both"/>
        <w:rPr/>
      </w:pPr>
      <w:r>
        <w:rPr/>
        <w:t>“</w:t>
      </w:r>
      <w:r>
        <w:rPr>
          <w:rFonts w:ascii="Times New Roman" w:hAnsi="Times New Roman"/>
          <w:sz w:val="20"/>
          <w:u w:val="single"/>
        </w:rPr>
        <w:t>Control Agreement</w:t>
      </w:r>
      <w:r>
        <w:rPr>
          <w:rFonts w:ascii="Times New Roman" w:hAnsi="Times New Roman"/>
          <w:sz w:val="20"/>
        </w:rPr>
        <w:t xml:space="preserve">” means, with respect to Collateral consisting of any deposit account, any securities account, commodity account, securities entitlement or commodity contract, an agreement, in form and substance reasonably satisfactory to the Agent (acting at the direction of the Requisite Purchasers), among the Agent, the financial institution or other Person at which such account is maintained, which as of the Closing Date shall include the Account Bank with respect to the Collection Account, or with which such entitlement or contract is carried and the Note Party party thereto effective to grant “control” (as defined under the UCC) over such account to the Agent; it being understood that any reference to a Control Agreement with respect to the Collection Account shall be a Blocked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Co-Promotion Agreement</w:t>
      </w:r>
      <w:r>
        <w:rPr>
          <w:rFonts w:ascii="Times New Roman" w:hAnsi="Times New Roman"/>
          <w:sz w:val="20"/>
        </w:rPr>
        <w:t xml:space="preserve">” means that certain Co-Promotion Agreement, dated as of June 29, 2017, by and between TBUS and the Collaboration Partner, as in effect on the Closing Date. </w:t>
      </w:r>
    </w:p>
    <w:p>
      <w:pPr>
        <w:pStyle w:val="TextBody"/>
        <w:bidi w:val="0"/>
        <w:spacing w:before="240" w:after="0"/>
        <w:jc w:val="both"/>
        <w:rPr/>
      </w:pPr>
      <w:r>
        <w:rPr/>
        <w:t>“</w:t>
      </w:r>
      <w:r>
        <w:rPr>
          <w:rFonts w:ascii="Times New Roman" w:hAnsi="Times New Roman"/>
          <w:sz w:val="20"/>
          <w:u w:val="single"/>
        </w:rPr>
        <w:t>Copyright</w:t>
      </w:r>
      <w:r>
        <w:rPr>
          <w:rFonts w:ascii="Times New Roman" w:hAnsi="Times New Roman"/>
          <w:sz w:val="20"/>
        </w:rPr>
        <w:t xml:space="preserve">” has the meaning set forth in the Collateral Agreement. </w:t>
      </w:r>
    </w:p>
    <w:p>
      <w:pPr>
        <w:pStyle w:val="TextBody"/>
        <w:bidi w:val="0"/>
        <w:spacing w:before="240" w:after="0"/>
        <w:jc w:val="both"/>
        <w:rPr/>
      </w:pPr>
      <w:r>
        <w:rPr/>
        <w:t>“</w:t>
      </w:r>
      <w:r>
        <w:rPr>
          <w:rFonts w:ascii="Times New Roman" w:hAnsi="Times New Roman"/>
          <w:sz w:val="20"/>
          <w:u w:val="single"/>
        </w:rPr>
        <w:t>Covered Agreement Counterparty</w:t>
      </w:r>
      <w:r>
        <w:rPr>
          <w:rFonts w:ascii="Times New Roman" w:hAnsi="Times New Roman"/>
          <w:sz w:val="20"/>
        </w:rPr>
        <w:t xml:space="preserve">” means any Person party to a Covered Agreement, other than a Note Party. </w:t>
      </w:r>
    </w:p>
    <w:p>
      <w:pPr>
        <w:pStyle w:val="TextBody"/>
        <w:bidi w:val="0"/>
        <w:spacing w:before="240" w:after="0"/>
        <w:jc w:val="both"/>
        <w:rPr/>
      </w:pPr>
      <w:r>
        <w:rPr/>
        <w:t>“</w:t>
      </w:r>
      <w:r>
        <w:rPr>
          <w:rFonts w:ascii="Times New Roman" w:hAnsi="Times New Roman"/>
          <w:sz w:val="20"/>
          <w:u w:val="single"/>
        </w:rPr>
        <w:t>Covered Agreements</w:t>
      </w:r>
      <w:r>
        <w:rPr>
          <w:rFonts w:ascii="Times New Roman" w:hAnsi="Times New Roman"/>
          <w:sz w:val="20"/>
        </w:rPr>
        <w:t xml:space="preserve">” means each Contract that is material to the Exploitation of the Licensed Product, but excluding Contracts with logistics providers, distribution and channel partners, or other Third Party service providers that, in each case, can be replaced by a Note Party promptly without any material and adverse effect on the Exploitation of the Licensed Product, which such Covered Agreements, as of the Closing Date, consist of the Collaboration Agreement, the Co-Promotion Agreement, the Contribution, Purchase and Sale Agreement, the Servicing Agreement and each other Contract identified on </w:t>
      </w:r>
      <w:r>
        <w:rPr>
          <w:rFonts w:ascii="Times New Roman" w:hAnsi="Times New Roman"/>
          <w:sz w:val="20"/>
          <w:u w:val="single"/>
        </w:rPr>
        <w:t>Schedule 6.27</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CSC</w:t>
      </w:r>
      <w:r>
        <w:rPr>
          <w:rFonts w:ascii="Times New Roman" w:hAnsi="Times New Roman"/>
          <w:sz w:val="20"/>
        </w:rPr>
        <w:t xml:space="preserve">” means Corporation Service Company, a Delaware corporation. </w:t>
      </w:r>
    </w:p>
    <w:p>
      <w:pPr>
        <w:pStyle w:val="TextBody"/>
        <w:bidi w:val="0"/>
        <w:spacing w:before="240" w:after="0"/>
        <w:jc w:val="both"/>
        <w:rPr/>
      </w:pPr>
      <w:r>
        <w:rPr/>
        <w:t>“</w:t>
      </w:r>
      <w:r>
        <w:rPr>
          <w:rFonts w:ascii="Times New Roman" w:hAnsi="Times New Roman"/>
          <w:sz w:val="20"/>
          <w:u w:val="single"/>
        </w:rPr>
        <w:t>CSC Service Agreements</w:t>
      </w:r>
      <w:r>
        <w:rPr>
          <w:rFonts w:ascii="Times New Roman" w:hAnsi="Times New Roman"/>
          <w:sz w:val="20"/>
        </w:rPr>
        <w:t xml:space="preserve">” means, collectively, that certain (a) Service Agreement by and between the DST Issuer and CSC dated as of the Closing Date and (b) Service Agreement by and between the Trustee Co-Issuer and CSC dated as of the Closing Date. </w:t>
      </w:r>
    </w:p>
    <w:p>
      <w:pPr>
        <w:pStyle w:val="TextBody"/>
        <w:bidi w:val="0"/>
        <w:spacing w:before="240" w:after="0"/>
        <w:jc w:val="both"/>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Laws relating to bankruptcy, liquidation, dissolution, winding up, restructuring, adjustment, protection, conservatorship, assignment for the benefit of creditors, moratorium, stay of proceedings, rearrangement, arrangement, compromise, receivership (whether temporary or permanent), insolvency, examinership, reorganization, or similar debtor relief Laws (including applicable provisions of any corporate laws) of the United States or any state thereof, or any other applicable jurisdictions from time to time in effect. </w:t>
      </w:r>
    </w:p>
    <w:p>
      <w:pPr>
        <w:pStyle w:val="TextBody"/>
        <w:bidi w:val="0"/>
        <w:spacing w:before="240" w:after="0"/>
        <w:jc w:val="both"/>
        <w:rPr/>
      </w:pPr>
      <w:r>
        <w:rPr/>
        <w:t>“</w:t>
      </w:r>
      <w:r>
        <w:rPr>
          <w:rFonts w:ascii="Times New Roman" w:hAnsi="Times New Roman"/>
          <w:sz w:val="20"/>
          <w:u w:val="single"/>
        </w:rPr>
        <w:t>Deductible Non-Shared Issuer Expenses</w:t>
      </w:r>
      <w:r>
        <w:rPr>
          <w:rFonts w:ascii="Times New Roman" w:hAnsi="Times New Roman"/>
          <w:sz w:val="20"/>
        </w:rPr>
        <w:t xml:space="preserve">” means, for any Collection Period, Non-Shared Issuer Expenses in an amount not to exceed $2,500,000 for any such Collection Period. </w:t>
      </w:r>
    </w:p>
    <w:p>
      <w:pPr>
        <w:pStyle w:val="TextBody"/>
        <w:bidi w:val="0"/>
        <w:spacing w:before="240" w:after="0"/>
        <w:jc w:val="both"/>
        <w:rPr/>
      </w:pPr>
      <w:r>
        <w:rPr/>
        <w:t>“</w:t>
      </w:r>
      <w:r>
        <w:rPr>
          <w:rFonts w:ascii="Times New Roman" w:hAnsi="Times New Roman"/>
          <w:sz w:val="20"/>
          <w:u w:val="single"/>
        </w:rPr>
        <w:t>Default</w:t>
      </w:r>
      <w:r>
        <w:rPr>
          <w:rFonts w:ascii="Times New Roman" w:hAnsi="Times New Roman"/>
          <w:sz w:val="20"/>
        </w:rPr>
        <w:t>” means any event, fact, circumstance or condition which constitutes an Event of Default or which, with the giving of notice or the lapse of time or both (in each case to the extent described in the relevant subclauses of the definition of “</w:t>
      </w:r>
      <w:r>
        <w:rPr>
          <w:rFonts w:ascii="Times New Roman" w:hAnsi="Times New Roman"/>
          <w:sz w:val="20"/>
          <w:u w:val="single"/>
        </w:rPr>
        <w:t>Event of Default</w:t>
      </w:r>
      <w:r>
        <w:rPr>
          <w:rFonts w:ascii="Times New Roman" w:hAnsi="Times New Roman"/>
          <w:sz w:val="20"/>
        </w:rPr>
        <w:t xml:space="preserve">”) would, unless cured or waived, become an Event of Default. </w:t>
      </w:r>
    </w:p>
    <w:p>
      <w:pPr>
        <w:pStyle w:val="TextBody"/>
        <w:bidi w:val="0"/>
        <w:spacing w:before="240" w:after="0"/>
        <w:jc w:val="both"/>
        <w:rPr/>
      </w:pPr>
      <w:r>
        <w:rPr/>
        <w:t>“</w:t>
      </w:r>
      <w:r>
        <w:rPr>
          <w:rFonts w:ascii="Times New Roman" w:hAnsi="Times New Roman"/>
          <w:sz w:val="20"/>
          <w:u w:val="single"/>
        </w:rPr>
        <w:t>Default Rate</w:t>
      </w:r>
      <w:r>
        <w:rPr>
          <w:rFonts w:ascii="Times New Roman" w:hAnsi="Times New Roman"/>
          <w:sz w:val="20"/>
        </w:rPr>
        <w:t xml:space="preserve">” means an interest rate equal to the (i) Base Rate plus (ii) 3.0% per annum. </w:t>
      </w:r>
    </w:p>
    <w:p>
      <w:pPr>
        <w:pStyle w:val="TextBody"/>
        <w:bidi w:val="0"/>
        <w:spacing w:before="240" w:after="0"/>
        <w:jc w:val="both"/>
        <w:rPr/>
      </w:pPr>
      <w:r>
        <w:rPr/>
        <w:t>“</w:t>
      </w:r>
      <w:r>
        <w:rPr>
          <w:rFonts w:ascii="Times New Roman" w:hAnsi="Times New Roman"/>
          <w:sz w:val="20"/>
          <w:u w:val="single"/>
        </w:rPr>
        <w:t>Deficiency Amount</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Delaware Trustee Fee Letter</w:t>
      </w:r>
      <w:r>
        <w:rPr>
          <w:rFonts w:ascii="Times New Roman" w:hAnsi="Times New Roman"/>
          <w:sz w:val="20"/>
        </w:rPr>
        <w:t xml:space="preserve">” means that certain letter agreement, dated as of August 6, 2026, executed by a Responsible Officer of TBIL in favor of CSC, setting forth the schedule of fees and services of CSC acting as Delaware trustee for the DST Issuer. </w:t>
      </w:r>
    </w:p>
    <w:p>
      <w:pPr>
        <w:pStyle w:val="TextBody"/>
        <w:bidi w:val="0"/>
        <w:spacing w:before="240" w:after="0"/>
        <w:jc w:val="both"/>
        <w:rPr/>
      </w:pPr>
      <w:r>
        <w:rPr/>
        <w:t>“</w:t>
      </w:r>
      <w:r>
        <w:rPr>
          <w:rFonts w:ascii="Times New Roman" w:hAnsi="Times New Roman"/>
          <w:sz w:val="20"/>
          <w:u w:val="single"/>
        </w:rPr>
        <w:t>Designated Jurisdiction</w:t>
      </w:r>
      <w:r>
        <w:rPr>
          <w:rFonts w:ascii="Times New Roman" w:hAnsi="Times New Roman"/>
          <w:sz w:val="20"/>
        </w:rPr>
        <w:t xml:space="preserve">” means, at any time, any country, region or territory to the extent that such country, region or territory is the subject or target of comprehensive Sanctions (which, at the time of this Agreement, are Crimea, Cuba, Iran, North Korea, the so-called Donetsk People’s Republic, the so-called Luhansk People’s Republic and the non-Ukrainian government controlled areas of the Kherson and Zaporizhzhia regions of Ukraine).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Development</w:t>
      </w:r>
      <w:r>
        <w:rPr>
          <w:rFonts w:ascii="Times New Roman" w:hAnsi="Times New Roman"/>
          <w:sz w:val="20"/>
        </w:rPr>
        <w:t xml:space="preserve">” means any and all preclinical and clinical drug development activities (other than Phase 4 Studies), including: test method development and stability testing, toxicology, formulation, process development, conducting clinical trials, development-stage manufacturing and clinical supply, scale up of the proposed commercial manufacturing process, current good manufacturing practices audits conducted with respect to product intended for use in clinical studies, current good clinical practices audits, current good laboratory practices audits, analytical method transfer and validation, manufacturing process validation, cleaning validation, quality assurance/quality control development, statistical analysis and report writing, preclinical and clinical studies, regulatory filing preparation, submission, prosecution and approval, and regulatory affairs related to the foregoing and all other activities necessary or otherwise requested or required by a Regulatory Agency as a condition or in support of obtaining marketing authorization, in each case other than Phase 4 Studies and any of the foregoing activities to the extent associated with Phase 4 Studies. For clarity, Development excludes all activities comprising Commercialization. When used as a verb, “Develop” means to engage in Development. </w:t>
      </w:r>
    </w:p>
    <w:p>
      <w:pPr>
        <w:pStyle w:val="TextBody"/>
        <w:bidi w:val="0"/>
        <w:spacing w:before="240" w:after="0"/>
        <w:jc w:val="both"/>
        <w:rPr/>
      </w:pPr>
      <w:r>
        <w:rPr/>
        <w:t>“</w:t>
      </w:r>
      <w:r>
        <w:rPr>
          <w:rFonts w:ascii="Times New Roman" w:hAnsi="Times New Roman"/>
          <w:sz w:val="20"/>
          <w:u w:val="single"/>
        </w:rPr>
        <w:t>Disposition</w:t>
      </w:r>
      <w:r>
        <w:rPr>
          <w:rFonts w:ascii="Times New Roman" w:hAnsi="Times New Roman"/>
          <w:sz w:val="20"/>
        </w:rPr>
        <w:t xml:space="preserve">” means, as to any Person, any sale, conveyance, assignment, transfer, sale and leaseback, lease or sublease (as lessor or sublessor), license or sublicense, covenant not to sue, Restricted Payment described in clause (i) or (ii) of the definition thereof, liquidity event, or other disposition or other exchange of any property (whether tangible, intangible, mixed or otherwise and including any sale or issuance of Equity Interests of such Person) or right of such Person (including the loss, destruction or damage of any of the foregoing or any actual or threatened condemnation, confiscation, requisition, seizure or taking of any of the foregoing), in one transaction or a series of transactions; </w:t>
      </w:r>
      <w:r>
        <w:rPr>
          <w:rFonts w:ascii="Times New Roman" w:hAnsi="Times New Roman"/>
          <w:sz w:val="20"/>
          <w:u w:val="single"/>
        </w:rPr>
        <w:t>provided</w:t>
      </w:r>
      <w:r>
        <w:rPr>
          <w:rFonts w:ascii="Times New Roman" w:hAnsi="Times New Roman"/>
          <w:sz w:val="20"/>
        </w:rPr>
        <w:t xml:space="preserve">, that “Disposition” and “Dispose” shall include, without limitation, (i) any sale or other Disposition for value of the Collaboration Agreement, the Co-Promotion Agreement or any other Covered Agreement, (ii) any early termination or modification of the Collaboration Agreement, the Co-Promotion Agreement or any other Covered Agreement resulting in the receipt by the DST Issuer of a cash payment or other consideration in exchange for such event (other than payments in the ordinary course for accrued and unpaid amounts due through the date of termination or modification), (iii) any sale of accounts receivable (or any rights thereto (including, without limitation, any rights to any residual payment stream with respect thereto including with respect to any fee income)) by such Person, and (iv) any sale or other Disposition for value of any Equity Interests owned by such Person. </w:t>
      </w:r>
    </w:p>
    <w:p>
      <w:pPr>
        <w:pStyle w:val="TextBody"/>
        <w:bidi w:val="0"/>
        <w:spacing w:before="240" w:after="0"/>
        <w:jc w:val="both"/>
        <w:rPr/>
      </w:pPr>
      <w:r>
        <w:rPr/>
        <w:t>“</w:t>
      </w:r>
      <w:r>
        <w:rPr>
          <w:rFonts w:ascii="Times New Roman" w:hAnsi="Times New Roman"/>
          <w:sz w:val="20"/>
          <w:u w:val="single"/>
        </w:rPr>
        <w:t>Dispute(s)</w:t>
      </w:r>
      <w:r>
        <w:rPr>
          <w:rFonts w:ascii="Times New Roman" w:hAnsi="Times New Roman"/>
          <w:sz w:val="20"/>
        </w:rPr>
        <w:t xml:space="preserve">” means any opposition, interference, reexamination, injunction, claim, suit, action, citation, summons, subpoena, hearing, inquiry, investigation, complaint, arbitration, mediation, demand, decree or other dispute, disagreement, proceeding, claim or </w:t>
      </w:r>
      <w:r>
        <w:rPr>
          <w:rFonts w:ascii="Times New Roman" w:hAnsi="Times New Roman"/>
          <w:i/>
          <w:sz w:val="20"/>
        </w:rPr>
        <w:t>inter partes</w:t>
      </w:r>
      <w:r>
        <w:rPr>
          <w:rFonts w:ascii="Times New Roman" w:hAnsi="Times New Roman"/>
          <w:sz w:val="20"/>
        </w:rPr>
        <w:t xml:space="preserve"> review (other than standard Patent or Trademark prosecution matters before a Patent Office or Trademark Office). </w:t>
      </w:r>
    </w:p>
    <w:p>
      <w:pPr>
        <w:pStyle w:val="TextBody"/>
        <w:bidi w:val="0"/>
        <w:spacing w:before="240" w:after="0"/>
        <w:jc w:val="both"/>
        <w:rPr/>
      </w:pPr>
      <w:r>
        <w:rPr/>
        <w:t>“</w:t>
      </w:r>
      <w:r>
        <w:rPr>
          <w:rFonts w:ascii="Times New Roman" w:hAnsi="Times New Roman"/>
          <w:sz w:val="20"/>
          <w:u w:val="single"/>
        </w:rPr>
        <w:t>Disqualified Equity Interests</w:t>
      </w:r>
      <w:r>
        <w:rPr>
          <w:rFonts w:ascii="Times New Roman" w:hAnsi="Times New Roman"/>
          <w:sz w:val="20"/>
        </w:rPr>
        <w:t xml:space="preserve">” of any Person means any class of Equity Interests of such Person that, by its terms, or by the terms of any related agreement or of any security into which it is convertible, puttable or exchangeable, is, or upon the happening of any event (other than a change of control so long as any rights of the holders thereof upon the occurrence of such change of control are subject to the occurrence of Payment in Full) or the passage of time would be (i) required to be redeemed by such Person, whether or not at the option of the holder thereof, (ii) matures or is mandatorily redeemable, pursuant to a sinking fund obligation or otherwise, in whole or in part, (iii) is or becomes automatically or at the option of the holder convertible into or exchangeable for Indebtedness or any other Equity Interests that would constitute Disqualified Equity Interests or (iv) requires the payment of dividends or interest, in the case of each of clauses (i), (ii), (iii) and (iv), on or prior to the date which is ninety-one (91) days after the Scheduled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is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is not Disqualified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Disqualified Person</w:t>
      </w:r>
      <w:r>
        <w:rPr>
          <w:rFonts w:ascii="Times New Roman" w:hAnsi="Times New Roman"/>
          <w:sz w:val="20"/>
        </w:rPr>
        <w:t xml:space="preserve">” has the meaning set forth in the definition of “Independent Manager”. </w:t>
      </w:r>
    </w:p>
    <w:p>
      <w:pPr>
        <w:pStyle w:val="TextBody"/>
        <w:bidi w:val="0"/>
        <w:spacing w:before="240" w:after="0"/>
        <w:jc w:val="both"/>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lawful money of the United States of America. </w:t>
      </w:r>
    </w:p>
    <w:p>
      <w:pPr>
        <w:pStyle w:val="TextBody"/>
        <w:bidi w:val="0"/>
        <w:spacing w:before="240" w:after="0"/>
        <w:jc w:val="both"/>
        <w:rPr/>
      </w:pPr>
      <w:r>
        <w:rPr/>
        <w:t>“</w:t>
      </w:r>
      <w:r>
        <w:rPr>
          <w:rFonts w:ascii="Times New Roman" w:hAnsi="Times New Roman"/>
          <w:sz w:val="20"/>
          <w:u w:val="single"/>
        </w:rPr>
        <w:t>Drug Application</w:t>
      </w:r>
      <w:r>
        <w:rPr>
          <w:rFonts w:ascii="Times New Roman" w:hAnsi="Times New Roman"/>
          <w:sz w:val="20"/>
        </w:rPr>
        <w:t xml:space="preserve">” means a New Drug Application or a Supplemental Application for any Licensed Product, as appropriate. </w:t>
      </w:r>
    </w:p>
    <w:p>
      <w:pPr>
        <w:pStyle w:val="TextBody"/>
        <w:bidi w:val="0"/>
        <w:spacing w:before="240" w:after="0"/>
        <w:jc w:val="both"/>
        <w:rPr/>
      </w:pPr>
      <w:r>
        <w:rPr/>
        <w:t>“</w:t>
      </w:r>
      <w:r>
        <w:rPr>
          <w:rFonts w:ascii="Times New Roman" w:hAnsi="Times New Roman"/>
          <w:sz w:val="20"/>
          <w:u w:val="single"/>
        </w:rPr>
        <w:t>DST Issuer</w:t>
      </w:r>
      <w:r>
        <w:rPr>
          <w:rFonts w:ascii="Times New Roman" w:hAnsi="Times New Roman"/>
          <w:sz w:val="20"/>
        </w:rPr>
        <w:t xml:space="preserve">” has the meaning set forth in the preamble hereto. </w:t>
      </w:r>
    </w:p>
    <w:p>
      <w:pPr>
        <w:pStyle w:val="TextBody"/>
        <w:bidi w:val="0"/>
        <w:spacing w:before="240" w:after="0"/>
        <w:jc w:val="both"/>
        <w:rPr/>
      </w:pPr>
      <w:r>
        <w:rPr/>
        <w:t>“</w:t>
      </w:r>
      <w:r>
        <w:rPr>
          <w:rFonts w:ascii="Times New Roman" w:hAnsi="Times New Roman"/>
          <w:sz w:val="20"/>
          <w:u w:val="single"/>
        </w:rPr>
        <w:t>EEA Financial Institution</w:t>
      </w:r>
      <w:r>
        <w:rPr>
          <w:rFonts w:ascii="Times New Roman" w:hAnsi="Times New Roman"/>
          <w:sz w:val="20"/>
        </w:rPr>
        <w:t xml:space="preserve">” means (i) any institution established in any EEA Member Country which is subject to the supervision of an EEA Resolution Authority, (ii) any entity established in an EEA Member Country which is a parent of an institution described in </w:t>
      </w:r>
      <w:r>
        <w:rPr>
          <w:rFonts w:ascii="Times New Roman" w:hAnsi="Times New Roman"/>
          <w:sz w:val="20"/>
          <w:u w:val="single"/>
        </w:rPr>
        <w:t>clause (i)</w:t>
      </w:r>
      <w:r>
        <w:rPr>
          <w:rFonts w:ascii="Times New Roman" w:hAnsi="Times New Roman"/>
          <w:sz w:val="20"/>
        </w:rPr>
        <w:t xml:space="preserve"> of this definition, or (iii) any institution established in an EEA Member Country which is a subsidiary of an institution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definition and is subject to consolidated supervision with its parent. </w:t>
      </w:r>
    </w:p>
    <w:p>
      <w:pPr>
        <w:pStyle w:val="TextBody"/>
        <w:bidi w:val="0"/>
        <w:spacing w:before="240" w:after="0"/>
        <w:jc w:val="both"/>
        <w:rPr/>
      </w:pPr>
      <w:r>
        <w:rPr/>
        <w:t>“</w:t>
      </w:r>
      <w:r>
        <w:rPr>
          <w:rFonts w:ascii="Times New Roman" w:hAnsi="Times New Roman"/>
          <w:sz w:val="20"/>
          <w:u w:val="single"/>
        </w:rPr>
        <w:t>EEA Member Country</w:t>
      </w:r>
      <w:r>
        <w:rPr>
          <w:rFonts w:ascii="Times New Roman" w:hAnsi="Times New Roman"/>
          <w:sz w:val="20"/>
        </w:rPr>
        <w:t xml:space="preserve">” means any of the economies of member states of the European Union, Iceland, Liechtenstein, and Norway. </w:t>
      </w:r>
    </w:p>
    <w:p>
      <w:pPr>
        <w:pStyle w:val="TextBody"/>
        <w:bidi w:val="0"/>
        <w:spacing w:before="240" w:after="0"/>
        <w:jc w:val="both"/>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pPr>
      <w:r>
        <w:rPr/>
        <w:t>“</w:t>
      </w:r>
      <w:r>
        <w:rPr>
          <w:rFonts w:ascii="Times New Roman" w:hAnsi="Times New Roman"/>
          <w:sz w:val="20"/>
          <w:u w:val="single"/>
        </w:rPr>
        <w:t>Environmental Claims</w:t>
      </w:r>
      <w:r>
        <w:rPr>
          <w:rFonts w:ascii="Times New Roman" w:hAnsi="Times New Roman"/>
          <w:sz w:val="20"/>
        </w:rPr>
        <w:t xml:space="preserve">” means any written notice, notice of violation, investigation, claim, action, suit, proceeding, demand, information request, abatement order or other order or directive (conditional or otherwise), by any Governmental Authority or any other Person, arising (i) pursuant to or in connection with any actual or alleged violation of any Environmental Law; (ii) in connection with any release of Hazardous Material or any actual or alleged Hazardous Materials Activity; or (iii) in connection with any actual or alleged damage, injury, threat or harm to health or safety (to the extent relating to exposure of any Person to Hazardous Materials), natural resources or the environment, arising out of a violation of Environmental Law or any Hazardous Materials Activity. </w:t>
      </w:r>
    </w:p>
    <w:p>
      <w:pPr>
        <w:pStyle w:val="TextBody"/>
        <w:bidi w:val="0"/>
        <w:spacing w:before="240" w:after="0"/>
        <w:jc w:val="both"/>
        <w:rPr/>
      </w:pPr>
      <w:r>
        <w:rPr/>
        <w:t>“</w:t>
      </w:r>
      <w:r>
        <w:rPr>
          <w:rFonts w:ascii="Times New Roman" w:hAnsi="Times New Roman"/>
          <w:sz w:val="20"/>
          <w:u w:val="single"/>
        </w:rPr>
        <w:t>Environmental Law</w:t>
      </w:r>
      <w:r>
        <w:rPr>
          <w:rFonts w:ascii="Times New Roman" w:hAnsi="Times New Roman"/>
          <w:sz w:val="20"/>
        </w:rPr>
        <w:t xml:space="preserve">” means all Laws relating in any way to (i) pollution or protection of the environment,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any Note Party or any of its Subsidiaries or any real property (including all buildings, fixtures or other improvements located thereon) now, hereafter or heretofore owned, leased or operated by any Note Party or any of its Subsidiaries. </w:t>
      </w:r>
    </w:p>
    <w:p>
      <w:pPr>
        <w:pStyle w:val="TextBody"/>
        <w:bidi w:val="0"/>
        <w:spacing w:before="240" w:after="0"/>
        <w:jc w:val="both"/>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Note Party or any of its Subsidiaries directly or indirectly resulting from or based upon (i) violation of any Environmental Law, (ii) the generation, use, handling, transportation, storage, treatment or disposal of any Hazardous Materials, (iii) exposure to any Hazardous Materials, (iv) the release or threatened release of any Hazardous Materials into the environment or (v) any Contract or other consensual arrangement pursuant to which liability is assumed or imposed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Equity Interests</w:t>
      </w:r>
      <w:r>
        <w:rPr>
          <w:rFonts w:ascii="Times New Roman" w:hAnsi="Times New Roman"/>
          <w:sz w:val="20"/>
        </w:rPr>
        <w:t xml:space="preserve">” means, with respect to any Person, its equity ownership interests, its beneficial interests (in the case of a trust), its common stock and any other capital stock or other equity ownership units of such Person authorized from time to time, and any other shares, options, interests, participations or other equivalents (however designated) of or in such Person, whether voting or nonvoting, including, without limitation, common stock, options, warrants, preferred stock, phantom stock, membership units (common or preferred), stock appreciation rights, membership unit appreciation rights, convertible notes or debentures, stock purchase rights, membership unit purchase rights and all securities convertible, exercisable or exchangeable, in whole or in part, into any one or more of the foregoing. </w:t>
      </w:r>
    </w:p>
    <w:p>
      <w:pPr>
        <w:pStyle w:val="TextBody"/>
        <w:bidi w:val="0"/>
        <w:spacing w:before="240" w:after="0"/>
        <w:jc w:val="both"/>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regulations promulgated thereunder. </w:t>
      </w:r>
    </w:p>
    <w:p>
      <w:pPr>
        <w:pStyle w:val="TextBody"/>
        <w:bidi w:val="0"/>
        <w:spacing w:before="240" w:after="0"/>
        <w:jc w:val="both"/>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is under common control with any Transaction Party and is treated as a single employer within the meaning of Section 414(b) or (c) of the Code or, solely for purposes of Section 412 of the Code, under Section 414(m) or (o) of the Code or Section 4001 of ERISA. </w:t>
      </w:r>
    </w:p>
    <w:p>
      <w:pPr>
        <w:pStyle w:val="TextBody"/>
        <w:bidi w:val="0"/>
        <w:spacing w:before="240" w:after="0"/>
        <w:jc w:val="both"/>
        <w:rPr/>
      </w:pPr>
      <w:r>
        <w:rPr/>
        <w:t>“</w:t>
      </w:r>
      <w:r>
        <w:rPr>
          <w:rFonts w:ascii="Times New Roman" w:hAnsi="Times New Roman"/>
          <w:sz w:val="20"/>
          <w:u w:val="single"/>
        </w:rPr>
        <w:t>ERISA Event</w:t>
      </w:r>
      <w:r>
        <w:rPr>
          <w:rFonts w:ascii="Times New Roman" w:hAnsi="Times New Roman"/>
          <w:sz w:val="20"/>
        </w:rPr>
        <w:t xml:space="preserve">” means (i) a Reportable Event with respect to a pension plan; (ii) a withdrawal by any Note Party or any ERISA Affiliate from a pension plan subject to Section 4063 of ERISA during a plan year in which it was a substantial employer (as defined in Section 4001(a)(2) of ERISA) or a cessation of operations by any Note Party or any ERISA Affiliate that is treated as such a withdrawal under Section 4062(e) of ERISA; (iii) a failure to satisfy the minimum funding standard under Section 412 of the Code or Section 302 of ERISA with respect to a pension plan, whether or not waived, or a failure by a Note Party or ERISA Affiliate to make any required contribution to a multiemployer plan; (iv) a complete withdrawal or receipt by any Note Party or any ERISA Affiliate from a multiemployer plan or receipt by any Note Party or ERISA Affiliate of (A) a notification concerning the imposition of withdrawal liability or (B) a notification that a multiemployer plan is insolvent within the meaning of Title IV of ERISA or in endangered or critical status, within the meaning of Section 305 of ERISA; (v) the filing of a notice of intent to terminate a pension plan, or the treatment of a pension plan or multiemployer plan amendment as a termination, under Section 4041 or 4041A of ERISA, or the commencement of proceedings by the PBGC to terminate a pension plan or multiemployer plan; (vi) an event or condition which constitutes grounds under Section 4042 of ERISA for the termination of, or the appointment of a trustee to administer, such pension plan or multiemployer plan; (vii) the imposition of any liability under Title IV of ERISA, other than for contributions due but not delinquent or for PBGC premiums due but not delinquent under Section 4007 of ERISA, upon any Note Party or any ERISA Affiliate; (viii) a determination that any pension plan is in “at-risk” status (within the meaning of Section 303(i)(4)(A) of ERISA or Section 430(i)(4)(A) of the Code); or (ix) the occurrence of a non-exempt prohibited transaction with respect to any pension plan maintained or contributed to by any Note Party (within the meaning of Section 4975 of the Code or Section 406 of ERISA) which would reasonably be expected to result in liability to any Note Party. </w:t>
      </w:r>
    </w:p>
    <w:p>
      <w:pPr>
        <w:pStyle w:val="TextBody"/>
        <w:bidi w:val="0"/>
        <w:spacing w:before="240" w:after="0"/>
        <w:jc w:val="both"/>
        <w:rPr/>
      </w:pPr>
      <w:r>
        <w:rPr/>
        <w:t>“</w:t>
      </w:r>
      <w:r>
        <w:rPr>
          <w:rFonts w:ascii="Times New Roman" w:hAnsi="Times New Roman"/>
          <w:sz w:val="20"/>
          <w:u w:val="single"/>
        </w:rPr>
        <w:t>Event of Default</w:t>
      </w:r>
      <w:r>
        <w:rPr>
          <w:rFonts w:ascii="Times New Roman" w:hAnsi="Times New Roman"/>
          <w:sz w:val="20"/>
        </w:rPr>
        <w:t xml:space="preserve">” means each of the conditions or events set forth in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Exchange Act</w:t>
      </w:r>
      <w:r>
        <w:rPr>
          <w:rFonts w:ascii="Times New Roman" w:hAnsi="Times New Roman"/>
          <w:sz w:val="20"/>
        </w:rPr>
        <w:t xml:space="preserve">” means the Securities Exchange Act of 1934,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Excluded Product Assets</w:t>
      </w:r>
      <w:r>
        <w:rPr>
          <w:rFonts w:ascii="Times New Roman" w:hAnsi="Times New Roman"/>
          <w:sz w:val="20"/>
        </w:rPr>
        <w:t xml:space="preserve">” means all Intellectual Property, regulatory documentation, product rights, Know-How, technical, clinical, scientific, or regulatory data, regulatory filings, records, claims, rights, causes of action, privileges, licenses, sublicenses, Contract rights and other assets or rights of any kind, tangible or intangible, in each case, (a) to the extent owned, exclusively licensed or controlled by TBIL or any of its Affiliates (other than the Issuers and their Subsidiaries) and, in each case, anywhere in the world and solely related to the development, manufacture, commercialization, distribution, or other exploitation of products or product candidates other than the Licensed Product (or any finished dosage combination drugs containing the Licensed Compound and another active pharmaceutical ingredient, including all dosage forms, presentations, formulations and dosage strengths) or (b) invented, created, or developed by a Note Party or its Affiliates (other than the Issuers and their Subsidiaries) (i) solely for products or product candidates other than the Licensed Product (or any combination drugs or similar developments) and (ii) that is not primarily related to, not used in and not necessary for the development, manufacture, commercialization, distribution or exploitation of the Licensed Product (including any finished dosage combination drugs containing the Licensed Compound and another active pharmaceutical ingredient that has been, or was required to be, notified to the Agent and the Purchasers pursuant to </w:t>
      </w:r>
      <w:r>
        <w:rPr>
          <w:rFonts w:ascii="Times New Roman" w:hAnsi="Times New Roman"/>
          <w:sz w:val="20"/>
          <w:u w:val="single"/>
        </w:rPr>
        <w:t>Section 7.02(n)</w:t>
      </w:r>
      <w:r>
        <w:rPr>
          <w:rFonts w:ascii="Times New Roman" w:hAnsi="Times New Roman"/>
          <w:sz w:val="20"/>
        </w:rPr>
        <w:t xml:space="preserve">, including all dosage forms, presentations, formulations and dosage strengths); </w:t>
      </w:r>
      <w:r>
        <w:rPr>
          <w:rFonts w:ascii="Times New Roman" w:hAnsi="Times New Roman"/>
          <w:sz w:val="20"/>
          <w:u w:val="single"/>
        </w:rPr>
        <w:t>provided</w:t>
      </w:r>
      <w:r>
        <w:rPr>
          <w:rFonts w:ascii="Times New Roman" w:hAnsi="Times New Roman"/>
          <w:sz w:val="20"/>
        </w:rPr>
        <w:t xml:space="preserve"> that, for clarity, “Excluded Product Assets” shall not include (A) IP Rights, (B) Transferred Assets, or (C) any assets or rights that are primarily related to, used in or necessary for the development, manufacture, commercialization, distribution or exploitation of the Licensed Product (including any finished dosage combination drugs containing the Licensed Compound and another active pharmaceutical ingredient that has been, or was required to be, notified to the Agent and the Purchasers pursuant to </w:t>
      </w:r>
      <w:r>
        <w:rPr>
          <w:rFonts w:ascii="Times New Roman" w:hAnsi="Times New Roman"/>
          <w:sz w:val="20"/>
          <w:u w:val="single"/>
        </w:rPr>
        <w:t>Section 7.02(n)</w:t>
      </w:r>
      <w:r>
        <w:rPr>
          <w:rFonts w:ascii="Times New Roman" w:hAnsi="Times New Roman"/>
          <w:sz w:val="20"/>
        </w:rPr>
        <w:t xml:space="preserve">, including all dosage forms, presentations, formulations and dosage strengths). </w:t>
      </w:r>
    </w:p>
    <w:p>
      <w:pPr>
        <w:pStyle w:val="TextBody"/>
        <w:bidi w:val="0"/>
        <w:spacing w:before="240" w:after="0"/>
        <w:jc w:val="both"/>
        <w:rPr/>
      </w:pPr>
      <w:r>
        <w:rPr/>
        <w:t>“</w:t>
      </w:r>
      <w:r>
        <w:rPr>
          <w:rFonts w:ascii="Times New Roman" w:hAnsi="Times New Roman"/>
          <w:sz w:val="20"/>
          <w:u w:val="single"/>
        </w:rPr>
        <w:t>Excluded Product Subsidiary</w:t>
      </w:r>
      <w:r>
        <w:rPr>
          <w:rFonts w:ascii="Times New Roman" w:hAnsi="Times New Roman"/>
          <w:sz w:val="20"/>
        </w:rPr>
        <w:t xml:space="preserve">” means any Subsidiary of TBIL (other than any Issuer or any Subsidiary of any Issuer) that is formed or exists for the purpose of holding, acquiring, financing, developing, manufacturing, exploiting, commercializing, researching or carrying out other business or activities with respect to Excluded Product Assets; </w:t>
      </w:r>
      <w:r>
        <w:rPr>
          <w:rFonts w:ascii="Times New Roman" w:hAnsi="Times New Roman"/>
          <w:sz w:val="20"/>
          <w:u w:val="single"/>
        </w:rPr>
        <w:t>provided</w:t>
      </w:r>
      <w:r>
        <w:rPr>
          <w:rFonts w:ascii="Times New Roman" w:hAnsi="Times New Roman"/>
          <w:sz w:val="20"/>
        </w:rPr>
        <w:t xml:space="preserve"> that (i) such Subsidiary shall not at any time own, license or control any assets or rights that are primarily related to, used in or necessary for the development, manufacture, commercialization, distribution or exploitation of the Licensed Product (including any combination drugs or similar developments related thereto that has been, or was required to be, notified to the Agent and the Purchasers pursuant to </w:t>
      </w:r>
      <w:r>
        <w:rPr>
          <w:rFonts w:ascii="Times New Roman" w:hAnsi="Times New Roman"/>
          <w:sz w:val="20"/>
          <w:u w:val="single"/>
        </w:rPr>
        <w:t>Section 7.02(n))</w:t>
      </w:r>
      <w:r>
        <w:rPr>
          <w:rFonts w:ascii="Times New Roman" w:hAnsi="Times New Roman"/>
          <w:sz w:val="20"/>
        </w:rPr>
        <w:t xml:space="preserve">, (ii) such Subsidiary shall not be a direct or indirect Subsidiary of any Issuer and (iii) the Issuers shall provide notice to the Agent of the formation and organizational structure of such Subsidiary. </w:t>
      </w:r>
    </w:p>
    <w:p>
      <w:pPr>
        <w:pStyle w:val="TextBody"/>
        <w:bidi w:val="0"/>
        <w:spacing w:before="240" w:after="0"/>
        <w:jc w:val="both"/>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any Recipient or required to be withheld or deducted from a payment to a Recipient, (i) Taxes imposed on or measured by net income (however denominated), franchise taxes, and branch profits Taxes, in each case, imposed as a result of such Recipient being organized under the laws of, or having its principal office or, its applicable lending office located in, the jurisdiction imposing such Tax (or any political subdivision thereof) or as a result of a present or former connection between such Recipient and the jurisdiction imposing such Tax (other than arising from the Notes); or (ii) any withholding Taxes imposed under FATCA. </w:t>
      </w:r>
    </w:p>
    <w:p>
      <w:pPr>
        <w:pStyle w:val="TextBody"/>
        <w:bidi w:val="0"/>
        <w:spacing w:before="240" w:after="0"/>
        <w:jc w:val="both"/>
        <w:rPr/>
      </w:pPr>
      <w:r>
        <w:rPr/>
        <w:t>“</w:t>
      </w:r>
      <w:r>
        <w:rPr>
          <w:rFonts w:ascii="Times New Roman" w:hAnsi="Times New Roman"/>
          <w:sz w:val="20"/>
          <w:u w:val="single"/>
        </w:rPr>
        <w:t>Exploit</w:t>
      </w:r>
      <w:r>
        <w:rPr>
          <w:rFonts w:ascii="Times New Roman" w:hAnsi="Times New Roman"/>
          <w:sz w:val="20"/>
        </w:rPr>
        <w:t>” means the Development, manufacture or Commercialization of the Licensed Product; and “</w:t>
      </w:r>
      <w:r>
        <w:rPr>
          <w:rFonts w:ascii="Times New Roman" w:hAnsi="Times New Roman"/>
          <w:sz w:val="20"/>
          <w:u w:val="single"/>
        </w:rPr>
        <w:t>Exploitation</w:t>
      </w:r>
      <w:r>
        <w:rPr>
          <w:rFonts w:ascii="Times New Roman" w:hAnsi="Times New Roman"/>
          <w:sz w:val="20"/>
        </w:rPr>
        <w:t xml:space="preserve">” shall have the correlative meaning. </w:t>
      </w:r>
    </w:p>
    <w:p>
      <w:pPr>
        <w:pStyle w:val="TextBody"/>
        <w:bidi w:val="0"/>
        <w:spacing w:before="240" w:after="0"/>
        <w:jc w:val="both"/>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laws, regulations or official administrative guidance) implementing the foregoing. </w:t>
      </w:r>
    </w:p>
    <w:p>
      <w:pPr>
        <w:pStyle w:val="TextBody"/>
        <w:bidi w:val="0"/>
        <w:spacing w:before="240" w:after="0"/>
        <w:jc w:val="both"/>
        <w:rPr/>
      </w:pPr>
      <w:r>
        <w:rPr/>
        <w:t>“</w:t>
      </w:r>
      <w:r>
        <w:rPr>
          <w:rFonts w:ascii="Times New Roman" w:hAnsi="Times New Roman"/>
          <w:sz w:val="20"/>
          <w:u w:val="single"/>
        </w:rPr>
        <w:t>FDA</w:t>
      </w:r>
      <w:r>
        <w:rPr>
          <w:rFonts w:ascii="Times New Roman" w:hAnsi="Times New Roman"/>
          <w:sz w:val="20"/>
        </w:rPr>
        <w:t xml:space="preserve">” means the United States Food and Drug Administration. </w:t>
      </w:r>
    </w:p>
    <w:p>
      <w:pPr>
        <w:pStyle w:val="TextBody"/>
        <w:bidi w:val="0"/>
        <w:spacing w:before="240" w:after="0"/>
        <w:jc w:val="both"/>
        <w:rPr/>
      </w:pPr>
      <w:r>
        <w:rPr/>
        <w:t>“</w:t>
      </w:r>
      <w:r>
        <w:rPr>
          <w:rFonts w:ascii="Times New Roman" w:hAnsi="Times New Roman"/>
          <w:sz w:val="20"/>
          <w:u w:val="single"/>
        </w:rPr>
        <w:t>Federal Funds Rate</w:t>
      </w:r>
      <w:r>
        <w:rPr>
          <w:rFonts w:ascii="Times New Roman" w:hAnsi="Times New Roman"/>
          <w:sz w:val="20"/>
        </w:rPr>
        <w:t xml:space="preserve">” means, for any day, the greater of (i)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(ii) zero percent (0%).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w:t>
      </w:r>
    </w:p>
    <w:p>
      <w:pPr>
        <w:pStyle w:val="TextBody"/>
        <w:bidi w:val="0"/>
        <w:spacing w:before="240" w:after="0"/>
        <w:jc w:val="both"/>
        <w:rPr/>
      </w:pPr>
      <w:r>
        <w:rPr/>
        <w:t>“</w:t>
      </w:r>
      <w:r>
        <w:rPr>
          <w:rFonts w:ascii="Times New Roman" w:hAnsi="Times New Roman"/>
          <w:sz w:val="20"/>
          <w:u w:val="single"/>
        </w:rPr>
        <w:t>Field</w:t>
      </w:r>
      <w:r>
        <w:rPr>
          <w:rFonts w:ascii="Times New Roman" w:hAnsi="Times New Roman"/>
          <w:sz w:val="20"/>
        </w:rPr>
        <w:t xml:space="preserve">” has the meaning given in the Collaboration Agreement. </w:t>
      </w:r>
    </w:p>
    <w:p>
      <w:pPr>
        <w:pStyle w:val="TextBody"/>
        <w:bidi w:val="0"/>
        <w:spacing w:before="240" w:after="0"/>
        <w:jc w:val="both"/>
        <w:rPr/>
      </w:pPr>
      <w:r>
        <w:rPr/>
        <w:t>“</w:t>
      </w:r>
      <w:r>
        <w:rPr>
          <w:rFonts w:ascii="Times New Roman" w:hAnsi="Times New Roman"/>
          <w:sz w:val="20"/>
          <w:u w:val="single"/>
        </w:rPr>
        <w:t>Financing Reorganization</w:t>
      </w:r>
      <w:r>
        <w:rPr>
          <w:rFonts w:ascii="Times New Roman" w:hAnsi="Times New Roman"/>
          <w:sz w:val="20"/>
        </w:rPr>
        <w:t xml:space="preserve">” means the transactions set forth on Schedule I attached hereto. </w:t>
      </w:r>
    </w:p>
    <w:p>
      <w:pPr>
        <w:pStyle w:val="TextBody"/>
        <w:bidi w:val="0"/>
        <w:spacing w:before="240" w:after="0"/>
        <w:jc w:val="both"/>
        <w:rPr/>
      </w:pPr>
      <w:r>
        <w:rPr/>
        <w:t>“</w:t>
      </w:r>
      <w:r>
        <w:rPr>
          <w:rFonts w:ascii="Times New Roman" w:hAnsi="Times New Roman"/>
          <w:sz w:val="20"/>
          <w:u w:val="single"/>
        </w:rPr>
        <w:t>Foreign Purchaser</w:t>
      </w:r>
      <w:r>
        <w:rPr>
          <w:rFonts w:ascii="Times New Roman" w:hAnsi="Times New Roman"/>
          <w:sz w:val="20"/>
        </w:rPr>
        <w:t xml:space="preserve">” means any Purchaser which is not a “United States person” within the meaning of Section 7701(a)(30) of the Code. </w:t>
      </w:r>
    </w:p>
    <w:p>
      <w:pPr>
        <w:pStyle w:val="TextBody"/>
        <w:bidi w:val="0"/>
        <w:spacing w:before="240" w:after="0"/>
        <w:jc w:val="both"/>
        <w:rPr/>
      </w:pPr>
      <w:r>
        <w:rPr/>
        <w:t>“</w:t>
      </w:r>
      <w:r>
        <w:rPr>
          <w:rFonts w:ascii="Times New Roman" w:hAnsi="Times New Roman"/>
          <w:sz w:val="20"/>
          <w:u w:val="single"/>
        </w:rPr>
        <w:t>GAAP</w:t>
      </w:r>
      <w:r>
        <w:rPr>
          <w:rFonts w:ascii="Times New Roman" w:hAnsi="Times New Roman"/>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in the United States, which are in effect as of the relevant date of determination. </w:t>
      </w:r>
    </w:p>
    <w:p>
      <w:pPr>
        <w:pStyle w:val="TextBody"/>
        <w:bidi w:val="0"/>
        <w:spacing w:before="240" w:after="0"/>
        <w:jc w:val="both"/>
        <w:rPr/>
      </w:pPr>
      <w:r>
        <w:rPr/>
        <w:t>“</w:t>
      </w:r>
      <w:r>
        <w:rPr>
          <w:rFonts w:ascii="Times New Roman" w:hAnsi="Times New Roman"/>
          <w:sz w:val="20"/>
          <w:u w:val="single"/>
        </w:rPr>
        <w:t>General Services Agreement</w:t>
      </w:r>
      <w:r>
        <w:rPr>
          <w:rFonts w:ascii="Times New Roman" w:hAnsi="Times New Roman"/>
          <w:sz w:val="20"/>
        </w:rPr>
        <w:t xml:space="preserve">” means that certain Services Agreement, dated January 1, 2018, among each of TBUS, TBIL, Theravance Biopharma R&amp;D, Inc. and Theravance Biopharma UK Limited, each as service providers, and TBPH, TBRD, TBUS, TBIL and Theravance Biopharma Cayman Holdings, Inc., each as service recipients, as in effect on the Closing Date. </w:t>
      </w:r>
    </w:p>
    <w:p>
      <w:pPr>
        <w:pStyle w:val="TextBody"/>
        <w:bidi w:val="0"/>
        <w:spacing w:before="240" w:after="0"/>
        <w:jc w:val="both"/>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any political subdivision thereof, whether state, provincial, local or otherwise, and any agency, authority, instrumentality, regulatory body, court, or other entity exercising executive, legislative, judicial, taxing, regulatory or administrative powers or functions of or pertaining to government. </w:t>
      </w:r>
    </w:p>
    <w:p>
      <w:pPr>
        <w:pStyle w:val="TextBody"/>
        <w:bidi w:val="0"/>
        <w:spacing w:before="240" w:after="0"/>
        <w:jc w:val="both"/>
        <w:rPr/>
      </w:pPr>
      <w:r>
        <w:rPr/>
        <w:t>“</w:t>
      </w:r>
      <w:r>
        <w:rPr>
          <w:rFonts w:ascii="Times New Roman" w:hAnsi="Times New Roman"/>
          <w:sz w:val="20"/>
          <w:u w:val="single"/>
        </w:rPr>
        <w:t>Governmental Authorization</w:t>
      </w:r>
      <w:r>
        <w:rPr>
          <w:rFonts w:ascii="Times New Roman" w:hAnsi="Times New Roman"/>
          <w:sz w:val="20"/>
        </w:rPr>
        <w:t xml:space="preserve">” means any permit, certificate, license, registration, authorization, clearance, plan, directive, consent order or consent decree, or approval of or from any Governmental Authority and any accreditation issued or granted by an accrediting organization. </w:t>
      </w:r>
    </w:p>
    <w:p>
      <w:pPr>
        <w:pStyle w:val="TextBody"/>
        <w:bidi w:val="0"/>
        <w:spacing w:before="240" w:after="0"/>
        <w:jc w:val="both"/>
        <w:rPr/>
      </w:pPr>
      <w:r>
        <w:rPr/>
        <w:t>“</w:t>
      </w:r>
      <w:r>
        <w:rPr>
          <w:rFonts w:ascii="Times New Roman" w:hAnsi="Times New Roman"/>
          <w:sz w:val="20"/>
          <w:u w:val="single"/>
        </w:rPr>
        <w:t>Grant</w:t>
      </w:r>
      <w:r>
        <w:rPr>
          <w:rFonts w:ascii="Times New Roman" w:hAnsi="Times New Roman"/>
          <w:sz w:val="20"/>
        </w:rPr>
        <w:t xml:space="preserve">” means any grant, funding, incentive, subsidy, award, loan, participation, exemption, cost sharing arrangement, reimbursement arrangement, relief or other support or benefit (including, but not limited to, Tax benefits). </w:t>
      </w:r>
    </w:p>
    <w:p>
      <w:pPr>
        <w:pStyle w:val="TextBody"/>
        <w:bidi w:val="0"/>
        <w:spacing w:before="240" w:after="0"/>
        <w:jc w:val="both"/>
        <w:rPr/>
      </w:pPr>
      <w:r>
        <w:rPr/>
        <w:t>“</w:t>
      </w:r>
      <w:r>
        <w:rPr>
          <w:rFonts w:ascii="Times New Roman" w:hAnsi="Times New Roman"/>
          <w:sz w:val="20"/>
          <w:u w:val="single"/>
        </w:rPr>
        <w:t>Group Member</w:t>
      </w:r>
      <w:r>
        <w:rPr>
          <w:rFonts w:ascii="Times New Roman" w:hAnsi="Times New Roman"/>
          <w:sz w:val="20"/>
        </w:rPr>
        <w:t xml:space="preserve">” means the Note Parties and their respective Subsidiaries. </w:t>
      </w:r>
    </w:p>
    <w:p>
      <w:pPr>
        <w:pStyle w:val="TextBody"/>
        <w:bidi w:val="0"/>
        <w:spacing w:before="240" w:after="0"/>
        <w:jc w:val="both"/>
        <w:rPr/>
      </w:pPr>
      <w:r>
        <w:rPr/>
        <w:t>“</w:t>
      </w:r>
      <w:r>
        <w:rPr>
          <w:rFonts w:ascii="Times New Roman" w:hAnsi="Times New Roman"/>
          <w:sz w:val="20"/>
          <w:u w:val="single"/>
        </w:rPr>
        <w:t>Guarantee</w:t>
      </w:r>
      <w:r>
        <w:rPr>
          <w:rFonts w:ascii="Times New Roman" w:hAnsi="Times New Roman"/>
          <w:sz w:val="20"/>
        </w:rPr>
        <w:t>” means, as to any Person: (i) any obligation, contingent or otherwise, of such Person guaranteeing or having the economic effect of guaranteeing any Indebtedness or other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such Person, direct or indirect (A) to purchase or pay (or advance or supply funds for the purchase or payment of) such Indebtedness or other obligation, (B) to purchase or lease property, securities or services for the purpose of assuring the obligee in respect of such Indebtedness or other obligation of the payment or performance of such Indebtedness or other obligation, (C) to maintain working capital, equity capital or any other financial statement condition or liquidity or level of income or cash flow of the primary obligor so as to enable the primary obligor to pay such Indebtedness or other obligation, or (D) entered into for the purpose of assuring in any other manner the obligee in respect of such Indebtedness or other obligation of the payment or performance thereof or to protect such obligee against loss in respect thereof (in whole or in part); or (ii) any Lien on any assets of such Person securing any Indebtedness or other obligation of any other Person, whether or not such Indebtedness or other obligation is assumed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Guarantor</w:t>
      </w:r>
      <w:r>
        <w:rPr>
          <w:rFonts w:ascii="Times New Roman" w:hAnsi="Times New Roman"/>
          <w:sz w:val="20"/>
        </w:rPr>
        <w:t xml:space="preserve">” means, collectively, TBIL, TBUS, RDIP, TABI and any other Person who joins the Guaranty and Security Agreement as a guarantor from time to time. </w:t>
      </w:r>
    </w:p>
    <w:p>
      <w:pPr>
        <w:pStyle w:val="TextBody"/>
        <w:bidi w:val="0"/>
        <w:spacing w:before="240" w:after="0"/>
        <w:jc w:val="both"/>
        <w:rPr/>
      </w:pPr>
      <w:r>
        <w:rPr/>
        <w:t>“</w:t>
      </w:r>
      <w:r>
        <w:rPr>
          <w:rFonts w:ascii="Times New Roman" w:hAnsi="Times New Roman"/>
          <w:sz w:val="20"/>
          <w:u w:val="single"/>
        </w:rPr>
        <w:t>Guaranty and Security Agreement</w:t>
      </w:r>
      <w:r>
        <w:rPr>
          <w:rFonts w:ascii="Times New Roman" w:hAnsi="Times New Roman"/>
          <w:sz w:val="20"/>
        </w:rPr>
        <w:t xml:space="preserve">” means that certain Guaranty and Security Agreement dated as of the Closing Date, by and among the Note Parties and any other Person who joins the Guaranty and Security Agreement from time to time, as guarantors and grantors, and the Agent, acting on behalf of the Secured Parties. </w:t>
      </w:r>
    </w:p>
    <w:p>
      <w:pPr>
        <w:pStyle w:val="TextBody"/>
        <w:bidi w:val="0"/>
        <w:spacing w:before="240" w:after="0"/>
        <w:jc w:val="both"/>
        <w:rPr/>
      </w:pPr>
      <w:r>
        <w:rPr/>
        <w:t>“</w:t>
      </w:r>
      <w:r>
        <w:rPr>
          <w:rFonts w:ascii="Times New Roman" w:hAnsi="Times New Roman"/>
          <w:sz w:val="20"/>
          <w:u w:val="single"/>
        </w:rPr>
        <w:t>Healthcare Laws</w:t>
      </w:r>
      <w:r>
        <w:rPr>
          <w:rFonts w:ascii="Times New Roman" w:hAnsi="Times New Roman"/>
          <w:sz w:val="20"/>
        </w:rPr>
        <w:t xml:space="preserve">” means all requirements of Law relating to the provision of the Licensed Product, including the Federal Food, Drug and Cosmetic Act (21 U.S.C. § 301 et seq.) and requirements of Law relating to Healthcare Permits; relationships with healthcare providers; reporting and disclosure requirements to Governmental Authorities; the prohibition or regulation of fraud and abuse; patient inducements; patient referrals or provider incentives generally; anti-kickback; anti-referral; false claims; the submission of bills; claims or similar requests for payment; coding; coverage; reimbursement; claims submission; billing and collections; insurance fraud; the administration of healthcare claims or benefits; medical records; patient privacy and security breach notification rules; facility licensure; quality, safety, and accreditation standards including good clinical, laboratory and manufacturing practices; advertising or marketing of the Licensed Product, all as now in effect and in each case as applicable to the business of the Note Parties. </w:t>
      </w:r>
    </w:p>
    <w:p>
      <w:pPr>
        <w:pStyle w:val="TextBody"/>
        <w:bidi w:val="0"/>
        <w:spacing w:before="240" w:after="0"/>
        <w:jc w:val="both"/>
        <w:rPr/>
      </w:pPr>
      <w:r>
        <w:rPr/>
        <w:t>“</w:t>
      </w:r>
      <w:r>
        <w:rPr>
          <w:rFonts w:ascii="Times New Roman" w:hAnsi="Times New Roman"/>
          <w:sz w:val="20"/>
          <w:u w:val="single"/>
        </w:rPr>
        <w:t>Healthcare Permits</w:t>
      </w:r>
      <w:r>
        <w:rPr>
          <w:rFonts w:ascii="Times New Roman" w:hAnsi="Times New Roman"/>
          <w:sz w:val="20"/>
        </w:rPr>
        <w:t xml:space="preserve">” means any and all Governmental Authorization issued or required under applicable Healthcare Laws (including accreditations, consents, qualifications or certifications). </w:t>
      </w:r>
    </w:p>
    <w:p>
      <w:pPr>
        <w:pStyle w:val="TextBody"/>
        <w:bidi w:val="0"/>
        <w:spacing w:before="240" w:after="0"/>
        <w:jc w:val="both"/>
        <w:rPr/>
      </w:pPr>
      <w:r>
        <w:rPr/>
        <w:t>“</w:t>
      </w:r>
      <w:r>
        <w:rPr>
          <w:rFonts w:ascii="Times New Roman" w:hAnsi="Times New Roman"/>
          <w:sz w:val="20"/>
          <w:u w:val="single"/>
        </w:rPr>
        <w:t>Hazardous Material</w:t>
      </w:r>
      <w:r>
        <w:rPr>
          <w:rFonts w:ascii="Times New Roman" w:hAnsi="Times New Roman"/>
          <w:sz w:val="20"/>
        </w:rPr>
        <w:t xml:space="preserve">” means any chemical, material or substance, exposure to which is prohibited, limited or regulated by any Governmental Authority or which would reasonably be expected to pose a hazard to the health and safety of the owners, occupants or any Persons in the vicinity of any real property (including all buildings, fixtures or other improvements located thereon) now, hereafter or heretofore owned, leased or operated by any Note Party or any of its Subsidiaries or to the indoor or outdoor environment. </w:t>
      </w:r>
    </w:p>
    <w:p>
      <w:pPr>
        <w:pStyle w:val="TextBody"/>
        <w:bidi w:val="0"/>
        <w:spacing w:before="240" w:after="0"/>
        <w:jc w:val="both"/>
        <w:rPr/>
      </w:pPr>
      <w:r>
        <w:rPr/>
        <w:t>“</w:t>
      </w:r>
      <w:r>
        <w:rPr>
          <w:rFonts w:ascii="Times New Roman" w:hAnsi="Times New Roman"/>
          <w:sz w:val="20"/>
          <w:u w:val="single"/>
        </w:rPr>
        <w:t>Hazardous Materials Activity</w:t>
      </w:r>
      <w:r>
        <w:rPr>
          <w:rFonts w:ascii="Times New Roman" w:hAnsi="Times New Roman"/>
          <w:sz w:val="20"/>
        </w:rPr>
        <w:t xml:space="preserve">” means any activity, event or occurrence involving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 </w:t>
      </w:r>
    </w:p>
    <w:p>
      <w:pPr>
        <w:pStyle w:val="TextBody"/>
        <w:bidi w:val="0"/>
        <w:spacing w:before="240" w:after="0"/>
        <w:jc w:val="both"/>
        <w:rPr/>
      </w:pPr>
      <w:r>
        <w:rPr/>
        <w:t>“</w:t>
      </w:r>
      <w:r>
        <w:rPr>
          <w:rFonts w:ascii="Times New Roman" w:hAnsi="Times New Roman"/>
          <w:sz w:val="20"/>
          <w:u w:val="single"/>
        </w:rPr>
        <w:t>IND</w:t>
      </w:r>
      <w:r>
        <w:rPr>
          <w:rFonts w:ascii="Times New Roman" w:hAnsi="Times New Roman"/>
          <w:sz w:val="20"/>
        </w:rPr>
        <w:t xml:space="preserve">” means: (i)(A) an “investigational new drug application” (as defined and provided for in the Federal Food, Drug and Cosmetic Act) that is required to be filed with the FDA before beginning clinical testing in human subjects, together with any successor application or procedure, and (B) any similar application or functional equivalent applicable to or required by any non-U.S. Governmental Authority; and (ii) all supplements and amendments that may be filed with respect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Indebtedness</w:t>
      </w:r>
      <w:r>
        <w:rPr>
          <w:rFonts w:ascii="Times New Roman" w:hAnsi="Times New Roman"/>
          <w:sz w:val="20"/>
        </w:rPr>
        <w:t xml:space="preserve">” with respect to any Person means (i) all obligations of such Person for borrowed money, (ii) all obligations of such Person evidenced by bonds, debentures, notes or other similar instruments or upon which interest payments are customarily made, (iii) all obligations of such Person in respect of the deferred purchase price of property or services (other than current trade payables which are not overdue by more than ninety (90) days); (iv) all obligations of such Person created or arising under any conditional sale or other title retention agreement(s) with respect to property used and/or acquired by such Person, even though the rights and remedies of the lessor, seller and/or lender thereunder may be limited to repossession or sale of such property, (v) all obligations, contingent or otherwise, of such Person in respect of letters of credit, banker’s acceptances or similar extensions of credit, (vi) any capitalized lease obligation, (vii) any obligations with respect to Disqualified Equity Interests, (viii) indebtedness of a third party secured by (or for which the holder of such indebtedness has an existing right, contingent or otherwise, to be secured by) any Lien on assets owned or acquired by such Person, whether or not the indebtedness secured thereby has been assumed (but only to the extent of such Lien), (ix) net amounts owing pursuant to an interest rate protection agreement, foreign currency exchange agreement or other hedging arrangement, or (x) all Guarantees with respect to Indebtedness of the types specified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above of another Person. For the avoidance of doubt, the Indebtedness of any Person shall include the Indebtedness of any other Person to the extent such Person is directly liable therefor as a result of such Person’s ownership interest in or other relationship with such entity, except to the extent the terms of such Indebtedness expressly provide that such Person is not liable therefor. </w:t>
      </w:r>
    </w:p>
    <w:p>
      <w:pPr>
        <w:pStyle w:val="TextBody"/>
        <w:bidi w:val="0"/>
        <w:spacing w:before="240" w:after="0"/>
        <w:jc w:val="both"/>
        <w:rPr/>
      </w:pPr>
      <w:r>
        <w:rPr/>
        <w:t>“</w:t>
      </w:r>
      <w:r>
        <w:rPr>
          <w:rFonts w:ascii="Times New Roman" w:hAnsi="Times New Roman"/>
          <w:sz w:val="20"/>
          <w:u w:val="single"/>
        </w:rPr>
        <w:t>Indemnified Liabilities</w:t>
      </w:r>
      <w:r>
        <w:rPr>
          <w:rFonts w:ascii="Times New Roman" w:hAnsi="Times New Roman"/>
          <w:sz w:val="20"/>
        </w:rPr>
        <w:t xml:space="preserve">” means, collectively, any and all liabilities, obligations, losses, damages, fines, penalties, claims, costs, expenses, actions (whether threatened or existing), judgments, suits (whether threatened or existing) and disbursements of any kind or nature whatsoever (including the reasonable and documented fees and disbursements of counsel, experts, consultants and other professionals for Indemnitees in connection with any investigative, administrative or judicial proceeding commenced or threatened by any Person, whether or not any such Indemnitee shall be designated as a party or a potential party thereto, and whether or not such Indemnitee is required by Law to be involved therein, and any fees or expenses actually incurred by Indemnitees in enforcing the indemnity provided herein but limited, in the case of legal fees and expenses, to one counsel to each of the Purchasers (taken as a whole) and to one counsel to each of the Agent and the Account Bank (and of one regulatory counsel to each of the Purchasers (taken as a whole) and of one regulatory counsel to each of the Agent and the Account Bank and of one local counsel in any material relevant jurisdiction to each of the Purchasers (taken as a whole) and of one local counsel in any material relevant jurisdiction to each of the Agent and the Account Bank and, in the case of an actual or reasonably perceived conflict of interest among the Indemnitees where the Indemnitee(s) affected by such conflict informs the Issuers of such conflict and thereafter retains its own counsel, of one additional counsel to the affected Indemnitees similarly situated, taken as a whole (and, if reasonably necessary, of one additional regulatory counsel and of one additional local counsel in any material relevant jurisdiction to such affected Indemnitees)), whether direct, indirect or consequential, whether based on any federal, state or foreign laws, statutes, rules or regulations (including securities and commercial laws, statutes, rules or regulations), on common law or equitable cause or on contract or otherwise, imposed on, incurred by, or asserted against any such Indemnitee, in any manner relating to or arising out of this Agreement, the other Note Documents, the Collaboration Agreement, the Co-Promotion Agreement or the Transactions or any of the transactions contemplated hereby or thereby (including any enforcement of any of the Transaction Documents (including any sale of, collection from, or other realization upon any of the Collateral), the Collaboration Agreement or the Co-Promotion Agreement). </w:t>
      </w:r>
    </w:p>
    <w:p>
      <w:pPr>
        <w:pStyle w:val="TextBody"/>
        <w:bidi w:val="0"/>
        <w:spacing w:before="240" w:after="0"/>
        <w:jc w:val="both"/>
        <w:rPr/>
      </w:pPr>
      <w:r>
        <w:rPr/>
        <w:t>“</w:t>
      </w:r>
      <w:r>
        <w:rPr>
          <w:rFonts w:ascii="Times New Roman" w:hAnsi="Times New Roman"/>
          <w:sz w:val="20"/>
          <w:u w:val="single"/>
        </w:rPr>
        <w:t>Indemnified Taxes</w:t>
      </w:r>
      <w:r>
        <w:rPr>
          <w:rFonts w:ascii="Times New Roman" w:hAnsi="Times New Roman"/>
          <w:sz w:val="20"/>
        </w:rPr>
        <w:t xml:space="preserve">” means (i) Taxes, other than Excluded Taxes, imposed on or with respect to any payment made by or on account of any obligation of any Transaction Party under any Note Document including any Taxes (other than Excluded Taxes) in respect of any increased payment made pursuant to Article IV and (ii) to the extent not otherwise described in clause (i), Other Taxes. </w:t>
      </w:r>
    </w:p>
    <w:p>
      <w:pPr>
        <w:pStyle w:val="TextBody"/>
        <w:bidi w:val="0"/>
        <w:spacing w:before="240" w:after="0"/>
        <w:jc w:val="both"/>
        <w:rPr/>
      </w:pPr>
      <w:r>
        <w:rPr/>
        <w:t>“</w:t>
      </w:r>
      <w:r>
        <w:rPr>
          <w:rFonts w:ascii="Times New Roman" w:hAnsi="Times New Roman"/>
          <w:sz w:val="20"/>
          <w:u w:val="single"/>
        </w:rPr>
        <w:t>Indemnitee</w:t>
      </w:r>
      <w:r>
        <w:rPr>
          <w:rFonts w:ascii="Times New Roman" w:hAnsi="Times New Roman"/>
          <w:sz w:val="20"/>
        </w:rPr>
        <w:t xml:space="preserve">” means the Agent (and each subagent thereof), Account Bank, each Purchaser, their respective Affiliates and each of their respective directors, officers, employees, partners, shareholders, trustees, advisors, attorneys and controlling Persons. </w:t>
      </w:r>
    </w:p>
    <w:p>
      <w:pPr>
        <w:pStyle w:val="TextBody"/>
        <w:bidi w:val="0"/>
        <w:spacing w:before="240" w:after="0"/>
        <w:jc w:val="both"/>
        <w:rPr/>
      </w:pPr>
      <w:r>
        <w:rPr/>
        <w:t>“</w:t>
      </w:r>
      <w:r>
        <w:rPr>
          <w:rFonts w:ascii="Times New Roman" w:hAnsi="Times New Roman"/>
          <w:sz w:val="20"/>
          <w:u w:val="single"/>
        </w:rPr>
        <w:t>Indemnitee Related Party</w:t>
      </w:r>
      <w:r>
        <w:rPr>
          <w:rFonts w:ascii="Times New Roman" w:hAnsi="Times New Roman"/>
          <w:sz w:val="20"/>
        </w:rPr>
        <w:t xml:space="preserve">” has the meaning set forth in </w:t>
      </w:r>
      <w:r>
        <w:rPr>
          <w:rFonts w:ascii="Times New Roman" w:hAnsi="Times New Roman"/>
          <w:sz w:val="20"/>
          <w:u w:val="single"/>
        </w:rPr>
        <w:t>Section 12.07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Independent Manager</w:t>
      </w:r>
      <w:r>
        <w:rPr>
          <w:rFonts w:ascii="Times New Roman" w:hAnsi="Times New Roman"/>
          <w:sz w:val="20"/>
        </w:rPr>
        <w:t xml:space="preserve">” means, with respect to the DST Issuer or the Trustee Co-Issuer, as applicable, an individual or Company who has prior experience, in the case of an individual, as an independent director, independent manager, independent member or independent trustee with at least three (3) years of employment experience (who may be provided by CT Corporation, Corporation Service Company, National Registered Agents, Inc., Wilmington Trust Corporation, Lord Securities Corporation or another nationally recognized company that is not an Affiliate of any Transaction Party and that provides independent directors, managers, members or trustees and other corporate services in the ordinary course of its business) or in the case of a company at least three (3) years of experience acting in such capacity and which: </w:t>
      </w:r>
    </w:p>
    <w:p>
      <w:pPr>
        <w:pStyle w:val="TextBody"/>
        <w:bidi w:val="0"/>
        <w:spacing w:before="120" w:after="0"/>
        <w:jc w:val="both"/>
        <w:rPr>
          <w:rFonts w:ascii="Times New Roman" w:hAnsi="Times New Roman"/>
          <w:sz w:val="20"/>
        </w:rPr>
      </w:pPr>
      <w:r>
        <w:rPr>
          <w:rFonts w:ascii="Times New Roman" w:hAnsi="Times New Roman"/>
          <w:sz w:val="20"/>
        </w:rPr>
        <w:t>(i) is duly appointed as an “independent trustee” of the DST Issuer or an “independent manager” of the Trustee Co-Issuer, as applicable, pursuant to the Organizational Documents of the applicable Issuer entitled to all the rights and privileges of such trustee or manager, as applicable, on all Independent Manager Matters and is not, and has never been, and will not while serving as Independent Manager be, any of the following: (i) Related Parties of any Transaction Party, or (ii) the owner of Equity Interests in any Transaction Party (any of the foregoing, a “</w:t>
      </w:r>
      <w:r>
        <w:rPr>
          <w:rFonts w:ascii="Times New Roman" w:hAnsi="Times New Roman"/>
          <w:sz w:val="20"/>
          <w:u w:val="single"/>
        </w:rPr>
        <w:t>Disqualified Person</w:t>
      </w:r>
      <w:r>
        <w:rPr>
          <w:rFonts w:ascii="Times New Roman" w:hAnsi="Times New Roman"/>
          <w:sz w:val="20"/>
        </w:rPr>
        <w:t xml:space="preserve">”), other than as an Independent Manager; </w:t>
      </w:r>
    </w:p>
    <w:p>
      <w:pPr>
        <w:pStyle w:val="TextBody"/>
        <w:bidi w:val="0"/>
        <w:spacing w:before="120" w:after="0"/>
        <w:jc w:val="both"/>
        <w:rPr>
          <w:rFonts w:ascii="Times New Roman" w:hAnsi="Times New Roman"/>
          <w:sz w:val="20"/>
        </w:rPr>
      </w:pPr>
      <w:r>
        <w:rPr>
          <w:rFonts w:ascii="Times New Roman" w:hAnsi="Times New Roman"/>
          <w:sz w:val="20"/>
        </w:rPr>
        <w:t xml:space="preserve">(ii) to the fullest extent permitted by Law, including Section 18-1101(c) of the Delaware Limited Liability Company Act and Section 3806(c) of the Delaware Statutory Trust Act, as applicable, shall consider only the interests of the applicable Issuer, including its respective creditors, in acting or otherwise voting on Independent Manager Matters; </w:t>
      </w:r>
    </w:p>
    <w:p>
      <w:pPr>
        <w:pStyle w:val="TextBody"/>
        <w:bidi w:val="0"/>
        <w:spacing w:before="120" w:after="0"/>
        <w:jc w:val="both"/>
        <w:rPr>
          <w:rFonts w:ascii="Times New Roman" w:hAnsi="Times New Roman"/>
          <w:sz w:val="20"/>
        </w:rPr>
      </w:pPr>
      <w:r>
        <w:rPr>
          <w:rFonts w:ascii="Times New Roman" w:hAnsi="Times New Roman"/>
          <w:sz w:val="20"/>
        </w:rPr>
        <w:t xml:space="preserve">(iii) except to the extent provided in the Organizational Documents of the DST Issuer or Trustee Co-Issuer, as applicable, is under no fiduciary duty to any Disqualified Person; </w:t>
      </w:r>
    </w:p>
    <w:p>
      <w:pPr>
        <w:pStyle w:val="TextBody"/>
        <w:bidi w:val="0"/>
        <w:spacing w:before="120" w:after="0"/>
        <w:jc w:val="both"/>
        <w:rPr>
          <w:rFonts w:ascii="Times New Roman" w:hAnsi="Times New Roman"/>
          <w:sz w:val="20"/>
        </w:rPr>
      </w:pPr>
      <w:r>
        <w:rPr>
          <w:rFonts w:ascii="Times New Roman" w:hAnsi="Times New Roman"/>
          <w:sz w:val="20"/>
        </w:rPr>
        <w:t xml:space="preserve">(iv) has been disclosed to the Agent (together with a brief description of such Person’s prior professional activities and other information as the Agent shall reasonably request) prior to the effectiveness of such Person’s appointment; and </w:t>
      </w:r>
    </w:p>
    <w:p>
      <w:pPr>
        <w:pStyle w:val="TextBody"/>
        <w:bidi w:val="0"/>
        <w:spacing w:before="120" w:after="0"/>
        <w:jc w:val="both"/>
        <w:rPr>
          <w:rFonts w:ascii="Times New Roman" w:hAnsi="Times New Roman"/>
          <w:sz w:val="20"/>
        </w:rPr>
      </w:pPr>
      <w:r>
        <w:rPr>
          <w:rFonts w:ascii="Times New Roman" w:hAnsi="Times New Roman"/>
          <w:sz w:val="20"/>
        </w:rPr>
        <w:t xml:space="preserve">(v) has been approved by the Agent (acting at the direction of the Requisite Purchasers, in their reasonable discretion). </w:t>
      </w:r>
    </w:p>
    <w:p>
      <w:pPr>
        <w:pStyle w:val="TextBody"/>
        <w:bidi w:val="0"/>
        <w:spacing w:before="240" w:after="0"/>
        <w:jc w:val="both"/>
        <w:rPr/>
      </w:pPr>
      <w:r>
        <w:rPr/>
        <w:t>“</w:t>
      </w:r>
      <w:r>
        <w:rPr>
          <w:rFonts w:ascii="Times New Roman" w:hAnsi="Times New Roman"/>
          <w:sz w:val="20"/>
          <w:u w:val="single"/>
        </w:rPr>
        <w:t>Independent Manager Matters</w:t>
      </w:r>
      <w:r>
        <w:rPr>
          <w:rFonts w:ascii="Times New Roman" w:hAnsi="Times New Roman"/>
          <w:sz w:val="20"/>
        </w:rPr>
        <w:t xml:space="preserve">” means any act (i) instituting or consenting to the institution of any proceeding with respect to the applicable Issuer under any Debtor Relief Law, (ii) making a general assignment for the benefit of creditors with respect to the applicable Issuer; or (iii) applying for or consenting to the appointment of any receiver, trustee, custodian, conservator, liquidator, rehabilitator, ad hoc manager or similar officer for the applicable Issuer or for all or any material part of the applicable Issuer’s property. </w:t>
      </w:r>
    </w:p>
    <w:p>
      <w:pPr>
        <w:pStyle w:val="TextBody"/>
        <w:bidi w:val="0"/>
        <w:spacing w:before="240" w:after="0"/>
        <w:jc w:val="both"/>
        <w:rPr/>
      </w:pPr>
      <w:r>
        <w:rPr/>
        <w:t>“</w:t>
      </w:r>
      <w:r>
        <w:rPr>
          <w:rFonts w:ascii="Times New Roman" w:hAnsi="Times New Roman"/>
          <w:sz w:val="20"/>
          <w:u w:val="single"/>
        </w:rPr>
        <w:t>Insolvency Proceeding</w:t>
      </w:r>
      <w:r>
        <w:rPr>
          <w:rFonts w:ascii="Times New Roman" w:hAnsi="Times New Roman"/>
          <w:sz w:val="20"/>
        </w:rPr>
        <w:t xml:space="preserve">” means any proceeding commenced by or against any Person or entity under any Debtor Relief Laws (domestic or foreign), including assignments for the benefit of creditors, formal or informal moratoria, compositions, extensions generally with its creditors, or proceedings seeking reorganization, arrangement, or other relief (including as described in the definition of Bankruptcy Event). </w:t>
      </w:r>
    </w:p>
    <w:p>
      <w:pPr>
        <w:pStyle w:val="TextBody"/>
        <w:bidi w:val="0"/>
        <w:spacing w:before="240" w:after="0"/>
        <w:jc w:val="both"/>
        <w:rPr/>
      </w:pPr>
      <w:r>
        <w:rPr/>
        <w:t>“</w:t>
      </w:r>
      <w:r>
        <w:rPr>
          <w:rFonts w:ascii="Times New Roman" w:hAnsi="Times New Roman"/>
          <w:sz w:val="20"/>
          <w:u w:val="single"/>
        </w:rPr>
        <w:t>Instruction Letter</w:t>
      </w:r>
      <w:r>
        <w:rPr>
          <w:rFonts w:ascii="Times New Roman" w:hAnsi="Times New Roman"/>
          <w:sz w:val="20"/>
        </w:rPr>
        <w:t xml:space="preserve">” has the meaning set forth in </w:t>
      </w:r>
      <w:r>
        <w:rPr>
          <w:rFonts w:ascii="Times New Roman" w:hAnsi="Times New Roman"/>
          <w:sz w:val="20"/>
          <w:u w:val="single"/>
        </w:rPr>
        <w:t>Section 3.03(e)</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including such rights in all inventions (whether patentable or unpatentable and whether or not reduced to practice), Know-How, Patents, Trademarks, and Copyrights whether or not registered, and, in each case, all registrations and applications for registration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Investment</w:t>
      </w:r>
      <w:r>
        <w:rPr>
          <w:rFonts w:ascii="Times New Roman" w:hAnsi="Times New Roman"/>
          <w:sz w:val="20"/>
        </w:rPr>
        <w:t xml:space="preserve">” means any investment in the form of securities, capital contributions, loans, time deposits, advances, guarantees or otherwise and includes (i) any direct or indirect purchase or other acquisition by any Person or any of its Subsidiaries of, or of a beneficial interest in, any Equity Interests, securities or evidence of Indebtedness of any other Person; (ii) any direct or indirect loan, advance, deposit, commitment to lend, other extension of credit or capital contribution by any Person or any of its Subsidiaries to any other Person; (iii) any Guarantee of, assumption of, or remaining liable with respect to, any obligations or Indebtedness of another Person; and (iv) any direct or indirect acquisition, whether in one transaction or a series of related transactions, of all or substantially all of the assets, property or business of any other Person or any division, branch, brand or other business unit thereof. </w:t>
      </w:r>
    </w:p>
    <w:p>
      <w:pPr>
        <w:pStyle w:val="TextBody"/>
        <w:bidi w:val="0"/>
        <w:spacing w:before="240" w:after="0"/>
        <w:jc w:val="both"/>
        <w:rPr/>
      </w:pPr>
      <w:r>
        <w:rPr/>
        <w:t>“</w:t>
      </w:r>
      <w:r>
        <w:rPr>
          <w:rFonts w:ascii="Times New Roman" w:hAnsi="Times New Roman"/>
          <w:sz w:val="20"/>
          <w:u w:val="single"/>
        </w:rPr>
        <w:t>IP Rights</w:t>
      </w:r>
      <w:r>
        <w:rPr>
          <w:rFonts w:ascii="Times New Roman" w:hAnsi="Times New Roman"/>
          <w:sz w:val="20"/>
        </w:rPr>
        <w:t xml:space="preserve">” means, collectively, all Intellectual Property owned by, or exclusively licensed to, or thereafter acquired by, the Note Parties or their Affiliates and primarily relating to, used in or necessary for the Development, manufacture or Commercialization of the Licensed Product in the Territory, including such Intellectual Property in the Product Patents, Product Trademarks, and Product Databases. </w:t>
      </w:r>
    </w:p>
    <w:p>
      <w:pPr>
        <w:pStyle w:val="TextBody"/>
        <w:bidi w:val="0"/>
        <w:spacing w:before="240" w:after="0"/>
        <w:jc w:val="both"/>
        <w:rPr/>
      </w:pPr>
      <w:r>
        <w:rPr/>
        <w:t>“</w:t>
      </w:r>
      <w:r>
        <w:rPr>
          <w:rFonts w:ascii="Times New Roman" w:hAnsi="Times New Roman"/>
          <w:sz w:val="20"/>
          <w:u w:val="single"/>
        </w:rPr>
        <w:t>IP Security Agreement</w:t>
      </w:r>
      <w:r>
        <w:rPr>
          <w:rFonts w:ascii="Times New Roman" w:hAnsi="Times New Roman"/>
          <w:sz w:val="20"/>
        </w:rPr>
        <w:t xml:space="preserve">” means each intellectual property security agreement or intellectual property security agreement supplement, entered into from time to time by the Note Parties in favor of the Agent (on behalf of the Secured Parties), which may only be modified upon approval of the Agent (acting at the direction of Requisite Purchasers). </w:t>
      </w:r>
    </w:p>
    <w:p>
      <w:pPr>
        <w:pStyle w:val="TextBody"/>
        <w:bidi w:val="0"/>
        <w:spacing w:before="240" w:after="0"/>
        <w:jc w:val="both"/>
        <w:rPr/>
      </w:pPr>
      <w:r>
        <w:rPr/>
        <w:t>“</w:t>
      </w:r>
      <w:r>
        <w:rPr>
          <w:rFonts w:ascii="Times New Roman" w:hAnsi="Times New Roman"/>
          <w:sz w:val="20"/>
          <w:u w:val="single"/>
        </w:rPr>
        <w:t>Irish Companies Act</w:t>
      </w:r>
      <w:r>
        <w:rPr>
          <w:rFonts w:ascii="Times New Roman" w:hAnsi="Times New Roman"/>
          <w:sz w:val="20"/>
        </w:rPr>
        <w:t xml:space="preserve">” means the Companies Act 2014 of Ireland. </w:t>
      </w:r>
    </w:p>
    <w:p>
      <w:pPr>
        <w:pStyle w:val="TextBody"/>
        <w:bidi w:val="0"/>
        <w:spacing w:before="240" w:after="0"/>
        <w:jc w:val="both"/>
        <w:rPr/>
      </w:pPr>
      <w:r>
        <w:rPr/>
        <w:t>“</w:t>
      </w:r>
      <w:r>
        <w:rPr>
          <w:rFonts w:ascii="Times New Roman" w:hAnsi="Times New Roman"/>
          <w:sz w:val="20"/>
          <w:u w:val="single"/>
        </w:rPr>
        <w:t>Irish Note Party</w:t>
      </w:r>
      <w:r>
        <w:rPr>
          <w:rFonts w:ascii="Times New Roman" w:hAnsi="Times New Roman"/>
          <w:sz w:val="20"/>
        </w:rPr>
        <w:t xml:space="preserve">” means TBIL and any other Note Party incorporated or established under the laws of Ireland. </w:t>
      </w:r>
    </w:p>
    <w:p>
      <w:pPr>
        <w:pStyle w:val="TextBody"/>
        <w:bidi w:val="0"/>
        <w:spacing w:before="240" w:after="0"/>
        <w:jc w:val="both"/>
        <w:rPr/>
      </w:pPr>
      <w:r>
        <w:rPr/>
        <w:t>“</w:t>
      </w:r>
      <w:r>
        <w:rPr>
          <w:rFonts w:ascii="Times New Roman" w:hAnsi="Times New Roman"/>
          <w:sz w:val="20"/>
          <w:u w:val="single"/>
        </w:rPr>
        <w:t>Irish Security Agreement</w:t>
      </w:r>
      <w:r>
        <w:rPr>
          <w:rFonts w:ascii="Times New Roman" w:hAnsi="Times New Roman"/>
          <w:sz w:val="20"/>
        </w:rPr>
        <w:t xml:space="preserve">” means an Irish law governed debenture dated as of the Closing Date, by and among TBIL as chargor and the Agent, acting on behalf of the Secured Parties. </w:t>
      </w:r>
    </w:p>
    <w:p>
      <w:pPr>
        <w:pStyle w:val="TextBody"/>
        <w:bidi w:val="0"/>
        <w:spacing w:before="240" w:after="0"/>
        <w:jc w:val="both"/>
        <w:rPr/>
      </w:pPr>
      <w:r>
        <w:rPr/>
        <w:t>“</w:t>
      </w:r>
      <w:r>
        <w:rPr>
          <w:rFonts w:ascii="Times New Roman" w:hAnsi="Times New Roman"/>
          <w:sz w:val="20"/>
          <w:u w:val="single"/>
        </w:rPr>
        <w:t>Issuer</w:t>
      </w:r>
      <w:r>
        <w:rPr>
          <w:rFonts w:ascii="Times New Roman" w:hAnsi="Times New Roman"/>
          <w:sz w:val="20"/>
        </w:rPr>
        <w:t>” and “</w:t>
      </w:r>
      <w:r>
        <w:rPr>
          <w:rFonts w:ascii="Times New Roman" w:hAnsi="Times New Roman"/>
          <w:sz w:val="20"/>
          <w:u w:val="single"/>
        </w:rPr>
        <w:t>Issuers</w:t>
      </w:r>
      <w:r>
        <w:rPr>
          <w:rFonts w:ascii="Times New Roman" w:hAnsi="Times New Roman"/>
          <w:sz w:val="20"/>
        </w:rPr>
        <w:t xml:space="preserve">” have the meaning set forth in the preamble hereto. </w:t>
      </w:r>
    </w:p>
    <w:p>
      <w:pPr>
        <w:pStyle w:val="TextBody"/>
        <w:bidi w:val="0"/>
        <w:spacing w:before="240" w:after="0"/>
        <w:jc w:val="both"/>
        <w:rPr/>
      </w:pPr>
      <w:r>
        <w:rPr/>
        <w:t>“</w:t>
      </w:r>
      <w:r>
        <w:rPr>
          <w:rFonts w:ascii="Times New Roman" w:hAnsi="Times New Roman"/>
          <w:sz w:val="20"/>
          <w:u w:val="single"/>
        </w:rPr>
        <w:t>Know-How</w:t>
      </w:r>
      <w:r>
        <w:rPr>
          <w:rFonts w:ascii="Times New Roman" w:hAnsi="Times New Roman"/>
          <w:sz w:val="20"/>
        </w:rPr>
        <w:t xml:space="preserve">” means proprietary scientific or technical information, inventions, results, data, know-how, processes, methods, models, software or designs of any type whatsoever, in any tangible or intangible form, including safety information, practices, methods, instructions, techniques, algorithms, drawings, documentation, specifications, formulations, formulae, knowledge, trade secrets, skills, experience, concepts, ideas, test data, experimental data and other information or technology applicable (i) to compounds, formulations, compositions of matter, structures, structure activity relationships or products, or (ii) to the design, discovery, identification, creation, selection, development, optimization, manufacture, registration, use, marketing, commercialization or sale of any of the items described in the foregoing </w:t>
      </w:r>
      <w:r>
        <w:rPr>
          <w:rFonts w:ascii="Times New Roman" w:hAnsi="Times New Roman"/>
          <w:sz w:val="20"/>
          <w:u w:val="single"/>
        </w:rPr>
        <w:t>clause (i)</w:t>
      </w:r>
      <w:r>
        <w:rPr>
          <w:rFonts w:ascii="Times New Roman" w:hAnsi="Times New Roman"/>
          <w:sz w:val="20"/>
        </w:rPr>
        <w:t xml:space="preserve">, or to methods of assaying or testing such items, including pharmacological, pharmaceutical, medicinal chemistry, biological, chemical, biochemical, toxicological and clinical test data, physical and analytical, quality control and safety data, manufacturing and stability data, materials, studies and procedures, manufacturing processes and development information, results and data. </w:t>
      </w:r>
    </w:p>
    <w:p>
      <w:pPr>
        <w:pStyle w:val="TextBody"/>
        <w:bidi w:val="0"/>
        <w:spacing w:before="240" w:after="0"/>
        <w:jc w:val="both"/>
        <w:rPr/>
      </w:pPr>
      <w:r>
        <w:rPr/>
        <w:t>“</w:t>
      </w:r>
      <w:r>
        <w:rPr>
          <w:rFonts w:ascii="Times New Roman" w:hAnsi="Times New Roman"/>
          <w:sz w:val="20"/>
          <w:u w:val="single"/>
        </w:rPr>
        <w:t>Knowledge</w:t>
      </w:r>
      <w:r>
        <w:rPr>
          <w:rFonts w:ascii="Times New Roman" w:hAnsi="Times New Roman"/>
          <w:sz w:val="20"/>
        </w:rPr>
        <w:t xml:space="preserve">” means, with respect to any Person, the knowledge of any Senior Officer, or to the extent such Senior Officer does not exist, the knowledge of any Senior Officer of another Person with control over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charged with responsibility for the aspect of the business relevant or related to the matter at issue shall be deemed to have knowledge of a particular matter if, in the prudent exercise of his or her duties and responsibilities in the ordinary course of business, such person should have known of such matter;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it is acknowledged and agreed that each of the Parent, TBPH and TBIL is deemed to control the Issuers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Law</w:t>
      </w:r>
      <w:r>
        <w:rPr>
          <w:rFonts w:ascii="Times New Roman" w:hAnsi="Times New Roman"/>
          <w:sz w:val="20"/>
        </w:rPr>
        <w:t xml:space="preserve">” means any and all international, foreign, federal, state, provincial and local laws, including common laws, statutes, treaties, ordinances, regulations, rules, codes, applicable administrative and judicial precedents and authorities, judgments, orders, writs, injunctions, decrees, rulings, awards, executive orders, including the interpretation or administration thereof by any Governmental Authority charged with the enforcement, interpretation or administration thereof, and all applicable administrative orders, directed duties, requests, policies, approvals, authorizations, notices, consents, requirements, licenses, waivers, variances, guidelines or permits of, or any agreements with, any Governmental Authority. </w:t>
      </w:r>
    </w:p>
    <w:p>
      <w:pPr>
        <w:pStyle w:val="TextBody"/>
        <w:bidi w:val="0"/>
        <w:spacing w:before="240" w:after="0"/>
        <w:jc w:val="both"/>
        <w:rPr/>
      </w:pPr>
      <w:r>
        <w:rPr/>
        <w:t>“</w:t>
      </w:r>
      <w:r>
        <w:rPr>
          <w:rFonts w:ascii="Times New Roman" w:hAnsi="Times New Roman"/>
          <w:sz w:val="20"/>
          <w:u w:val="single"/>
        </w:rPr>
        <w:t>License Agreement</w:t>
      </w:r>
      <w:r>
        <w:rPr>
          <w:rFonts w:ascii="Times New Roman" w:hAnsi="Times New Roman"/>
          <w:sz w:val="20"/>
        </w:rPr>
        <w:t xml:space="preserve">” means, with respect to any Licensed Product in the Territory, any Contract other than a Covered Agreement pursuant to which (i) any Note Party or any of its Affiliate grants a license or sublicense to a Third Party under any IP Rights, or (ii) a Third Party has granted a license or sublicense to any Note Party or any of its Affiliates, in each case, under any Intellectual Property primarily related to, used in or necessary for the Development, manufacture, Commercialization, distribution, or Exploitation of the Licensed Product. </w:t>
      </w:r>
    </w:p>
    <w:p>
      <w:pPr>
        <w:pStyle w:val="TextBody"/>
        <w:bidi w:val="0"/>
        <w:spacing w:before="240" w:after="0"/>
        <w:jc w:val="both"/>
        <w:rPr/>
      </w:pPr>
      <w:r>
        <w:rPr/>
        <w:t>“</w:t>
      </w:r>
      <w:r>
        <w:rPr>
          <w:rFonts w:ascii="Times New Roman" w:hAnsi="Times New Roman"/>
          <w:sz w:val="20"/>
          <w:u w:val="single"/>
        </w:rPr>
        <w:t>Licensed Compound</w:t>
      </w:r>
      <w:r>
        <w:rPr>
          <w:rFonts w:ascii="Times New Roman" w:hAnsi="Times New Roman"/>
          <w:sz w:val="20"/>
        </w:rPr>
        <w:t xml:space="preserve">” means the chemical compound known as TD-4208, together with all analogs, salts, esters, complexes, chelates, polymorphs, hydrates, isomers, stereoisomers, crystalline and amorphous forms, prodrugs, solvates, metabolites and metabolic precursors (whether active or inactive), and other structural derivatives thereof. The structure of TD-4208 is shown in Schedule II. </w:t>
      </w:r>
    </w:p>
    <w:p>
      <w:pPr>
        <w:pStyle w:val="TextBody"/>
        <w:bidi w:val="0"/>
        <w:spacing w:before="240" w:after="0"/>
        <w:jc w:val="both"/>
        <w:rPr/>
      </w:pPr>
      <w:r>
        <w:rPr/>
        <w:t>“</w:t>
      </w:r>
      <w:r>
        <w:rPr>
          <w:rFonts w:ascii="Times New Roman" w:hAnsi="Times New Roman"/>
          <w:sz w:val="20"/>
          <w:u w:val="single"/>
        </w:rPr>
        <w:t>Licensed Product</w:t>
      </w:r>
      <w:r>
        <w:rPr>
          <w:rFonts w:ascii="Times New Roman" w:hAnsi="Times New Roman"/>
          <w:sz w:val="20"/>
        </w:rPr>
        <w:t xml:space="preserve">” means any pharmaceutical composition or product that contains the Licensed Compound as an active ingredient, alone or in combination or co-formulation with other chemically distinct and therapeutically active compounds. </w:t>
      </w:r>
    </w:p>
    <w:p>
      <w:pPr>
        <w:pStyle w:val="TextBody"/>
        <w:bidi w:val="0"/>
        <w:spacing w:before="240" w:after="0"/>
        <w:jc w:val="both"/>
        <w:rPr/>
      </w:pPr>
      <w:r>
        <w:rPr/>
        <w:t>“</w:t>
      </w:r>
      <w:r>
        <w:rPr>
          <w:rFonts w:ascii="Times New Roman" w:hAnsi="Times New Roman"/>
          <w:sz w:val="20"/>
          <w:u w:val="single"/>
        </w:rPr>
        <w:t>Licensed Product Patents</w:t>
      </w:r>
      <w:r>
        <w:rPr>
          <w:rFonts w:ascii="Times New Roman" w:hAnsi="Times New Roman"/>
          <w:sz w:val="20"/>
        </w:rPr>
        <w:t xml:space="preserve">” means any Product Patents that are licensed to a Note Party or its Affiliate, including any “MYLAN Patents”, and the Collaboration Partner and its Affiliates’ interests in any “Joint Invention Patents” (each as defined in the Collaboration Agreement). </w:t>
      </w:r>
    </w:p>
    <w:p>
      <w:pPr>
        <w:pStyle w:val="TextBody"/>
        <w:bidi w:val="0"/>
        <w:spacing w:before="240" w:after="0"/>
        <w:jc w:val="both"/>
        <w:rPr/>
      </w:pPr>
      <w:r>
        <w:rPr/>
        <w:t>“</w:t>
      </w:r>
      <w:r>
        <w:rPr>
          <w:rFonts w:ascii="Times New Roman" w:hAnsi="Times New Roman"/>
          <w:sz w:val="20"/>
          <w:u w:val="single"/>
        </w:rPr>
        <w:t>Lien</w:t>
      </w:r>
      <w:r>
        <w:rPr>
          <w:rFonts w:ascii="Times New Roman" w:hAnsi="Times New Roman"/>
          <w:sz w:val="20"/>
        </w:rPr>
        <w:t xml:space="preserve">” means (i) any mortgage, lien, pledge, encumbrance, hypothecation, deed of trust, assignment, license or sublicense, option, title retention lien, charge, cautionary note or other security interest of any kind (including any agreement to give any of the foregoing, any conditional sale or other title retention agreement, and any lease in the nature thereof and any option, trust or other preferential arrangement having the practical effect of any of the foregoing), whether arising by contract, as a matter of law, by judicial process or otherwise, and whether or not filed or otherwise recorded and (ii) in the case of securities or Equity Interests, any purchase option, call or similar right of a third party with respect to such securities or Equity Interests. </w:t>
      </w:r>
    </w:p>
    <w:p>
      <w:pPr>
        <w:pStyle w:val="TextBody"/>
        <w:bidi w:val="0"/>
        <w:spacing w:before="240" w:after="0"/>
        <w:jc w:val="both"/>
        <w:rPr/>
      </w:pPr>
      <w:r>
        <w:rPr/>
        <w:t>“</w:t>
      </w:r>
      <w:r>
        <w:rPr>
          <w:rFonts w:ascii="Times New Roman" w:hAnsi="Times New Roman"/>
          <w:sz w:val="20"/>
          <w:u w:val="single"/>
        </w:rPr>
        <w:t>Market Capitalization</w:t>
      </w:r>
      <w:r>
        <w:rPr>
          <w:rFonts w:ascii="Times New Roman" w:hAnsi="Times New Roman"/>
          <w:sz w:val="20"/>
        </w:rPr>
        <w:t xml:space="preserve">” means an amount equal to (i) the total number of then issued and outstanding shares of common stock of a Person multiplied by (ii) the average closing price per share of such common stock on the principal securities exchange on which such common stock are traded for the thirty (30) consecutive trading days immediately preceding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Material Adverse Effect</w:t>
      </w:r>
      <w:r>
        <w:rPr>
          <w:rFonts w:ascii="Times New Roman" w:hAnsi="Times New Roman"/>
          <w:sz w:val="20"/>
        </w:rPr>
        <w:t xml:space="preserve">” means a material adverse effect on (i) the business, operations, properties or condition (financial or otherwise) of the Issuers; </w:t>
      </w:r>
      <w:r>
        <w:rPr>
          <w:rFonts w:ascii="Times New Roman" w:hAnsi="Times New Roman"/>
          <w:sz w:val="20"/>
          <w:u w:val="single"/>
        </w:rPr>
        <w:t>provided</w:t>
      </w:r>
      <w:r>
        <w:rPr>
          <w:rFonts w:ascii="Times New Roman" w:hAnsi="Times New Roman"/>
          <w:sz w:val="20"/>
        </w:rPr>
        <w:t xml:space="preserve">, that a general decline in sales of the Licensed Product due to general market factors that are not otherwise attributable to the acts or omissions of the Issuers or its Affiliates (as determined by the Agent (acting at the direction of the Requisite Purchasers in their commercially reasonable discretion)) shall not constitute a Material Adverse Effect under this </w:t>
      </w:r>
      <w:r>
        <w:rPr>
          <w:rFonts w:ascii="Times New Roman" w:hAnsi="Times New Roman"/>
          <w:sz w:val="20"/>
          <w:u w:val="single"/>
        </w:rPr>
        <w:t>clause (i)</w:t>
      </w:r>
      <w:r>
        <w:rPr>
          <w:rFonts w:ascii="Times New Roman" w:hAnsi="Times New Roman"/>
          <w:sz w:val="20"/>
        </w:rPr>
        <w:t xml:space="preserve">, (ii) the right or ability of any Note Party or the Servicer to fully and timely perform any of its obligations under any of the Note Documents to which it is a party or to consummate the transactions contemplated under any of the Note Documents, </w:t>
      </w:r>
      <w:r>
        <w:rPr>
          <w:rFonts w:ascii="Times New Roman" w:hAnsi="Times New Roman"/>
          <w:sz w:val="20"/>
          <w:u w:val="single"/>
        </w:rPr>
        <w:t>provided</w:t>
      </w:r>
      <w:r>
        <w:rPr>
          <w:rFonts w:ascii="Times New Roman" w:hAnsi="Times New Roman"/>
          <w:sz w:val="20"/>
        </w:rPr>
        <w:t xml:space="preserve">, that a general decline in sales of the Licensed Product due to general market factors that are not otherwise attributable to the acts or omissions of the Issuers or their Affiliates (as determined by the Agent (acting at the direction of the Requisite Purchasers in their commercially reasonable discretion)) shall not constitute a Material Adverse Effect under this </w:t>
      </w:r>
      <w:r>
        <w:rPr>
          <w:rFonts w:ascii="Times New Roman" w:hAnsi="Times New Roman"/>
          <w:sz w:val="20"/>
          <w:u w:val="single"/>
        </w:rPr>
        <w:t>clause (ii)</w:t>
      </w:r>
      <w:r>
        <w:rPr>
          <w:rFonts w:ascii="Times New Roman" w:hAnsi="Times New Roman"/>
          <w:sz w:val="20"/>
        </w:rPr>
        <w:t xml:space="preserve">, (iii) the legality, validity, binding effect, or enforceability against the Note Parties of any Note Document to which it is a party, (iv) the validity, perfection or priority of the Agent’s Liens on the Collateral, (v) the rights, remedies and benefits available to, or conferred upon, the Agent or any Purchaser or any other Secured Party under any Note Document, (vi) the timing, amount or duration of any payment or distribution that may be made pursuant to the Collaboration Agreement or the Co-Promotion Agreement with respect to the Issuer’s or any Note Party’s, as applicable, right, title and interest therein, and (vii) (A) Intellectual Property primarily relating to, used in or necessary for the Development, manufacture or Commercialization of the Licensed Product in the Territory that are owned or controlled by the Issuers (taken as a whole), (B) the Regulatory Approvals, Regulatory Exclusivities, or Regulatory Documentation primarily related to the Licensed Products in the Territory, and each Covered Agreement and other License Agreement (if any) (but excluding Contracts with logistics providers, distribution and channel partners, or other Third Party service providers that, in each case, can be replaced by a Note Party promptly without any material and adverse effect on the Exploitation of any Licensed Product) or (C) the ability of the Issuers (including through the Collaboration Partner) to Develop, Commercialize or manufacture the Licensed Product in the Territory (taken as a whole). It being understood that the termination of the Collaboration Agreement shall be deemed to be a “Material Adverse Effect”, unless a New Arrangement is entered into in connection with such termination in compliance with </w:t>
      </w:r>
      <w:r>
        <w:rPr>
          <w:rFonts w:ascii="Times New Roman" w:hAnsi="Times New Roman"/>
          <w:sz w:val="20"/>
          <w:u w:val="single"/>
        </w:rPr>
        <w:t>Section 7.13(c)</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Material Environmental Liability</w:t>
      </w:r>
      <w:r>
        <w:rPr>
          <w:rFonts w:ascii="Times New Roman" w:hAnsi="Times New Roman"/>
          <w:sz w:val="20"/>
        </w:rPr>
        <w:t xml:space="preserve">” means any Environmental Liability that has had or would reasonably be expected to have a Material Adverse Effect. </w:t>
      </w:r>
    </w:p>
    <w:p>
      <w:pPr>
        <w:pStyle w:val="TextBody"/>
        <w:bidi w:val="0"/>
        <w:spacing w:before="240" w:after="0"/>
        <w:jc w:val="both"/>
        <w:rPr/>
      </w:pPr>
      <w:r>
        <w:rPr/>
        <w:t>“</w:t>
      </w:r>
      <w:r>
        <w:rPr>
          <w:rFonts w:ascii="Times New Roman" w:hAnsi="Times New Roman"/>
          <w:sz w:val="20"/>
          <w:u w:val="single"/>
        </w:rPr>
        <w:t>Material Modification</w:t>
      </w:r>
      <w:r>
        <w:rPr>
          <w:rFonts w:ascii="Times New Roman" w:hAnsi="Times New Roman"/>
          <w:sz w:val="20"/>
        </w:rPr>
        <w:t xml:space="preserve">” has the meaning set forth in </w:t>
      </w:r>
      <w:r>
        <w:rPr>
          <w:rFonts w:ascii="Times New Roman" w:hAnsi="Times New Roman"/>
          <w:sz w:val="20"/>
          <w:u w:val="single"/>
        </w:rPr>
        <w:t>Section 8.07(a)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Maturity Date</w:t>
      </w:r>
      <w:r>
        <w:rPr>
          <w:rFonts w:ascii="Times New Roman" w:hAnsi="Times New Roman"/>
          <w:sz w:val="20"/>
        </w:rPr>
        <w:t xml:space="preserve">” means the earlier of (i) the Scheduled Maturity Date and (ii) the date that the Obligations shall become due and payable in full hereunder, whether by acceleration or otherwise. </w:t>
      </w:r>
    </w:p>
    <w:p>
      <w:pPr>
        <w:pStyle w:val="TextBody"/>
        <w:bidi w:val="0"/>
        <w:spacing w:before="240" w:after="0"/>
        <w:jc w:val="both"/>
        <w:rPr/>
      </w:pPr>
      <w:r>
        <w:rPr/>
        <w:t>“</w:t>
      </w:r>
      <w:r>
        <w:rPr>
          <w:rFonts w:ascii="Times New Roman" w:hAnsi="Times New Roman"/>
          <w:sz w:val="20"/>
          <w:u w:val="single"/>
        </w:rPr>
        <w:t>Maximum Lawful Rate</w:t>
      </w:r>
      <w:r>
        <w:rPr>
          <w:rFonts w:ascii="Times New Roman" w:hAnsi="Times New Roman"/>
          <w:sz w:val="20"/>
        </w:rPr>
        <w:t xml:space="preserve">” means the highest rate of interest permissible under Law. </w:t>
      </w:r>
    </w:p>
    <w:p>
      <w:pPr>
        <w:pStyle w:val="TextBody"/>
        <w:bidi w:val="0"/>
        <w:spacing w:before="240" w:after="0"/>
        <w:jc w:val="both"/>
        <w:rPr/>
      </w:pPr>
      <w:r>
        <w:rPr/>
        <w:t>“</w:t>
      </w:r>
      <w:r>
        <w:rPr>
          <w:rFonts w:ascii="Times New Roman" w:hAnsi="Times New Roman"/>
          <w:sz w:val="20"/>
          <w:u w:val="single"/>
        </w:rPr>
        <w:t>Merger Sub 1</w:t>
      </w:r>
      <w:r>
        <w:rPr>
          <w:rFonts w:ascii="Times New Roman" w:hAnsi="Times New Roman"/>
          <w:sz w:val="20"/>
        </w:rPr>
        <w:t xml:space="preserve">” means Zymeworks Merger Sub 1, an exempted company with limited liability incorporated under the Laws of the Cayman Islands and a wholly owned subsidiary of Parent. </w:t>
      </w:r>
    </w:p>
    <w:p>
      <w:pPr>
        <w:pStyle w:val="TextBody"/>
        <w:bidi w:val="0"/>
        <w:spacing w:before="240" w:after="0"/>
        <w:jc w:val="both"/>
        <w:rPr/>
      </w:pPr>
      <w:r>
        <w:rPr/>
        <w:t>“</w:t>
      </w:r>
      <w:r>
        <w:rPr>
          <w:rFonts w:ascii="Times New Roman" w:hAnsi="Times New Roman"/>
          <w:sz w:val="20"/>
          <w:u w:val="single"/>
        </w:rPr>
        <w:t>Minimum Own-Funds Property Amount</w:t>
      </w:r>
      <w:r>
        <w:rPr>
          <w:rFonts w:ascii="Times New Roman" w:hAnsi="Times New Roman"/>
          <w:sz w:val="20"/>
        </w:rPr>
        <w:t xml:space="preserve">” means an amount equal to $2,000.00. </w:t>
      </w:r>
    </w:p>
    <w:p>
      <w:pPr>
        <w:pStyle w:val="TextBody"/>
        <w:bidi w:val="0"/>
        <w:spacing w:before="240" w:after="0"/>
        <w:jc w:val="both"/>
        <w:rPr/>
      </w:pPr>
      <w:r>
        <w:rPr/>
        <w:t>“</w:t>
      </w:r>
      <w:r>
        <w:rPr>
          <w:rFonts w:ascii="Times New Roman" w:hAnsi="Times New Roman"/>
          <w:sz w:val="20"/>
          <w:u w:val="single"/>
        </w:rPr>
        <w:t>New Arrangement</w:t>
      </w:r>
      <w:r>
        <w:rPr>
          <w:rFonts w:ascii="Times New Roman" w:hAnsi="Times New Roman"/>
          <w:sz w:val="20"/>
        </w:rPr>
        <w:t xml:space="preserve">” has the meaning set forth in </w:t>
      </w:r>
      <w:r>
        <w:rPr>
          <w:rFonts w:ascii="Times New Roman" w:hAnsi="Times New Roman"/>
          <w:sz w:val="20"/>
          <w:u w:val="single"/>
        </w:rPr>
        <w:t>Section 7.13(c)</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New Drug Application</w:t>
      </w:r>
      <w:r>
        <w:rPr>
          <w:rFonts w:ascii="Times New Roman" w:hAnsi="Times New Roman"/>
          <w:sz w:val="20"/>
        </w:rPr>
        <w:t>” or “</w:t>
      </w:r>
      <w:r>
        <w:rPr>
          <w:rFonts w:ascii="Times New Roman" w:hAnsi="Times New Roman"/>
          <w:sz w:val="20"/>
          <w:u w:val="single"/>
        </w:rPr>
        <w:t>NDA</w:t>
      </w:r>
      <w:r>
        <w:rPr>
          <w:rFonts w:ascii="Times New Roman" w:hAnsi="Times New Roman"/>
          <w:sz w:val="20"/>
        </w:rPr>
        <w:t xml:space="preserve">” has the meaning set forth in the FDCA at 21 U.S.C. § 355(b) and its implementing regulations. </w:t>
      </w:r>
    </w:p>
    <w:p>
      <w:pPr>
        <w:pStyle w:val="TextBody"/>
        <w:bidi w:val="0"/>
        <w:spacing w:before="240" w:after="0"/>
        <w:jc w:val="both"/>
        <w:rPr/>
      </w:pPr>
      <w:r>
        <w:rPr/>
        <w:t>“</w:t>
      </w:r>
      <w:r>
        <w:rPr>
          <w:rFonts w:ascii="Times New Roman" w:hAnsi="Times New Roman"/>
          <w:sz w:val="20"/>
          <w:u w:val="single"/>
        </w:rPr>
        <w:t>Non-Deductible Shared Expenses</w:t>
      </w:r>
      <w:r>
        <w:rPr>
          <w:rFonts w:ascii="Times New Roman" w:hAnsi="Times New Roman"/>
          <w:sz w:val="20"/>
        </w:rPr>
        <w:t xml:space="preserve">” means, for any Collection Period, that portion of the DST Issuer’s share of Post-Approval Development Expenses (including, for the avoidance of doubt, in respect of any combination drugs or similar developments) in excess of $100,000 (if any) that is included in the calculation of Shared Expenses, in each case, for such applicable Collection Period. </w:t>
      </w:r>
    </w:p>
    <w:p>
      <w:pPr>
        <w:pStyle w:val="TextBody"/>
        <w:bidi w:val="0"/>
        <w:spacing w:before="240" w:after="0"/>
        <w:jc w:val="both"/>
        <w:rPr/>
      </w:pPr>
      <w:r>
        <w:rPr/>
        <w:t>“</w:t>
      </w:r>
      <w:r>
        <w:rPr>
          <w:rFonts w:ascii="Times New Roman" w:hAnsi="Times New Roman"/>
          <w:sz w:val="20"/>
          <w:u w:val="single"/>
        </w:rPr>
        <w:t>Non-Shared Issuer Expenses</w:t>
      </w:r>
      <w:r>
        <w:rPr>
          <w:rFonts w:ascii="Times New Roman" w:hAnsi="Times New Roman"/>
          <w:sz w:val="20"/>
        </w:rPr>
        <w:t xml:space="preserve">” means, for any Collection Period, without duplication of any Shared Expenses, the aggregate amount of those costs, calculated in a manner consistent with past practice, related to non-field based FTEs (as defined in the Co-Promotion Agreement) as set forth in Sections 2.3 and 9.1 of the Co-Promotion Agreement, which are excluded from Operating Expenses (as defined in the Collaboration Agreement), payable to TBUS under the General Services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Non-Shared Issuer Expenses Overage</w:t>
      </w:r>
      <w:r>
        <w:rPr>
          <w:rFonts w:ascii="Times New Roman" w:hAnsi="Times New Roman"/>
          <w:sz w:val="20"/>
        </w:rPr>
        <w:t xml:space="preserve">” means, for any Collection Period, the aggregate amount of Non-Shared Issuer Expenses in excess of $2,500,000 for such Collection Period. </w:t>
      </w:r>
    </w:p>
    <w:p>
      <w:pPr>
        <w:pStyle w:val="TextBody"/>
        <w:bidi w:val="0"/>
        <w:spacing w:before="240" w:after="0"/>
        <w:jc w:val="both"/>
        <w:rPr/>
      </w:pPr>
      <w:r>
        <w:rPr/>
        <w:t>“</w:t>
      </w:r>
      <w:r>
        <w:rPr>
          <w:rFonts w:ascii="Times New Roman" w:hAnsi="Times New Roman"/>
          <w:sz w:val="20"/>
          <w:u w:val="single"/>
        </w:rPr>
        <w:t>Note Amount</w:t>
      </w:r>
      <w:r>
        <w:rPr>
          <w:rFonts w:ascii="Times New Roman" w:hAnsi="Times New Roman"/>
          <w:sz w:val="20"/>
        </w:rPr>
        <w:t xml:space="preserve">” means the aggregate Purchase Price paid by the Purchasers on the Closing Date to acquire their respective Notes in the manner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Note Documents</w:t>
      </w:r>
      <w:r>
        <w:rPr>
          <w:rFonts w:ascii="Times New Roman" w:hAnsi="Times New Roman"/>
          <w:sz w:val="20"/>
        </w:rPr>
        <w:t xml:space="preserve">” means this Agreement, each Note, the Bad Acts Guaranty, each Collateral Document, the Servicing Agreement, the Payment Auditor Agreement, the Closing Date Fee Letters, the Contribution, Purchase and Sale Agreement, the Bill of Sale, the Subordinated Intercompany Note, Instruction Letter, and all other fee letters (including with respect to the payment of Agent Fees or fees of the Account Bank), side letters, certificates, notes, allonges, joinders, counterpart agreements, guaranty documents, subordination agreements, intercreditor agreements, mortgages, instruments, powers of attorney, process agent appointment letters, notices or agreements executed and delivered from time to time by a Note Party or Bad Acts Guarantor for the benefit of the Agent or any Purchaser in connection with this Agreement or any other Note Document. </w:t>
      </w:r>
    </w:p>
    <w:p>
      <w:pPr>
        <w:pStyle w:val="TextBody"/>
        <w:bidi w:val="0"/>
        <w:spacing w:before="240" w:after="0"/>
        <w:jc w:val="both"/>
        <w:rPr/>
      </w:pPr>
      <w:r>
        <w:rPr/>
        <w:t>“</w:t>
      </w:r>
      <w:r>
        <w:rPr>
          <w:rFonts w:ascii="Times New Roman" w:hAnsi="Times New Roman"/>
          <w:sz w:val="20"/>
          <w:u w:val="single"/>
        </w:rPr>
        <w:t>Note Party</w:t>
      </w:r>
      <w:r>
        <w:rPr>
          <w:rFonts w:ascii="Times New Roman" w:hAnsi="Times New Roman"/>
          <w:sz w:val="20"/>
        </w:rPr>
        <w:t xml:space="preserve">” means the Issuers and the Guarantors. </w:t>
      </w:r>
    </w:p>
    <w:p>
      <w:pPr>
        <w:pStyle w:val="TextBody"/>
        <w:bidi w:val="0"/>
        <w:spacing w:before="240" w:after="0"/>
        <w:jc w:val="both"/>
        <w:rPr/>
      </w:pPr>
      <w:r>
        <w:rPr/>
        <w:t>“</w:t>
      </w:r>
      <w:r>
        <w:rPr>
          <w:rFonts w:ascii="Times New Roman" w:hAnsi="Times New Roman"/>
          <w:sz w:val="20"/>
          <w:u w:val="single"/>
        </w:rPr>
        <w:t>Notes</w:t>
      </w:r>
      <w:r>
        <w:rPr>
          <w:rFonts w:ascii="Times New Roman" w:hAnsi="Times New Roman"/>
          <w:sz w:val="20"/>
        </w:rPr>
        <w:t xml:space="preserve">” means, collectively, the notes issued, sold and delivered by the Issuers and purchased by the Purchasers on the Closing Date pursuant to </w:t>
      </w:r>
      <w:r>
        <w:rPr>
          <w:rFonts w:ascii="Times New Roman" w:hAnsi="Times New Roman"/>
          <w:sz w:val="20"/>
          <w:u w:val="single"/>
        </w:rPr>
        <w:t>Section 2.01</w:t>
      </w:r>
      <w:r>
        <w:rPr>
          <w:rFonts w:ascii="Times New Roman" w:hAnsi="Times New Roman"/>
          <w:sz w:val="20"/>
        </w:rPr>
        <w:t xml:space="preserve">, in the form of </w:t>
      </w:r>
      <w:r>
        <w:rPr>
          <w:rFonts w:ascii="Times New Roman" w:hAnsi="Times New Roman"/>
          <w:sz w:val="20"/>
          <w:u w:val="single"/>
        </w:rPr>
        <w:t>Exhibit A</w:t>
      </w:r>
      <w:r>
        <w:rPr>
          <w:rFonts w:ascii="Times New Roman" w:hAnsi="Times New Roman"/>
          <w:sz w:val="20"/>
        </w:rPr>
        <w:t xml:space="preserve"> hereto, and all other notes accepted by any Purchaser from time to time in substitution or exchange therefor or renewal thereof. </w:t>
      </w:r>
    </w:p>
    <w:p>
      <w:pPr>
        <w:pStyle w:val="TextBody"/>
        <w:bidi w:val="0"/>
        <w:spacing w:before="240" w:after="0"/>
        <w:jc w:val="both"/>
        <w:rPr/>
      </w:pPr>
      <w:r>
        <w:rPr/>
        <w:t>“</w:t>
      </w:r>
      <w:r>
        <w:rPr>
          <w:rFonts w:ascii="Times New Roman" w:hAnsi="Times New Roman"/>
          <w:sz w:val="20"/>
          <w:u w:val="single"/>
        </w:rPr>
        <w:t>Notes Issuance</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Obligations</w:t>
      </w:r>
      <w:r>
        <w:rPr>
          <w:rFonts w:ascii="Times New Roman" w:hAnsi="Times New Roman"/>
          <w:sz w:val="20"/>
        </w:rPr>
        <w:t xml:space="preserve">” means all present and future obligations, indebtedness and liabilities of every nature of the Transaction Parties from time to time owed to the Agent (including any former Agent), the Account Bank, the Purchasers or other Secured Parties or any one of them, under any Transaction Document, regardless of how such obligation, indebtedness or liability arises or by what agreement or instrument it may be evidenced, whether or not it is or may be direct, indirect, matured, unmatured, absolute, contingent, due, to become due, primary, secondary, liquidated, unliquidated, disputed, undisputed, joint, joint and several, legal, equitable, tortious, contractual, secured or unsecured, and whether or not any claim for such obligation, indebtedness or liability is discharged, stayed or otherwise affected by any proceeding under any Debtor Relief Law. Without limiting the generality of the foregoing, the Obligations of the Transaction Parties include (i) the obligation (irrespective of whether a claim therefor is allowed in a proceeding under any Debtor Relief Law) of performance as well as obligations to pay principal, interest, fees, (including, without limitation, any Yield Maintenance Premium (if applicable) and whether primary, secondary, direct, indirect, contingent, fixed or otherwise), and disbursements, indemnities and other amounts (including Attorneys’ Fees) payable by such Person under the Transaction Documents, (ii) the obligation to pay all costs and expenses incurred by the Agent and/or any other Secured Parties to obtain, preserve, perfect and enforce the Liens granted to the Agent and/or any other Secured Party pursuant to any Note Document and to maintain, preserve and collect the property subject to such Liens, including but not limited to all reasonable and documented attorneys’ fees and expenses of any Secured Party to enforce any Obligations whether or not by litigation, in each case, as required to be repaid by the Transaction Parties in any Note Document, (iii) the obligation to reimburse any amount in respect of any of the foregoing that any Secured Party may elect to pay or advance on behalf of the Transaction Parties in accordance with the terms of this Agreement or any other Note Document, including, without limitation, all Protective Advances and any interest accrued thereon, and (iv) the obligation of the Transaction Parties under the Collateral Documents to reimburse the Agent for any amount incurred in connection with (A) the custody or preservation of, or the sale of, collection from, or other realization upon, any of the Collateral, (B) the exercise or enforcement of any of the rights of the Agent under the Collateral Documents or (C) the failure by the Transaction Parties to perform any of the provisions of any Collateral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ODD</w:t>
      </w:r>
      <w:r>
        <w:rPr>
          <w:rFonts w:ascii="Times New Roman" w:hAnsi="Times New Roman"/>
          <w:sz w:val="20"/>
        </w:rPr>
        <w:t xml:space="preserve">” means an “orphan drug designation” (as defined in 21 C.F.R. § 316.3(b)(11)). </w:t>
      </w:r>
    </w:p>
    <w:p>
      <w:pPr>
        <w:pStyle w:val="TextBody"/>
        <w:bidi w:val="0"/>
        <w:spacing w:before="240" w:after="0"/>
        <w:jc w:val="both"/>
        <w:rPr/>
      </w:pPr>
      <w:r>
        <w:rPr/>
        <w:t>“</w:t>
      </w:r>
      <w:r>
        <w:rPr>
          <w:rFonts w:ascii="Times New Roman" w:hAnsi="Times New Roman"/>
          <w:sz w:val="20"/>
          <w:u w:val="single"/>
        </w:rPr>
        <w:t>OFAC</w:t>
      </w:r>
      <w:r>
        <w:rPr>
          <w:rFonts w:ascii="Times New Roman" w:hAnsi="Times New Roman"/>
          <w:sz w:val="20"/>
        </w:rPr>
        <w:t xml:space="preserve">” has the meaning set forth in the definition of “Anti-Terrorism and AML Laws”. </w:t>
      </w:r>
    </w:p>
    <w:p>
      <w:pPr>
        <w:pStyle w:val="TextBody"/>
        <w:bidi w:val="0"/>
        <w:spacing w:before="240" w:after="0"/>
        <w:jc w:val="both"/>
        <w:rPr/>
      </w:pPr>
      <w:r>
        <w:rPr/>
        <w:t>“</w:t>
      </w:r>
      <w:r>
        <w:rPr>
          <w:rFonts w:ascii="Times New Roman" w:hAnsi="Times New Roman"/>
          <w:sz w:val="20"/>
          <w:u w:val="single"/>
        </w:rPr>
        <w:t>OMERS Life Sciences</w:t>
      </w:r>
      <w:r>
        <w:rPr>
          <w:rFonts w:ascii="Times New Roman" w:hAnsi="Times New Roman"/>
          <w:sz w:val="20"/>
        </w:rPr>
        <w:t xml:space="preserve">” means OCM IP Healthcare Portfolio LP. </w:t>
      </w:r>
    </w:p>
    <w:p>
      <w:pPr>
        <w:pStyle w:val="TextBody"/>
        <w:bidi w:val="0"/>
        <w:spacing w:before="240" w:after="0"/>
        <w:jc w:val="both"/>
        <w:rPr/>
      </w:pPr>
      <w:r>
        <w:rPr/>
        <w:t>“</w:t>
      </w:r>
      <w:r>
        <w:rPr>
          <w:rFonts w:ascii="Times New Roman" w:hAnsi="Times New Roman"/>
          <w:sz w:val="20"/>
          <w:u w:val="single"/>
        </w:rPr>
        <w:t>Operating Profit (Loss)</w:t>
      </w:r>
      <w:r>
        <w:rPr>
          <w:rFonts w:ascii="Times New Roman" w:hAnsi="Times New Roman"/>
          <w:sz w:val="20"/>
        </w:rPr>
        <w:t xml:space="preserve">” has the meaning ascribed to such term in the Collaboration Agreement, as in effect on the Closing Date. </w:t>
      </w:r>
    </w:p>
    <w:p>
      <w:pPr>
        <w:pStyle w:val="TextBody"/>
        <w:bidi w:val="0"/>
        <w:spacing w:before="240" w:after="0"/>
        <w:jc w:val="both"/>
        <w:rPr/>
      </w:pPr>
      <w:r>
        <w:rPr/>
        <w:t>“</w:t>
      </w:r>
      <w:r>
        <w:rPr>
          <w:rFonts w:ascii="Times New Roman" w:hAnsi="Times New Roman"/>
          <w:sz w:val="20"/>
          <w:u w:val="single"/>
        </w:rPr>
        <w:t>Organizational Document</w:t>
      </w:r>
      <w:r>
        <w:rPr>
          <w:rFonts w:ascii="Times New Roman" w:hAnsi="Times New Roman"/>
          <w:sz w:val="20"/>
        </w:rPr>
        <w:t xml:space="preserve">” means, with respect to any Person, (i) in the case of any corporation, the certificate of incorporation, each certificate of name change, memorandum of association and by-laws (or similar documents) of such Person, (ii) in the case of any limited liability company, the certificate of formation and operating agreement or certificate of incorporation (or similar documents), any certificate of change of name, the constitution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statutory trust, the certificate of trust, declaration of trust and trust agreement (or similar documents) of such Person, and (vi) in the case of any other Person, any other document or agreement governing the formation, existence, organization or governance of such Person. </w:t>
      </w:r>
    </w:p>
    <w:p>
      <w:pPr>
        <w:pStyle w:val="TextBody"/>
        <w:bidi w:val="0"/>
        <w:spacing w:before="240" w:after="0"/>
        <w:jc w:val="both"/>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the Notes or the other Note Documents. </w:t>
      </w:r>
    </w:p>
    <w:p>
      <w:pPr>
        <w:pStyle w:val="TextBody"/>
        <w:bidi w:val="0"/>
        <w:spacing w:before="240" w:after="0"/>
        <w:jc w:val="both"/>
        <w:rPr/>
      </w:pPr>
      <w:r>
        <w:rPr/>
        <w:t>“</w:t>
      </w:r>
      <w:r>
        <w:rPr>
          <w:rFonts w:ascii="Times New Roman" w:hAnsi="Times New Roman"/>
          <w:sz w:val="20"/>
          <w:u w:val="single"/>
        </w:rPr>
        <w:t>Own-Funds Property</w:t>
      </w:r>
      <w:r>
        <w:rPr>
          <w:rFonts w:ascii="Times New Roman" w:hAnsi="Times New Roman"/>
          <w:sz w:val="20"/>
        </w:rPr>
        <w:t xml:space="preserve">” has the meaning set forth in the trust agreement constituting the Organizational Document of the DST Issuer. </w:t>
      </w:r>
    </w:p>
    <w:p>
      <w:pPr>
        <w:pStyle w:val="TextBody"/>
        <w:bidi w:val="0"/>
        <w:spacing w:before="240" w:after="0"/>
        <w:jc w:val="both"/>
        <w:rPr/>
      </w:pPr>
      <w:r>
        <w:rPr/>
        <w:t>“</w:t>
      </w:r>
      <w:r>
        <w:rPr>
          <w:rFonts w:ascii="Times New Roman" w:hAnsi="Times New Roman"/>
          <w:sz w:val="20"/>
          <w:u w:val="single"/>
        </w:rPr>
        <w:t>Owned Product Patent</w:t>
      </w:r>
      <w:r>
        <w:rPr>
          <w:rFonts w:ascii="Times New Roman" w:hAnsi="Times New Roman"/>
          <w:sz w:val="20"/>
        </w:rPr>
        <w:t xml:space="preserve">” means the Product Patents that are owned by the Note Parties or their Affiliates. For clarity, the Owned Product Patents include the “THERAVANCE Patents” and the Note Parties or their Affiliates’ interest in the “Joint Invention Patents” as each of those terms are defined in the Collaboration Agreement in effect on the Closing. </w:t>
      </w:r>
    </w:p>
    <w:p>
      <w:pPr>
        <w:pStyle w:val="TextBody"/>
        <w:bidi w:val="0"/>
        <w:spacing w:before="240" w:after="0"/>
        <w:jc w:val="both"/>
        <w:rPr/>
      </w:pPr>
      <w:r>
        <w:rPr/>
        <w:t>“</w:t>
      </w:r>
      <w:r>
        <w:rPr>
          <w:rFonts w:ascii="Times New Roman" w:hAnsi="Times New Roman"/>
          <w:sz w:val="20"/>
          <w:u w:val="single"/>
        </w:rPr>
        <w:t>Paragraph IV Certification</w:t>
      </w:r>
      <w:r>
        <w:rPr>
          <w:rFonts w:ascii="Times New Roman" w:hAnsi="Times New Roman"/>
          <w:sz w:val="20"/>
        </w:rPr>
        <w:t xml:space="preserve">” means any certification filed pursuant to 21 U.S.C. § 355(b)(2)(A)(iv), 21 U.S.C. § 355(j)(2)(A)(vii)(IV), or any comparable Law (or any amendment or successor statute thereto) relating to any Licensed Product in any country or regulatory jurisdiction. </w:t>
      </w:r>
    </w:p>
    <w:p>
      <w:pPr>
        <w:pStyle w:val="TextBody"/>
        <w:bidi w:val="0"/>
        <w:spacing w:before="240" w:after="0"/>
        <w:jc w:val="both"/>
        <w:rPr/>
      </w:pPr>
      <w:r>
        <w:rPr/>
        <w:t>“</w:t>
      </w:r>
      <w:r>
        <w:rPr>
          <w:rFonts w:ascii="Times New Roman" w:hAnsi="Times New Roman"/>
          <w:sz w:val="20"/>
          <w:u w:val="single"/>
        </w:rPr>
        <w:t>Parent</w:t>
      </w:r>
      <w:r>
        <w:rPr>
          <w:rFonts w:ascii="Times New Roman" w:hAnsi="Times New Roman"/>
          <w:sz w:val="20"/>
        </w:rPr>
        <w:t xml:space="preserve">” means Zymeworks Inc., a Delaware corporation. </w:t>
      </w:r>
    </w:p>
    <w:p>
      <w:pPr>
        <w:pStyle w:val="TextBody"/>
        <w:bidi w:val="0"/>
        <w:spacing w:before="240" w:after="0"/>
        <w:jc w:val="both"/>
        <w:rPr/>
      </w:pPr>
      <w:r>
        <w:rPr/>
        <w:t>“</w:t>
      </w:r>
      <w:r>
        <w:rPr>
          <w:rFonts w:ascii="Times New Roman" w:hAnsi="Times New Roman"/>
          <w:sz w:val="20"/>
          <w:u w:val="single"/>
        </w:rPr>
        <w:t>Party</w:t>
      </w:r>
      <w:r>
        <w:rPr>
          <w:rFonts w:ascii="Times New Roman" w:hAnsi="Times New Roman"/>
          <w:sz w:val="20"/>
        </w:rPr>
        <w:t>” and “</w:t>
      </w:r>
      <w:r>
        <w:rPr>
          <w:rFonts w:ascii="Times New Roman" w:hAnsi="Times New Roman"/>
          <w:sz w:val="20"/>
          <w:u w:val="single"/>
        </w:rPr>
        <w:t>Parties</w:t>
      </w:r>
      <w:r>
        <w:rPr>
          <w:rFonts w:ascii="Times New Roman" w:hAnsi="Times New Roman"/>
          <w:sz w:val="20"/>
        </w:rPr>
        <w:t xml:space="preserve">” means the parties to the Transaction Documents from time to time, individually and collectively. </w:t>
      </w:r>
    </w:p>
    <w:p>
      <w:pPr>
        <w:pStyle w:val="TextBody"/>
        <w:bidi w:val="0"/>
        <w:spacing w:before="240" w:after="0"/>
        <w:jc w:val="both"/>
        <w:rPr/>
      </w:pPr>
      <w:r>
        <w:rPr/>
        <w:t>“</w:t>
      </w:r>
      <w:r>
        <w:rPr>
          <w:rFonts w:ascii="Times New Roman" w:hAnsi="Times New Roman"/>
          <w:sz w:val="20"/>
          <w:u w:val="single"/>
        </w:rPr>
        <w:t>Patent</w:t>
      </w:r>
      <w:r>
        <w:rPr>
          <w:rFonts w:ascii="Times New Roman" w:hAnsi="Times New Roman"/>
          <w:sz w:val="20"/>
        </w:rPr>
        <w:t xml:space="preserve">” means any and all issued patents and pending patent applications, including all provisional applications, substitutions, continuations, continuations-in-part, divisions, and renewals, all letters patent granted thereon, and all patents-of-addition, reissues, reexaminations and extensions or restorations by existing or future extension or restoration mechanisms (including supplementary protection certificates or regulatory extensions), and any other form of government-issued right substantially similar to any of the foregoing, together with the right to claim the priority thereto. </w:t>
      </w:r>
    </w:p>
    <w:p>
      <w:pPr>
        <w:pStyle w:val="TextBody"/>
        <w:bidi w:val="0"/>
        <w:spacing w:before="240" w:after="0"/>
        <w:jc w:val="both"/>
        <w:rPr/>
      </w:pPr>
      <w:r>
        <w:rPr/>
        <w:t>“</w:t>
      </w:r>
      <w:r>
        <w:rPr>
          <w:rFonts w:ascii="Times New Roman" w:hAnsi="Times New Roman"/>
          <w:sz w:val="20"/>
          <w:u w:val="single"/>
        </w:rPr>
        <w:t>Patent Office</w:t>
      </w:r>
      <w:r>
        <w:rPr>
          <w:rFonts w:ascii="Times New Roman" w:hAnsi="Times New Roman"/>
          <w:sz w:val="20"/>
        </w:rPr>
        <w:t xml:space="preserve">” means the respective patent office (foreign or domestic) for any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Patriot Act</w:t>
      </w:r>
      <w:r>
        <w:rPr>
          <w:rFonts w:ascii="Times New Roman" w:hAnsi="Times New Roman"/>
          <w:sz w:val="20"/>
        </w:rPr>
        <w:t xml:space="preserve">” means the USA Patriot Act, Public Law No. 107-56. </w:t>
      </w:r>
    </w:p>
    <w:p>
      <w:pPr>
        <w:pStyle w:val="TextBody"/>
        <w:bidi w:val="0"/>
        <w:spacing w:before="240" w:after="0"/>
        <w:jc w:val="both"/>
        <w:rPr/>
      </w:pPr>
      <w:r>
        <w:rPr/>
        <w:t>“</w:t>
      </w:r>
      <w:r>
        <w:rPr>
          <w:rFonts w:ascii="Times New Roman" w:hAnsi="Times New Roman"/>
          <w:sz w:val="20"/>
          <w:u w:val="single"/>
        </w:rPr>
        <w:t>Payment Auditor</w:t>
      </w:r>
      <w:r>
        <w:rPr>
          <w:rFonts w:ascii="Times New Roman" w:hAnsi="Times New Roman"/>
          <w:sz w:val="20"/>
        </w:rPr>
        <w:t xml:space="preserve">” has the meaning set forth in </w:t>
      </w:r>
      <w:r>
        <w:rPr>
          <w:rFonts w:ascii="Times New Roman" w:hAnsi="Times New Roman"/>
          <w:sz w:val="20"/>
          <w:u w:val="single"/>
        </w:rPr>
        <w:t>Section 7.05(b)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Payment Auditor Agreement</w:t>
      </w:r>
      <w:r>
        <w:rPr>
          <w:rFonts w:ascii="Times New Roman" w:hAnsi="Times New Roman"/>
          <w:sz w:val="20"/>
        </w:rPr>
        <w:t xml:space="preserve">” means a consulting agreement (or similar consulting engagement letter) to be entered into by and among the Servicer, the DST Issuer, the Payment Auditor and the Agent on terms and conditions satisfactory to the Agent (acting at the direction of the Requisite Purchasers in their sole discretion). </w:t>
      </w:r>
    </w:p>
    <w:p>
      <w:pPr>
        <w:pStyle w:val="TextBody"/>
        <w:bidi w:val="0"/>
        <w:spacing w:before="240" w:after="0"/>
        <w:jc w:val="both"/>
        <w:rPr/>
      </w:pPr>
      <w:r>
        <w:rPr/>
        <w:t>“</w:t>
      </w:r>
      <w:r>
        <w:rPr>
          <w:rFonts w:ascii="Times New Roman" w:hAnsi="Times New Roman"/>
          <w:sz w:val="20"/>
          <w:u w:val="single"/>
        </w:rPr>
        <w:t>Payment Date</w:t>
      </w:r>
      <w:r>
        <w:rPr>
          <w:rFonts w:ascii="Times New Roman" w:hAnsi="Times New Roman"/>
          <w:sz w:val="20"/>
        </w:rPr>
        <w:t xml:space="preserve">” means (i) the last Business Day of March, June, September and December of each year, commencing with December 2026 (which payment, for the avoidance of doubt, shall be made with amounts payable under the Collaboration Agreement in respect of the Calendar Quarter ended September 30, 2026, including any portion thereof attributable to periods prior to the Closing Date), (ii) after the acceleration of the Notes following an Event of Default, any other Business Day specified by the Requisite Purchasers by at least five (5) Business Days’ written notice to the Agent and (iii) the Maturity Date. </w:t>
      </w:r>
    </w:p>
    <w:p>
      <w:pPr>
        <w:pStyle w:val="TextBody"/>
        <w:bidi w:val="0"/>
        <w:spacing w:before="240" w:after="0"/>
        <w:jc w:val="both"/>
        <w:rPr/>
      </w:pPr>
      <w:r>
        <w:rPr/>
        <w:t>“</w:t>
      </w:r>
      <w:r>
        <w:rPr>
          <w:rFonts w:ascii="Times New Roman" w:hAnsi="Times New Roman"/>
          <w:sz w:val="20"/>
          <w:u w:val="single"/>
        </w:rPr>
        <w:t>Payment Dispute</w:t>
      </w:r>
      <w:r>
        <w:rPr>
          <w:rFonts w:ascii="Times New Roman" w:hAnsi="Times New Roman"/>
          <w:sz w:val="20"/>
        </w:rPr>
        <w:t xml:space="preserve">” means, at any time, the dispute by any Purchaser of the calculation of Yupelri Adjusted Net Profit, Adjusted Operating Profit (Loss) and/or any component parts of Yupelri Adjusted Net Profit and/or Adjusted Operating Profit (Loss) reported to be payable hereunder in respect of any Payment Date including the calculations in any Waterfall Report. </w:t>
      </w:r>
    </w:p>
    <w:p>
      <w:pPr>
        <w:pStyle w:val="TextBody"/>
        <w:bidi w:val="0"/>
        <w:spacing w:before="240" w:after="0"/>
        <w:jc w:val="both"/>
        <w:rPr/>
      </w:pPr>
      <w:r>
        <w:rPr/>
        <w:t>“</w:t>
      </w:r>
      <w:r>
        <w:rPr>
          <w:rFonts w:ascii="Times New Roman" w:hAnsi="Times New Roman"/>
          <w:sz w:val="20"/>
          <w:u w:val="single"/>
        </w:rPr>
        <w:t>Payment in Full</w:t>
      </w:r>
      <w:r>
        <w:rPr>
          <w:rFonts w:ascii="Times New Roman" w:hAnsi="Times New Roman"/>
          <w:sz w:val="20"/>
        </w:rPr>
        <w:t>”, “</w:t>
      </w:r>
      <w:r>
        <w:rPr>
          <w:rFonts w:ascii="Times New Roman" w:hAnsi="Times New Roman"/>
          <w:sz w:val="20"/>
          <w:u w:val="single"/>
        </w:rPr>
        <w:t>payment in full</w:t>
      </w:r>
      <w:r>
        <w:rPr>
          <w:rFonts w:ascii="Times New Roman" w:hAnsi="Times New Roman"/>
          <w:sz w:val="20"/>
        </w:rPr>
        <w:t>”, “</w:t>
      </w:r>
      <w:r>
        <w:rPr>
          <w:rFonts w:ascii="Times New Roman" w:hAnsi="Times New Roman"/>
          <w:sz w:val="20"/>
          <w:u w:val="single"/>
        </w:rPr>
        <w:t>paid in full</w:t>
      </w:r>
      <w:r>
        <w:rPr>
          <w:rFonts w:ascii="Times New Roman" w:hAnsi="Times New Roman"/>
          <w:sz w:val="20"/>
        </w:rPr>
        <w:t>”, “</w:t>
      </w:r>
      <w:r>
        <w:rPr>
          <w:rFonts w:ascii="Times New Roman" w:hAnsi="Times New Roman"/>
          <w:sz w:val="20"/>
          <w:u w:val="single"/>
        </w:rPr>
        <w:t>repaid in full</w:t>
      </w:r>
      <w:r>
        <w:rPr>
          <w:rFonts w:ascii="Times New Roman" w:hAnsi="Times New Roman"/>
          <w:sz w:val="20"/>
        </w:rPr>
        <w:t>”, “</w:t>
      </w:r>
      <w:r>
        <w:rPr>
          <w:rFonts w:ascii="Times New Roman" w:hAnsi="Times New Roman"/>
          <w:sz w:val="20"/>
          <w:u w:val="single"/>
        </w:rPr>
        <w:t>prepaid in full</w:t>
      </w:r>
      <w:r>
        <w:rPr>
          <w:rFonts w:ascii="Times New Roman" w:hAnsi="Times New Roman"/>
          <w:sz w:val="20"/>
        </w:rPr>
        <w:t xml:space="preserve">” or any other term or word of similar effect used in this Agreement or any other Transaction Document, (i) when used with respect to this Agreement or any other Transaction Document, means the indefeasible payment in full in cash of all Obligations in immediately available funds in Dollars (including any Yield Maintenance Premium) (other than yet unasserted contingent indemnification obligations for which no claim has been made) and the termination of the Note Documents in writing and (ii) when used with respect to any other Indebtedness or Contractual Obligation, means the indefeasible payment in full in cash of all obligations under or related to such Indebtedness or Contractual Obligation in immediately available funds (other than yet unasserted contingent indemnification obligations for which no claim has been made) and the termination of such Indebtedness or Contractual Obligation in writing. </w:t>
      </w:r>
    </w:p>
    <w:p>
      <w:pPr>
        <w:pStyle w:val="TextBody"/>
        <w:bidi w:val="0"/>
        <w:spacing w:before="240" w:after="0"/>
        <w:jc w:val="both"/>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both"/>
        <w:rPr/>
      </w:pPr>
      <w:r>
        <w:rPr/>
        <w:t>“</w:t>
      </w:r>
      <w:r>
        <w:rPr>
          <w:rFonts w:ascii="Times New Roman" w:hAnsi="Times New Roman"/>
          <w:sz w:val="20"/>
          <w:u w:val="single"/>
        </w:rPr>
        <w:t>Permitted Assets</w:t>
      </w:r>
      <w:r>
        <w:rPr>
          <w:rFonts w:ascii="Times New Roman" w:hAnsi="Times New Roman"/>
          <w:sz w:val="20"/>
        </w:rPr>
        <w:t xml:space="preserve">” means (i) cash to the extent held temporarily for disbursement in accordance with the terms of this Agreement (including the Own-Funds Property), (ii) the IP Rights, (iii) other Transferred Assets (including the Collateral and all rights under and with respect to the Covered Agreements), (iv) the Equity Interests in RDIP and TABI and (v) proceeds of the foregoing consisting of cash to the extent receipt of such proceeds are permitted hereunder and held temporarily for disbursement in accordance with the terms of this Agreement. </w:t>
      </w:r>
    </w:p>
    <w:p>
      <w:pPr>
        <w:pStyle w:val="TextBody"/>
        <w:bidi w:val="0"/>
        <w:spacing w:before="240" w:after="0"/>
        <w:jc w:val="both"/>
        <w:rPr/>
      </w:pPr>
      <w:r>
        <w:rPr/>
        <w:t>“</w:t>
      </w:r>
      <w:r>
        <w:rPr>
          <w:rFonts w:ascii="Times New Roman" w:hAnsi="Times New Roman"/>
          <w:sz w:val="20"/>
          <w:u w:val="single"/>
        </w:rPr>
        <w:t>Permitted Change of Control</w:t>
      </w:r>
      <w:r>
        <w:rPr>
          <w:rFonts w:ascii="Times New Roman" w:hAnsi="Times New Roman"/>
          <w:sz w:val="20"/>
        </w:rPr>
        <w:t xml:space="preserve">” means: </w:t>
      </w:r>
    </w:p>
    <w:p>
      <w:pPr>
        <w:pStyle w:val="TextBody"/>
        <w:bidi w:val="0"/>
        <w:spacing w:before="120" w:after="0"/>
        <w:jc w:val="both"/>
        <w:rPr>
          <w:rFonts w:ascii="Times New Roman" w:hAnsi="Times New Roman"/>
          <w:sz w:val="20"/>
        </w:rPr>
      </w:pPr>
      <w:r>
        <w:rPr>
          <w:rFonts w:ascii="Times New Roman" w:hAnsi="Times New Roman"/>
          <w:sz w:val="20"/>
        </w:rPr>
        <w:t xml:space="preserve">(i) in respect of </w:t>
      </w:r>
      <w:r>
        <w:rPr>
          <w:rFonts w:ascii="Times New Roman" w:hAnsi="Times New Roman"/>
          <w:sz w:val="20"/>
          <w:u w:val="single"/>
        </w:rPr>
        <w:t>clause (i)</w:t>
      </w:r>
      <w:r>
        <w:rPr>
          <w:rFonts w:ascii="Times New Roman" w:hAnsi="Times New Roman"/>
          <w:sz w:val="20"/>
        </w:rPr>
        <w:t> of the definition of Change of Control, a merger, consolidation, or other business combination involving the Parent with or into another Person (a “</w:t>
      </w:r>
      <w:r>
        <w:rPr>
          <w:rFonts w:ascii="Times New Roman" w:hAnsi="Times New Roman"/>
          <w:sz w:val="20"/>
          <w:u w:val="single"/>
        </w:rPr>
        <w:t>Successor Parent</w:t>
      </w:r>
      <w:r>
        <w:rPr>
          <w:rFonts w:ascii="Times New Roman" w:hAnsi="Times New Roman"/>
          <w:sz w:val="20"/>
        </w:rPr>
        <w:t xml:space="preserve">”) that would otherwise constitute a Change of Control;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 xml:space="preserve">(A) the Equity Interests of such Successor Parent (or any direct or indirect parent entity thereof) are listed on the NYSE or NASDAQ and such Successor Parent has a Market Capitalization of not less than twenty-five billion dollars ($25,000,000,000) as of the date of such definitive agreement for such transaction, and the primary business of such Successor Parent (and any direct or indirect parent entity thereof) is not investment management, financial sponsorship, or the sponsorship of investment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no Event of Default has occurred or is continuing, or would result therefrom, on, or immediately after giving effect thereto, the effective date of such Permitted Change of Control; </w:t>
      </w:r>
    </w:p>
    <w:p>
      <w:pPr>
        <w:pStyle w:val="TextBody"/>
        <w:bidi w:val="0"/>
        <w:spacing w:before="120" w:after="0"/>
        <w:jc w:val="both"/>
        <w:rPr>
          <w:rFonts w:ascii="Times New Roman" w:hAnsi="Times New Roman"/>
          <w:sz w:val="20"/>
        </w:rPr>
      </w:pPr>
      <w:r>
        <w:rPr>
          <w:rFonts w:ascii="Times New Roman" w:hAnsi="Times New Roman"/>
          <w:sz w:val="20"/>
        </w:rPr>
        <w:t xml:space="preserve">(C) the Note Parties shall have delivered a legal opinion in form and substance reasonably satisfactory to the Requisite Purchasers confirming that such transaction will not give rise to any adverse Irish or U.S. tax consequences in respect of the Note Parties or any Purchaser; </w:t>
      </w:r>
    </w:p>
    <w:p>
      <w:pPr>
        <w:pStyle w:val="TextBody"/>
        <w:bidi w:val="0"/>
        <w:spacing w:before="120" w:after="0"/>
        <w:jc w:val="both"/>
        <w:rPr>
          <w:rFonts w:ascii="Times New Roman" w:hAnsi="Times New Roman"/>
          <w:sz w:val="20"/>
        </w:rPr>
      </w:pPr>
      <w:r>
        <w:rPr>
          <w:rFonts w:ascii="Times New Roman" w:hAnsi="Times New Roman"/>
          <w:sz w:val="20"/>
        </w:rPr>
        <w:t xml:space="preserve">(D) (A) the Purchasers shall have received written notice of such transaction within five (5) Business Days prior to the signing of the relevant acquisition agreement or similar agreement, (B) the Agent and each Purchaser shall have received (i) all documentation and other information reasonably requested in writing by the Agent or any such Purchaser required in order to comply with applicable “know your customer” and anti-money laundering rules and regulations, including the PATRIOT Act and (ii) if the Parent or Successor Parent then qualifies as a “legal entity customer” under the Beneficial Ownership Regulation, a Beneficial Ownership Certification in relation to the Parent or Successor Parent and (C) the Parent and Successor Parent (x) shall not be in violation of Sanctions in any material respect and (y) shall not be a Sanctioned Person; and </w:t>
      </w:r>
    </w:p>
    <w:p>
      <w:pPr>
        <w:pStyle w:val="TextBody"/>
        <w:bidi w:val="0"/>
        <w:spacing w:before="120" w:after="0"/>
        <w:jc w:val="both"/>
        <w:rPr>
          <w:rFonts w:ascii="Times New Roman" w:hAnsi="Times New Roman"/>
          <w:sz w:val="20"/>
        </w:rPr>
      </w:pPr>
      <w:r>
        <w:rPr>
          <w:rFonts w:ascii="Times New Roman" w:hAnsi="Times New Roman"/>
          <w:sz w:val="20"/>
        </w:rPr>
        <w:t xml:space="preserve">(E) the Obligations shall remain in full force and effect following the consummation of such transaction; or </w:t>
      </w:r>
    </w:p>
    <w:p>
      <w:pPr>
        <w:pStyle w:val="TextBody"/>
        <w:bidi w:val="0"/>
        <w:spacing w:before="120" w:after="0"/>
        <w:jc w:val="both"/>
        <w:rPr>
          <w:rFonts w:ascii="Times New Roman" w:hAnsi="Times New Roman"/>
          <w:sz w:val="20"/>
        </w:rPr>
      </w:pPr>
      <w:r>
        <w:rPr>
          <w:rFonts w:ascii="Times New Roman" w:hAnsi="Times New Roman"/>
          <w:sz w:val="20"/>
        </w:rPr>
        <w:t xml:space="preserve">(ii) in respect of </w:t>
      </w:r>
      <w:r>
        <w:rPr>
          <w:rFonts w:ascii="Times New Roman" w:hAnsi="Times New Roman"/>
          <w:sz w:val="20"/>
          <w:u w:val="single"/>
        </w:rPr>
        <w:t>clause (iii)</w:t>
      </w:r>
      <w:r>
        <w:rPr>
          <w:rFonts w:ascii="Times New Roman" w:hAnsi="Times New Roman"/>
          <w:sz w:val="20"/>
        </w:rPr>
        <w:t xml:space="preserve"> of the definition of Change of Control, the transfer by TBIL of all (but not part) of its trade, including its interests in the DST Issuer and the Trustee Co-Issuer to a newly formed direct wholly owned Irish tax resident subsidiary of TBIL;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 xml:space="preserve">(A) the Note Parties shall have obtained prior written consent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(B) the Note Parties shall have delivered a legal opinion in form and substance reasonably satisfactory to the Requisite Purchasers confirming that such transaction will not give rise to any adverse Irish or U.S. tax consequences in respect of the Note Parties or any Purchaser; </w:t>
      </w:r>
    </w:p>
    <w:p>
      <w:pPr>
        <w:pStyle w:val="TextBody"/>
        <w:bidi w:val="0"/>
        <w:spacing w:before="120" w:after="0"/>
        <w:jc w:val="both"/>
        <w:rPr>
          <w:rFonts w:ascii="Times New Roman" w:hAnsi="Times New Roman"/>
          <w:sz w:val="20"/>
        </w:rPr>
      </w:pPr>
      <w:r>
        <w:rPr>
          <w:rFonts w:ascii="Times New Roman" w:hAnsi="Times New Roman"/>
          <w:sz w:val="20"/>
        </w:rPr>
        <w:t xml:space="preserve">(C) such newly formed direct wholly owned Irish tax resident subsidiary of TBIL shall have granted to the Agent, for the benefit of the Secured Parties, a first priority Lien on all of its property and joined or otherwise acceded to such other Note Documents as required by the Requisite Purchasers; and </w:t>
      </w:r>
    </w:p>
    <w:p>
      <w:pPr>
        <w:pStyle w:val="TextBody"/>
        <w:bidi w:val="0"/>
        <w:spacing w:before="120" w:after="0"/>
        <w:jc w:val="both"/>
        <w:rPr>
          <w:rFonts w:ascii="Times New Roman" w:hAnsi="Times New Roman"/>
          <w:sz w:val="20"/>
        </w:rPr>
      </w:pPr>
      <w:r>
        <w:rPr>
          <w:rFonts w:ascii="Times New Roman" w:hAnsi="Times New Roman"/>
          <w:sz w:val="20"/>
        </w:rPr>
        <w:t xml:space="preserve">(D) the Requisite Purchasers shall have determined that such transaction would not adversely affect the listing of the Notes on a recognized stock exchange or the availability of the exemption from Irish withholding tax under section 64 of the Taxes Consolidation Act 1997.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there shall not be more than one Permitted Change of Control during the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Permitted Co-Promotion Election</w:t>
      </w:r>
      <w:r>
        <w:rPr>
          <w:rFonts w:ascii="Times New Roman" w:hAnsi="Times New Roman"/>
          <w:sz w:val="20"/>
        </w:rPr>
        <w:t xml:space="preserve">” means the delivery by TBUS to the Collaboration Partner of a notice pursuant to Section 3.1.1 of the Co-Promotion Agreement that it will not participate in Direct Promotional Activities (as defined in the Co-Promotion Agreement) for the Licensed Product in the United States, and the cessation of such participation by the Note Parties and their Affiliates in accordance with the Co-Promotion Agreement, in each case in compliance with </w:t>
      </w:r>
      <w:r>
        <w:rPr>
          <w:rFonts w:ascii="Times New Roman" w:hAnsi="Times New Roman"/>
          <w:sz w:val="20"/>
          <w:u w:val="single"/>
        </w:rPr>
        <w:t>Section 7.10(b)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Permitted Co-Promotion Termination</w:t>
      </w:r>
      <w:r>
        <w:rPr>
          <w:rFonts w:ascii="Times New Roman" w:hAnsi="Times New Roman"/>
          <w:sz w:val="20"/>
        </w:rPr>
        <w:t xml:space="preserve">” means a termination of the Co-Promotion Agreement (a) by mutual written agreement of TBUS and the Collaboration Partner with the prior written consent of the Agent (acting at the direction of the Requisite Purchasers) in accordance with </w:t>
      </w:r>
      <w:r>
        <w:rPr>
          <w:rFonts w:ascii="Times New Roman" w:hAnsi="Times New Roman"/>
          <w:sz w:val="20"/>
          <w:u w:val="single"/>
        </w:rPr>
        <w:t>Section 8.07</w:t>
      </w:r>
      <w:r>
        <w:rPr>
          <w:rFonts w:ascii="Times New Roman" w:hAnsi="Times New Roman"/>
          <w:sz w:val="20"/>
        </w:rPr>
        <w:t xml:space="preserve">, (b) occurring solely as a consequence of a termination of the Collaboration Agreement in respect of which a New Arrangement has been entered into in compliance with </w:t>
      </w:r>
      <w:r>
        <w:rPr>
          <w:rFonts w:ascii="Times New Roman" w:hAnsi="Times New Roman"/>
          <w:sz w:val="20"/>
          <w:u w:val="single"/>
        </w:rPr>
        <w:t>Section 7.13(c)</w:t>
      </w:r>
      <w:r>
        <w:rPr>
          <w:rFonts w:ascii="Times New Roman" w:hAnsi="Times New Roman"/>
          <w:sz w:val="20"/>
        </w:rPr>
        <w:t xml:space="preserve">, or (c) by the Collaboration Partner pursuant to Section 15.2 of the Co-Promotion Agreement where the breach or default giving rise to such termination (i) has not given rise, and would not reasonably be expected (as reasonably determined by the Agent acting at the direction of the Requisite Purchasers) to give rise, to a right of the Collaboration Partner to terminate the Collaboration Agreement pursuant to Section 13.02 thereof and (ii) has not been asserted by the Collaboration Partner as a breach of or default under the Collaboration Agreement. </w:t>
      </w:r>
    </w:p>
    <w:p>
      <w:pPr>
        <w:pStyle w:val="TextBody"/>
        <w:bidi w:val="0"/>
        <w:spacing w:before="240" w:after="0"/>
        <w:jc w:val="both"/>
        <w:rPr/>
      </w:pPr>
      <w:r>
        <w:rPr/>
        <w:t>“</w:t>
      </w:r>
      <w:r>
        <w:rPr>
          <w:rFonts w:ascii="Times New Roman" w:hAnsi="Times New Roman"/>
          <w:sz w:val="20"/>
          <w:u w:val="single"/>
        </w:rPr>
        <w:t>Permitted Indebtedness</w:t>
      </w:r>
      <w:r>
        <w:rPr>
          <w:rFonts w:ascii="Times New Roman" w:hAnsi="Times New Roman"/>
          <w:sz w:val="20"/>
        </w:rPr>
        <w:t xml:space="preserve">” means Indebtedness not prohibited by </w:t>
      </w:r>
      <w:r>
        <w:rPr>
          <w:rFonts w:ascii="Times New Roman" w:hAnsi="Times New Roman"/>
          <w:sz w:val="20"/>
          <w:u w:val="single"/>
        </w:rPr>
        <w:t>Section 8.03</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Permitted Investment</w:t>
      </w:r>
      <w:r>
        <w:rPr>
          <w:rFonts w:ascii="Times New Roman" w:hAnsi="Times New Roman"/>
          <w:sz w:val="20"/>
        </w:rPr>
        <w:t xml:space="preserve">” means Investments not prohibited by </w:t>
      </w:r>
      <w:r>
        <w:rPr>
          <w:rFonts w:ascii="Times New Roman" w:hAnsi="Times New Roman"/>
          <w:sz w:val="20"/>
          <w:u w:val="single"/>
        </w:rPr>
        <w:t>Section 8.05</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Permitted Liabilities</w:t>
      </w:r>
      <w:r>
        <w:rPr>
          <w:rFonts w:ascii="Times New Roman" w:hAnsi="Times New Roman"/>
          <w:sz w:val="20"/>
        </w:rPr>
        <w:t xml:space="preserve">” means (i) the Obligations, (ii) all Contractual Obligations of the DST Issuer, RDIP and TABI (including all liabilities and obligations incurred by the DST Issuer in connection with its performance under the Covered Agreements, Control Agreements (and related cash management agreements with Account Bank) as in effect on the Closing Date or as otherwise consented to by the Agent (at the direction of the Requisite Purchasers)), (iii) all Taxes, assessments and governmental charges levied upon the Issuers, RDIP or TABI or upon their respective income, profits or property (other than federal, state, local and foreign income or similar Taxes), solely to the extent timely paid or otherwise appropriately contested; </w:t>
      </w:r>
      <w:r>
        <w:rPr>
          <w:rFonts w:ascii="Times New Roman" w:hAnsi="Times New Roman"/>
          <w:sz w:val="20"/>
          <w:u w:val="single"/>
        </w:rPr>
        <w:t>provided</w:t>
      </w:r>
      <w:r>
        <w:rPr>
          <w:rFonts w:ascii="Times New Roman" w:hAnsi="Times New Roman"/>
          <w:sz w:val="20"/>
        </w:rPr>
        <w:t xml:space="preserve">, that adequate reserves are set aside therefor in accordance with GAAP and such contest proceedings shall conclusively operate to stay the sale or other disposition of any portion of the Collateral to satisfy such Tax, (iv) all costs and expenses of the Independent Manager of the Issuers, (v) any other liabilities or obligations of any nature expressly allowed to be incurred by the Issuers pursuant to the definition of “Special Purpose Entity”, (vi) all fees, expenses and charges of the Account Bank pursuant to the terms of the Control Agreement and the other cash management agreements between DST Issuer and Account Bank and (vii) all other fees, costs and expenses relating to the administration, ownership and management of Permitted Assets or reasonably necessary (as determined by the Issuers in good faith) to remain in compliance with the Note Documents. </w:t>
      </w:r>
    </w:p>
    <w:p>
      <w:pPr>
        <w:pStyle w:val="TextBody"/>
        <w:bidi w:val="0"/>
        <w:spacing w:before="240" w:after="0"/>
        <w:jc w:val="both"/>
        <w:rPr/>
      </w:pPr>
      <w:r>
        <w:rPr/>
        <w:t>“</w:t>
      </w:r>
      <w:r>
        <w:rPr>
          <w:rFonts w:ascii="Times New Roman" w:hAnsi="Times New Roman"/>
          <w:sz w:val="20"/>
          <w:u w:val="single"/>
        </w:rPr>
        <w:t>Permitted Liens</w:t>
      </w:r>
      <w:r>
        <w:rPr>
          <w:rFonts w:ascii="Times New Roman" w:hAnsi="Times New Roman"/>
          <w:sz w:val="20"/>
        </w:rPr>
        <w:t xml:space="preserve">” means Liens that are not prohibited by </w:t>
      </w:r>
      <w:r>
        <w:rPr>
          <w:rFonts w:ascii="Times New Roman" w:hAnsi="Times New Roman"/>
          <w:sz w:val="20"/>
          <w:u w:val="single"/>
        </w:rPr>
        <w:t>Section 8.04</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partnership (including any exempted limited partnership), joint venture, association, joint-stock company, trust, unincorporated organization, Governmental Authority or any other legal entity, including public bodies, whether acting in an individual, fiduciary or other capacity. </w:t>
      </w:r>
    </w:p>
    <w:p>
      <w:pPr>
        <w:pStyle w:val="TextBody"/>
        <w:bidi w:val="0"/>
        <w:spacing w:before="240" w:after="0"/>
        <w:jc w:val="both"/>
        <w:rPr/>
      </w:pPr>
      <w:r>
        <w:rPr/>
        <w:t>“</w:t>
      </w:r>
      <w:r>
        <w:rPr>
          <w:rFonts w:ascii="Times New Roman" w:hAnsi="Times New Roman"/>
          <w:sz w:val="20"/>
          <w:u w:val="single"/>
        </w:rPr>
        <w:t>Personal Information</w:t>
      </w:r>
      <w:r>
        <w:rPr>
          <w:rFonts w:ascii="Times New Roman" w:hAnsi="Times New Roman"/>
          <w:sz w:val="20"/>
        </w:rPr>
        <w:t xml:space="preserve">” means any data that is defined as “personal information” under any Privacy Law, including any such data that constitutes a name, address, email address, photograph, internet protocol address, and unique device identifier.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Phase 4 Study</w:t>
      </w:r>
      <w:r>
        <w:rPr>
          <w:rFonts w:ascii="Times New Roman" w:hAnsi="Times New Roman"/>
          <w:sz w:val="20"/>
        </w:rPr>
        <w:t xml:space="preserve">” means any clinical trial of a Licensed Product conducted after receipt of marketing authorization in the approved indication, which is required to maintain such marketing authorization or otherwise useful for Commercializing such Licensed Product. </w:t>
      </w:r>
    </w:p>
    <w:p>
      <w:pPr>
        <w:pStyle w:val="TextBody"/>
        <w:bidi w:val="0"/>
        <w:spacing w:before="240" w:after="0"/>
        <w:jc w:val="both"/>
        <w:rPr/>
      </w:pPr>
      <w:r>
        <w:rPr/>
        <w:t>“</w:t>
      </w:r>
      <w:r>
        <w:rPr>
          <w:rFonts w:ascii="Times New Roman" w:hAnsi="Times New Roman"/>
          <w:sz w:val="20"/>
          <w:u w:val="single"/>
        </w:rPr>
        <w:t>Post-Approval Development Expenses</w:t>
      </w:r>
      <w:r>
        <w:rPr>
          <w:rFonts w:ascii="Times New Roman" w:hAnsi="Times New Roman"/>
          <w:sz w:val="20"/>
        </w:rPr>
        <w:t xml:space="preserve">” has the meaning ascribed to such term in the Collaboration Agreement, as in effect on the date hereof. </w:t>
      </w:r>
    </w:p>
    <w:p>
      <w:pPr>
        <w:pStyle w:val="TextBody"/>
        <w:bidi w:val="0"/>
        <w:spacing w:before="240" w:after="0"/>
        <w:jc w:val="both"/>
        <w:rPr/>
      </w:pPr>
      <w:r>
        <w:rPr/>
        <w:t>“</w:t>
      </w:r>
      <w:r>
        <w:rPr>
          <w:rFonts w:ascii="Times New Roman" w:hAnsi="Times New Roman"/>
          <w:sz w:val="20"/>
          <w:u w:val="single"/>
        </w:rPr>
        <w:t>Prepayment Price</w:t>
      </w:r>
      <w:r>
        <w:rPr>
          <w:rFonts w:ascii="Times New Roman" w:hAnsi="Times New Roman"/>
          <w:sz w:val="20"/>
        </w:rPr>
        <w:t xml:space="preserve">” means a cash redemption price of the Notes being redeemed equal to, without duplication, one hundred percent (100%) of the Principal Amount of the Notes then outstanding, together with (i) accrued and unpaid interest, if any, to, but excluding, the date fixed for redemption, (ii) the applicable Yield Maintenance Premium (if any) and (iii) all Obligations (other than yet unasserted contingent indemnification obligations for which no claim has been made) and other unpaid amounts then due and owing by the Note Parties to the applicable Purchaser(s) and other Secured Parties pursuant to this Agreement and the other Note Documents. </w:t>
      </w:r>
    </w:p>
    <w:p>
      <w:pPr>
        <w:pStyle w:val="TextBody"/>
        <w:bidi w:val="0"/>
        <w:spacing w:before="240" w:after="0"/>
        <w:jc w:val="both"/>
        <w:rPr/>
      </w:pPr>
      <w:r>
        <w:rPr/>
        <w:t>“</w:t>
      </w:r>
      <w:r>
        <w:rPr>
          <w:rFonts w:ascii="Times New Roman" w:hAnsi="Times New Roman"/>
          <w:sz w:val="20"/>
          <w:u w:val="single"/>
        </w:rPr>
        <w:t>Principal Amount</w:t>
      </w:r>
      <w:r>
        <w:rPr>
          <w:rFonts w:ascii="Times New Roman" w:hAnsi="Times New Roman"/>
          <w:sz w:val="20"/>
        </w:rPr>
        <w:t xml:space="preserve">” means, as of any date of determination and without duplication, the amount equal to the sum of: (i) the original principal amount of the Notes (i.e., $350,000,000) or any Note, as the context may require, </w:t>
      </w:r>
      <w:r>
        <w:rPr>
          <w:rFonts w:ascii="Times New Roman" w:hAnsi="Times New Roman"/>
          <w:sz w:val="20"/>
          <w:u w:val="single"/>
        </w:rPr>
        <w:t>plus</w:t>
      </w:r>
      <w:r>
        <w:rPr>
          <w:rFonts w:ascii="Times New Roman" w:hAnsi="Times New Roman"/>
          <w:sz w:val="20"/>
        </w:rPr>
        <w:t xml:space="preserve">, (ii) any and all Deficiency Amounts which have been capitalized and added to the Principal Amount of the Notes or any Note, as the context may require, pursuant to </w:t>
      </w:r>
      <w:r>
        <w:rPr>
          <w:rFonts w:ascii="Times New Roman" w:hAnsi="Times New Roman"/>
          <w:sz w:val="20"/>
          <w:u w:val="single"/>
        </w:rPr>
        <w:t>Section 3.02(a)</w:t>
      </w:r>
      <w:r>
        <w:rPr>
          <w:rFonts w:ascii="Times New Roman" w:hAnsi="Times New Roman"/>
          <w:sz w:val="20"/>
        </w:rPr>
        <w:t xml:space="preserve"> as of such date </w:t>
      </w:r>
      <w:r>
        <w:rPr>
          <w:rFonts w:ascii="Times New Roman" w:hAnsi="Times New Roman"/>
          <w:sz w:val="20"/>
          <w:u w:val="single"/>
        </w:rPr>
        <w:t>plus</w:t>
      </w:r>
      <w:r>
        <w:rPr>
          <w:rFonts w:ascii="Times New Roman" w:hAnsi="Times New Roman"/>
          <w:sz w:val="20"/>
        </w:rPr>
        <w:t xml:space="preserve">, (iii) any and all Protective Advances funded pursuant to </w:t>
      </w:r>
      <w:r>
        <w:rPr>
          <w:rFonts w:ascii="Times New Roman" w:hAnsi="Times New Roman"/>
          <w:sz w:val="20"/>
          <w:u w:val="single"/>
        </w:rPr>
        <w:t>Section 2.05</w:t>
      </w:r>
      <w:r>
        <w:rPr>
          <w:rFonts w:ascii="Times New Roman" w:hAnsi="Times New Roman"/>
          <w:sz w:val="20"/>
        </w:rPr>
        <w:t xml:space="preserve">, which shall increase the Principal Amount of the Notes or any Note, as the context may require, </w:t>
      </w:r>
      <w:r>
        <w:rPr>
          <w:rFonts w:ascii="Times New Roman" w:hAnsi="Times New Roman"/>
          <w:sz w:val="20"/>
          <w:u w:val="single"/>
        </w:rPr>
        <w:t>plus</w:t>
      </w:r>
      <w:r>
        <w:rPr>
          <w:rFonts w:ascii="Times New Roman" w:hAnsi="Times New Roman"/>
          <w:sz w:val="20"/>
        </w:rPr>
        <w:t xml:space="preserve"> (iv) any and all Protective Advance Deficiency Amounts which have been capitalized and added to the Principal Amount of the Notes or any Note, as the context may require, pursuant to </w:t>
      </w:r>
      <w:r>
        <w:rPr>
          <w:rFonts w:ascii="Times New Roman" w:hAnsi="Times New Roman"/>
          <w:sz w:val="20"/>
          <w:u w:val="single"/>
        </w:rPr>
        <w:t>Section 3.02(a),</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(v) the aggregate amount of principal repayments in cash on the Notes or any Note, as the context may require. </w:t>
      </w:r>
    </w:p>
    <w:p>
      <w:pPr>
        <w:pStyle w:val="TextBody"/>
        <w:bidi w:val="0"/>
        <w:spacing w:before="240" w:after="0"/>
        <w:jc w:val="both"/>
        <w:rPr/>
      </w:pPr>
      <w:r>
        <w:rPr/>
        <w:t>“</w:t>
      </w:r>
      <w:r>
        <w:rPr>
          <w:rFonts w:ascii="Times New Roman" w:hAnsi="Times New Roman"/>
          <w:sz w:val="20"/>
          <w:u w:val="single"/>
        </w:rPr>
        <w:t>Privacy Laws</w:t>
      </w:r>
      <w:r>
        <w:rPr>
          <w:rFonts w:ascii="Times New Roman" w:hAnsi="Times New Roman"/>
          <w:sz w:val="20"/>
        </w:rPr>
        <w:t xml:space="preserve">” means any applicable requirements of Law governing privacy, data security or breach notification with respect to the processing of Personal Information, and privacy and data security requirements of contracts by which a Note Party is bound, including (if applicable) the Health Insurance Portability and Accountability Act of 1996 and the regulations promulgated thereunder and the Regulation (EU) 2016/679 of the European Parliament and of the Council of 27 April 2016 on the protection of natural persons with regard to the processing of Personal Data and on the free movement of such data, and repealing Directive 95/46/EC. Without limiting the foregoing, Privacy Laws include, as applicable, state personal information breach notification Laws. </w:t>
      </w:r>
    </w:p>
    <w:p>
      <w:pPr>
        <w:pStyle w:val="TextBody"/>
        <w:bidi w:val="0"/>
        <w:spacing w:before="240" w:after="0"/>
        <w:jc w:val="both"/>
        <w:rPr/>
      </w:pPr>
      <w:r>
        <w:rPr/>
        <w:t>“</w:t>
      </w:r>
      <w:r>
        <w:rPr>
          <w:rFonts w:ascii="Times New Roman" w:hAnsi="Times New Roman"/>
          <w:sz w:val="20"/>
          <w:u w:val="single"/>
        </w:rPr>
        <w:t>Product Databases</w:t>
      </w:r>
      <w:r>
        <w:rPr>
          <w:rFonts w:ascii="Times New Roman" w:hAnsi="Times New Roman"/>
          <w:sz w:val="20"/>
        </w:rPr>
        <w:t xml:space="preserve">” means any material non-public proprietary database or information repository that is owned by or licensed to a Note Party or its Affiliate and primarily related to, used in or necessary for the Development, manufacture, Commercialization, distribution, or Exploitation of the Licensed Product in the Territory. </w:t>
      </w:r>
    </w:p>
    <w:p>
      <w:pPr>
        <w:pStyle w:val="TextBody"/>
        <w:bidi w:val="0"/>
        <w:spacing w:before="240" w:after="0"/>
        <w:jc w:val="both"/>
        <w:rPr/>
      </w:pPr>
      <w:r>
        <w:rPr/>
        <w:t>“</w:t>
      </w:r>
      <w:r>
        <w:rPr>
          <w:rFonts w:ascii="Times New Roman" w:hAnsi="Times New Roman"/>
          <w:sz w:val="20"/>
          <w:u w:val="single"/>
        </w:rPr>
        <w:t>Product Patents</w:t>
      </w:r>
      <w:r>
        <w:rPr>
          <w:rFonts w:ascii="Times New Roman" w:hAnsi="Times New Roman"/>
          <w:sz w:val="20"/>
        </w:rPr>
        <w:t xml:space="preserve">” means all Patents (i) owned by or licensed to a Note Party or its Affiliate, and (ii) that primarily relate to or are used in or necessary for the Development, manufacture, Commercialization, distribution, or Exploitation of a Licensed Product and in the Territory, including those Patents identified in </w:t>
      </w:r>
      <w:r>
        <w:rPr>
          <w:rFonts w:ascii="Times New Roman" w:hAnsi="Times New Roman"/>
          <w:sz w:val="20"/>
          <w:u w:val="single"/>
        </w:rPr>
        <w:t>Schedule 6.01</w:t>
      </w:r>
      <w:r>
        <w:rPr>
          <w:rFonts w:ascii="Times New Roman" w:hAnsi="Times New Roman"/>
          <w:sz w:val="20"/>
        </w:rPr>
        <w:t xml:space="preserve">. For the avoidance of doubt, the Product Patents include the Owned Product Patents and the Licensed Product Patents. </w:t>
      </w:r>
    </w:p>
    <w:p>
      <w:pPr>
        <w:pStyle w:val="TextBody"/>
        <w:bidi w:val="0"/>
        <w:spacing w:before="240" w:after="0"/>
        <w:jc w:val="both"/>
        <w:rPr/>
      </w:pPr>
      <w:r>
        <w:rPr/>
        <w:t>“</w:t>
      </w:r>
      <w:r>
        <w:rPr>
          <w:rFonts w:ascii="Times New Roman" w:hAnsi="Times New Roman"/>
          <w:sz w:val="20"/>
          <w:u w:val="single"/>
        </w:rPr>
        <w:t>Product Registrations</w:t>
      </w:r>
      <w:r>
        <w:rPr>
          <w:rFonts w:ascii="Times New Roman" w:hAnsi="Times New Roman"/>
          <w:sz w:val="20"/>
        </w:rPr>
        <w:t xml:space="preserve">” means, with respect to the Licensed Product in the Territory: (i) any approvals, clearances, registrations, licenses, listings, permits, INDs, New Drug Applications, Regulatory Approvals, ODDs, breakthrough therapy designations, fast-track designations or marketing authorizations, including FDA drug listings and other national or regional marketing authorizations or permits, together with any supplements or amendments thereto, whether pending or issued, by the applicable Regulatory Agency primarily related to the Exploitation of such Licensed Product over which such Regulatory Agency has authority; and (ii) pricing and reimbursement approval, if applicable or available, and all national drug code numbers, if any, assigned to the Licensed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Product Rights</w:t>
      </w:r>
      <w:r>
        <w:rPr>
          <w:rFonts w:ascii="Times New Roman" w:hAnsi="Times New Roman"/>
          <w:sz w:val="20"/>
        </w:rPr>
        <w:t xml:space="preserve">” means any and all of the following: (i) IP Rights; (ii) all rights that the Note Parties or any of their Affiliates has in or to any and all Product Registrations, Regulatory Approvals, Regulatory Exclusivities, and Regulatory Documentation, with or from any Regulatory Agency primarily related to, used in or necessary for the Development, manufacture, Commercialization, distribution or Exploitation of the Licensed Product in the Territory; and (iii) all rights that the Note Parties or any of their Affiliates has in or to each Covered Agreement with respect to the Licensed Product. </w:t>
      </w:r>
    </w:p>
    <w:p>
      <w:pPr>
        <w:pStyle w:val="TextBody"/>
        <w:bidi w:val="0"/>
        <w:spacing w:before="240" w:after="0"/>
        <w:jc w:val="both"/>
        <w:rPr/>
      </w:pPr>
      <w:r>
        <w:rPr/>
        <w:t>“</w:t>
      </w:r>
      <w:r>
        <w:rPr>
          <w:rFonts w:ascii="Times New Roman" w:hAnsi="Times New Roman"/>
          <w:sz w:val="20"/>
          <w:u w:val="single"/>
        </w:rPr>
        <w:t>Product Trademarks</w:t>
      </w:r>
      <w:r>
        <w:rPr>
          <w:rFonts w:ascii="Times New Roman" w:hAnsi="Times New Roman"/>
          <w:sz w:val="20"/>
        </w:rPr>
        <w:t xml:space="preserve">” means any and all Trademarks primarily related to, used in or necessary for the Development, manufacture, Commercialization, distribution or Exploitation of the Licensed Product in the Territory (other than any Theravance Trademark), that are issued or filed prior to, on or after the date of this Agreement, including those identified in </w:t>
      </w:r>
      <w:r>
        <w:rPr>
          <w:rFonts w:ascii="Times New Roman" w:hAnsi="Times New Roman"/>
          <w:sz w:val="20"/>
          <w:u w:val="single"/>
        </w:rPr>
        <w:t>Schedule 6.01</w:t>
      </w:r>
      <w:r>
        <w:rPr>
          <w:rFonts w:ascii="Times New Roman" w:hAnsi="Times New Roman"/>
          <w:sz w:val="20"/>
        </w:rPr>
        <w:t xml:space="preserve">, in each such case, which are owned, co-owned, licensed by, or issued to or thereafter acquired by a Note Party or any of its Affiliates. </w:t>
      </w:r>
    </w:p>
    <w:p>
      <w:pPr>
        <w:pStyle w:val="TextBody"/>
        <w:bidi w:val="0"/>
        <w:spacing w:before="240" w:after="0"/>
        <w:jc w:val="both"/>
        <w:rPr/>
      </w:pPr>
      <w:r>
        <w:rPr/>
        <w:t>“</w:t>
      </w:r>
      <w:r>
        <w:rPr>
          <w:rFonts w:ascii="Times New Roman" w:hAnsi="Times New Roman"/>
          <w:sz w:val="20"/>
          <w:u w:val="single"/>
        </w:rPr>
        <w:t>Protective Advance</w:t>
      </w:r>
      <w:r>
        <w:rPr>
          <w:rFonts w:ascii="Times New Roman" w:hAnsi="Times New Roman"/>
          <w:sz w:val="20"/>
        </w:rPr>
        <w:t xml:space="preserve">” means any payment made by a Purchaser, in its reasonable discretion, to (i) discharge (at the Issuers’ expense) Taxes or Liens affecting any of the Collateral that are due and payable and have not been paid in violation of the Note Documents or that jeopardize the Agent’s Lien priority in the Collateral, (ii) make any other payment required for the preservation or protection of the Collateral, (iii) make any payment to a retiring Agent under </w:t>
      </w:r>
      <w:r>
        <w:rPr>
          <w:rFonts w:ascii="Times New Roman" w:hAnsi="Times New Roman"/>
          <w:sz w:val="20"/>
          <w:u w:val="single"/>
        </w:rPr>
        <w:t>Section 12.08(a)</w:t>
      </w:r>
      <w:r>
        <w:rPr>
          <w:rFonts w:ascii="Times New Roman" w:hAnsi="Times New Roman"/>
          <w:sz w:val="20"/>
        </w:rPr>
        <w:t xml:space="preserve">, (iv) preserve or maintain any Issuer and any Delaware trustee and Independent Manager of an Issuer or (v) make any other payment to Collaboration Partner that, if not paid, would, in Purchaser’s good faith judgement, result in a breach of the Collaboration Agreement or the Co-Promotion Agreement. </w:t>
      </w:r>
    </w:p>
    <w:p>
      <w:pPr>
        <w:pStyle w:val="TextBody"/>
        <w:bidi w:val="0"/>
        <w:spacing w:before="240" w:after="0"/>
        <w:jc w:val="both"/>
        <w:rPr/>
      </w:pPr>
      <w:r>
        <w:rPr/>
        <w:t>“</w:t>
      </w:r>
      <w:r>
        <w:rPr>
          <w:rFonts w:ascii="Times New Roman" w:hAnsi="Times New Roman"/>
          <w:sz w:val="20"/>
          <w:u w:val="single"/>
        </w:rPr>
        <w:t>Protective Advance Amounts</w:t>
      </w:r>
      <w:r>
        <w:rPr>
          <w:rFonts w:ascii="Times New Roman" w:hAnsi="Times New Roman"/>
          <w:sz w:val="20"/>
        </w:rPr>
        <w:t xml:space="preserve">” means, as of any date of determination, that portion of the Principal Amount then outstanding equal to the sum of (i) any and all Protective Advances and (ii) any and all Protective Advance Deficiency Amounts. </w:t>
      </w:r>
    </w:p>
    <w:p>
      <w:pPr>
        <w:pStyle w:val="TextBody"/>
        <w:bidi w:val="0"/>
        <w:spacing w:before="240" w:after="0"/>
        <w:jc w:val="both"/>
        <w:rPr/>
      </w:pPr>
      <w:r>
        <w:rPr/>
        <w:t>“</w:t>
      </w:r>
      <w:r>
        <w:rPr>
          <w:rFonts w:ascii="Times New Roman" w:hAnsi="Times New Roman"/>
          <w:sz w:val="20"/>
          <w:u w:val="single"/>
        </w:rPr>
        <w:t>Protective Advance Deficiency Amount</w:t>
      </w:r>
      <w:r>
        <w:rPr>
          <w:rFonts w:ascii="Times New Roman" w:hAnsi="Times New Roman"/>
          <w:sz w:val="20"/>
        </w:rPr>
        <w:t xml:space="preserve">” has the meaning specified in </w:t>
      </w:r>
      <w:r>
        <w:rPr>
          <w:rFonts w:ascii="Times New Roman" w:hAnsi="Times New Roman"/>
          <w:sz w:val="20"/>
          <w:u w:val="single"/>
        </w:rPr>
        <w:t>Section 3.02(a)(i)</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w:t>
      </w:r>
    </w:p>
    <w:p>
      <w:pPr>
        <w:pStyle w:val="TextBody"/>
        <w:bidi w:val="0"/>
        <w:spacing w:before="240" w:after="0"/>
        <w:jc w:val="both"/>
        <w:rPr/>
      </w:pPr>
      <w:r>
        <w:rPr/>
        <w:t>“</w:t>
      </w:r>
      <w:r>
        <w:rPr>
          <w:rFonts w:ascii="Times New Roman" w:hAnsi="Times New Roman"/>
          <w:sz w:val="20"/>
          <w:u w:val="single"/>
        </w:rPr>
        <w:t>Purchase Price</w:t>
      </w:r>
      <w:r>
        <w:rPr>
          <w:rFonts w:ascii="Times New Roman" w:hAnsi="Times New Roman"/>
          <w:sz w:val="20"/>
        </w:rPr>
        <w:t xml:space="preserve">” means the aggregate amount set forth on </w:t>
      </w:r>
      <w:r>
        <w:rPr>
          <w:rFonts w:ascii="Times New Roman" w:hAnsi="Times New Roman"/>
          <w:sz w:val="20"/>
          <w:u w:val="single"/>
        </w:rPr>
        <w:t>Schedule 2.01</w:t>
      </w:r>
      <w:r>
        <w:rPr>
          <w:rFonts w:ascii="Times New Roman" w:hAnsi="Times New Roman"/>
          <w:sz w:val="20"/>
        </w:rPr>
        <w:t xml:space="preserve"> hereto and paid by the Purchasers on the Closing Date to acquire the Notes. </w:t>
      </w:r>
    </w:p>
    <w:p>
      <w:pPr>
        <w:pStyle w:val="TextBody"/>
        <w:bidi w:val="0"/>
        <w:spacing w:before="240" w:after="0"/>
        <w:jc w:val="both"/>
        <w:rPr/>
      </w:pPr>
      <w:r>
        <w:rPr/>
        <w:t>“</w:t>
      </w:r>
      <w:r>
        <w:rPr>
          <w:rFonts w:ascii="Times New Roman" w:hAnsi="Times New Roman"/>
          <w:sz w:val="20"/>
          <w:u w:val="single"/>
        </w:rPr>
        <w:t>Purchaser</w:t>
      </w:r>
      <w:r>
        <w:rPr>
          <w:rFonts w:ascii="Times New Roman" w:hAnsi="Times New Roman"/>
          <w:sz w:val="20"/>
        </w:rPr>
        <w:t xml:space="preserve">” means, as of the Closing Date, each Person set forth on </w:t>
      </w:r>
      <w:r>
        <w:rPr>
          <w:rFonts w:ascii="Times New Roman" w:hAnsi="Times New Roman"/>
          <w:sz w:val="20"/>
          <w:u w:val="single"/>
        </w:rPr>
        <w:t>Schedule 2.01</w:t>
      </w:r>
      <w:r>
        <w:rPr>
          <w:rFonts w:ascii="Times New Roman" w:hAnsi="Times New Roman"/>
          <w:sz w:val="20"/>
        </w:rPr>
        <w:t xml:space="preserve"> hereto and any other Person that accepts or otherwise holds a Note from time to time pursuant to the terms hereof. </w:t>
      </w:r>
    </w:p>
    <w:p>
      <w:pPr>
        <w:pStyle w:val="TextBody"/>
        <w:bidi w:val="0"/>
        <w:spacing w:before="240" w:after="0"/>
        <w:jc w:val="both"/>
        <w:rPr/>
      </w:pPr>
      <w:r>
        <w:rPr/>
        <w:t>“</w:t>
      </w:r>
      <w:r>
        <w:rPr>
          <w:rFonts w:ascii="Times New Roman" w:hAnsi="Times New Roman"/>
          <w:sz w:val="20"/>
          <w:u w:val="single"/>
        </w:rPr>
        <w:t>Quarterly Report</w:t>
      </w:r>
      <w:r>
        <w:rPr>
          <w:rFonts w:ascii="Times New Roman" w:hAnsi="Times New Roman"/>
          <w:sz w:val="20"/>
        </w:rPr>
        <w:t xml:space="preserve">” has the meaning set forth in the Collaboration Agreement. </w:t>
      </w:r>
    </w:p>
    <w:p>
      <w:pPr>
        <w:pStyle w:val="TextBody"/>
        <w:bidi w:val="0"/>
        <w:spacing w:before="240" w:after="0"/>
        <w:jc w:val="both"/>
        <w:rPr/>
      </w:pPr>
      <w:r>
        <w:rPr/>
        <w:t>“</w:t>
      </w:r>
      <w:r>
        <w:rPr>
          <w:rFonts w:ascii="Times New Roman" w:hAnsi="Times New Roman"/>
          <w:sz w:val="20"/>
          <w:u w:val="single"/>
        </w:rPr>
        <w:t>RDIP</w:t>
      </w:r>
      <w:r>
        <w:rPr>
          <w:rFonts w:ascii="Times New Roman" w:hAnsi="Times New Roman"/>
          <w:sz w:val="20"/>
        </w:rPr>
        <w:t xml:space="preserve">” means Theravance Biopharma R&amp;D IP, LLC, a Delaware limited liability company. </w:t>
      </w:r>
    </w:p>
    <w:p>
      <w:pPr>
        <w:pStyle w:val="TextBody"/>
        <w:bidi w:val="0"/>
        <w:spacing w:before="240" w:after="0"/>
        <w:jc w:val="both"/>
        <w:rPr/>
      </w:pPr>
      <w:r>
        <w:rPr/>
        <w:t>“</w:t>
      </w:r>
      <w:r>
        <w:rPr>
          <w:rFonts w:ascii="Times New Roman" w:hAnsi="Times New Roman"/>
          <w:sz w:val="20"/>
          <w:u w:val="single"/>
        </w:rPr>
        <w:t>Recipient</w:t>
      </w:r>
      <w:r>
        <w:rPr>
          <w:rFonts w:ascii="Times New Roman" w:hAnsi="Times New Roman"/>
          <w:sz w:val="20"/>
        </w:rPr>
        <w:t xml:space="preserve">” means the Agent or any Purchaser, as applicable. </w:t>
      </w:r>
    </w:p>
    <w:p>
      <w:pPr>
        <w:pStyle w:val="TextBody"/>
        <w:bidi w:val="0"/>
        <w:spacing w:before="240" w:after="0"/>
        <w:jc w:val="both"/>
        <w:rPr/>
      </w:pPr>
      <w:r>
        <w:rPr/>
        <w:t>“</w:t>
      </w:r>
      <w:r>
        <w:rPr>
          <w:rFonts w:ascii="Times New Roman" w:hAnsi="Times New Roman"/>
          <w:sz w:val="20"/>
          <w:u w:val="single"/>
        </w:rPr>
        <w:t>Reconciliation Amounts</w:t>
      </w:r>
      <w:r>
        <w:rPr>
          <w:rFonts w:ascii="Times New Roman" w:hAnsi="Times New Roman"/>
          <w:sz w:val="20"/>
        </w:rPr>
        <w:t xml:space="preserve">” has the meaning set forth in </w:t>
      </w:r>
      <w:r>
        <w:rPr>
          <w:rFonts w:ascii="Times New Roman" w:hAnsi="Times New Roman"/>
          <w:sz w:val="20"/>
          <w:u w:val="single"/>
        </w:rPr>
        <w:t>Section 7.05(d)</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Register</w:t>
      </w:r>
      <w:r>
        <w:rPr>
          <w:rFonts w:ascii="Times New Roman" w:hAnsi="Times New Roman"/>
          <w:sz w:val="20"/>
        </w:rPr>
        <w:t xml:space="preserve">” means a record of ownership, maintained by the Agent pursuant to </w:t>
      </w:r>
      <w:r>
        <w:rPr>
          <w:rFonts w:ascii="Times New Roman" w:hAnsi="Times New Roman"/>
          <w:sz w:val="20"/>
          <w:u w:val="single"/>
        </w:rPr>
        <w:t>Section 4.05</w:t>
      </w:r>
      <w:r>
        <w:rPr>
          <w:rFonts w:ascii="Times New Roman" w:hAnsi="Times New Roman"/>
          <w:sz w:val="20"/>
        </w:rPr>
        <w:t xml:space="preserve">, in which the Agent registers by book entry the interests (including any rights to receive payment hereunder) of each Purchaser in the Notes and any assignment of any such interest, obligation or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Regulation T</w:t>
      </w:r>
      <w:r>
        <w:rPr>
          <w:rFonts w:ascii="Times New Roman" w:hAnsi="Times New Roman"/>
          <w:sz w:val="20"/>
        </w:rPr>
        <w:t xml:space="preserve">” means Regulation T of the Federal Reserve Board. </w:t>
      </w:r>
    </w:p>
    <w:p>
      <w:pPr>
        <w:pStyle w:val="TextBody"/>
        <w:bidi w:val="0"/>
        <w:spacing w:before="240" w:after="0"/>
        <w:jc w:val="both"/>
        <w:rPr/>
      </w:pPr>
      <w:r>
        <w:rPr/>
        <w:t>“</w:t>
      </w:r>
      <w:r>
        <w:rPr>
          <w:rFonts w:ascii="Times New Roman" w:hAnsi="Times New Roman"/>
          <w:sz w:val="20"/>
          <w:u w:val="single"/>
        </w:rPr>
        <w:t>Regulation U</w:t>
      </w:r>
      <w:r>
        <w:rPr>
          <w:rFonts w:ascii="Times New Roman" w:hAnsi="Times New Roman"/>
          <w:sz w:val="20"/>
        </w:rPr>
        <w:t xml:space="preserve">” means Regulation U of the Federal Reserve Board. </w:t>
      </w:r>
    </w:p>
    <w:p>
      <w:pPr>
        <w:pStyle w:val="TextBody"/>
        <w:bidi w:val="0"/>
        <w:spacing w:before="240" w:after="0"/>
        <w:jc w:val="both"/>
        <w:rPr/>
      </w:pPr>
      <w:r>
        <w:rPr/>
        <w:t>“</w:t>
      </w:r>
      <w:r>
        <w:rPr>
          <w:rFonts w:ascii="Times New Roman" w:hAnsi="Times New Roman"/>
          <w:sz w:val="20"/>
          <w:u w:val="single"/>
        </w:rPr>
        <w:t>Regulation X</w:t>
      </w:r>
      <w:r>
        <w:rPr>
          <w:rFonts w:ascii="Times New Roman" w:hAnsi="Times New Roman"/>
          <w:sz w:val="20"/>
        </w:rPr>
        <w:t xml:space="preserve">” means Regulation X of the Federal Reserve Board. </w:t>
      </w:r>
    </w:p>
    <w:p>
      <w:pPr>
        <w:pStyle w:val="TextBody"/>
        <w:bidi w:val="0"/>
        <w:spacing w:before="240" w:after="0"/>
        <w:jc w:val="both"/>
        <w:rPr/>
      </w:pPr>
      <w:r>
        <w:rPr/>
        <w:t>“</w:t>
      </w:r>
      <w:r>
        <w:rPr>
          <w:rFonts w:ascii="Times New Roman" w:hAnsi="Times New Roman"/>
          <w:sz w:val="20"/>
          <w:u w:val="single"/>
        </w:rPr>
        <w:t>Regulatory Agency</w:t>
      </w:r>
      <w:r>
        <w:rPr>
          <w:rFonts w:ascii="Times New Roman" w:hAnsi="Times New Roman"/>
          <w:sz w:val="20"/>
        </w:rPr>
        <w:t xml:space="preserve">” means a Governmental Authority with responsibility for the regulation of the research, development, marketing or sale of drugs or pharmaceuticals in any jurisdiction, including the FDA. </w:t>
      </w:r>
    </w:p>
    <w:p>
      <w:pPr>
        <w:pStyle w:val="TextBody"/>
        <w:bidi w:val="0"/>
        <w:spacing w:before="240" w:after="0"/>
        <w:jc w:val="both"/>
        <w:rPr/>
      </w:pPr>
      <w:r>
        <w:rPr/>
        <w:t>“</w:t>
      </w:r>
      <w:r>
        <w:rPr>
          <w:rFonts w:ascii="Times New Roman" w:hAnsi="Times New Roman"/>
          <w:sz w:val="20"/>
          <w:u w:val="single"/>
        </w:rPr>
        <w:t>Regulatory Approvals</w:t>
      </w:r>
      <w:r>
        <w:rPr>
          <w:rFonts w:ascii="Times New Roman" w:hAnsi="Times New Roman"/>
          <w:sz w:val="20"/>
        </w:rPr>
        <w:t xml:space="preserve">” means, collectively, all regulatory approvals, licenses, registrations, certificates, Governmental Authorizations, permits and supplements thereto, as well as associated materials (including the product dossier) pursuant to which the Licensed Product may be marketed, sold and distributed in a jurisdiction, issued by the appropriate Regulatory Agency, including approved Drug Applications. </w:t>
      </w:r>
    </w:p>
    <w:p>
      <w:pPr>
        <w:pStyle w:val="TextBody"/>
        <w:bidi w:val="0"/>
        <w:spacing w:before="240" w:after="0"/>
        <w:jc w:val="both"/>
        <w:rPr/>
      </w:pPr>
      <w:r>
        <w:rPr/>
        <w:t>“</w:t>
      </w:r>
      <w:r>
        <w:rPr>
          <w:rFonts w:ascii="Times New Roman" w:hAnsi="Times New Roman"/>
          <w:sz w:val="20"/>
          <w:u w:val="single"/>
        </w:rPr>
        <w:t>Regulatory Change</w:t>
      </w:r>
      <w:r>
        <w:rPr>
          <w:rFonts w:ascii="Times New Roman" w:hAnsi="Times New Roman"/>
          <w:sz w:val="20"/>
        </w:rPr>
        <w:t xml:space="preserve">” means (i) the adoption after the date hereof of any Law, rule or regulation or any change therein after the date hereof or (ii) any change after the date hereof in the interpretation or administration thereof by any Regulatory Agency, Governmental Authority, central bank or comparable agency charged with the interpretation or administration thereof, either generally or as effected through compliance with any request or directive (whether or not having the force of law) of any such Regulatory Agency, Governmental Authority, central bank or comparable agency. </w:t>
      </w:r>
    </w:p>
    <w:p>
      <w:pPr>
        <w:pStyle w:val="TextBody"/>
        <w:bidi w:val="0"/>
        <w:spacing w:before="240" w:after="0"/>
        <w:jc w:val="both"/>
        <w:rPr/>
      </w:pPr>
      <w:r>
        <w:rPr/>
        <w:t>“</w:t>
      </w:r>
      <w:r>
        <w:rPr>
          <w:rFonts w:ascii="Times New Roman" w:hAnsi="Times New Roman"/>
          <w:sz w:val="20"/>
          <w:u w:val="single"/>
        </w:rPr>
        <w:t>Regulatory Documentation</w:t>
      </w:r>
      <w:r>
        <w:rPr>
          <w:rFonts w:ascii="Times New Roman" w:hAnsi="Times New Roman"/>
          <w:sz w:val="20"/>
        </w:rPr>
        <w:t xml:space="preserve">” means, with respect to the Licensed Product in the Territory, all: (i) applications, including all INDs, Drug Applications and Regulatory Filings, registrations, licenses, authorizations and approvals; (ii) correspondence and reports submitted to or received from Governmental Authorities, including minutes and official contact reports relating to any communications with any Governmental Authority, and all supporting documents with respect thereto, including all advertising and promotion documents, adverse event files and complaint files; and (iii) clinical data and any other data contained or relied upon in any of the foregoing. </w:t>
      </w:r>
    </w:p>
    <w:p>
      <w:pPr>
        <w:pStyle w:val="TextBody"/>
        <w:bidi w:val="0"/>
        <w:spacing w:before="240" w:after="0"/>
        <w:jc w:val="both"/>
        <w:rPr/>
      </w:pPr>
      <w:r>
        <w:rPr/>
        <w:t>“</w:t>
      </w:r>
      <w:r>
        <w:rPr>
          <w:rFonts w:ascii="Times New Roman" w:hAnsi="Times New Roman"/>
          <w:sz w:val="20"/>
          <w:u w:val="single"/>
        </w:rPr>
        <w:t>Regulatory Filings</w:t>
      </w:r>
      <w:r>
        <w:rPr>
          <w:rFonts w:ascii="Times New Roman" w:hAnsi="Times New Roman"/>
          <w:sz w:val="20"/>
        </w:rPr>
        <w:t xml:space="preserve">” has the meaning ascribed to such term in the Collaboration Agreement, as in effect on the Closing Date. </w:t>
      </w:r>
    </w:p>
    <w:p>
      <w:pPr>
        <w:pStyle w:val="TextBody"/>
        <w:bidi w:val="0"/>
        <w:spacing w:before="240" w:after="0"/>
        <w:jc w:val="both"/>
        <w:rPr/>
      </w:pPr>
      <w:r>
        <w:rPr/>
        <w:t>“</w:t>
      </w:r>
      <w:r>
        <w:rPr>
          <w:rFonts w:ascii="Times New Roman" w:hAnsi="Times New Roman"/>
          <w:sz w:val="20"/>
          <w:u w:val="single"/>
        </w:rPr>
        <w:t>Reimbursable Patent Expenses</w:t>
      </w:r>
      <w:r>
        <w:rPr>
          <w:rFonts w:ascii="Times New Roman" w:hAnsi="Times New Roman"/>
          <w:sz w:val="20"/>
        </w:rPr>
        <w:t xml:space="preserve">” has the meaning ascribed to such term in the Collaboration Agreement, as in effect on the Closing Date. </w:t>
      </w:r>
    </w:p>
    <w:p>
      <w:pPr>
        <w:pStyle w:val="TextBody"/>
        <w:bidi w:val="0"/>
        <w:spacing w:before="240" w:after="0"/>
        <w:jc w:val="both"/>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members, managers, investors, potential investors, directors, officers, employees, agents, trustees, administrators, managers, advisors and representatives of such Person and of such Person’s Affiliates. </w:t>
      </w:r>
    </w:p>
    <w:p>
      <w:pPr>
        <w:pStyle w:val="TextBody"/>
        <w:bidi w:val="0"/>
        <w:spacing w:before="240" w:after="0"/>
        <w:jc w:val="both"/>
        <w:rPr/>
      </w:pPr>
      <w:r>
        <w:rPr/>
        <w:t>“</w:t>
      </w:r>
      <w:r>
        <w:rPr>
          <w:rFonts w:ascii="Times New Roman" w:hAnsi="Times New Roman"/>
          <w:sz w:val="20"/>
          <w:u w:val="single"/>
        </w:rPr>
        <w:t>Relevant Sum</w:t>
      </w:r>
      <w:r>
        <w:rPr>
          <w:rFonts w:ascii="Times New Roman" w:hAnsi="Times New Roman"/>
          <w:sz w:val="20"/>
        </w:rPr>
        <w:t xml:space="preserve">” means an amount equal to the Note Amount less the amount of Indebtedness owing by TBIL to TBPH that is repaid in cash in connection with the Transactions. </w:t>
      </w:r>
    </w:p>
    <w:p>
      <w:pPr>
        <w:pStyle w:val="TextBody"/>
        <w:bidi w:val="0"/>
        <w:spacing w:before="240" w:after="0"/>
        <w:jc w:val="both"/>
        <w:rPr/>
      </w:pPr>
      <w:r>
        <w:rPr/>
        <w:t>“</w:t>
      </w:r>
      <w:r>
        <w:rPr>
          <w:rFonts w:ascii="Times New Roman" w:hAnsi="Times New Roman"/>
          <w:sz w:val="20"/>
          <w:u w:val="single"/>
        </w:rPr>
        <w:t>Reportable Event</w:t>
      </w:r>
      <w:r>
        <w:rPr>
          <w:rFonts w:ascii="Times New Roman" w:hAnsi="Times New Roman"/>
          <w:sz w:val="20"/>
        </w:rPr>
        <w:t xml:space="preserve">” means, with respect to any pension plan, any of the events set forth in Section 4043(c) of ERISA or the regulations issued thereunder, other than events for which the thirty (30) day notice period has been waived. </w:t>
      </w:r>
    </w:p>
    <w:p>
      <w:pPr>
        <w:pStyle w:val="TextBody"/>
        <w:bidi w:val="0"/>
        <w:spacing w:before="240" w:after="0"/>
        <w:jc w:val="both"/>
        <w:rPr/>
      </w:pPr>
      <w:r>
        <w:rPr/>
        <w:t>“</w:t>
      </w:r>
      <w:r>
        <w:rPr>
          <w:rFonts w:ascii="Times New Roman" w:hAnsi="Times New Roman"/>
          <w:sz w:val="20"/>
          <w:u w:val="single"/>
        </w:rPr>
        <w:t>Representative</w:t>
      </w:r>
      <w:r>
        <w:rPr>
          <w:rFonts w:ascii="Times New Roman" w:hAnsi="Times New Roman"/>
          <w:sz w:val="20"/>
        </w:rPr>
        <w:t xml:space="preserve">” means, with respect to any Person, directors, officers, employees, agents, co-investors, advisors, potential investors, underwriters, rating agencies, permitted assignees, sources of financing and trustees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Requisite Purchasers</w:t>
      </w:r>
      <w:r>
        <w:rPr>
          <w:rFonts w:ascii="Times New Roman" w:hAnsi="Times New Roman"/>
          <w:sz w:val="20"/>
        </w:rPr>
        <w:t xml:space="preserve">” means one or more Purchasers having or holding Notes with an outstanding Principal Amount representing more than fifty percent (50%) of the aggregate outstanding Principal Amount owing under the Notes held by all Purchasers. </w:t>
      </w:r>
    </w:p>
    <w:p>
      <w:pPr>
        <w:pStyle w:val="TextBody"/>
        <w:bidi w:val="0"/>
        <w:spacing w:before="240" w:after="0"/>
        <w:jc w:val="both"/>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both"/>
        <w:rPr/>
      </w:pPr>
      <w:r>
        <w:rPr/>
        <w:t>“</w:t>
      </w:r>
      <w:r>
        <w:rPr>
          <w:rFonts w:ascii="Times New Roman" w:hAnsi="Times New Roman"/>
          <w:sz w:val="20"/>
          <w:u w:val="single"/>
        </w:rPr>
        <w:t>Restricted Payment</w:t>
      </w:r>
      <w:r>
        <w:rPr>
          <w:rFonts w:ascii="Times New Roman" w:hAnsi="Times New Roman"/>
          <w:sz w:val="20"/>
        </w:rPr>
        <w:t xml:space="preserve">” means any (i) dividend or other distribution (whether in cash, securities or other property) with respect to any Equity Interests of any Issuer, (ii) any payment (whether in cash, securities or other property), including any sinking fund or similar deposit, on account of the purchase, redemption, retirement, defeasance, acquisition, cancellation or termination of any such Equity Interests or any other Person’s Equity Interests by the Issuers, RDIP or TABI, or on account of any return of capital to the holders of any Equity Interests of the Issuers, or (iii) any voluntary or optional payment or prepayment of principal of, premium, if any, or redemption, purchase, retirement, defeasance (including in substance or legal defeasance), sinking fund or similar payment or any payment in cash by any Issuer, RDIP or TABI with respect to, any Indebtedness, or any option, warrant or other right to acquire any such dividend or other distribution or payment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above. </w:t>
      </w:r>
    </w:p>
    <w:p>
      <w:pPr>
        <w:pStyle w:val="TextBody"/>
        <w:bidi w:val="0"/>
        <w:spacing w:before="240" w:after="0"/>
        <w:jc w:val="both"/>
        <w:rPr/>
      </w:pPr>
      <w:r>
        <w:rPr/>
        <w:t>“</w:t>
      </w:r>
      <w:r>
        <w:rPr>
          <w:rFonts w:ascii="Times New Roman" w:hAnsi="Times New Roman"/>
          <w:sz w:val="20"/>
          <w:u w:val="single"/>
        </w:rPr>
        <w:t>Safety Notice</w:t>
      </w:r>
      <w:r>
        <w:rPr>
          <w:rFonts w:ascii="Times New Roman" w:hAnsi="Times New Roman"/>
          <w:sz w:val="20"/>
        </w:rPr>
        <w:t xml:space="preserve">” means any recalls, field notifications, field alert reports, market withdrawals, warnings, “dear health care provider” letters, investigator notices, safety alerts, or any other notices of action issued or instigated by the Issuers or any of its Affiliates, the Collaboration Partner or any of its Affiliates, any manufacturer of the Licensed Products or any Governmental Authority relating to an alleged lack of safety or regulatory compliance of the Licensed Products. </w:t>
      </w:r>
    </w:p>
    <w:p>
      <w:pPr>
        <w:pStyle w:val="TextBody"/>
        <w:bidi w:val="0"/>
        <w:spacing w:before="240" w:after="0"/>
        <w:jc w:val="both"/>
        <w:rPr/>
      </w:pPr>
      <w:r>
        <w:rPr/>
        <w:t>“</w:t>
      </w:r>
      <w:r>
        <w:rPr>
          <w:rFonts w:ascii="Times New Roman" w:hAnsi="Times New Roman"/>
          <w:sz w:val="20"/>
          <w:u w:val="single"/>
        </w:rPr>
        <w:t>Sanction</w:t>
      </w:r>
      <w:r>
        <w:rPr>
          <w:rFonts w:ascii="Times New Roman" w:hAnsi="Times New Roman"/>
          <w:sz w:val="20"/>
        </w:rPr>
        <w:t xml:space="preserve">” means any international economic or financial sanction or trade embargo imposed, administered or enforced from time to time by the United States Government (including the U.S. Department of State and OFAC), the United Nations Security Council, the European Union or its Member States, the United Kingdom (including His Majesty’s Treasury), Canada (including the Government of Canada and any applicable Canadian Governmental Authority) or any other applicable sanctions authority with jurisdiction over the Transactions or any of the parties to the Transactions. </w:t>
      </w:r>
    </w:p>
    <w:p>
      <w:pPr>
        <w:pStyle w:val="TextBody"/>
        <w:bidi w:val="0"/>
        <w:spacing w:before="240" w:after="0"/>
        <w:jc w:val="both"/>
        <w:rPr/>
      </w:pPr>
      <w:r>
        <w:rPr/>
        <w:t>“</w:t>
      </w:r>
      <w:r>
        <w:rPr>
          <w:rFonts w:ascii="Times New Roman" w:hAnsi="Times New Roman"/>
          <w:sz w:val="20"/>
          <w:u w:val="single"/>
        </w:rPr>
        <w:t>Sanctioned Person</w:t>
      </w:r>
      <w:r>
        <w:rPr>
          <w:rFonts w:ascii="Times New Roman" w:hAnsi="Times New Roman"/>
          <w:sz w:val="20"/>
        </w:rPr>
        <w:t xml:space="preserve">” means, at any time (i) any Person listed in any Sanctions-related list, or other public announcement, of designated Persons maintained or published by the United States Government (including the U.S. Department of the Treasury’s Office of Foreign Assets Control, the U.S. Department of State and OFAC), the United Nations Security Council, the Global Affairs Canada, the European Union or its Member States, the government of the United Kingdom (including His Majesty’s Treasury), or any other applicable sanctions authority with jurisdiction over the Transactions or any of the parties to the Transactions, (ii) any Person located, organized, incorporated or resident in a Designated Jurisdiction or (iii) any Person fifty percent (50%) or more owned or controlled, directly or indirectly, by any such Person or Persons described in the foregoing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Scheduled Maturity Date</w:t>
      </w:r>
      <w:r>
        <w:rPr>
          <w:rFonts w:ascii="Times New Roman" w:hAnsi="Times New Roman"/>
          <w:sz w:val="20"/>
        </w:rPr>
        <w:t xml:space="preserve">” means December 31, 2036. </w:t>
      </w:r>
    </w:p>
    <w:p>
      <w:pPr>
        <w:pStyle w:val="TextBody"/>
        <w:bidi w:val="0"/>
        <w:spacing w:before="240" w:after="0"/>
        <w:jc w:val="both"/>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both"/>
        <w:rPr/>
      </w:pPr>
      <w:r>
        <w:rPr/>
        <w:t>“</w:t>
      </w:r>
      <w:r>
        <w:rPr>
          <w:rFonts w:ascii="Times New Roman" w:hAnsi="Times New Roman"/>
          <w:sz w:val="20"/>
          <w:u w:val="single"/>
        </w:rPr>
        <w:t>SEC Reports</w:t>
      </w:r>
      <w:r>
        <w:rPr>
          <w:rFonts w:ascii="Times New Roman" w:hAnsi="Times New Roman"/>
          <w:sz w:val="20"/>
        </w:rPr>
        <w:t xml:space="preserve">” has the meaning set forth in </w:t>
      </w:r>
      <w:r>
        <w:rPr>
          <w:rFonts w:ascii="Times New Roman" w:hAnsi="Times New Roman"/>
          <w:sz w:val="20"/>
          <w:u w:val="single"/>
        </w:rPr>
        <w:t>Section 6.21(b)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Secured Parties</w:t>
      </w:r>
      <w:r>
        <w:rPr>
          <w:rFonts w:ascii="Times New Roman" w:hAnsi="Times New Roman"/>
          <w:sz w:val="20"/>
        </w:rPr>
        <w:t xml:space="preserve">” means, collectively, the Purchasers, the Agent and each Indemnitee and shall include, without limitation, any former Purchaser, the Agent or Indemnitee to the extent that any Obligations owing to such Person were incurred while such Person was Agent, a Purchaser and/or an Indemnitee and such Obligations have not been paid and satisfied in full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Securities Act</w:t>
      </w:r>
      <w:r>
        <w:rPr>
          <w:rFonts w:ascii="Times New Roman" w:hAnsi="Times New Roman"/>
          <w:sz w:val="20"/>
        </w:rPr>
        <w:t xml:space="preserve">” means the Securities Act of 1933, and the rules and regulations promulgated thereunder. </w:t>
      </w:r>
    </w:p>
    <w:p>
      <w:pPr>
        <w:pStyle w:val="TextBody"/>
        <w:bidi w:val="0"/>
        <w:spacing w:before="240" w:after="0"/>
        <w:jc w:val="both"/>
        <w:rPr/>
      </w:pPr>
      <w:r>
        <w:rPr/>
        <w:t>“</w:t>
      </w:r>
      <w:r>
        <w:rPr>
          <w:rFonts w:ascii="Times New Roman" w:hAnsi="Times New Roman"/>
          <w:sz w:val="20"/>
          <w:u w:val="single"/>
        </w:rPr>
        <w:t>Seller</w:t>
      </w:r>
      <w:r>
        <w:rPr>
          <w:rFonts w:ascii="Times New Roman" w:hAnsi="Times New Roman"/>
          <w:sz w:val="20"/>
        </w:rPr>
        <w:t xml:space="preserve">” means TBIL, in its capacity as “seller” under the Contribution, Purchase and Sale Agreement. </w:t>
      </w:r>
    </w:p>
    <w:p>
      <w:pPr>
        <w:pStyle w:val="TextBody"/>
        <w:bidi w:val="0"/>
        <w:spacing w:before="240" w:after="0"/>
        <w:jc w:val="both"/>
        <w:rPr/>
      </w:pPr>
      <w:r>
        <w:rPr/>
        <w:t>“</w:t>
      </w:r>
      <w:r>
        <w:rPr>
          <w:rFonts w:ascii="Times New Roman" w:hAnsi="Times New Roman"/>
          <w:sz w:val="20"/>
          <w:u w:val="single"/>
        </w:rPr>
        <w:t>Senior Officer</w:t>
      </w:r>
      <w:r>
        <w:rPr>
          <w:rFonts w:ascii="Times New Roman" w:hAnsi="Times New Roman"/>
          <w:sz w:val="20"/>
        </w:rPr>
        <w:t xml:space="preserve">” means, as applied to any Person, any individual holding the position of chairman of the board (if an officer), director, chief executive officer, president, chief operating officer, chief legal officer, general counsel or one of its vice presidents (or the equivalent thereof), and such Person’s chief financial officer or treasurer. For any Person that is managed or controlled by a manager, trustee, agent or other entity (each, a “Manager”), such Person’s Senior Officers shall include any individual that is a Senior Officer of such Manager. </w:t>
      </w:r>
    </w:p>
    <w:p>
      <w:pPr>
        <w:pStyle w:val="TextBody"/>
        <w:bidi w:val="0"/>
        <w:spacing w:before="240" w:after="0"/>
        <w:jc w:val="both"/>
        <w:rPr/>
      </w:pPr>
      <w:r>
        <w:rPr/>
        <w:t>“</w:t>
      </w:r>
      <w:r>
        <w:rPr>
          <w:rFonts w:ascii="Times New Roman" w:hAnsi="Times New Roman"/>
          <w:sz w:val="20"/>
          <w:u w:val="single"/>
        </w:rPr>
        <w:t>Servicer</w:t>
      </w:r>
      <w:r>
        <w:rPr>
          <w:rFonts w:ascii="Times New Roman" w:hAnsi="Times New Roman"/>
          <w:sz w:val="20"/>
        </w:rPr>
        <w:t xml:space="preserve">” means the “Provider” as set forth in the Servicing Agreement. </w:t>
      </w:r>
    </w:p>
    <w:p>
      <w:pPr>
        <w:pStyle w:val="TextBody"/>
        <w:bidi w:val="0"/>
        <w:spacing w:before="240" w:after="0"/>
        <w:jc w:val="both"/>
        <w:rPr/>
      </w:pPr>
      <w:r>
        <w:rPr/>
        <w:t>“</w:t>
      </w:r>
      <w:r>
        <w:rPr>
          <w:rFonts w:ascii="Times New Roman" w:hAnsi="Times New Roman"/>
          <w:sz w:val="20"/>
          <w:u w:val="single"/>
        </w:rPr>
        <w:t>Servicing Agreement</w:t>
      </w:r>
      <w:r>
        <w:rPr>
          <w:rFonts w:ascii="Times New Roman" w:hAnsi="Times New Roman"/>
          <w:sz w:val="20"/>
        </w:rPr>
        <w:t xml:space="preserve">” means that certain Servicing Agreement dated as of the Closing Date, by and among DST Issuer and the Servicer. </w:t>
      </w:r>
    </w:p>
    <w:p>
      <w:pPr>
        <w:pStyle w:val="TextBody"/>
        <w:bidi w:val="0"/>
        <w:spacing w:before="240" w:after="0"/>
        <w:jc w:val="both"/>
        <w:rPr/>
      </w:pPr>
      <w:r>
        <w:rPr/>
        <w:t>“</w:t>
      </w:r>
      <w:r>
        <w:rPr>
          <w:rFonts w:ascii="Times New Roman" w:hAnsi="Times New Roman"/>
          <w:sz w:val="20"/>
          <w:u w:val="single"/>
        </w:rPr>
        <w:t>Servicing Agreement Event of Default</w:t>
      </w:r>
      <w:r>
        <w:rPr>
          <w:rFonts w:ascii="Times New Roman" w:hAnsi="Times New Roman"/>
          <w:sz w:val="20"/>
        </w:rPr>
        <w:t xml:space="preserve">” means any continuing “Event of Default” (as defined in the Servicing Agreement). </w:t>
      </w:r>
    </w:p>
    <w:p>
      <w:pPr>
        <w:pStyle w:val="TextBody"/>
        <w:bidi w:val="0"/>
        <w:spacing w:before="240" w:after="0"/>
        <w:jc w:val="both"/>
        <w:rPr/>
      </w:pPr>
      <w:r>
        <w:rPr/>
        <w:t>“</w:t>
      </w:r>
      <w:r>
        <w:rPr>
          <w:rFonts w:ascii="Times New Roman" w:hAnsi="Times New Roman"/>
          <w:sz w:val="20"/>
          <w:u w:val="single"/>
        </w:rPr>
        <w:t>Servicing Fee</w:t>
      </w:r>
      <w:r>
        <w:rPr>
          <w:rFonts w:ascii="Times New Roman" w:hAnsi="Times New Roman"/>
          <w:sz w:val="20"/>
        </w:rPr>
        <w:t xml:space="preserve">” means the amount payable by DST Issuer to the Servicer under Article IV of the Servicing Agreement. </w:t>
      </w:r>
    </w:p>
    <w:p>
      <w:pPr>
        <w:pStyle w:val="TextBody"/>
        <w:bidi w:val="0"/>
        <w:spacing w:before="240" w:after="0"/>
        <w:jc w:val="both"/>
        <w:rPr/>
      </w:pPr>
      <w:r>
        <w:rPr/>
        <w:t>“</w:t>
      </w:r>
      <w:r>
        <w:rPr>
          <w:rFonts w:ascii="Times New Roman" w:hAnsi="Times New Roman"/>
          <w:sz w:val="20"/>
          <w:u w:val="single"/>
        </w:rPr>
        <w:t>Set-Off</w:t>
      </w:r>
      <w:r>
        <w:rPr>
          <w:rFonts w:ascii="Times New Roman" w:hAnsi="Times New Roman"/>
          <w:sz w:val="20"/>
        </w:rPr>
        <w:t xml:space="preserve">” means any right of set-off, rescission, counterclaim, reduction, deduction or defense. </w:t>
      </w:r>
    </w:p>
    <w:p>
      <w:pPr>
        <w:pStyle w:val="TextBody"/>
        <w:bidi w:val="0"/>
        <w:spacing w:before="240" w:after="0"/>
        <w:jc w:val="both"/>
        <w:rPr/>
      </w:pPr>
      <w:r>
        <w:rPr/>
        <w:t>“</w:t>
      </w:r>
      <w:r>
        <w:rPr>
          <w:rFonts w:ascii="Times New Roman" w:hAnsi="Times New Roman"/>
          <w:sz w:val="20"/>
          <w:u w:val="single"/>
        </w:rPr>
        <w:t>Shared Expenses</w:t>
      </w:r>
      <w:r>
        <w:rPr>
          <w:rFonts w:ascii="Times New Roman" w:hAnsi="Times New Roman"/>
          <w:sz w:val="20"/>
        </w:rPr>
        <w:t xml:space="preserve">” has the meaning ascribed to such term in the Collaboration Agreement, as in effect on the date hereof. </w:t>
      </w:r>
    </w:p>
    <w:p>
      <w:pPr>
        <w:pStyle w:val="TextBody"/>
        <w:bidi w:val="0"/>
        <w:spacing w:before="240" w:after="0"/>
        <w:jc w:val="both"/>
        <w:rPr/>
      </w:pPr>
      <w:r>
        <w:rPr/>
        <w:t>“</w:t>
      </w:r>
      <w:r>
        <w:rPr>
          <w:rFonts w:ascii="Times New Roman" w:hAnsi="Times New Roman"/>
          <w:sz w:val="20"/>
          <w:u w:val="single"/>
        </w:rPr>
        <w:t>Solvent</w:t>
      </w:r>
      <w:r>
        <w:rPr>
          <w:rFonts w:ascii="Times New Roman" w:hAnsi="Times New Roman"/>
          <w:sz w:val="20"/>
        </w:rPr>
        <w:t xml:space="preserve">” means, with respect to any Person, that as of the date of determination, that (i) the sum of such Person’s debts (including contingent liabilities) does not exceed the fair value of such Person’s assets, (ii) the present fair saleable value of the assets of such Person is not less than the amount that will be required to pay the probable liabilities of such Person on its debts as they become absolute and matured, (iii) the capital of such Person is not unreasonably small in relation to its business as contemplated on the Closing Date or with respect to any transaction contemplated or undertaken after the Closing Date, and (iv) such Person does not intend to incur, or believe that it will incur, debts (including current obligations and contingent liabilities) beyond its ability to pay such debts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 </w:t>
      </w:r>
    </w:p>
    <w:p>
      <w:pPr>
        <w:pStyle w:val="TextBody"/>
        <w:bidi w:val="0"/>
        <w:spacing w:before="240" w:after="0"/>
        <w:jc w:val="both"/>
        <w:rPr/>
      </w:pPr>
      <w:r>
        <w:rPr/>
        <w:t>“</w:t>
      </w:r>
      <w:r>
        <w:rPr>
          <w:rFonts w:ascii="Times New Roman" w:hAnsi="Times New Roman"/>
          <w:sz w:val="20"/>
          <w:u w:val="single"/>
        </w:rPr>
        <w:t>Special Purpose Entity</w:t>
      </w:r>
      <w:r>
        <w:rPr>
          <w:rFonts w:ascii="Times New Roman" w:hAnsi="Times New Roman"/>
          <w:sz w:val="20"/>
        </w:rPr>
        <w:t xml:space="preserve">” means a statutory trust or limited liability company which, at all times since its formation and thereafter, has been and shall be (i) organized solely for the purposes set forth in </w:t>
      </w:r>
      <w:r>
        <w:rPr>
          <w:rFonts w:ascii="Times New Roman" w:hAnsi="Times New Roman"/>
          <w:sz w:val="20"/>
          <w:u w:val="single"/>
        </w:rPr>
        <w:t>Section 8.01(a)</w:t>
      </w:r>
      <w:r>
        <w:rPr>
          <w:rFonts w:ascii="Times New Roman" w:hAnsi="Times New Roman"/>
          <w:sz w:val="20"/>
        </w:rPr>
        <w:t xml:space="preserve"> and (ii) operated in accordance with </w:t>
      </w:r>
      <w:r>
        <w:rPr>
          <w:rFonts w:ascii="Times New Roman" w:hAnsi="Times New Roman"/>
          <w:sz w:val="20"/>
          <w:u w:val="single"/>
        </w:rPr>
        <w:t>Section 8.01(b)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Specified Acquisition Agreement Representations</w:t>
      </w:r>
      <w:r>
        <w:rPr>
          <w:rFonts w:ascii="Times New Roman" w:hAnsi="Times New Roman"/>
          <w:sz w:val="20"/>
        </w:rPr>
        <w:t xml:space="preserve">” means those representations and warranties made by TBPH and its Subsidiaries in the Acquisition Agreement as are material to the interests of Purchasers (in their capacities as such), but only to the extent that Parent or Merger Sub 1 has the right (taking into account any applicable cure provisions) pursuant to the Acquisition Agreement to terminate Parent’s or Merger Sub 1’s obligations under the Acquisition Agreement or to decline to consummate the Acquisition as a result of a breach of one or more of such representations in the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Specified Representations</w:t>
      </w:r>
      <w:r>
        <w:rPr>
          <w:rFonts w:ascii="Times New Roman" w:hAnsi="Times New Roman"/>
          <w:sz w:val="20"/>
        </w:rPr>
        <w:t xml:space="preserve">” means the representations set forth in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6.02(a)(iii)</w:t>
      </w:r>
      <w:r>
        <w:rPr>
          <w:rFonts w:ascii="Times New Roman" w:hAnsi="Times New Roman"/>
          <w:sz w:val="20"/>
        </w:rPr>
        <w:t xml:space="preserve">, </w:t>
      </w:r>
      <w:r>
        <w:rPr>
          <w:rFonts w:ascii="Times New Roman" w:hAnsi="Times New Roman"/>
          <w:sz w:val="20"/>
          <w:u w:val="single"/>
        </w:rPr>
        <w:t>6.02(b)</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w:t>
      </w:r>
      <w:r>
        <w:rPr>
          <w:rFonts w:ascii="Times New Roman" w:hAnsi="Times New Roman"/>
          <w:sz w:val="20"/>
          <w:u w:val="single"/>
        </w:rPr>
        <w:t>6.04, 6.05(a), 6.09</w:t>
      </w:r>
      <w:r>
        <w:rPr>
          <w:rFonts w:ascii="Times New Roman" w:hAnsi="Times New Roman"/>
          <w:sz w:val="20"/>
        </w:rPr>
        <w:t xml:space="preserve">, </w:t>
      </w:r>
      <w:r>
        <w:rPr>
          <w:rFonts w:ascii="Times New Roman" w:hAnsi="Times New Roman"/>
          <w:sz w:val="20"/>
          <w:u w:val="single"/>
        </w:rPr>
        <w:t>6.16</w:t>
      </w:r>
      <w:r>
        <w:rPr>
          <w:rFonts w:ascii="Times New Roman" w:hAnsi="Times New Roman"/>
          <w:sz w:val="20"/>
        </w:rPr>
        <w:t xml:space="preserve">, </w:t>
      </w:r>
      <w:r>
        <w:rPr>
          <w:rFonts w:ascii="Times New Roman" w:hAnsi="Times New Roman"/>
          <w:sz w:val="20"/>
          <w:u w:val="single"/>
        </w:rPr>
        <w:t>6.22</w:t>
      </w:r>
      <w:r>
        <w:rPr>
          <w:rFonts w:ascii="Times New Roman" w:hAnsi="Times New Roman"/>
          <w:sz w:val="20"/>
        </w:rPr>
        <w:t xml:space="preserve">, or </w:t>
      </w:r>
      <w:r>
        <w:rPr>
          <w:rFonts w:ascii="Times New Roman" w:hAnsi="Times New Roman"/>
          <w:sz w:val="20"/>
          <w:u w:val="single"/>
        </w:rPr>
        <w:t>6.28</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Subordinated Intercompany Note</w:t>
      </w:r>
      <w:r>
        <w:rPr>
          <w:rFonts w:ascii="Times New Roman" w:hAnsi="Times New Roman"/>
          <w:sz w:val="20"/>
        </w:rPr>
        <w:t xml:space="preserve">” means any intercompany note evidencing Indebtedness permitted under </w:t>
      </w:r>
      <w:r>
        <w:rPr>
          <w:rFonts w:ascii="Times New Roman" w:hAnsi="Times New Roman"/>
          <w:sz w:val="20"/>
          <w:u w:val="single"/>
        </w:rPr>
        <w:t>Section 8.03(iii)(G)</w:t>
      </w:r>
      <w:r>
        <w:rPr>
          <w:rFonts w:ascii="Times New Roman" w:hAnsi="Times New Roman"/>
          <w:sz w:val="20"/>
        </w:rPr>
        <w:t xml:space="preserve"> and substantially in the form of </w:t>
      </w:r>
      <w:r>
        <w:rPr>
          <w:rFonts w:ascii="Times New Roman" w:hAnsi="Times New Roman"/>
          <w:sz w:val="20"/>
          <w:u w:val="single"/>
        </w:rPr>
        <w:t>Exhibit G</w:t>
      </w:r>
      <w:r>
        <w:rPr>
          <w:rFonts w:ascii="Times New Roman" w:hAnsi="Times New Roman"/>
          <w:sz w:val="20"/>
        </w:rPr>
        <w:t xml:space="preserve">, or such other form as shall be approved by the Requisite Purchasers. </w:t>
      </w:r>
    </w:p>
    <w:p>
      <w:pPr>
        <w:pStyle w:val="TextBody"/>
        <w:bidi w:val="0"/>
        <w:spacing w:before="240" w:after="0"/>
        <w:jc w:val="both"/>
        <w:rPr/>
      </w:pPr>
      <w:r>
        <w:rPr/>
        <w:t>“</w:t>
      </w:r>
      <w:r>
        <w:rPr>
          <w:rFonts w:ascii="Times New Roman" w:hAnsi="Times New Roman"/>
          <w:sz w:val="20"/>
          <w:u w:val="single"/>
        </w:rPr>
        <w:t>Subsidiary</w:t>
      </w:r>
      <w:r>
        <w:rPr>
          <w:rFonts w:ascii="Times New Roman" w:hAnsi="Times New Roman"/>
          <w:sz w:val="20"/>
        </w:rPr>
        <w:t xml:space="preserve">” means, with respect to any Person, at any time, any corporation, partnership, joint venture, limited liability company or other business entity (each, an “entity”) of which more than fifty percent (50%) of the outstanding voting stock or other Equity Interests entitled ordinarily to vote in the election of the directors or other governing body (however designated) is at the time beneficially owned or controlled directly or indirectly by such Person, by one or more such entities or by such Person and one or more such entities. </w:t>
      </w:r>
    </w:p>
    <w:p>
      <w:pPr>
        <w:pStyle w:val="TextBody"/>
        <w:bidi w:val="0"/>
        <w:spacing w:before="240" w:after="0"/>
        <w:jc w:val="both"/>
        <w:rPr/>
      </w:pPr>
      <w:r>
        <w:rPr/>
        <w:t>“</w:t>
      </w:r>
      <w:r>
        <w:rPr>
          <w:rFonts w:ascii="Times New Roman" w:hAnsi="Times New Roman"/>
          <w:sz w:val="20"/>
          <w:u w:val="single"/>
        </w:rPr>
        <w:t>Successor Agent</w:t>
      </w:r>
      <w:r>
        <w:rPr>
          <w:rFonts w:ascii="Times New Roman" w:hAnsi="Times New Roman"/>
          <w:sz w:val="20"/>
        </w:rPr>
        <w:t xml:space="preserve">” has the meaning set forth in </w:t>
      </w:r>
      <w:r>
        <w:rPr>
          <w:rFonts w:ascii="Times New Roman" w:hAnsi="Times New Roman"/>
          <w:sz w:val="20"/>
          <w:u w:val="single"/>
        </w:rPr>
        <w:t>Section 12.08(a)</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Supplemental Application</w:t>
      </w:r>
      <w:r>
        <w:rPr>
          <w:rFonts w:ascii="Times New Roman" w:hAnsi="Times New Roman"/>
          <w:sz w:val="20"/>
        </w:rPr>
        <w:t xml:space="preserve">” means an application submitted to an approved New Drug Application that proposes to make one or more changes to the authorized product. </w:t>
      </w:r>
    </w:p>
    <w:p>
      <w:pPr>
        <w:pStyle w:val="TextBody"/>
        <w:bidi w:val="0"/>
        <w:spacing w:before="240" w:after="0"/>
        <w:jc w:val="both"/>
        <w:rPr/>
      </w:pPr>
      <w:r>
        <w:rPr/>
        <w:t>“</w:t>
      </w:r>
      <w:r>
        <w:rPr>
          <w:rFonts w:ascii="Times New Roman" w:hAnsi="Times New Roman"/>
          <w:sz w:val="20"/>
          <w:u w:val="single"/>
        </w:rPr>
        <w:t>TABI</w:t>
      </w:r>
      <w:r>
        <w:rPr>
          <w:rFonts w:ascii="Times New Roman" w:hAnsi="Times New Roman"/>
          <w:sz w:val="20"/>
        </w:rPr>
        <w:t xml:space="preserve">” means Theravance Biopharma Antibiotics IP, LLC, a Delaware limited liability company. </w:t>
      </w:r>
    </w:p>
    <w:p>
      <w:pPr>
        <w:pStyle w:val="TextBody"/>
        <w:bidi w:val="0"/>
        <w:spacing w:before="240" w:after="0"/>
        <w:jc w:val="both"/>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both"/>
        <w:rPr/>
      </w:pPr>
      <w:r>
        <w:rPr/>
        <w:t>“</w:t>
      </w:r>
      <w:r>
        <w:rPr>
          <w:rFonts w:ascii="Times New Roman" w:hAnsi="Times New Roman"/>
          <w:sz w:val="20"/>
          <w:u w:val="single"/>
        </w:rPr>
        <w:t>TBIL</w:t>
      </w:r>
      <w:r>
        <w:rPr>
          <w:rFonts w:ascii="Times New Roman" w:hAnsi="Times New Roman"/>
          <w:sz w:val="20"/>
        </w:rPr>
        <w:t xml:space="preserve">” means Theravance Biopharma Ireland Limited, a private company limited by shares incorporated in Ireland with company registration number 560699 and having its registered office at 10 Earlsfort Terrace, Dublin 2, Ireland. </w:t>
      </w:r>
    </w:p>
    <w:p>
      <w:pPr>
        <w:pStyle w:val="TextBody"/>
        <w:bidi w:val="0"/>
        <w:spacing w:before="240" w:after="0"/>
        <w:jc w:val="both"/>
        <w:rPr/>
      </w:pPr>
      <w:r>
        <w:rPr/>
        <w:t>“</w:t>
      </w:r>
      <w:r>
        <w:rPr>
          <w:rFonts w:ascii="Times New Roman" w:hAnsi="Times New Roman"/>
          <w:sz w:val="20"/>
          <w:u w:val="single"/>
        </w:rPr>
        <w:t>TBPH</w:t>
      </w:r>
      <w:r>
        <w:rPr>
          <w:rFonts w:ascii="Times New Roman" w:hAnsi="Times New Roman"/>
          <w:sz w:val="20"/>
        </w:rPr>
        <w:t xml:space="preserve">” means Theravance Biopharma, Inc. an exempted company with limited liability incorporated under the Laws of the Cayman Islands. </w:t>
      </w:r>
    </w:p>
    <w:p>
      <w:pPr>
        <w:pStyle w:val="TextBody"/>
        <w:bidi w:val="0"/>
        <w:spacing w:before="240" w:after="0"/>
        <w:jc w:val="both"/>
        <w:rPr/>
      </w:pPr>
      <w:r>
        <w:rPr/>
        <w:t>“</w:t>
      </w:r>
      <w:r>
        <w:rPr>
          <w:rFonts w:ascii="Times New Roman" w:hAnsi="Times New Roman"/>
          <w:sz w:val="20"/>
          <w:u w:val="single"/>
        </w:rPr>
        <w:t>TBUH</w:t>
      </w:r>
      <w:r>
        <w:rPr>
          <w:rFonts w:ascii="Times New Roman" w:hAnsi="Times New Roman"/>
          <w:sz w:val="20"/>
        </w:rPr>
        <w:t xml:space="preserve">” means Theravance Biopharma US Holdings, Inc., a Delaware corporation. </w:t>
      </w:r>
    </w:p>
    <w:p>
      <w:pPr>
        <w:pStyle w:val="TextBody"/>
        <w:bidi w:val="0"/>
        <w:spacing w:before="240" w:after="0"/>
        <w:jc w:val="both"/>
        <w:rPr/>
      </w:pPr>
      <w:r>
        <w:rPr/>
        <w:t>“</w:t>
      </w:r>
      <w:r>
        <w:rPr>
          <w:rFonts w:ascii="Times New Roman" w:hAnsi="Times New Roman"/>
          <w:sz w:val="20"/>
          <w:u w:val="single"/>
        </w:rPr>
        <w:t>TBUS</w:t>
      </w:r>
      <w:r>
        <w:rPr>
          <w:rFonts w:ascii="Times New Roman" w:hAnsi="Times New Roman"/>
          <w:sz w:val="20"/>
        </w:rPr>
        <w:t xml:space="preserve">” means Theravance Biopharma US, L.L.C., a Delaware limited liability company. </w:t>
      </w:r>
    </w:p>
    <w:p>
      <w:pPr>
        <w:pStyle w:val="TextBody"/>
        <w:bidi w:val="0"/>
        <w:spacing w:before="240" w:after="0"/>
        <w:jc w:val="both"/>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both"/>
        <w:rPr/>
      </w:pPr>
      <w:r>
        <w:rPr/>
        <w:t>“</w:t>
      </w:r>
      <w:r>
        <w:rPr>
          <w:rFonts w:ascii="Times New Roman" w:hAnsi="Times New Roman"/>
          <w:sz w:val="20"/>
          <w:u w:val="single"/>
        </w:rPr>
        <w:t>Theravance Trademark</w:t>
      </w:r>
      <w:r>
        <w:rPr>
          <w:rFonts w:ascii="Times New Roman" w:hAnsi="Times New Roman"/>
          <w:sz w:val="20"/>
        </w:rPr>
        <w:t xml:space="preserve">” means any Trademark that (a) incorporates, consists of, or uses the word “Theravance,” (b) is a logo used in connection with any Trademark referenced in clause (a) or otherwise used to identify Theravance Biopharma, Inc., or (c) is any other Trademark owned, co-owned, licensed by, or issued to or thereafter acquired by a Note Party or any of its Affiliates that is not used as the brand of or to specifically identify a Licensed Product. </w:t>
      </w:r>
    </w:p>
    <w:p>
      <w:pPr>
        <w:pStyle w:val="TextBody"/>
        <w:bidi w:val="0"/>
        <w:spacing w:before="240" w:after="0"/>
        <w:jc w:val="both"/>
        <w:rPr/>
      </w:pPr>
      <w:r>
        <w:rPr/>
        <w:t>“</w:t>
      </w:r>
      <w:r>
        <w:rPr>
          <w:rFonts w:ascii="Times New Roman" w:hAnsi="Times New Roman"/>
          <w:sz w:val="20"/>
          <w:u w:val="single"/>
        </w:rPr>
        <w:t>Third Party</w:t>
      </w:r>
      <w:r>
        <w:rPr>
          <w:rFonts w:ascii="Times New Roman" w:hAnsi="Times New Roman"/>
          <w:sz w:val="20"/>
        </w:rPr>
        <w:t xml:space="preserve">” means any Person other than the a Transaction Party or a member, partner, shareholder, principal or Affiliates of a Transaction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Third Party Payor</w:t>
      </w:r>
      <w:r>
        <w:rPr>
          <w:rFonts w:ascii="Times New Roman" w:hAnsi="Times New Roman"/>
          <w:sz w:val="20"/>
        </w:rPr>
        <w:t xml:space="preserve">” means any applicable governmental payor, administrative contractor, private insurers, managed care plans, and any other Person which presently or in the future maintains Third Party Payor Programs. </w:t>
      </w:r>
    </w:p>
    <w:p>
      <w:pPr>
        <w:pStyle w:val="TextBody"/>
        <w:bidi w:val="0"/>
        <w:spacing w:before="240" w:after="0"/>
        <w:jc w:val="both"/>
        <w:rPr/>
      </w:pPr>
      <w:r>
        <w:rPr/>
        <w:t>“</w:t>
      </w:r>
      <w:r>
        <w:rPr>
          <w:rFonts w:ascii="Times New Roman" w:hAnsi="Times New Roman"/>
          <w:sz w:val="20"/>
          <w:u w:val="single"/>
        </w:rPr>
        <w:t>Third Party Payor Programs</w:t>
      </w:r>
      <w:r>
        <w:rPr>
          <w:rFonts w:ascii="Times New Roman" w:hAnsi="Times New Roman"/>
          <w:sz w:val="20"/>
        </w:rPr>
        <w:t xml:space="preserve">” means all payment or reimbursement programs, sponsored or maintained by any Third Party Payor, in which a Note Party participates. </w:t>
      </w:r>
    </w:p>
    <w:p>
      <w:pPr>
        <w:pStyle w:val="TextBody"/>
        <w:bidi w:val="0"/>
        <w:spacing w:before="240" w:after="0"/>
        <w:jc w:val="both"/>
        <w:rPr/>
      </w:pPr>
      <w:r>
        <w:rPr/>
        <w:t>“</w:t>
      </w:r>
      <w:r>
        <w:rPr>
          <w:rFonts w:ascii="Times New Roman" w:hAnsi="Times New Roman"/>
          <w:sz w:val="20"/>
          <w:u w:val="single"/>
        </w:rPr>
        <w:t>Trademarks</w:t>
      </w:r>
      <w:r>
        <w:rPr>
          <w:rFonts w:ascii="Times New Roman" w:hAnsi="Times New Roman"/>
          <w:sz w:val="20"/>
        </w:rPr>
        <w:t xml:space="preserve">” means, collectively, all trademarks, service marks, corporate names, company names, business names, trade names, trade dress, logos, Internet domain names, other source or business identifiers, designs and general intangibles of like nature, and all registrations and applications filed in connection therewith, together with any and all renewals thereof. </w:t>
      </w:r>
    </w:p>
    <w:p>
      <w:pPr>
        <w:pStyle w:val="TextBody"/>
        <w:bidi w:val="0"/>
        <w:spacing w:before="240" w:after="0"/>
        <w:jc w:val="both"/>
        <w:rPr/>
      </w:pPr>
      <w:r>
        <w:rPr/>
        <w:t>“</w:t>
      </w:r>
      <w:r>
        <w:rPr>
          <w:rFonts w:ascii="Times New Roman" w:hAnsi="Times New Roman"/>
          <w:sz w:val="20"/>
          <w:u w:val="single"/>
        </w:rPr>
        <w:t>Trademark Office</w:t>
      </w:r>
      <w:r>
        <w:rPr>
          <w:rFonts w:ascii="Times New Roman" w:hAnsi="Times New Roman"/>
          <w:sz w:val="20"/>
        </w:rPr>
        <w:t xml:space="preserve">” means the respective trademark office (foreign or domestic) for any Trademark. </w:t>
      </w:r>
    </w:p>
    <w:p>
      <w:pPr>
        <w:pStyle w:val="TextBody"/>
        <w:bidi w:val="0"/>
        <w:spacing w:before="240" w:after="0"/>
        <w:jc w:val="both"/>
        <w:rPr/>
      </w:pPr>
      <w:r>
        <w:rPr/>
        <w:t>“</w:t>
      </w:r>
      <w:r>
        <w:rPr>
          <w:rFonts w:ascii="Times New Roman" w:hAnsi="Times New Roman"/>
          <w:sz w:val="20"/>
          <w:u w:val="single"/>
        </w:rPr>
        <w:t>Transaction Document</w:t>
      </w:r>
      <w:r>
        <w:rPr>
          <w:rFonts w:ascii="Times New Roman" w:hAnsi="Times New Roman"/>
          <w:sz w:val="20"/>
        </w:rPr>
        <w:t xml:space="preserve">” means any Note Document and/or the Bad Acts Guaranty, as the context may require. </w:t>
      </w:r>
    </w:p>
    <w:p>
      <w:pPr>
        <w:pStyle w:val="TextBody"/>
        <w:bidi w:val="0"/>
        <w:spacing w:before="240" w:after="0"/>
        <w:jc w:val="both"/>
        <w:rPr/>
      </w:pPr>
      <w:r>
        <w:rPr/>
        <w:t>“</w:t>
      </w:r>
      <w:r>
        <w:rPr>
          <w:rFonts w:ascii="Times New Roman" w:hAnsi="Times New Roman"/>
          <w:sz w:val="20"/>
          <w:u w:val="single"/>
        </w:rPr>
        <w:t>Transaction Party</w:t>
      </w:r>
      <w:r>
        <w:rPr>
          <w:rFonts w:ascii="Times New Roman" w:hAnsi="Times New Roman"/>
          <w:sz w:val="20"/>
        </w:rPr>
        <w:t xml:space="preserve">” means any Note Party and/or Bad Acts Guarantor, as the context may require. </w:t>
      </w:r>
    </w:p>
    <w:p>
      <w:pPr>
        <w:pStyle w:val="TextBody"/>
        <w:bidi w:val="0"/>
        <w:spacing w:before="240" w:after="0"/>
        <w:jc w:val="both"/>
        <w:rPr/>
      </w:pPr>
      <w:r>
        <w:rPr/>
        <w:t>“</w:t>
      </w:r>
      <w:r>
        <w:rPr>
          <w:rFonts w:ascii="Times New Roman" w:hAnsi="Times New Roman"/>
          <w:sz w:val="20"/>
          <w:u w:val="single"/>
        </w:rPr>
        <w:t>Transactions</w:t>
      </w:r>
      <w:r>
        <w:rPr>
          <w:rFonts w:ascii="Times New Roman" w:hAnsi="Times New Roman"/>
          <w:sz w:val="20"/>
        </w:rPr>
        <w:t xml:space="preserve">” means, collectively, each transaction contemplated to occur pursuant to the Transaction Documents on or about the Closing Date, including (i) the execution and delivery of the Transaction Documents and the Notes Issuance hereunder, (ii) the transactions contemplated to occur under the Acquisition Agreement (including the Financing Reorganization), (iii) the transactions contemplated to occur under the Contribution, Purchase and Sale Agreement on the Closing Date, (iv) the opening of accounts and execution of Control Agreements contemplated under </w:t>
      </w:r>
      <w:r>
        <w:rPr>
          <w:rFonts w:ascii="Times New Roman" w:hAnsi="Times New Roman"/>
          <w:sz w:val="20"/>
          <w:u w:val="single"/>
        </w:rPr>
        <w:t>Section 3.03</w:t>
      </w:r>
      <w:r>
        <w:rPr>
          <w:rFonts w:ascii="Times New Roman" w:hAnsi="Times New Roman"/>
          <w:sz w:val="20"/>
        </w:rPr>
        <w:t xml:space="preserve">, (v) the issuance of the Instruction Letter to the Collaboration Partner, (vi) the repayment in cash and/or the cancellation and extinguishment of all intercompany indebtedness owing by TBIL to TBPH, and after giving effect thereto, the making of a loan by TBIL to TBPH, which shall be evidenced by the Notes, in each case in accordance with </w:t>
      </w:r>
      <w:r>
        <w:rPr>
          <w:rFonts w:ascii="Times New Roman" w:hAnsi="Times New Roman"/>
          <w:sz w:val="20"/>
          <w:u w:val="single"/>
        </w:rPr>
        <w:t>Section 7.06</w:t>
      </w:r>
      <w:r>
        <w:rPr>
          <w:rFonts w:ascii="Times New Roman" w:hAnsi="Times New Roman"/>
          <w:sz w:val="20"/>
        </w:rPr>
        <w:t xml:space="preserve"> and (vii) the payment of the fees, costs and expenses incurred in connection with any of the foregoing. </w:t>
      </w:r>
    </w:p>
    <w:p>
      <w:pPr>
        <w:pStyle w:val="TextBody"/>
        <w:bidi w:val="0"/>
        <w:spacing w:before="240" w:after="0"/>
        <w:jc w:val="both"/>
        <w:rPr/>
      </w:pPr>
      <w:r>
        <w:rPr/>
        <w:t>“</w:t>
      </w:r>
      <w:r>
        <w:rPr>
          <w:rFonts w:ascii="Times New Roman" w:hAnsi="Times New Roman"/>
          <w:sz w:val="20"/>
          <w:u w:val="single"/>
        </w:rPr>
        <w:t>Transferred Assets</w:t>
      </w:r>
      <w:r>
        <w:rPr>
          <w:rFonts w:ascii="Times New Roman" w:hAnsi="Times New Roman"/>
          <w:sz w:val="20"/>
        </w:rPr>
        <w:t xml:space="preserve">” means all assets, property and other rights, title and interests transferred to the DST Issuer pursuant to the Contribution, Purchase and Sale Agreement. </w:t>
      </w:r>
    </w:p>
    <w:p>
      <w:pPr>
        <w:pStyle w:val="TextBody"/>
        <w:bidi w:val="0"/>
        <w:spacing w:before="240" w:after="0"/>
        <w:jc w:val="both"/>
        <w:rPr/>
      </w:pPr>
      <w:r>
        <w:rPr/>
        <w:t>“</w:t>
      </w:r>
      <w:r>
        <w:rPr>
          <w:rFonts w:ascii="Times New Roman" w:hAnsi="Times New Roman"/>
          <w:sz w:val="20"/>
          <w:u w:val="single"/>
        </w:rPr>
        <w:t>Triggering Event</w:t>
      </w:r>
      <w:r>
        <w:rPr>
          <w:rFonts w:ascii="Times New Roman" w:hAnsi="Times New Roman"/>
          <w:sz w:val="20"/>
        </w:rPr>
        <w:t xml:space="preserve">” means the occurrence of any of the following events or circumstances prior to the Scheduled Maturity Date: (i) all or any portion of the Obligations evidenced by the Note Documents are refinanced, repaid, prepaid, reduced, replaced or modified by operation of Law or for any other reason prior to the Scheduled Maturity Date pursuant to this Agreement, including, without limitation, as a result of (A) any prepayment by or on behalf of the Parent in connection with a Change of Control not otherwise approved by Requisite Purchasers as provided herein or (B) any repayments or deemed repayments of the Notes and other Obligations evidenced by the Note Documents by acceleration of the Principal Amount of any of the Notes in accordance with </w:t>
      </w:r>
      <w:r>
        <w:rPr>
          <w:rFonts w:ascii="Times New Roman" w:hAnsi="Times New Roman"/>
          <w:sz w:val="20"/>
          <w:u w:val="single"/>
        </w:rPr>
        <w:t>Article IX</w:t>
      </w:r>
      <w:r>
        <w:rPr>
          <w:rFonts w:ascii="Times New Roman" w:hAnsi="Times New Roman"/>
          <w:sz w:val="20"/>
        </w:rPr>
        <w:t xml:space="preserve">, (ii) a Bankruptcy Event or Insolvency Proceeding with respect to any Note Party or its Subsidiaries, or any Bad Acts Guarantor, (iii) all or any portion of the Obligations evidenced by the Note Documents are satisfied as a result of a foreclosure sale, deed in lieu or by any other exercise of remedies by the Agent on behalf of the Secured Parties (including, without limitation, (A) a foreclosure or enforcement of any Lien on the Collateral pursuant to the Note Documents or (B) a sale of all or any portion of the Collateral in any proceeding under any Debtor Relief Laws) or (iv) this Agreement (or the Obligations evidenced by the Note Documents) terminates pursuant to its terms or for any other reason (other than the occurrence of Payment in Full on the Maturity Date). For the avoidance of doubt, this definition and any Note Party’s or Bad Acts Guarantor’s obligations with respect to any Triggering Event are without waiver of any other applicable restrictions or conditions on prepayments or the other triggering events set forth above, and shall not permit or be deemed to permit any actions by a Note Party or Bad Acts Guarantor not otherwise expressly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Trustee Co-Issuer</w:t>
      </w:r>
      <w:r>
        <w:rPr>
          <w:rFonts w:ascii="Times New Roman" w:hAnsi="Times New Roman"/>
          <w:sz w:val="20"/>
        </w:rPr>
        <w:t xml:space="preserve">” has the meaning set forth in the preamble hereto. </w:t>
      </w:r>
    </w:p>
    <w:p>
      <w:pPr>
        <w:pStyle w:val="TextBody"/>
        <w:bidi w:val="0"/>
        <w:spacing w:before="240" w:after="0"/>
        <w:jc w:val="both"/>
        <w:rPr/>
      </w:pPr>
      <w:r>
        <w:rPr/>
        <w:t>“</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both"/>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both"/>
        <w:rPr/>
      </w:pPr>
      <w:r>
        <w:rPr/>
        <w:t>“</w:t>
      </w:r>
      <w:r>
        <w:rPr>
          <w:rFonts w:ascii="Times New Roman" w:hAnsi="Times New Roman"/>
          <w:sz w:val="20"/>
          <w:u w:val="single"/>
        </w:rPr>
        <w:t>Uniform Commercial Code</w:t>
      </w:r>
      <w:r>
        <w:rPr>
          <w:rFonts w:ascii="Times New Roman" w:hAnsi="Times New Roman"/>
          <w:sz w:val="20"/>
        </w:rPr>
        <w:t>” and “</w:t>
      </w:r>
      <w:r>
        <w:rPr>
          <w:rFonts w:ascii="Times New Roman" w:hAnsi="Times New Roman"/>
          <w:sz w:val="20"/>
          <w:u w:val="single"/>
        </w:rPr>
        <w:t>UCC</w:t>
      </w:r>
      <w:r>
        <w:rPr>
          <w:rFonts w:ascii="Times New Roman" w:hAnsi="Times New Roman"/>
          <w:sz w:val="20"/>
        </w:rPr>
        <w:t xml:space="preserve">” means the Uniform Commercial Code in effect in the State of New York; </w:t>
      </w:r>
      <w:r>
        <w:rPr>
          <w:rFonts w:ascii="Times New Roman" w:hAnsi="Times New Roman"/>
          <w:sz w:val="20"/>
          <w:u w:val="single"/>
        </w:rPr>
        <w:t>provided</w:t>
      </w:r>
      <w:r>
        <w:rPr>
          <w:rFonts w:ascii="Times New Roman" w:hAnsi="Times New Roman"/>
          <w:sz w:val="20"/>
        </w:rPr>
        <w:t xml:space="preserve">, that if by reason of mandatory provisions of Law, the perfection, non-perfection, attachment or priority of a security interest is governed by the Uniform Commercial Code (or any similar or equivalent legislation) in effect in a jurisdiction other than the State of New York, the term “Uniform Commercial Code” means the Uniform Commercial Code (or any similar or equivalent legislation) in effect in such other jurisdiction for the purposes of the provisions in the Note Documents relating to such perfection, or effect of perfection or non-perfection, attachment or priority and for the purposes of definitions related to such provisions. </w:t>
      </w:r>
    </w:p>
    <w:p>
      <w:pPr>
        <w:pStyle w:val="TextBody"/>
        <w:bidi w:val="0"/>
        <w:spacing w:before="240" w:after="0"/>
        <w:jc w:val="both"/>
        <w:rPr/>
      </w:pPr>
      <w:r>
        <w:rPr/>
        <w:t>“</w:t>
      </w:r>
      <w:r>
        <w:rPr>
          <w:rFonts w:ascii="Times New Roman" w:hAnsi="Times New Roman"/>
          <w:sz w:val="20"/>
          <w:u w:val="single"/>
        </w:rPr>
        <w:t>United Kingdom</w:t>
      </w:r>
      <w:r>
        <w:rPr>
          <w:rFonts w:ascii="Times New Roman" w:hAnsi="Times New Roman"/>
          <w:sz w:val="20"/>
        </w:rPr>
        <w:t>” and “</w:t>
      </w:r>
      <w:r>
        <w:rPr>
          <w:rFonts w:ascii="Times New Roman" w:hAnsi="Times New Roman"/>
          <w:sz w:val="20"/>
          <w:u w:val="single"/>
        </w:rPr>
        <w:t>UK</w:t>
      </w:r>
      <w:r>
        <w:rPr>
          <w:rFonts w:ascii="Times New Roman" w:hAnsi="Times New Roman"/>
          <w:sz w:val="20"/>
        </w:rPr>
        <w:t xml:space="preserve">” means the United Kingdom of Great Britain and Northern Ireland. </w:t>
      </w:r>
    </w:p>
    <w:p>
      <w:pPr>
        <w:pStyle w:val="TextBody"/>
        <w:bidi w:val="0"/>
        <w:spacing w:before="240" w:after="0"/>
        <w:jc w:val="both"/>
        <w:rPr/>
      </w:pPr>
      <w:r>
        <w:rPr/>
        <w:t>“</w:t>
      </w:r>
      <w:r>
        <w:rPr>
          <w:rFonts w:ascii="Times New Roman" w:hAnsi="Times New Roman"/>
          <w:sz w:val="20"/>
          <w:u w:val="single"/>
        </w:rPr>
        <w:t>Valid Claim</w:t>
      </w:r>
      <w:r>
        <w:rPr>
          <w:rFonts w:ascii="Times New Roman" w:hAnsi="Times New Roman"/>
          <w:sz w:val="20"/>
        </w:rPr>
        <w:t xml:space="preserve">” means: (i) any claim of an issued and unexpired Patent, that shall not have been withdrawn, lapsed, abandoned, revoked, canceled or disclaimed, or held invalid or unenforceable by a court, Governmental Authority, national or regional patent office or other appropriate body that has competent jurisdiction in a decision being final and unappealable or unappealed within the time allowed for appeal; and (ii) a claim of a pending Patent application that is filed and being prosecuted in good faith and that has not been finally abandoned or finally rejected. </w:t>
      </w:r>
    </w:p>
    <w:p>
      <w:pPr>
        <w:pStyle w:val="TextBody"/>
        <w:bidi w:val="0"/>
        <w:spacing w:before="240" w:after="0"/>
        <w:jc w:val="both"/>
        <w:rPr/>
      </w:pPr>
      <w:r>
        <w:rPr/>
        <w:t>“</w:t>
      </w:r>
      <w:r>
        <w:rPr>
          <w:rFonts w:ascii="Times New Roman" w:hAnsi="Times New Roman"/>
          <w:sz w:val="20"/>
          <w:u w:val="single"/>
        </w:rPr>
        <w:t>Waterfall Report</w:t>
      </w:r>
      <w:r>
        <w:rPr>
          <w:rFonts w:ascii="Times New Roman" w:hAnsi="Times New Roman"/>
          <w:sz w:val="20"/>
        </w:rPr>
        <w:t xml:space="preserve">” has the meaning set forth in </w:t>
      </w:r>
      <w:r>
        <w:rPr>
          <w:rFonts w:ascii="Times New Roman" w:hAnsi="Times New Roman"/>
          <w:sz w:val="20"/>
          <w:u w:val="single"/>
        </w:rPr>
        <w:t>Section 7.01(e)</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Waterfall Report Certificate</w:t>
      </w:r>
      <w:r>
        <w:rPr>
          <w:rFonts w:ascii="Times New Roman" w:hAnsi="Times New Roman"/>
          <w:sz w:val="20"/>
        </w:rPr>
        <w:t xml:space="preserve">” shall mean a certificate of the Issuer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Withholding Agent</w:t>
      </w:r>
      <w:r>
        <w:rPr>
          <w:rFonts w:ascii="Times New Roman" w:hAnsi="Times New Roman"/>
          <w:sz w:val="20"/>
        </w:rPr>
        <w:t xml:space="preserve">” means the Issuers, the Agent and any other applicable withholding agent. </w:t>
      </w:r>
    </w:p>
    <w:p>
      <w:pPr>
        <w:pStyle w:val="TextBody"/>
        <w:bidi w:val="0"/>
        <w:spacing w:before="240" w:after="0"/>
        <w:jc w:val="both"/>
        <w:rPr/>
      </w:pPr>
      <w:r>
        <w:rPr/>
        <w:t>“</w:t>
      </w:r>
      <w:r>
        <w:rPr>
          <w:rFonts w:ascii="Times New Roman" w:hAnsi="Times New Roman"/>
          <w:sz w:val="20"/>
          <w:u w:val="single"/>
        </w:rPr>
        <w:t>Write-Down and Conversion Powers</w:t>
      </w:r>
      <w:r>
        <w:rPr>
          <w:rFonts w:ascii="Times New Roman" w:hAnsi="Times New Roman"/>
          <w:sz w:val="20"/>
        </w:rPr>
        <w:t xml:space="preserve">” means, with respect to any applicable Resolution Authority, the write-down and conversion powers of such applicable Resolution Authority from time to time under the Bail-In Legislation for the applicable EEA Member Country or as the context may require, the United Kingdom, which write-down and conversion powers are described in the EU Bail-In Legislation Schedule or in the equivalent Laws in the United Kingdom. </w:t>
      </w:r>
    </w:p>
    <w:p>
      <w:pPr>
        <w:pStyle w:val="TextBody"/>
        <w:bidi w:val="0"/>
        <w:spacing w:before="240" w:after="0"/>
        <w:jc w:val="both"/>
        <w:rPr/>
      </w:pPr>
      <w:r>
        <w:rPr/>
        <w:t>“</w:t>
      </w:r>
      <w:r>
        <w:rPr>
          <w:rFonts w:ascii="Times New Roman" w:hAnsi="Times New Roman"/>
          <w:sz w:val="20"/>
          <w:u w:val="single"/>
        </w:rPr>
        <w:t>Yield Maintenance Premium</w:t>
      </w:r>
      <w:r>
        <w:rPr>
          <w:rFonts w:ascii="Times New Roman" w:hAnsi="Times New Roman"/>
          <w:sz w:val="20"/>
        </w:rPr>
        <w:t xml:space="preserve">” means, for the applicable period, the following percentage of the outstanding principal balance of the Notes (a) from the Closing Date until the second anniversary of the Closing Date, 5.0%, (b) on and after the second anniversary until the third anniversary of the Closing Date, 3.0%, (c) on and after the third anniversary until the fourth anniversary of the Closing Date, 2.0%, (d) on and after the fourth anniversary until the fifth anniversary of the Closing Date, 1.0% and (e) on and after the fifth anniversary of the Closing Date, 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Yupelri Adjusted Net Profit</w:t>
      </w:r>
      <w:r>
        <w:rPr>
          <w:rFonts w:ascii="Times New Roman" w:hAnsi="Times New Roman"/>
          <w:sz w:val="20"/>
        </w:rPr>
        <w:t xml:space="preserve">” means, as of the end of any Collection Period, the sum of (i) Adjusted Operating Profit (Loss), plus (ii) the Collaboration Partner’s share of Reimbursable Patent Expenses payable in accordance with Section 1.08(a)(ii) of Exhibit F to the Collaboration Agreement for such applicable Collection Period, minus (iii) the Issuer’s share of Reimbursable Patent Expenses payable in accordance with Section 1.08(a)(i) of Exhibit F to the Collaboration Agreement for such applicable Collection Period, minus (iv) Deductible Non-Shared Issuer Expenses, plus (v) any other amounts payable to the DST Issuer in accordance with the Collaboration Agreement, including, without limitation, payments for indemnities and other amounts, but excluding U.S. and ROW Milestones, China Milestones, Royalties on ROW Net Sales and royalties on Annual Net Sales in China (each as defined in the Collaboration Agreement) for such applicable Collection Period. </w:t>
      </w:r>
    </w:p>
    <w:p>
      <w:pPr>
        <w:pStyle w:val="TextBody"/>
        <w:bidi w:val="0"/>
        <w:spacing w:before="240" w:after="0"/>
        <w:jc w:val="both"/>
        <w:rPr>
          <w:rFonts w:ascii="Times New Roman" w:hAnsi="Times New Roman"/>
          <w:sz w:val="20"/>
        </w:rPr>
      </w:pPr>
      <w:r>
        <w:rPr>
          <w:rFonts w:ascii="Times New Roman" w:hAnsi="Times New Roman"/>
          <w:sz w:val="20"/>
          <w:u w:val="single"/>
        </w:rPr>
        <w:t>Section 1.02 Rules of Construction</w:t>
      </w:r>
      <w:r>
        <w:rPr>
          <w:rFonts w:ascii="Times New Roman" w:hAnsi="Times New Roman"/>
          <w:sz w:val="20"/>
        </w:rPr>
        <w:t xml:space="preserve">. Unless the context otherwise requires, in this Agreement and each other Transaction Document: </w:t>
      </w:r>
    </w:p>
    <w:p>
      <w:pPr>
        <w:pStyle w:val="TextBody"/>
        <w:bidi w:val="0"/>
        <w:spacing w:before="120" w:after="0"/>
        <w:jc w:val="both"/>
        <w:rPr>
          <w:rFonts w:ascii="Times New Roman" w:hAnsi="Times New Roman"/>
          <w:sz w:val="20"/>
        </w:rPr>
      </w:pPr>
      <w:r>
        <w:rPr>
          <w:rFonts w:ascii="Times New Roman" w:hAnsi="Times New Roman"/>
          <w:sz w:val="20"/>
        </w:rPr>
        <w:t xml:space="preserve">(a) Words of the masculine, feminine or neuter gender shall mean and include the correlative words of other genders. </w:t>
      </w:r>
    </w:p>
    <w:p>
      <w:pPr>
        <w:pStyle w:val="TextBody"/>
        <w:bidi w:val="0"/>
        <w:spacing w:before="120" w:after="0"/>
        <w:jc w:val="both"/>
        <w:rPr>
          <w:rFonts w:ascii="Times New Roman" w:hAnsi="Times New Roman"/>
          <w:sz w:val="20"/>
        </w:rPr>
      </w:pPr>
      <w:r>
        <w:rPr>
          <w:rFonts w:ascii="Times New Roman" w:hAnsi="Times New Roman"/>
          <w:sz w:val="20"/>
        </w:rPr>
        <w:t xml:space="preserve">(b) The definitions of terms shall apply equally to the singular and plural forms of the terms defined. </w:t>
      </w:r>
    </w:p>
    <w:p>
      <w:pPr>
        <w:pStyle w:val="TextBody"/>
        <w:bidi w:val="0"/>
        <w:spacing w:before="120" w:after="0"/>
        <w:jc w:val="both"/>
        <w:rPr>
          <w:rFonts w:ascii="Times New Roman" w:hAnsi="Times New Roman"/>
          <w:sz w:val="20"/>
        </w:rPr>
      </w:pPr>
      <w:r>
        <w:rPr>
          <w:rFonts w:ascii="Times New Roman" w:hAnsi="Times New Roman"/>
          <w:sz w:val="20"/>
        </w:rPr>
        <w:t xml:space="preserve">(c) The terms “include”, “including” and similar terms shall be construed as if followed by the phrase “without limitation”. </w:t>
      </w:r>
    </w:p>
    <w:p>
      <w:pPr>
        <w:pStyle w:val="TextBody"/>
        <w:bidi w:val="0"/>
        <w:spacing w:before="120" w:after="0"/>
        <w:jc w:val="both"/>
        <w:rPr>
          <w:rFonts w:ascii="Times New Roman" w:hAnsi="Times New Roman"/>
          <w:sz w:val="20"/>
        </w:rPr>
      </w:pPr>
      <w:r>
        <w:rPr>
          <w:rFonts w:ascii="Times New Roman" w:hAnsi="Times New Roman"/>
          <w:sz w:val="20"/>
        </w:rPr>
        <w:t xml:space="preserve">(d) Unless otherwise specified, references to any agreement or document (including any Contract and any Note Document) include references to such agreement or document as from time to time amended, restated, amended and restated, reformed, supplemented or otherwise modified in accordance with the terms thereof (subject to any restrictions on such amendments, restatements, amendments and restatements, reformations, supplements or modifications set forth herein or in any of the other Note Documents) and include any annexes, exhibits and schedules attached thereto. </w:t>
      </w:r>
    </w:p>
    <w:p>
      <w:pPr>
        <w:pStyle w:val="TextBody"/>
        <w:bidi w:val="0"/>
        <w:spacing w:before="120" w:after="0"/>
        <w:jc w:val="both"/>
        <w:rPr>
          <w:rFonts w:ascii="Times New Roman" w:hAnsi="Times New Roman"/>
          <w:sz w:val="20"/>
        </w:rPr>
      </w:pPr>
      <w:r>
        <w:rPr>
          <w:rFonts w:ascii="Times New Roman" w:hAnsi="Times New Roman"/>
          <w:sz w:val="20"/>
        </w:rPr>
        <w:t xml:space="preserve">(e) References to any Law shall include such Law as from time to time in effect, including any amendment, modification, supplement, codification, replacement or reenactment thereof or any substitution therefor, and any interpretation thereof. </w:t>
      </w:r>
    </w:p>
    <w:p>
      <w:pPr>
        <w:pStyle w:val="TextBody"/>
        <w:bidi w:val="0"/>
        <w:spacing w:before="120" w:after="0"/>
        <w:jc w:val="both"/>
        <w:rPr>
          <w:rFonts w:ascii="Times New Roman" w:hAnsi="Times New Roman"/>
          <w:sz w:val="20"/>
        </w:rPr>
      </w:pPr>
      <w:r>
        <w:rPr>
          <w:rFonts w:ascii="Times New Roman" w:hAnsi="Times New Roman"/>
          <w:sz w:val="20"/>
        </w:rPr>
        <w:t xml:space="preserve">(f) References to any Person shall be construed to include such Person’s successors and permitted assigns (subject to any restrictions on assignment, transfer or delegation set forth herein or in any of the other Note Documents), and any reference to a Person in a particular capacity excludes such Person in other capacities. </w:t>
      </w:r>
    </w:p>
    <w:p>
      <w:pPr>
        <w:pStyle w:val="TextBody"/>
        <w:bidi w:val="0"/>
        <w:spacing w:before="120" w:after="0"/>
        <w:jc w:val="both"/>
        <w:rPr>
          <w:rFonts w:ascii="Times New Roman" w:hAnsi="Times New Roman"/>
          <w:sz w:val="20"/>
        </w:rPr>
      </w:pPr>
      <w:r>
        <w:rPr>
          <w:rFonts w:ascii="Times New Roman" w:hAnsi="Times New Roman"/>
          <w:sz w:val="20"/>
        </w:rPr>
        <w:t xml:space="preserve">(g) The word “will” shall be construed to have the same meaning and effect as the word “shall”. </w:t>
      </w:r>
    </w:p>
    <w:p>
      <w:pPr>
        <w:pStyle w:val="TextBody"/>
        <w:bidi w:val="0"/>
        <w:spacing w:before="120" w:after="0"/>
        <w:jc w:val="both"/>
        <w:rPr>
          <w:rFonts w:ascii="Times New Roman" w:hAnsi="Times New Roman"/>
          <w:sz w:val="20"/>
        </w:rPr>
      </w:pPr>
      <w:r>
        <w:rPr>
          <w:rFonts w:ascii="Times New Roman" w:hAnsi="Times New Roman"/>
          <w:sz w:val="20"/>
        </w:rPr>
        <w:t xml:space="preserve">(h) The words “hereof”, “herein”, “hereunder” and similar terms when used in any Transaction Document shall refer to such Transaction Document as a whole and not to any particular provision hereof, and Article, Section, Exhibit and Schedule references any Transaction Document are references to Articles and Sections of, Exhibits and Schedules to, such Transaction Document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In the computation of a period of time from a specified date to a later specified date, the word “from” means “from and including” and each of the words “to” and “until” means “to but excluding”. </w:t>
      </w:r>
    </w:p>
    <w:p>
      <w:pPr>
        <w:pStyle w:val="TextBody"/>
        <w:bidi w:val="0"/>
        <w:spacing w:before="120" w:after="0"/>
        <w:jc w:val="both"/>
        <w:rPr>
          <w:rFonts w:ascii="Times New Roman" w:hAnsi="Times New Roman"/>
          <w:sz w:val="20"/>
        </w:rPr>
      </w:pPr>
      <w:r>
        <w:rPr>
          <w:rFonts w:ascii="Times New Roman" w:hAnsi="Times New Roman"/>
          <w:sz w:val="20"/>
        </w:rPr>
        <w:t xml:space="preserve">(j) Where any payment is to be made, any funds are to be applied, any calculation is to be made or any obligation is to be performed under any Transaction Document on a day that is not a Business Day, unless this Agreement otherwise provides (including as set forth in </w:t>
      </w:r>
      <w:r>
        <w:rPr>
          <w:rFonts w:ascii="Times New Roman" w:hAnsi="Times New Roman"/>
          <w:sz w:val="20"/>
          <w:u w:val="single"/>
        </w:rPr>
        <w:t>Section 3.07(a)</w:t>
      </w:r>
      <w:r>
        <w:rPr>
          <w:rFonts w:ascii="Times New Roman" w:hAnsi="Times New Roman"/>
          <w:sz w:val="20"/>
        </w:rPr>
        <w:t xml:space="preserve">), such payment shall be made, such funds shall be applied, such calculation shall be made and such obligation shall be performed on the succeeding Business Day, and payments shall be adjusted accordingly. </w:t>
      </w:r>
    </w:p>
    <w:p>
      <w:pPr>
        <w:pStyle w:val="TextBody"/>
        <w:bidi w:val="0"/>
        <w:spacing w:before="120" w:after="0"/>
        <w:jc w:val="both"/>
        <w:rPr>
          <w:rFonts w:ascii="Times New Roman" w:hAnsi="Times New Roman"/>
          <w:sz w:val="20"/>
        </w:rPr>
      </w:pPr>
      <w:r>
        <w:rPr>
          <w:rFonts w:ascii="Times New Roman" w:hAnsi="Times New Roman"/>
          <w:sz w:val="20"/>
        </w:rPr>
        <w:t xml:space="preserve">(k) In the event there is a conflict or inconsistency between this Agreement and any other Transaction Document, the terms of this Agreement shall control; </w:t>
      </w:r>
      <w:r>
        <w:rPr>
          <w:rFonts w:ascii="Times New Roman" w:hAnsi="Times New Roman"/>
          <w:sz w:val="20"/>
          <w:u w:val="single"/>
        </w:rPr>
        <w:t>provided</w:t>
      </w:r>
      <w:r>
        <w:rPr>
          <w:rFonts w:ascii="Times New Roman" w:hAnsi="Times New Roman"/>
          <w:sz w:val="20"/>
        </w:rPr>
        <w:t xml:space="preserve">, that any provision of any Transaction Document which imposes additional burdens on a Note Party or any Bad Act Guarantor, as applicable, or further restricts the rights of a Note Party or Bad Act Guarantor, as applicable, or gives any of the Agent or the Purchasers additional rights shall not be deemed to be in conflict or inconsistent with this Agreement and shall be given full force and effect. </w:t>
      </w:r>
    </w:p>
    <w:p>
      <w:pPr>
        <w:pStyle w:val="TextBody"/>
        <w:bidi w:val="0"/>
        <w:spacing w:before="120" w:after="0"/>
        <w:jc w:val="both"/>
        <w:rPr>
          <w:rFonts w:ascii="Times New Roman" w:hAnsi="Times New Roman"/>
          <w:sz w:val="20"/>
        </w:rPr>
      </w:pPr>
      <w:r>
        <w:rPr>
          <w:rFonts w:ascii="Times New Roman" w:hAnsi="Times New Roman"/>
          <w:sz w:val="20"/>
        </w:rPr>
        <w:t xml:space="preserve">(l) The Parties hereto have participated jointly in the negotiation and drafting of the Transaction Documents. In the event an ambiguity or question of intent or interpretation arises, the Transaction Documents shall be construed as if drafted jointly by the Parties thereto and no presumption or burden of proof shall arise favoring or disfavoring any Party by virtue of the authorship of any provisions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(m) Any amount in a currency other than Dollars is to be taken into account at its Dollar equivalent calculated on the basis of: (i) if the amount is to be calculated on the last day of a financial period of an Issuer, the relevant rates of exchange used by the DST Issuer in, or in connection with, its financial statements for that period; or (ii) for purposes of determining compliance with any incurrence or expenditure test set forth in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Article IX</w:t>
      </w:r>
      <w:r>
        <w:rPr>
          <w:rFonts w:ascii="Times New Roman" w:hAnsi="Times New Roman"/>
          <w:sz w:val="20"/>
        </w:rPr>
        <w:t xml:space="preserve">,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 (at the direction of the Requisite Purchasers) or, in the event that no such service is selected by the Agent, on such other basis as is reasonably satisfactory to the Agent (acting at the direction of the Requisite Purchasers)) as in effect on the date of such incurrence of expenditure. </w:t>
      </w:r>
    </w:p>
    <w:p>
      <w:pPr>
        <w:pStyle w:val="TextBody"/>
        <w:bidi w:val="0"/>
        <w:spacing w:before="120" w:after="0"/>
        <w:jc w:val="both"/>
        <w:rPr>
          <w:rFonts w:ascii="Times New Roman" w:hAnsi="Times New Roman"/>
          <w:sz w:val="20"/>
        </w:rPr>
      </w:pPr>
      <w:r>
        <w:rPr>
          <w:rFonts w:ascii="Times New Roman" w:hAnsi="Times New Roman"/>
          <w:sz w:val="20"/>
        </w:rPr>
        <w:t xml:space="preserve">(n) The phrases “permitted by” and “not prohibited by” or words of similar import shall be construed to have the same meaning and effect. </w:t>
      </w:r>
    </w:p>
    <w:p>
      <w:pPr>
        <w:pStyle w:val="TextBody"/>
        <w:bidi w:val="0"/>
        <w:spacing w:before="120" w:after="0"/>
        <w:jc w:val="both"/>
        <w:rPr>
          <w:rFonts w:ascii="Times New Roman" w:hAnsi="Times New Roman"/>
          <w:sz w:val="20"/>
        </w:rPr>
      </w:pPr>
      <w:r>
        <w:rPr>
          <w:rFonts w:ascii="Times New Roman" w:hAnsi="Times New Roman"/>
          <w:sz w:val="20"/>
        </w:rPr>
        <w:t xml:space="preserve">(o) References in the Transaction Documents to “determination” by any Person include good faith estimates by such Person (in the case of quantitative determinations) and good faith beliefs by such Person (in the case of qualitative determinations).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 A Default or an Event of Default shall be deemed to exist at all times during the period commencing on the date that such Default or Event of Default, respectively, occurs to the date on which such Default or Event of Default, respectively, is waived in writing pursuant to this Agreement or, in the case of a Default, is cured within any period of cure expressly provided for in this Agreement; and an Event of Default shall “continue” or be “continuing” until such Event of Default has been waived in writing by the Requisite Purchasers, by each Purchaser affected thereby, or by all Purchasers, as applicable. </w:t>
      </w:r>
    </w:p>
    <w:p>
      <w:pPr>
        <w:pStyle w:val="TextBody"/>
        <w:bidi w:val="0"/>
        <w:spacing w:before="120" w:after="0"/>
        <w:jc w:val="both"/>
        <w:rPr>
          <w:rFonts w:ascii="Times New Roman" w:hAnsi="Times New Roman"/>
          <w:sz w:val="20"/>
        </w:rPr>
      </w:pPr>
      <w:r>
        <w:rPr>
          <w:rFonts w:ascii="Times New Roman" w:hAnsi="Times New Roman"/>
          <w:sz w:val="20"/>
        </w:rPr>
        <w:t xml:space="preserve">(q) Any Lien referred to in this Agreement or any other Note Document as having been created in favor of the Agent, any agreement entered into by the Agent pursuant to this Agreement or any other Note Document, any payment made by or to or funds received by the Agent pursuant to or as contemplated by this Agreement or any other Note Document, or any act taken or omitted to be taken by the Agent, shall, unless otherwise expressly provided, be created, entered into, made or received, or taken or omitted, for the benefit or account of the Agent and the other Secured Parties. </w:t>
      </w:r>
    </w:p>
    <w:p>
      <w:pPr>
        <w:pStyle w:val="TextBody"/>
        <w:bidi w:val="0"/>
        <w:spacing w:before="120" w:after="0"/>
        <w:jc w:val="both"/>
        <w:rPr>
          <w:rFonts w:ascii="Times New Roman" w:hAnsi="Times New Roman"/>
          <w:sz w:val="20"/>
        </w:rPr>
      </w:pPr>
      <w:r>
        <w:rPr>
          <w:rFonts w:ascii="Times New Roman" w:hAnsi="Times New Roman"/>
          <w:sz w:val="20"/>
        </w:rPr>
        <w:t xml:space="preserve">(r) All covenants hereunder shall be given independent effect so that if a particular action or condition is not permitted by any covenant, the fact that it would be permitted by an exception to, or otherwise within the limitations of, another covenant shall not avoid the occurrence of a Default or Event of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 </w:t>
      </w:r>
    </w:p>
    <w:p>
      <w:pPr>
        <w:pStyle w:val="TextBody"/>
        <w:bidi w:val="0"/>
        <w:spacing w:before="120" w:after="0"/>
        <w:jc w:val="both"/>
        <w:rPr>
          <w:rFonts w:ascii="Times New Roman" w:hAnsi="Times New Roman"/>
          <w:sz w:val="20"/>
        </w:rPr>
      </w:pPr>
      <w:r>
        <w:rPr>
          <w:rFonts w:ascii="Times New Roman" w:hAnsi="Times New Roman"/>
          <w:sz w:val="20"/>
        </w:rPr>
        <w:t xml:space="preserve">(s) Where a Note Document requires any Party to reimburse or indemnify the Agent, any Purchaser or any other Secured Party in respect of any fees, cost or expense, that Party shall reimburse or indemnify such Person for the full amount of such fees, cost or expense. </w:t>
      </w:r>
    </w:p>
    <w:p>
      <w:pPr>
        <w:pStyle w:val="TextBody"/>
        <w:bidi w:val="0"/>
        <w:spacing w:before="240" w:after="0"/>
        <w:jc w:val="both"/>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Divisions</w:t>
      </w:r>
      <w:r>
        <w:rPr>
          <w:rFonts w:ascii="Times New Roman" w:hAnsi="Times New Roman"/>
          <w:sz w:val="20"/>
        </w:rPr>
        <w:t xml:space="preserve">. For all purposes under the Transaction Documents, in connection with any division or plan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240" w:after="0"/>
        <w:jc w:val="both"/>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or any other Transaction Document shall be prepared in conformity with, GAAP applied on a consistent basis, as in effect from time to time; </w:t>
      </w:r>
      <w:r>
        <w:rPr>
          <w:rFonts w:ascii="Times New Roman" w:hAnsi="Times New Roman"/>
          <w:sz w:val="20"/>
          <w:u w:val="single"/>
        </w:rPr>
        <w:t>provided</w:t>
      </w:r>
      <w:r>
        <w:rPr>
          <w:rFonts w:ascii="Times New Roman" w:hAnsi="Times New Roman"/>
          <w:sz w:val="20"/>
        </w:rPr>
        <w:t xml:space="preserve"> that, the calculation of Adjusted Operating Profit (Loss) and/or any component parts thereof shall be calculated in accordance with the Collaboration Agreement and the Co-Promotion Agreement. Notwithstanding the foregoing, for purposes of determining compliance with any covenant contained herein, Indebtedness shall be deemed to be carried at one hundred percent (100%) of the outstanding principal amount thereof, and the effects of FASB ASC 825 on financial liabilities shall be disregarded. </w:t>
      </w:r>
    </w:p>
    <w:p>
      <w:pPr>
        <w:pStyle w:val="TextBody"/>
        <w:bidi w:val="0"/>
        <w:spacing w:before="240" w:after="0"/>
        <w:jc w:val="both"/>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Irish Terms</w:t>
      </w:r>
      <w:r>
        <w:rPr>
          <w:rFonts w:ascii="Times New Roman" w:hAnsi="Times New Roman"/>
          <w:sz w:val="20"/>
        </w:rPr>
        <w:t xml:space="preserve">. In this Agreement, where it relates to an Irish Note Party, a reference to: </w:t>
      </w:r>
    </w:p>
    <w:p>
      <w:pPr>
        <w:pStyle w:val="TextBody"/>
        <w:bidi w:val="0"/>
        <w:spacing w:before="120" w:after="0"/>
        <w:jc w:val="both"/>
        <w:rPr>
          <w:rFonts w:ascii="Times New Roman" w:hAnsi="Times New Roman"/>
          <w:sz w:val="20"/>
        </w:rPr>
      </w:pPr>
      <w:r>
        <w:rPr>
          <w:rFonts w:ascii="Times New Roman" w:hAnsi="Times New Roman"/>
          <w:sz w:val="20"/>
        </w:rPr>
        <w:t xml:space="preserve">(a) “Dissolution” of an Irish Note Party includes such Irish Note Party being struck off the Register of Companies in Ireland or, in the case of a partnership, dissolution or termination of that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Enforcing (or any derivation) the Collateral includes the appointment of an examiner or a receiver or a process adviser (or any analogous officer in any jurisdiction) of an Irish Note Party by the Agent. </w:t>
      </w:r>
    </w:p>
    <w:p>
      <w:pPr>
        <w:pStyle w:val="TextBody"/>
        <w:bidi w:val="0"/>
        <w:spacing w:before="120" w:after="0"/>
        <w:jc w:val="both"/>
        <w:rPr>
          <w:rFonts w:ascii="Times New Roman" w:hAnsi="Times New Roman"/>
          <w:sz w:val="20"/>
        </w:rPr>
      </w:pPr>
      <w:r>
        <w:rPr>
          <w:rFonts w:ascii="Times New Roman" w:hAnsi="Times New Roman"/>
          <w:sz w:val="20"/>
        </w:rPr>
        <w:t xml:space="preserve">(c) An “examiner” means an examiner (including any interim examiner) appointed under section 509 of the Irish Companies Act and “examinership” shall be construed accordingly. </w:t>
      </w:r>
    </w:p>
    <w:p>
      <w:pPr>
        <w:pStyle w:val="TextBody"/>
        <w:bidi w:val="0"/>
        <w:spacing w:before="120" w:after="0"/>
        <w:jc w:val="both"/>
        <w:rPr>
          <w:rFonts w:ascii="Times New Roman" w:hAnsi="Times New Roman"/>
          <w:sz w:val="20"/>
        </w:rPr>
      </w:pPr>
      <w:r>
        <w:rPr>
          <w:rFonts w:ascii="Times New Roman" w:hAnsi="Times New Roman"/>
          <w:sz w:val="20"/>
        </w:rPr>
        <w:t xml:space="preserve">(d) “Ireland” means the island of Ireland exclusive of Northern Ireland. </w:t>
      </w:r>
    </w:p>
    <w:p>
      <w:pPr>
        <w:pStyle w:val="TextBody"/>
        <w:bidi w:val="0"/>
        <w:spacing w:before="120" w:after="0"/>
        <w:jc w:val="both"/>
        <w:rPr>
          <w:rFonts w:ascii="Times New Roman" w:hAnsi="Times New Roman"/>
          <w:sz w:val="20"/>
        </w:rPr>
      </w:pPr>
      <w:r>
        <w:rPr>
          <w:rFonts w:ascii="Times New Roman" w:hAnsi="Times New Roman"/>
          <w:sz w:val="20"/>
        </w:rPr>
        <w:t xml:space="preserve">(e) “Process adviser” means a person appointed or acting as a process advisor within the meaning of section 558A(1) of the Irish Companies Act. </w:t>
      </w:r>
    </w:p>
    <w:p>
      <w:pPr>
        <w:pStyle w:val="TextBody"/>
        <w:bidi w:val="0"/>
        <w:spacing w:before="120" w:after="0"/>
        <w:jc w:val="both"/>
        <w:rPr>
          <w:rFonts w:ascii="Times New Roman" w:hAnsi="Times New Roman"/>
          <w:sz w:val="20"/>
        </w:rPr>
      </w:pPr>
      <w:r>
        <w:rPr>
          <w:rFonts w:ascii="Times New Roman" w:hAnsi="Times New Roman"/>
          <w:sz w:val="20"/>
        </w:rPr>
        <w:t xml:space="preserve">(f) A rescue process means the rescue process for small and micro companies contemplated by Part 10A of the Irish Companies Act. </w:t>
      </w:r>
    </w:p>
    <w:p>
      <w:pPr>
        <w:pStyle w:val="TextBody"/>
        <w:bidi w:val="0"/>
        <w:spacing w:before="120" w:after="0"/>
        <w:jc w:val="both"/>
        <w:rPr>
          <w:rFonts w:ascii="Times New Roman" w:hAnsi="Times New Roman"/>
          <w:sz w:val="20"/>
        </w:rPr>
      </w:pPr>
      <w:r>
        <w:rPr>
          <w:rFonts w:ascii="Times New Roman" w:hAnsi="Times New Roman"/>
          <w:sz w:val="20"/>
        </w:rPr>
        <w:t xml:space="preserve">(g) A person being unable to pay its debts or having an inability to pay its debts includes (without limitation) that person being unable to pay its debts within the meaning of Sections 509(3) and 570 of the Irish Companies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DISBURSEMENT </w:t>
      </w:r>
    </w:p>
    <w:p>
      <w:pPr>
        <w:pStyle w:val="TextBody"/>
        <w:bidi w:val="0"/>
        <w:spacing w:before="240" w:after="0"/>
        <w:jc w:val="both"/>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Notes Issuance</w:t>
      </w:r>
      <w:r>
        <w:rPr>
          <w:rFonts w:ascii="Times New Roman" w:hAnsi="Times New Roman"/>
          <w:sz w:val="20"/>
        </w:rPr>
        <w:t xml:space="preserve">. On the terms and subject to the conditions set forth herein, including the conditions set forth in </w:t>
      </w:r>
      <w:r>
        <w:rPr>
          <w:rFonts w:ascii="Times New Roman" w:hAnsi="Times New Roman"/>
          <w:sz w:val="20"/>
          <w:u w:val="single"/>
        </w:rPr>
        <w:t>Section 5.01</w:t>
      </w:r>
      <w:r>
        <w:rPr>
          <w:rFonts w:ascii="Times New Roman" w:hAnsi="Times New Roman"/>
          <w:sz w:val="20"/>
        </w:rPr>
        <w:t xml:space="preserve"> hereof, the Issuers agree to issue, sell and deliver, to each Purchaser and each Purchaser agrees to purchase from the Issuers on the Closing Date, Notes in an individual Principal Amount equal to such Purchaser’s Allocated Share upon payment of the Purchase Price. The Purchasers’ obligations hereunder are several and not joint obligations and no Purchaser shall have any liability to any Person for the performance or non-performance of any obligations by any other Purchaser hereunder (the “</w:t>
      </w:r>
      <w:r>
        <w:rPr>
          <w:rFonts w:ascii="Times New Roman" w:hAnsi="Times New Roman"/>
          <w:sz w:val="20"/>
          <w:u w:val="single"/>
        </w:rPr>
        <w:t>Notes Issuance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Disbursement of Note Amount</w:t>
      </w:r>
      <w:r>
        <w:rPr>
          <w:rFonts w:ascii="Times New Roman" w:hAnsi="Times New Roman"/>
          <w:sz w:val="20"/>
        </w:rPr>
        <w:t xml:space="preserve">. On the Closing Date, the Issuers will deliver to each Purchaser the Notes to be purchased by such Purchaser in the form of a single note (or such greater number of notes in denominations as such Purchaser may request) dated as of the Closing Date and registered in such Purchaser’s name (or the name of its nominee) against delivery of such Purchaser’s Purchase Price to the Agent not later than noon (New York City time), by wire transfer of same day funds in Dollars, at the Agent’s office. Upon the satisfaction or waiver of the conditions precedent specified herein, and receipt of all funds from each Purchaser, the Agent shall make the payments in Dollars in the amounts set forth in the Closing Date funds flow statement delivered pursuant to </w:t>
      </w:r>
      <w:r>
        <w:rPr>
          <w:rFonts w:ascii="Times New Roman" w:hAnsi="Times New Roman"/>
          <w:sz w:val="20"/>
          <w:u w:val="single"/>
        </w:rPr>
        <w:t>Section 5.01(a)</w:t>
      </w:r>
      <w:r>
        <w:rPr>
          <w:rFonts w:ascii="Times New Roman" w:hAnsi="Times New Roman"/>
          <w:sz w:val="20"/>
        </w:rPr>
        <w:t xml:space="preserve"> (upon which the Agent may conclusively rely) equal to the Purchase Price received by the Agent, </w:t>
      </w:r>
      <w:r>
        <w:rPr>
          <w:rFonts w:ascii="Times New Roman" w:hAnsi="Times New Roman"/>
          <w:sz w:val="20"/>
          <w:u w:val="single"/>
        </w:rPr>
        <w:t>less</w:t>
      </w:r>
      <w:r>
        <w:rPr>
          <w:rFonts w:ascii="Times New Roman" w:hAnsi="Times New Roman"/>
          <w:sz w:val="20"/>
        </w:rPr>
        <w:t xml:space="preserve"> the Agent’s net funded expenses, </w:t>
      </w:r>
      <w:r>
        <w:rPr>
          <w:rFonts w:ascii="Times New Roman" w:hAnsi="Times New Roman"/>
          <w:sz w:val="20"/>
          <w:u w:val="single"/>
        </w:rPr>
        <w:t>less</w:t>
      </w:r>
      <w:r>
        <w:rPr>
          <w:rFonts w:ascii="Times New Roman" w:hAnsi="Times New Roman"/>
          <w:sz w:val="20"/>
        </w:rPr>
        <w:t xml:space="preserve"> the Minimum Own-Funds Property Amount, </w:t>
      </w:r>
      <w:r>
        <w:rPr>
          <w:rFonts w:ascii="Times New Roman" w:hAnsi="Times New Roman"/>
          <w:sz w:val="20"/>
          <w:u w:val="single"/>
        </w:rPr>
        <w:t>less</w:t>
      </w:r>
      <w:r>
        <w:rPr>
          <w:rFonts w:ascii="Times New Roman" w:hAnsi="Times New Roman"/>
          <w:sz w:val="20"/>
        </w:rPr>
        <w:t xml:space="preserve"> any fees, obligations or other expenses due and payable hereunder or under any other Note Document. </w:t>
      </w:r>
    </w:p>
    <w:p>
      <w:pPr>
        <w:pStyle w:val="TextBody"/>
        <w:bidi w:val="0"/>
        <w:spacing w:before="240" w:after="0"/>
        <w:jc w:val="both"/>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No Right to Reborrow or Reissue</w:t>
      </w:r>
      <w:r>
        <w:rPr>
          <w:rFonts w:ascii="Times New Roman" w:hAnsi="Times New Roman"/>
          <w:sz w:val="20"/>
        </w:rPr>
        <w:t xml:space="preserve">. Any Note issued under this </w:t>
      </w:r>
      <w:r>
        <w:rPr>
          <w:rFonts w:ascii="Times New Roman" w:hAnsi="Times New Roman"/>
          <w:sz w:val="20"/>
          <w:u w:val="single"/>
        </w:rPr>
        <w:t>Article II</w:t>
      </w:r>
      <w:r>
        <w:rPr>
          <w:rFonts w:ascii="Times New Roman" w:hAnsi="Times New Roman"/>
          <w:sz w:val="20"/>
        </w:rPr>
        <w:t xml:space="preserve"> and subsequently repaid or prepaid may not be reborrowed or reissued. Each Purchaser’s commitment to purchase the Notes listed on </w:t>
      </w:r>
      <w:r>
        <w:rPr>
          <w:rFonts w:ascii="Times New Roman" w:hAnsi="Times New Roman"/>
          <w:sz w:val="20"/>
          <w:u w:val="single"/>
        </w:rPr>
        <w:t>Schedule 2.01</w:t>
      </w:r>
      <w:r>
        <w:rPr>
          <w:rFonts w:ascii="Times New Roman" w:hAnsi="Times New Roman"/>
          <w:sz w:val="20"/>
        </w:rPr>
        <w:t xml:space="preserve"> shall terminate immediately and without further action on the Closing Date after giving effect to the purchase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Availability of Funds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Unless the Agent shall have been notified in writing by a Purchaser prior to the Closing Date that such Purchaser does not intend to make available to the Agent the Purchase Price of such Purchaser’s Allocated Share of the aggregate Principal Amount on the Closing Date, the Agent may assume that such Purchaser has made such amount available to the Agent on the Closing Date and after consultation with the Issuers, the Agent may, in its sole discretion, but shall not be obligated to, make available to the Issuers a corresponding amount on the Closing Date. If such corresponding amount is not in fact made available to the Agent by such Purchaser, the Agent shall be entitled to recover such corresponding amount following demand from such Purchaser together with interest thereon, for each day from the Closing Date until the date such amount is paid to the Agent, at the Federal Funds Rate for three (3) Business Days and thereafter at the Base Rate. If such Purchaser does not pay such corresponding amount forthwith following the Agent’s demand therefor, the Agent shall promptly notify the Issuers and the Issuers shall immediately pay such corresponding amount to the Agent together with interest thereon, for each day from the Closing Date until the date such amount is paid to the Agent, at the Base Rate. Nothing in this </w:t>
      </w:r>
      <w:r>
        <w:rPr>
          <w:rFonts w:ascii="Times New Roman" w:hAnsi="Times New Roman"/>
          <w:sz w:val="20"/>
          <w:u w:val="single"/>
        </w:rPr>
        <w:t>Section 2.04</w:t>
      </w:r>
      <w:r>
        <w:rPr>
          <w:rFonts w:ascii="Times New Roman" w:hAnsi="Times New Roman"/>
          <w:sz w:val="20"/>
        </w:rPr>
        <w:t xml:space="preserve"> shall be deemed to prejudice any rights that the Issuers may have against any Purchaser as a result of any default by such Purchaser 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Protective Advances</w:t>
      </w:r>
      <w:r>
        <w:rPr>
          <w:rFonts w:ascii="Times New Roman" w:hAnsi="Times New Roman"/>
          <w:sz w:val="20"/>
        </w:rPr>
        <w:t xml:space="preserve">. Notwithstanding any provision of this Agreement and any other Note Document to the contrary, each Purchaser, in its sole discretion, shall have the right, but not any obligation, and is irrevocably authorized by the Issuers, at any time that a Note Party fails to do so within five (5) Business Days of receipt by the DST Issuer of prior written notice from such Purchaser or the Agent, to make Protective Advances. In furtherance of the foregoing, the Issuers irrevocably authorize disbursement of any such funds by such Purchaser, by way of direct payment of the relevant amount. Any Purchaser funding a Protective Advance shall notify the Agent of the amount of such Protective Advance within one (1) Business Day of the making of such advance. Each Purchaser shall be reimbursed for all Protective Advances in accordance with </w:t>
      </w:r>
      <w:r>
        <w:rPr>
          <w:rFonts w:ascii="Times New Roman" w:hAnsi="Times New Roman"/>
          <w:sz w:val="20"/>
          <w:u w:val="single"/>
        </w:rPr>
        <w:t>Section 3.04(g)</w:t>
      </w:r>
      <w:r>
        <w:rPr>
          <w:rFonts w:ascii="Times New Roman" w:hAnsi="Times New Roman"/>
          <w:sz w:val="20"/>
        </w:rPr>
        <w:t xml:space="preserve"> or otherwise in accordance with any equity contributions pursuant to </w:t>
      </w:r>
      <w:r>
        <w:rPr>
          <w:rFonts w:ascii="Times New Roman" w:hAnsi="Times New Roman"/>
          <w:sz w:val="20"/>
          <w:u w:val="single"/>
        </w:rPr>
        <w:t>Section 3.03(g)</w:t>
      </w:r>
      <w:r>
        <w:rPr>
          <w:rFonts w:ascii="Times New Roman" w:hAnsi="Times New Roman"/>
          <w:sz w:val="20"/>
        </w:rPr>
        <w:t xml:space="preserve">, and any Protective Advances shall automatically on the date of the advance be deemed to increase the outstanding Principal Amount of the Notes by an amount equal to the amount of such Protective Advance and bear interest at the Applicable Rate from and including the date the Protective Advance is made by any such Purchaser to (but excluding) the date it is repaid. No Protective Advance by any Purchaser shall be construed as a waiver by any Purchaser of any Default or Event of Default or any of the rights or remedies of any Purchaser. </w:t>
      </w:r>
    </w:p>
    <w:p>
      <w:pPr>
        <w:pStyle w:val="TextBody"/>
        <w:bidi w:val="0"/>
        <w:spacing w:before="240" w:after="0"/>
        <w:jc w:val="both"/>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Representations and Warranties of Purchasers</w:t>
      </w:r>
      <w:r>
        <w:rPr>
          <w:rFonts w:ascii="Times New Roman" w:hAnsi="Times New Roman"/>
          <w:sz w:val="20"/>
        </w:rPr>
        <w:t xml:space="preserve">. Each Purchaser, by acceptance of a Note, hereby represents and warrants on the Closing Date as follows: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Accredited Purchaser</w:t>
      </w:r>
      <w:r>
        <w:rPr>
          <w:rFonts w:ascii="Times New Roman" w:hAnsi="Times New Roman"/>
          <w:sz w:val="20"/>
        </w:rPr>
        <w:t xml:space="preserve">. It is (i) an “accredited investor” as defined in Rule 501(a) of Regulation D promulgated under the Securities Act and an “Institutional Account” as defined in FINRA Rule 4512(c) or a “qualified institutional buyer” within the meaning of such term as set forth in Rule 144A(a)(1) under the Securities Act and (ii) has such knowledge, skill, sophistication and experience in business and financial matters, based on actual participation, that it is capable of evaluating the merits and risks of the purchase and sale of the Notes from the Issuers and the suitability thereof for such Purchaser. It is specifically understood and agreed that such Purchaser is acquiring the Notes for the purpose of investment and not with a view towards the sale or distribution thereof within the meaning of the Securities Act and it is acquiring the Notes only for its own account and not for the account of others, or if such Purchaser is subscribing for the Notes as a fiduciary or agent for one or more investor accounts, such Purchaser has full investment discretion with respect to such account, and the full power and authority to make the acknowledgments, representations and agreements herein on behalf of each owner of each such account.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Registration</w:t>
      </w:r>
      <w:r>
        <w:rPr>
          <w:rFonts w:ascii="Times New Roman" w:hAnsi="Times New Roman"/>
          <w:sz w:val="20"/>
        </w:rPr>
        <w:t xml:space="preserve">. It understands that the Notes will not be registered under the Securities Act by reason of their issuance by the Issuers in a transaction exempt from the registration requirements of the Securities Act and that it may have to hold the Notes indefinitely unless a subsequent disposition thereof is registered under the Securities Act and applicable state securities laws or is exempt from registration or qualification by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Existence, Good Standing, and Power and Authority</w:t>
      </w:r>
      <w:r>
        <w:rPr>
          <w:rFonts w:ascii="Times New Roman" w:hAnsi="Times New Roman"/>
          <w:sz w:val="20"/>
        </w:rPr>
        <w:t xml:space="preserve">. It (i) is duly organized, validly existing and in good standing under the laws of its jurisdiction of organization, incorporation or formation and (ii) has full power and authority to enter into this Agreement. This Agreement, when executed and delivered by it, will constitute valid and legally binding obligations of each Purchaser, enforceable in accordance with their terms, except as limited by applicable bankruptcy, insolvency, reorganization, moratorium, fraudulent transfer, and other Laws affecting creditors’ rights generally, general equitable principles and principles of public policy.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Satisfaction of Conditions</w:t>
      </w:r>
      <w:r>
        <w:rPr>
          <w:rFonts w:ascii="Times New Roman" w:hAnsi="Times New Roman"/>
          <w:sz w:val="20"/>
        </w:rPr>
        <w:t xml:space="preserve">. Such Purchaser further understands that the exemption from registration afforded by Rule 144 promulgated under the Securities Act depends on the satisfaction of various conditions, and that, if applicable, Rule 144 may afford the basis for sales only in limited amounts.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Investor Representations</w:t>
      </w:r>
      <w:r>
        <w:rPr>
          <w:rFonts w:ascii="Times New Roman" w:hAnsi="Times New Roman"/>
          <w:sz w:val="20"/>
        </w:rPr>
        <w:t xml:space="preserve">. Such Purchaser (i) is an institutional account as defined in FINRA Rule 4512(c), (ii) is a sophisticated investor, experienced in investing in equity transactions that are not registered under the Securities Act, and capable of evaluating investment risks independently, both in general and with regard to all transactions and investment strategies involving a security or securities and (iii) has exercised independent judgment in evaluating its participation in the purchase of the Notes.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Opportunity to Review</w:t>
      </w:r>
      <w:r>
        <w:rPr>
          <w:rFonts w:ascii="Times New Roman" w:hAnsi="Times New Roman"/>
          <w:sz w:val="20"/>
        </w:rPr>
        <w:t xml:space="preserve">. In making its decision to purchase the Notes such Purchaser has relied solely upon independent investigation made by such Purchaser and each Issuer’s representations and warranties in </w:t>
      </w:r>
      <w:r>
        <w:rPr>
          <w:rFonts w:ascii="Times New Roman" w:hAnsi="Times New Roman"/>
          <w:sz w:val="20"/>
          <w:u w:val="single"/>
        </w:rPr>
        <w:t>Article VI</w:t>
      </w:r>
      <w:r>
        <w:rPr>
          <w:rFonts w:ascii="Times New Roman" w:hAnsi="Times New Roman"/>
          <w:sz w:val="20"/>
        </w:rPr>
        <w:t xml:space="preserve"> and covenants contained herein and in the other Transaction Documents. Such Purchaser acknowledges and agrees that such Purchaser has received, and has had an adequate opportunity to review, such information as such Purchaser deems necessary in order to make an investment decision with respect to the Notes, including with respect to the Issuers and the Transactions. Such Purchaser represents and agrees that such Purchaser and such Purchaser’s professional advisor(s), if any, have had the full opportunity to ask such questions, receive such answers and obtain such information as such Purchaser and such undersigned’s professional advisor(s), if any, have deemed necessary to make an investment decision with respect to the Notes.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Risk Analysis</w:t>
      </w:r>
      <w:r>
        <w:rPr>
          <w:rFonts w:ascii="Times New Roman" w:hAnsi="Times New Roman"/>
          <w:sz w:val="20"/>
        </w:rPr>
        <w:t xml:space="preserve">. Such Purchaser has analyzed and considered the risks of an investment in the Notes and determined that the Notes are a suitable investment for such Purchaser and that such Purchaser is able at this time and in the foreseeable future to bear the economic risk of a total loss of such Purchaser’s investment in the Issuers. Such Purchaser acknowledges specifically that a possibility of total loss exists.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w:t>
      </w:r>
    </w:p>
    <w:p>
      <w:pPr>
        <w:pStyle w:val="TextBody"/>
        <w:bidi w:val="0"/>
        <w:spacing w:before="240" w:after="0"/>
        <w:jc w:val="both"/>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Payment of the Notes</w:t>
      </w:r>
      <w:r>
        <w:rPr>
          <w:rFonts w:ascii="Times New Roman" w:hAnsi="Times New Roman"/>
          <w:sz w:val="20"/>
        </w:rPr>
        <w:t xml:space="preserve">. The Issuers shall repay the Notes pursuant to and in accordance with the terms of this Agreement. The aggregate outstanding Principal Amount of the Notes shall be due and payable in full in cash on the Maturity Date. All other Obligations (including any accrued and unpaid interest and the Yield Maintenance Premium (if any)) shall be due and payable in full in cash on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Interest on the Notes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Subject to this </w:t>
      </w:r>
      <w:r>
        <w:rPr>
          <w:rFonts w:ascii="Times New Roman" w:hAnsi="Times New Roman"/>
          <w:sz w:val="20"/>
          <w:u w:val="single"/>
        </w:rPr>
        <w:t>Section 3.02</w:t>
      </w:r>
      <w:r>
        <w:rPr>
          <w:rFonts w:ascii="Times New Roman" w:hAnsi="Times New Roman"/>
          <w:sz w:val="20"/>
        </w:rPr>
        <w:t xml:space="preserve">, each Note shall bear interest on the outstanding Principal Amount thereof from the Closing Date until the date of repayment (whether by prepayment, acceleration or otherwise) at the Applicable Rate. On each Payment Date, the Issuers agree to pay the accrued and unpaid interest in cash from the immediately preceding Payment Date (or, in the case of the first such Payment Date (i.e., the first Payment Date occurring after the Closing Date), the Closing Date) to (but excluding) the current Payment Date for the account of the Purchasers. Interest accrued on the Notes shall be payable in arrears to the Agent, for the ratable benefit of the Purchasers, in cash on each Payment Date and distributed in accordance with </w:t>
      </w:r>
      <w:r>
        <w:rPr>
          <w:rFonts w:ascii="Times New Roman" w:hAnsi="Times New Roman"/>
          <w:sz w:val="20"/>
          <w:u w:val="single"/>
        </w:rPr>
        <w:t>Section 3.04</w:t>
      </w:r>
      <w:r>
        <w:rPr>
          <w:rFonts w:ascii="Times New Roman" w:hAnsi="Times New Roman"/>
          <w:sz w:val="20"/>
        </w:rPr>
        <w:t xml:space="preserve"> and, with respect to any Triggering Event on the date of such prepayment, in an amount equal to the accrued and unpaid interest on the amount so prepaid to the date of prepayment in accordance with </w:t>
      </w:r>
      <w:r>
        <w:rPr>
          <w:rFonts w:ascii="Times New Roman" w:hAnsi="Times New Roman"/>
          <w:sz w:val="20"/>
          <w:u w:val="single"/>
        </w:rPr>
        <w:t>Section 3.06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 xml:space="preserve">(i) in the event the funds on deposit in the Collection Account applied pursuant to </w:t>
      </w:r>
      <w:r>
        <w:rPr>
          <w:rFonts w:ascii="Times New Roman" w:hAnsi="Times New Roman"/>
          <w:sz w:val="20"/>
          <w:u w:val="single"/>
        </w:rPr>
        <w:t>Section 3.04(f)</w:t>
      </w:r>
      <w:r>
        <w:rPr>
          <w:rFonts w:ascii="Times New Roman" w:hAnsi="Times New Roman"/>
          <w:sz w:val="20"/>
        </w:rPr>
        <w:t xml:space="preserve"> are insufficient to pay all amounts of interest due on the outstanding Protective Advance Amounts in cash on such Payment Date (such cash payment shortfall, the “</w:t>
      </w:r>
      <w:r>
        <w:rPr>
          <w:rFonts w:ascii="Times New Roman" w:hAnsi="Times New Roman"/>
          <w:sz w:val="20"/>
          <w:u w:val="single"/>
        </w:rPr>
        <w:t>Protective Advance Deficiency Amount</w:t>
      </w:r>
      <w:r>
        <w:rPr>
          <w:rFonts w:ascii="Times New Roman" w:hAnsi="Times New Roman"/>
          <w:sz w:val="20"/>
        </w:rPr>
        <w:t xml:space="preserve">”), then any such Protective Advance Deficiency Amount shall be paid in kind by increasing the outstanding Principal Amount of the Notes on such Payment Date by an amount equal to the Protective Advance Deficiency Amount for the applicable Payment Date which amount so capitalized shall be deemed a Protective Advance Amount and bear interest at the Applicable Rate for Protective Advance Amounts; and </w:t>
      </w:r>
    </w:p>
    <w:p>
      <w:pPr>
        <w:pStyle w:val="TextBody"/>
        <w:bidi w:val="0"/>
        <w:spacing w:before="120" w:after="0"/>
        <w:jc w:val="both"/>
        <w:rPr>
          <w:rFonts w:ascii="Times New Roman" w:hAnsi="Times New Roman"/>
          <w:sz w:val="20"/>
        </w:rPr>
      </w:pPr>
      <w:r>
        <w:rPr>
          <w:rFonts w:ascii="Times New Roman" w:hAnsi="Times New Roman"/>
          <w:sz w:val="20"/>
        </w:rPr>
        <w:t xml:space="preserve">(ii) in the event the funds on deposit in the Collection Account applied pursuant to </w:t>
      </w:r>
      <w:r>
        <w:rPr>
          <w:rFonts w:ascii="Times New Roman" w:hAnsi="Times New Roman"/>
          <w:sz w:val="20"/>
          <w:u w:val="single"/>
        </w:rPr>
        <w:t>Section 3.04(h)</w:t>
      </w:r>
      <w:r>
        <w:rPr>
          <w:rFonts w:ascii="Times New Roman" w:hAnsi="Times New Roman"/>
          <w:sz w:val="20"/>
        </w:rPr>
        <w:t xml:space="preserve"> are insufficient to pay all amounts of interest due on the outstanding Principal Amount of the Notes (other than Protective Advance Amounts) in cash on such Payment Date (such cash payment shortfall, the “</w:t>
      </w:r>
      <w:r>
        <w:rPr>
          <w:rFonts w:ascii="Times New Roman" w:hAnsi="Times New Roman"/>
          <w:sz w:val="20"/>
          <w:u w:val="single"/>
        </w:rPr>
        <w:t>Deficiency Amount</w:t>
      </w:r>
      <w:r>
        <w:rPr>
          <w:rFonts w:ascii="Times New Roman" w:hAnsi="Times New Roman"/>
          <w:sz w:val="20"/>
        </w:rPr>
        <w:t xml:space="preserve">”), then any such Deficiency Amount shall be paid in kind by increasing the outstanding Principal Amount of the Notes on such Payment Date by an amount equal to the Deficiency Amount for the applicable Payment Date. </w:t>
      </w:r>
    </w:p>
    <w:p>
      <w:pPr>
        <w:pStyle w:val="TextBody"/>
        <w:bidi w:val="0"/>
        <w:spacing w:before="240" w:after="0"/>
        <w:jc w:val="both"/>
        <w:rPr>
          <w:rFonts w:ascii="Times New Roman" w:hAnsi="Times New Roman"/>
          <w:sz w:val="20"/>
        </w:rPr>
      </w:pPr>
      <w:r>
        <w:rPr>
          <w:rFonts w:ascii="Times New Roman" w:hAnsi="Times New Roman"/>
          <w:sz w:val="20"/>
        </w:rPr>
        <w:t xml:space="preserve">Any such Protective Advance Deficiency Amounts and/or Deficiency Amounts that are so capitalized in accordance with the preceding </w:t>
      </w:r>
      <w:r>
        <w:rPr>
          <w:rFonts w:ascii="Times New Roman" w:hAnsi="Times New Roman"/>
          <w:sz w:val="20"/>
          <w:u w:val="single"/>
        </w:rPr>
        <w:t>clause (i)</w:t>
      </w:r>
      <w:r>
        <w:rPr>
          <w:rFonts w:ascii="Times New Roman" w:hAnsi="Times New Roman"/>
          <w:sz w:val="20"/>
        </w:rPr>
        <w:t xml:space="preserve"> and/or </w:t>
      </w:r>
      <w:r>
        <w:rPr>
          <w:rFonts w:ascii="Times New Roman" w:hAnsi="Times New Roman"/>
          <w:sz w:val="20"/>
          <w:u w:val="single"/>
        </w:rPr>
        <w:t>(ii)</w:t>
      </w:r>
      <w:r>
        <w:rPr>
          <w:rFonts w:ascii="Times New Roman" w:hAnsi="Times New Roman"/>
          <w:sz w:val="20"/>
        </w:rPr>
        <w:t xml:space="preserve"> shall thereafter bear interest in accordance with this </w:t>
      </w:r>
      <w:r>
        <w:rPr>
          <w:rFonts w:ascii="Times New Roman" w:hAnsi="Times New Roman"/>
          <w:sz w:val="20"/>
          <w:u w:val="single"/>
        </w:rPr>
        <w:t>Section 3.02</w:t>
      </w:r>
      <w:r>
        <w:rPr>
          <w:rFonts w:ascii="Times New Roman" w:hAnsi="Times New Roman"/>
          <w:sz w:val="20"/>
        </w:rPr>
        <w:t xml:space="preserve"> from and including the date such Protective Advance Deficiency Amount and/or Deficiency Amount is capitalized and added to the outstanding Principal Amount of the Notes. </w:t>
      </w:r>
    </w:p>
    <w:p>
      <w:pPr>
        <w:pStyle w:val="TextBody"/>
        <w:bidi w:val="0"/>
        <w:spacing w:before="120" w:after="0"/>
        <w:jc w:val="both"/>
        <w:rPr>
          <w:rFonts w:ascii="Times New Roman" w:hAnsi="Times New Roman"/>
          <w:sz w:val="20"/>
        </w:rPr>
      </w:pPr>
      <w:r>
        <w:rPr>
          <w:rFonts w:ascii="Times New Roman" w:hAnsi="Times New Roman"/>
          <w:sz w:val="20"/>
        </w:rPr>
        <w:t xml:space="preserve">(b) Effective (i) automatically upon the occurrence of an Event of Default pursuant to </w:t>
      </w:r>
      <w:r>
        <w:rPr>
          <w:rFonts w:ascii="Times New Roman" w:hAnsi="Times New Roman"/>
          <w:sz w:val="20"/>
          <w:u w:val="single"/>
        </w:rPr>
        <w:t>Section 9.01(a)</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and (ii) otherwise, upon the delivery of a written notice by the Agent (at the direction of the Requisite Purchasers) upon the occurrence and during the continuance of any other Event of Default, the outstanding Principal Amount of the Notes and all other Obligations shall bear interest at the Default Rate, from the date of occurrence of such Event of Default until no Event of Default is then continuing and all interest accrued during such period shall be payable in cash on the next Payment Date to the Agent, for the ratable benefit of the Purchasers in accordance with </w:t>
      </w:r>
      <w:r>
        <w:rPr>
          <w:rFonts w:ascii="Times New Roman" w:hAnsi="Times New Roman"/>
          <w:sz w:val="20"/>
          <w:u w:val="single"/>
        </w:rPr>
        <w:t>Section 3.04</w:t>
      </w:r>
      <w:r>
        <w:rPr>
          <w:rFonts w:ascii="Times New Roman" w:hAnsi="Times New Roman"/>
          <w:sz w:val="20"/>
        </w:rPr>
        <w:t xml:space="preserve">. Payment or acceptance of the increased rates of interest provided for in this </w:t>
      </w:r>
      <w:r>
        <w:rPr>
          <w:rFonts w:ascii="Times New Roman" w:hAnsi="Times New Roman"/>
          <w:sz w:val="20"/>
          <w:u w:val="single"/>
        </w:rPr>
        <w:t>Section 3.02(b)</w:t>
      </w:r>
      <w:r>
        <w:rPr>
          <w:rFonts w:ascii="Times New Roman" w:hAnsi="Times New Roman"/>
          <w:sz w:val="20"/>
        </w:rPr>
        <w:t xml:space="preserve"> is not a permitted alternative to timely payment and shall not constitute a waiver of any Default or Event of Default or otherwise prejudice or limit any rights or remedies of the Agent or any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Interest payable pursuant to the terms of the Note Documents shall be computed on the basis of a three hundred sixty (360)-day year of twelve (12) thirty (30)-day months based on actual days elapsed. In computing interest accruing on the outstanding Principal Amount of any Note, the Closing Date shall be included and the date of payment of such Note shall be excluded; </w:t>
      </w:r>
      <w:r>
        <w:rPr>
          <w:rFonts w:ascii="Times New Roman" w:hAnsi="Times New Roman"/>
          <w:sz w:val="20"/>
          <w:u w:val="single"/>
        </w:rPr>
        <w:t>provided</w:t>
      </w:r>
      <w:r>
        <w:rPr>
          <w:rFonts w:ascii="Times New Roman" w:hAnsi="Times New Roman"/>
          <w:sz w:val="20"/>
        </w:rPr>
        <w:t xml:space="preserve">, that if a Note is repaid on the same day on which it is made, one (1) day’s interest shall be paid on that Note. In computing interest accruing on any Protective Advance, the date such Protective Advance is made shall be included, and the date such Protective Advance is paid shall be excluded; </w:t>
      </w:r>
      <w:r>
        <w:rPr>
          <w:rFonts w:ascii="Times New Roman" w:hAnsi="Times New Roman"/>
          <w:sz w:val="20"/>
          <w:u w:val="single"/>
        </w:rPr>
        <w:t>provided</w:t>
      </w:r>
      <w:r>
        <w:rPr>
          <w:rFonts w:ascii="Times New Roman" w:hAnsi="Times New Roman"/>
          <w:sz w:val="20"/>
        </w:rPr>
        <w:t xml:space="preserve">, that if a Protective Advance is repaid on the same day on which it is made, one (1) day’s interest shall be paid on that Protective Advance. In computing interest accruing on any other Obligations, the date such other Obligations are due and payable shall be included, and the date of payment of such other Obligation in cash in immediately available funds in Dollars shall be excluded; </w:t>
      </w:r>
      <w:r>
        <w:rPr>
          <w:rFonts w:ascii="Times New Roman" w:hAnsi="Times New Roman"/>
          <w:sz w:val="20"/>
          <w:u w:val="single"/>
        </w:rPr>
        <w:t>provided</w:t>
      </w:r>
      <w:r>
        <w:rPr>
          <w:rFonts w:ascii="Times New Roman" w:hAnsi="Times New Roman"/>
          <w:sz w:val="20"/>
        </w:rPr>
        <w:t xml:space="preserve">, if an Obligation is repaid in cash in Dollars on the same day on which it is made or extended, one (1) day’s interest shall be paid on that Obligation. </w:t>
      </w:r>
    </w:p>
    <w:p>
      <w:pPr>
        <w:pStyle w:val="TextBody"/>
        <w:bidi w:val="0"/>
        <w:spacing w:before="240" w:after="0"/>
        <w:jc w:val="both"/>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Collection Account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On or before the Closing Date, (i) the DST Issuer shall establish with the Account Bank the Collection Account and (ii) the DST Issuer and the Agent shall enter into a Control Agreement with the Account Bank with respect to the Collection Account. </w:t>
      </w:r>
    </w:p>
    <w:p>
      <w:pPr>
        <w:pStyle w:val="TextBody"/>
        <w:bidi w:val="0"/>
        <w:spacing w:before="120" w:after="0"/>
        <w:jc w:val="both"/>
        <w:rPr>
          <w:rFonts w:ascii="Times New Roman" w:hAnsi="Times New Roman"/>
          <w:sz w:val="20"/>
        </w:rPr>
      </w:pPr>
      <w:r>
        <w:rPr>
          <w:rFonts w:ascii="Times New Roman" w:hAnsi="Times New Roman"/>
          <w:sz w:val="20"/>
        </w:rPr>
        <w:t xml:space="preserve">(b) The DST Issuer shall be responsible for all fees, expenses and charges of the Account Bank pursuant to the terms of the Control Agreement and the other cash management agreements between the DST Issuer and Account Bank, as applicable, by ensuring sufficient funds are on deposit in the Collection Account when such fees, expenses and charges are due, subject to any applicable grace periods set forth in the Control Agreements. </w:t>
      </w:r>
    </w:p>
    <w:p>
      <w:pPr>
        <w:pStyle w:val="TextBody"/>
        <w:bidi w:val="0"/>
        <w:spacing w:before="120" w:after="0"/>
        <w:jc w:val="both"/>
        <w:rPr>
          <w:rFonts w:ascii="Times New Roman" w:hAnsi="Times New Roman"/>
          <w:sz w:val="20"/>
        </w:rPr>
      </w:pPr>
      <w:r>
        <w:rPr>
          <w:rFonts w:ascii="Times New Roman" w:hAnsi="Times New Roman"/>
          <w:sz w:val="20"/>
        </w:rPr>
        <w:t xml:space="preserve">(c) Prior to Payment in Full, the DST Issuer shall have no right to terminate or replace the Collection Account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(d) For purposes of this Agreement, any reference to the “Collection Account”, “Control Agreement”, or “Account Bank” shall refer to such replacement or successor Collection Account, Control Agreement, or Account Bank as the context requires from time to time. </w:t>
      </w:r>
    </w:p>
    <w:p>
      <w:pPr>
        <w:pStyle w:val="TextBody"/>
        <w:bidi w:val="0"/>
        <w:spacing w:before="120" w:after="0"/>
        <w:jc w:val="both"/>
        <w:rPr>
          <w:rFonts w:ascii="Times New Roman" w:hAnsi="Times New Roman"/>
          <w:sz w:val="20"/>
        </w:rPr>
      </w:pPr>
      <w:r>
        <w:rPr>
          <w:rFonts w:ascii="Times New Roman" w:hAnsi="Times New Roman"/>
          <w:sz w:val="20"/>
        </w:rPr>
        <w:t xml:space="preserve">(e) With respect to the Collaboration Agreement, on or before the Closing Date, the Issuers shall cause TBIL and TBUS to deliver an irrevocable instruction letter substantially in the form of </w:t>
      </w:r>
      <w:r>
        <w:rPr>
          <w:rFonts w:ascii="Times New Roman" w:hAnsi="Times New Roman"/>
          <w:sz w:val="20"/>
          <w:u w:val="single"/>
        </w:rPr>
        <w:t>Exhibit C</w:t>
      </w:r>
      <w:r>
        <w:rPr>
          <w:rFonts w:ascii="Times New Roman" w:hAnsi="Times New Roman"/>
          <w:sz w:val="20"/>
        </w:rPr>
        <w:t xml:space="preserve"> (any such instruction letter, an “</w:t>
      </w:r>
      <w:r>
        <w:rPr>
          <w:rFonts w:ascii="Times New Roman" w:hAnsi="Times New Roman"/>
          <w:sz w:val="20"/>
          <w:u w:val="single"/>
        </w:rPr>
        <w:t>Instruction Letter</w:t>
      </w:r>
      <w:r>
        <w:rPr>
          <w:rFonts w:ascii="Times New Roman" w:hAnsi="Times New Roman"/>
          <w:sz w:val="20"/>
        </w:rPr>
        <w:t xml:space="preserve">”) to the Collaboration Partner notifying the Collaboration Partner of the assignment of the Collaboration Agreement to the DST Issuer, directing that for so long as the Obligations remain outstanding all payments that are due and payable to the DST Issuer in respect of or derived from the Collaboration Agreement shall be paid directly into the Collection Account and naming the Agent as a third-party beneficiary of such Instruction Letter. It is understood and agreed that, if the Closing Date occurs prior to September 30, 2026, all amounts payable under the Collaboration Agreement in respect of such Calendar Quarter ending on September 30, 2026 shall, when paid, be deposited into the Collection Account for the benefit of the DST Issuer and distributed in accordance with </w:t>
      </w:r>
      <w:r>
        <w:rPr>
          <w:rFonts w:ascii="Times New Roman" w:hAnsi="Times New Roman"/>
          <w:sz w:val="20"/>
          <w:u w:val="single"/>
        </w:rPr>
        <w:t>Section 3.04</w:t>
      </w:r>
      <w:r>
        <w:rPr>
          <w:rFonts w:ascii="Times New Roman" w:hAnsi="Times New Roman"/>
          <w:sz w:val="20"/>
        </w:rPr>
        <w:t xml:space="preserve">, including any portion thereof attributable to periods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(f) To the extent all or any portion of the amounts payable to the DST Issuer under the Collaboration Agreement are not paid directly into the Collection Account, the Issuers shall (i) remit, or cause to be remitted, to the Collection Account the entire amount of such misdirected funds (without deduction, withholding, Set-Off or counterclaim and prior to the payment of any Taxes) within five (5) Business Days of receipt of any such funds, (ii) promptly instruct the Collaboration Partner and all other Account Debtors to remit any future payments to the Collection Account and (iii) promptly provide to the Agent copies of all such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Deposits made into the Collection Account shall be limited to amounts deposited therein by the Note Parties, the Parent, any Bad Acts Guarantor, the Servicer, the Seller, any of their respective Affiliates or any Account Debtor in accordance with this Agreement. Each of the Parent, TBPH and TBIL may, but is not obligated to, make capital contributions to the DST Issuer for deposit into the Collection Account that may be used to (i) pay any share of negative Operating Profit (Loss) that is due and payable by the DST Issuer under the Collaboration Agreement, (ii) pay any fees, costs and expenses incurred by the DST Issuer pursuant to </w:t>
      </w:r>
      <w:r>
        <w:rPr>
          <w:rFonts w:ascii="Times New Roman" w:hAnsi="Times New Roman"/>
          <w:sz w:val="20"/>
          <w:u w:val="single"/>
        </w:rPr>
        <w:t>Section 7.05</w:t>
      </w:r>
      <w:r>
        <w:rPr>
          <w:rFonts w:ascii="Times New Roman" w:hAnsi="Times New Roman"/>
          <w:sz w:val="20"/>
        </w:rPr>
        <w:t xml:space="preserve"> that are then due and payable, (iii) fund the Collection Account in such amount to satisfy the Minimum Own-Funds Property Amount requirement and (iv) repay all or any portion of any Protective Advance Amounts and accrued and unpaid interest thereon. </w:t>
      </w:r>
    </w:p>
    <w:p>
      <w:pPr>
        <w:pStyle w:val="TextBody"/>
        <w:bidi w:val="0"/>
        <w:spacing w:before="120" w:after="0"/>
        <w:jc w:val="both"/>
        <w:rPr>
          <w:rFonts w:ascii="Times New Roman" w:hAnsi="Times New Roman"/>
          <w:sz w:val="20"/>
        </w:rPr>
      </w:pPr>
      <w:r>
        <w:rPr>
          <w:rFonts w:ascii="Times New Roman" w:hAnsi="Times New Roman"/>
          <w:sz w:val="20"/>
        </w:rPr>
        <w:t xml:space="preserve">(h) The Account Bank shall have the sole and exclusive right to withdraw or order a transfer of funds from the Collection Account, in all events in accordance with the terms and provisions of this Agreement and the Control Agreement. </w:t>
      </w:r>
    </w:p>
    <w:p>
      <w:pPr>
        <w:pStyle w:val="TextBody"/>
        <w:bidi w:val="0"/>
        <w:spacing w:before="120" w:after="0"/>
        <w:jc w:val="both"/>
        <w:rPr>
          <w:rFonts w:ascii="Times New Roman" w:hAnsi="Times New Roman"/>
          <w:sz w:val="20"/>
        </w:rPr>
      </w:pPr>
      <w:r>
        <w:rPr>
          <w:rFonts w:ascii="Times New Roman" w:hAnsi="Times New Roman"/>
          <w:sz w:val="20"/>
        </w:rPr>
        <w:t xml:space="preserve">(i) Any deposit made into the Collection Account hereunder shall be irrevocable, and the amount of such deposit and any money, instruments, investment property or other property on deposit in, carried in or credited to the Collection Account hereunder and all interest thereon shall be applied solely as provided herein. </w:t>
      </w:r>
    </w:p>
    <w:p>
      <w:pPr>
        <w:pStyle w:val="TextBody"/>
        <w:bidi w:val="0"/>
        <w:spacing w:before="240" w:after="0"/>
        <w:jc w:val="both"/>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Promise to Pay; Manner of Payment</w:t>
      </w:r>
      <w:r>
        <w:rPr>
          <w:rFonts w:ascii="Times New Roman" w:hAnsi="Times New Roman"/>
          <w:sz w:val="20"/>
        </w:rPr>
        <w:t>. On each Payment Date, payments shall be made by Account Bank on the joint written instruction of the Agent (acting on the instructions of the Requisite Purchasers) and the DST Issuer or the Servicer on its behalf (or, if any Default or Event of Default has occurred and is continuing or a Payment Dispute then exists as notified to the Account Bank by the Agent (acting on the instructions of the Requisite Purchasers), at the sole written instruction of the Requisite Purchasers), in each case, in substantially the form attached as Exhibit H (the “</w:t>
      </w:r>
      <w:r>
        <w:rPr>
          <w:rFonts w:ascii="Times New Roman" w:hAnsi="Times New Roman"/>
          <w:sz w:val="20"/>
          <w:u w:val="single"/>
        </w:rPr>
        <w:t>Payment Instruction</w:t>
      </w:r>
      <w:r>
        <w:rPr>
          <w:rFonts w:ascii="Times New Roman" w:hAnsi="Times New Roman"/>
          <w:sz w:val="20"/>
        </w:rPr>
        <w:t xml:space="preserve">”) and delivered to Account Bank at least four (4) Business Days (or such shorter period as the Account Bank may reasonably agree) prior to the relevant Payment Date, from the Collection Account to the extent there are available funds in the Collection Account that, other than during the continuance of an Event of Default, are in excess of the Minimum Own-Funds Property Amount, which funds shall be applied by the Account Bank as set forth in the Payment Instruction for the relevant Collection Period in the following order of priority: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the Account Bank, an amount equal to any accrued and unpaid fees, expenses, indemnities or other amounts due and owing to the Account Bank to the extent not previously debited by the Account Bank from amounts in the Collection Account, in an aggregate amount not to exceed $75,000 in any twelve month period (commencing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any applicable Governmental Authority, an amount equal to all Taxes, filing fees and registration fees (excluding in each case federal, state, local and foreign income Taxes and other Taxes measured by capital, profits, revenue, franchise, excess or similar Taxes) of the Issuers and their Subsidiaries owing to such Person (or will be due and owing in advance of the next Payment Date) to pay such Taxes or fees to maintain the Issuer’s or their Subsidiaries’ existence and good standing and all rights, privileges, permits, licenses and franchises in an aggregate amount not to exceed $100,000 in any calendar year;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(i) to the Agent any accrued and unpaid Agent Fees, (ii) to the Agent and the Account Bank, any expenses, indemnities or any other amount due and owing to the Agent and the Account Bank hereunder, under the Closing Date Fee Letters or under any other Note Document and (iii) to CSC the amount set forth in Sections 4 of each of the CSC Service Agreements and the annual fee under the heading “Fee Structure” set forth in the Delaware Trustee Fee Letter in an aggregate amount pursuant to this </w:t>
      </w:r>
      <w:r>
        <w:rPr>
          <w:rFonts w:ascii="Times New Roman" w:hAnsi="Times New Roman"/>
          <w:sz w:val="20"/>
          <w:u w:val="single"/>
        </w:rPr>
        <w:t>clause (iii)</w:t>
      </w:r>
      <w:r>
        <w:rPr>
          <w:rFonts w:ascii="Times New Roman" w:hAnsi="Times New Roman"/>
          <w:sz w:val="20"/>
        </w:rPr>
        <w:t xml:space="preserve"> not to exceed $12,000 in any twelve month period (commencing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fourth</w:t>
      </w:r>
      <w:r>
        <w:rPr>
          <w:rFonts w:ascii="Times New Roman" w:hAnsi="Times New Roman"/>
          <w:sz w:val="20"/>
        </w:rPr>
        <w:t xml:space="preserve">, to the Servicer, an amount equal to any accrued and unpaid Servicing Fees then due and owing;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fifth</w:t>
      </w:r>
      <w:r>
        <w:rPr>
          <w:rFonts w:ascii="Times New Roman" w:hAnsi="Times New Roman"/>
          <w:sz w:val="20"/>
        </w:rPr>
        <w:t xml:space="preserve">, to the Agent for distribution to the relevant Purchasers, an amount equal to any expenses and indemnities due and owing to such Purchasers hereunder (including, without limitation, </w:t>
      </w:r>
      <w:r>
        <w:rPr>
          <w:rFonts w:ascii="Times New Roman" w:hAnsi="Times New Roman"/>
          <w:sz w:val="20"/>
          <w:u w:val="single"/>
        </w:rPr>
        <w:t>Section 4.04</w:t>
      </w:r>
      <w:r>
        <w:rPr>
          <w:rFonts w:ascii="Times New Roman" w:hAnsi="Times New Roman"/>
          <w:sz w:val="20"/>
        </w:rPr>
        <w:t xml:space="preserve"> and </w:t>
      </w:r>
      <w:r>
        <w:rPr>
          <w:rFonts w:ascii="Times New Roman" w:hAnsi="Times New Roman"/>
          <w:sz w:val="20"/>
          <w:u w:val="single"/>
        </w:rPr>
        <w:t>Section 4.08</w:t>
      </w:r>
      <w:r>
        <w:rPr>
          <w:rFonts w:ascii="Times New Roman" w:hAnsi="Times New Roman"/>
          <w:sz w:val="20"/>
        </w:rPr>
        <w:t xml:space="preserve">) or under any of the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sixth</w:t>
      </w:r>
      <w:r>
        <w:rPr>
          <w:rFonts w:ascii="Times New Roman" w:hAnsi="Times New Roman"/>
          <w:sz w:val="20"/>
        </w:rPr>
        <w:t xml:space="preserve">, to the Agent for distribution to the relevant Purchasers, an amount equal to the sum of (i) any and all interest accrued on the outstanding Protective Advance Amounts held by each Purchaser that is due and payable in accordance with </w:t>
      </w:r>
      <w:r>
        <w:rPr>
          <w:rFonts w:ascii="Times New Roman" w:hAnsi="Times New Roman"/>
          <w:sz w:val="20"/>
          <w:u w:val="single"/>
        </w:rPr>
        <w:t>Section 3.02</w:t>
      </w:r>
      <w:r>
        <w:rPr>
          <w:rFonts w:ascii="Times New Roman" w:hAnsi="Times New Roman"/>
          <w:sz w:val="20"/>
        </w:rPr>
        <w:t xml:space="preserve"> and (ii) any additional amounts required to be paid by the Issuers pursuant to </w:t>
      </w:r>
      <w:r>
        <w:rPr>
          <w:rFonts w:ascii="Times New Roman" w:hAnsi="Times New Roman"/>
          <w:sz w:val="20"/>
          <w:u w:val="single"/>
        </w:rPr>
        <w:t>Section 4.01(a)</w:t>
      </w:r>
      <w:r>
        <w:rPr>
          <w:rFonts w:ascii="Times New Roman" w:hAnsi="Times New Roman"/>
          <w:sz w:val="20"/>
        </w:rPr>
        <w:t xml:space="preserve"> in respect of interest distributed under this </w:t>
      </w:r>
      <w:r>
        <w:rPr>
          <w:rFonts w:ascii="Times New Roman" w:hAnsi="Times New Roman"/>
          <w:sz w:val="20"/>
          <w:u w:val="single"/>
        </w:rPr>
        <w:t>Section 3.04(f)</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seventh</w:t>
      </w:r>
      <w:r>
        <w:rPr>
          <w:rFonts w:ascii="Times New Roman" w:hAnsi="Times New Roman"/>
          <w:sz w:val="20"/>
        </w:rPr>
        <w:t xml:space="preserve">, to the Agent for distribution to the relevant Purchasers, an amount equal to the outstanding Protective Advance Amounts held by each Purchaser;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eighth, </w:t>
      </w:r>
      <w:r>
        <w:rPr>
          <w:rFonts w:ascii="Times New Roman" w:hAnsi="Times New Roman"/>
          <w:sz w:val="20"/>
        </w:rPr>
        <w:t xml:space="preserve">to the extent such amount is positive, to the Agent for distribution to the relevant Purchasers, an amount equal to the sum of (i) the lesser of (A) 75% of the Yupelri Adjusted Net Profit and (B) the amount remaining available for distribution in the Collection Account, </w:t>
      </w:r>
      <w:r>
        <w:rPr>
          <w:rFonts w:ascii="Times New Roman" w:hAnsi="Times New Roman"/>
          <w:sz w:val="20"/>
          <w:u w:val="single"/>
        </w:rPr>
        <w:t>(ii)</w:t>
      </w:r>
      <w:r>
        <w:rPr>
          <w:rFonts w:ascii="Times New Roman" w:hAnsi="Times New Roman"/>
          <w:sz w:val="20"/>
        </w:rPr>
        <w:t xml:space="preserve"> any additional amounts required to be paid by the Issuers pursuant to </w:t>
      </w:r>
      <w:r>
        <w:rPr>
          <w:rFonts w:ascii="Times New Roman" w:hAnsi="Times New Roman"/>
          <w:sz w:val="20"/>
          <w:u w:val="single"/>
        </w:rPr>
        <w:t>Section 4.01(a)</w:t>
      </w:r>
      <w:r>
        <w:rPr>
          <w:rFonts w:ascii="Times New Roman" w:hAnsi="Times New Roman"/>
          <w:sz w:val="20"/>
        </w:rPr>
        <w:t xml:space="preserve"> in respect of interest distributed under this </w:t>
      </w:r>
      <w:r>
        <w:rPr>
          <w:rFonts w:ascii="Times New Roman" w:hAnsi="Times New Roman"/>
          <w:sz w:val="20"/>
          <w:u w:val="single"/>
        </w:rPr>
        <w:t>Section 3.04(h)</w:t>
      </w:r>
      <w:r>
        <w:rPr>
          <w:rFonts w:ascii="Times New Roman" w:hAnsi="Times New Roman"/>
          <w:sz w:val="20"/>
        </w:rPr>
        <w:t xml:space="preserve"> and (iii) the aggregate amount of any fees, expenses, indemnities or other amounts paid to Account Bank in excess of $75,000 in any twelve month period (commencing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ninth</w:t>
      </w:r>
      <w:r>
        <w:rPr>
          <w:rFonts w:ascii="Times New Roman" w:hAnsi="Times New Roman"/>
          <w:sz w:val="20"/>
        </w:rPr>
        <w:t xml:space="preserve">, to the Servicer, an amount equal to any accrued and unpaid Non-Shared Issuer Expenses Overage then due and owing to Servicer to the extent not paid under fourth above; </w:t>
      </w:r>
    </w:p>
    <w:p>
      <w:pPr>
        <w:pStyle w:val="TextBody"/>
        <w:bidi w:val="0"/>
        <w:spacing w:before="120" w:after="0"/>
        <w:jc w:val="both"/>
        <w:rPr>
          <w:rFonts w:ascii="Times New Roman" w:hAnsi="Times New Roman"/>
          <w:sz w:val="20"/>
        </w:rPr>
      </w:pPr>
      <w:r>
        <w:rPr>
          <w:rFonts w:ascii="Times New Roman" w:hAnsi="Times New Roman"/>
          <w:sz w:val="20"/>
        </w:rPr>
        <w:t xml:space="preserve">(j) </w:t>
      </w:r>
      <w:r>
        <w:rPr>
          <w:rFonts w:ascii="Times New Roman" w:hAnsi="Times New Roman"/>
          <w:i/>
          <w:sz w:val="20"/>
        </w:rPr>
        <w:t>tenth,</w:t>
      </w:r>
      <w:r>
        <w:rPr>
          <w:rFonts w:ascii="Times New Roman" w:hAnsi="Times New Roman"/>
          <w:sz w:val="20"/>
        </w:rPr>
        <w:t xml:space="preserve"> to any applicable Governmental Authority any amounts in excess of the cap under, and for purposes permitted by, the “</w:t>
      </w:r>
      <w:r>
        <w:rPr>
          <w:rFonts w:ascii="Times New Roman" w:hAnsi="Times New Roman"/>
          <w:i/>
          <w:sz w:val="20"/>
        </w:rPr>
        <w:t>second</w:t>
      </w:r>
      <w:r>
        <w:rPr>
          <w:rFonts w:ascii="Times New Roman" w:hAnsi="Times New Roman"/>
          <w:sz w:val="20"/>
        </w:rPr>
        <w:t xml:space="preserve">” step above; and </w:t>
      </w:r>
    </w:p>
    <w:p>
      <w:pPr>
        <w:pStyle w:val="TextBody"/>
        <w:bidi w:val="0"/>
        <w:spacing w:before="120" w:after="0"/>
        <w:jc w:val="both"/>
        <w:rPr>
          <w:rFonts w:ascii="Times New Roman" w:hAnsi="Times New Roman"/>
          <w:sz w:val="20"/>
        </w:rPr>
      </w:pPr>
      <w:r>
        <w:rPr>
          <w:rFonts w:ascii="Times New Roman" w:hAnsi="Times New Roman"/>
          <w:sz w:val="20"/>
        </w:rPr>
        <w:t xml:space="preserve">(k) </w:t>
      </w:r>
      <w:r>
        <w:rPr>
          <w:rFonts w:ascii="Times New Roman" w:hAnsi="Times New Roman"/>
          <w:i/>
          <w:sz w:val="20"/>
        </w:rPr>
        <w:t>eleventh</w:t>
      </w:r>
      <w:r>
        <w:rPr>
          <w:rFonts w:ascii="Times New Roman" w:hAnsi="Times New Roman"/>
          <w:sz w:val="20"/>
        </w:rPr>
        <w:t xml:space="preserve">, so long as no Default or Event of Default then exists, at the direction of the Issuers, any remaining available amounts, including releasing any such remaining available amounts to TBIL or any of TBIL’s Affiliates as designated by TBIL to the Issuers. </w:t>
      </w:r>
    </w:p>
    <w:p>
      <w:pPr>
        <w:pStyle w:val="TextBody"/>
        <w:bidi w:val="0"/>
        <w:spacing w:before="240" w:after="0"/>
        <w:jc w:val="both"/>
        <w:rPr>
          <w:rFonts w:ascii="Times New Roman" w:hAnsi="Times New Roman"/>
          <w:sz w:val="20"/>
        </w:rPr>
      </w:pPr>
      <w:r>
        <w:rPr>
          <w:rFonts w:ascii="Times New Roman" w:hAnsi="Times New Roman"/>
          <w:sz w:val="20"/>
        </w:rPr>
        <w:t>it being understood that the portion of the foregoing payment to the Agent for distribution to the relevant Purchasers under prong (i) of “</w:t>
      </w:r>
      <w:r>
        <w:rPr>
          <w:rFonts w:ascii="Times New Roman" w:hAnsi="Times New Roman"/>
          <w:i/>
          <w:sz w:val="20"/>
        </w:rPr>
        <w:t>eighth</w:t>
      </w:r>
      <w:r>
        <w:rPr>
          <w:rFonts w:ascii="Times New Roman" w:hAnsi="Times New Roman"/>
          <w:sz w:val="20"/>
        </w:rPr>
        <w:t>” above shall be applied: first, to any and all interest accrued on the outstanding Principal Amount of the Notes (other than that portion of the principal amount of the Notes constituting Protective Advances), second, to that portion of principal constituting Deficiency Amounts that have been capitalized in lieu of being paid when due in accordance with this Agreement and, last, to all remaining principal on the Notes and other Obligations and prong (ii) of “</w:t>
      </w:r>
      <w:r>
        <w:rPr>
          <w:rFonts w:ascii="Times New Roman" w:hAnsi="Times New Roman"/>
          <w:i/>
          <w:sz w:val="20"/>
        </w:rPr>
        <w:t>eighth</w:t>
      </w:r>
      <w:r>
        <w:rPr>
          <w:rFonts w:ascii="Times New Roman" w:hAnsi="Times New Roman"/>
          <w:sz w:val="20"/>
        </w:rPr>
        <w:t xml:space="preserve">” above shall be applied to any amounts required to be paid by the Issuers pursuant to </w:t>
      </w:r>
      <w:r>
        <w:rPr>
          <w:rFonts w:ascii="Times New Roman" w:hAnsi="Times New Roman"/>
          <w:sz w:val="20"/>
          <w:u w:val="single"/>
        </w:rPr>
        <w:t>Section 4.01(a)</w:t>
      </w:r>
      <w:r>
        <w:rPr>
          <w:rFonts w:ascii="Times New Roman" w:hAnsi="Times New Roman"/>
          <w:sz w:val="20"/>
        </w:rPr>
        <w:t xml:space="preserve"> in respect of interest distributed under </w:t>
      </w:r>
      <w:r>
        <w:rPr>
          <w:rFonts w:ascii="Times New Roman" w:hAnsi="Times New Roman"/>
          <w:sz w:val="20"/>
          <w:u w:val="single"/>
        </w:rPr>
        <w:t>Section 3.04(h)</w:t>
      </w:r>
      <w:r>
        <w:rPr>
          <w:rFonts w:ascii="Times New Roman" w:hAnsi="Times New Roman"/>
          <w:sz w:val="20"/>
        </w:rPr>
        <w:t>. To the extent due and payable on a date other than a Payment Date, amounts payable under “</w:t>
      </w:r>
      <w:r>
        <w:rPr>
          <w:rFonts w:ascii="Times New Roman" w:hAnsi="Times New Roman"/>
          <w:i/>
          <w:sz w:val="20"/>
        </w:rPr>
        <w:t>second</w:t>
      </w:r>
      <w:r>
        <w:rPr>
          <w:rFonts w:ascii="Times New Roman" w:hAnsi="Times New Roman"/>
          <w:sz w:val="20"/>
        </w:rPr>
        <w:t xml:space="preserve">” above may be paid by Account Bank on the joint written instruction of the Agent (acting on the instructions of the Requisite Purchasers) and the DST Issuer or the Servicer on its behalf or, if any Default or Event of Default has occurred and is continuing or a Payment Dispute then exists as notified to the Account Bank by the Agent (acting on the instructions of the Requisite Purchasers), at the sole written instruction of the Requisite Purchasers, from the Collection Account on the date such amounts are due. Notwithstanding the foregoing, so long as the Agent and Account Bank are Affiliates, in connection with any payment pursuant to this Section 3.04, no written instruction of the Agent need be provided to the Account Bank and the related written instruction of the Requisite Purchasers to the Agent shall be conclusive evidence that the Account Bank is authorized to make the payments contemplated by this </w:t>
      </w:r>
      <w:r>
        <w:rPr>
          <w:rFonts w:ascii="Times New Roman" w:hAnsi="Times New Roman"/>
          <w:sz w:val="20"/>
          <w:u w:val="single"/>
        </w:rPr>
        <w:t>Section 3.04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Notwithstanding anything to the contrary contained herein or in any other Note Document, any delivery, transmission or submission by the Agent (acting on the instructions of the Requisite Purchasers) or any Purchaser to the Account Bank of any Waterfall Report, payment instruction or related material, or any designation of, or service by, the Agent or any Purchaser as the contact for any verbal callback or other confirmation required by the Account Bank in connection therewith, shall be made solely as an accommodation to the Issuers and/or the Servicer and in reliance solely on information furnished by or on behalf of the Issuers and/or the Servicer, without any duty to verify, investigate, confirm or authenticate the accuracy, completeness, validity or authorization thereof. Neither the Agent nor any Purchaser, nor any of their respective officers, employees, representatives or any other Indemnitee, shall have any liability or responsibility whatsoever, whether in contract, tort, equity, statute or otherwise, for any error, omission, inaccuracy, misstatement, unauthorized instruction, misdirection, incorrect payment, failed payment, delayed payment, overpayment, underpayment or non-receipt of funds arising out of or relating to any such report, instruction, material or information (other than gross negligence or willful misconduct). To the fullest extent permitted by Applicable Law, the Issuers, the Servicer and each other Note Party hereby irrevocably, absolutely and unconditionally waive, release and agree not to sue the Agent, any Purchaser or any of their respective officers, employees, representatives or any other Indemnitee for any claims, demands, actions, losses, liabilities, damages, costs or expenses, whether direct, indirect, consequential or otherwise, known or unknown, accrued or unaccrued, arising out of or relating to any such report, instruction, material, information or related submission to the Account Bank or verbal callback or other confirmation with the Account Bank (other than gross negligence or willful misconduct); and no such delivery, transmission, submission, designation or service shall constitute any representation, warranty, certification, confirmation, adoption or approval by the Agent, any Purchaser or any such Indemnitee, and the Issuers, the Servicer and each other Note Party shall remain solely responsible therefor. </w:t>
      </w:r>
    </w:p>
    <w:p>
      <w:pPr>
        <w:pStyle w:val="TextBody"/>
        <w:bidi w:val="0"/>
        <w:spacing w:before="240" w:after="0"/>
        <w:jc w:val="both"/>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Optional Redemption</w:t>
      </w:r>
      <w:r>
        <w:rPr>
          <w:rFonts w:ascii="Times New Roman" w:hAnsi="Times New Roman"/>
          <w:sz w:val="20"/>
        </w:rPr>
        <w:t xml:space="preserve">. The Issuers may redeem all, but not part of the Notes, upon twenty (20) Business Days’ prior written notice, at a redemption price equal to the Prepayment Price. </w:t>
      </w:r>
    </w:p>
    <w:p>
      <w:pPr>
        <w:pStyle w:val="TextBody"/>
        <w:bidi w:val="0"/>
        <w:spacing w:before="240" w:after="0"/>
        <w:jc w:val="both"/>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Triggering Events</w:t>
      </w:r>
      <w:r>
        <w:rPr>
          <w:rFonts w:ascii="Times New Roman" w:hAnsi="Times New Roman"/>
          <w:sz w:val="20"/>
        </w:rPr>
        <w:t xml:space="preserve">. Whenever the Yield Maintenance Premium is in effect and payable pursuant to the terms hereof or any other Note Document, such Yield Maintenance Premium shall be payable on each payment or prepayment (excluding any payments made pursuant to </w:t>
      </w:r>
      <w:r>
        <w:rPr>
          <w:rFonts w:ascii="Times New Roman" w:hAnsi="Times New Roman"/>
          <w:sz w:val="20"/>
          <w:u w:val="single"/>
        </w:rPr>
        <w:t>Section 3.04(h)</w:t>
      </w:r>
      <w:r>
        <w:rPr>
          <w:rFonts w:ascii="Times New Roman" w:hAnsi="Times New Roman"/>
          <w:sz w:val="20"/>
        </w:rPr>
        <w:t xml:space="preserve">) of all or any portion of the Obligations, whether by optional redemption, acceleration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General Provisions Regarding Payments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u w:val="single"/>
        </w:rPr>
        <w:t>(a) Payments by the Issuers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The Issuers absolutely and unconditionally promise to pay, when due and payable pursuant hereto or thereto, all payments to be made by the Issuers (including principal, interest and all other amounts and Obligations payable hereunder or under any other Note Document), without any right of rescission and without any deduction whatsoever, including any deduction for Set-Off, recoupment or counterclaim, notwithstanding any damage to, defects in or destruction of the Collateral or any other event. All payments in respect of the Principal Amount of any Note shall be accompanied by payment of accrued interest on the Principal Amount being repaid or prepaid (and any additional amounts required by </w:t>
      </w:r>
      <w:r>
        <w:rPr>
          <w:rFonts w:ascii="Times New Roman" w:hAnsi="Times New Roman"/>
          <w:sz w:val="20"/>
          <w:u w:val="single"/>
        </w:rPr>
        <w:t>Section 4.01(a)</w:t>
      </w:r>
      <w:r>
        <w:rPr>
          <w:rFonts w:ascii="Times New Roman" w:hAnsi="Times New Roman"/>
          <w:sz w:val="20"/>
        </w:rPr>
        <w:t xml:space="preserve"> hereof) and the Yield Maintenance Premium, if applicable. The Issuers will pay principal, if any, interest and Yield Maintenance Premium or fees, if any, in Dollars by wire transfer of immediately available funds not later than 3:00 p.m. (New York City time) on the date specified herein. All amounts received by the Agent after such time on any date shall be deemed to have been received on the next succeeding Business Day and any applicable interest or fees shall continue to accrue. The Agent will promptly distribute to each applicable Purchaser or as the context may require, such other Secured Party, its ratable share (or other applicable share as provided herein) of such payment in like funds as received by wire transfer to such Purchaser’s applicable lending office (or otherwise distribute such payment in like funds as received to the Person or Persons entitled thereto as provided herein). If any payment to be made by the Issuers shall fall due on a day that is not a Business Day, payment shall be made on the next succeeding Business Day and such extension of time shall be reflected in the computation of the payment of interest or fees, as the case may be; </w:t>
      </w:r>
      <w:r>
        <w:rPr>
          <w:rFonts w:ascii="Times New Roman" w:hAnsi="Times New Roman"/>
          <w:sz w:val="20"/>
          <w:u w:val="single"/>
        </w:rPr>
        <w:t>provided</w:t>
      </w:r>
      <w:r>
        <w:rPr>
          <w:rFonts w:ascii="Times New Roman" w:hAnsi="Times New Roman"/>
          <w:sz w:val="20"/>
        </w:rPr>
        <w:t xml:space="preserve">, that if such next succeeding Business Day would fall after the applicable Maturity Date, payment shall be made on the immediately preceding Business Day. Except as otherwise expressly provided herein, all payments hereunder or under any other Note Document shall be made in Dollars. </w:t>
      </w:r>
    </w:p>
    <w:p>
      <w:pPr>
        <w:pStyle w:val="TextBody"/>
        <w:bidi w:val="0"/>
        <w:spacing w:before="120" w:after="0"/>
        <w:jc w:val="both"/>
        <w:rPr>
          <w:rFonts w:ascii="Times New Roman" w:hAnsi="Times New Roman"/>
          <w:sz w:val="20"/>
        </w:rPr>
      </w:pPr>
      <w:r>
        <w:rPr>
          <w:rFonts w:ascii="Times New Roman" w:hAnsi="Times New Roman"/>
          <w:sz w:val="20"/>
        </w:rPr>
        <w:t xml:space="preserve">(ii) The Agent may (but shall at the direction of the Requisite Purchasers) deem any payment by or on behalf of the Issuers hereunder that is not made in same day funds prior to 3:00 p.m. (New York City time) to be a non-conforming payment. Any such payment shall not be deemed to have been received by the Agent until the later of (A) the time such funds become available funds, and (B) the applicable next Business Day. Any non-conforming payment may constitute or become a Default or an Event of Default. Interest shall continue to accrue on any Obligations as to which a non-conforming payment is made at the Default Rate from the date such amount was due and payable until the date such amount is paid in full in cash in immediately available funds in Dollars. </w:t>
      </w:r>
    </w:p>
    <w:p>
      <w:pPr>
        <w:pStyle w:val="TextBody"/>
        <w:bidi w:val="0"/>
        <w:spacing w:before="120" w:after="0"/>
        <w:jc w:val="both"/>
        <w:rPr>
          <w:rFonts w:ascii="Times New Roman" w:hAnsi="Times New Roman"/>
          <w:sz w:val="20"/>
        </w:rPr>
      </w:pPr>
      <w:r>
        <w:rPr>
          <w:rFonts w:ascii="Times New Roman" w:hAnsi="Times New Roman"/>
          <w:sz w:val="20"/>
        </w:rPr>
        <w:t xml:space="preserve">(iii) The Issuers agree that if, at any time (including after the occurrence of the Maturity Date), all or any portion of any payment theretofore made by it to any Secured Party or any designee of a Secured Party is rescinded or recovered directly or indirectly from any such Person as a preference, fraudulent transfer or otherwise, the obligation of the Issuers to make such payment to such Secured Party shall, for the purposes of this Agreement, to the extent that such payment is or must be rescinded or returned, be deemed to have continued in existence and this Agreement shall continue to be effective or be reinstated, as the case may be, as to such obligations, all as though such payment had not been made.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Deductions by the Agent</w:t>
      </w:r>
      <w:r>
        <w:rPr>
          <w:rFonts w:ascii="Times New Roman" w:hAnsi="Times New Roman"/>
          <w:sz w:val="20"/>
        </w:rPr>
        <w:t xml:space="preserve">. If any Purchaser shall fail to make any payment required to be made by it pursuant to this Agreement, then the Agent may, in the Agent’s discretion and notwithstanding any contrary provision hereof, (i) apply any amounts thereafter received by the Agent for the account of such Purchaser for the benefit of the Agent, to satisfy such Purchaser’s obligations to the Agent until all such unsatisfied obligations are fully paid or (ii) hold any such amounts in a segregated account as cash collateral for, and for application to, any future funding obligations of such Purchaser,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in any order as determined by the Agent in its discretion.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Several Obligations of Purchasers</w:t>
      </w:r>
      <w:r>
        <w:rPr>
          <w:rFonts w:ascii="Times New Roman" w:hAnsi="Times New Roman"/>
          <w:sz w:val="20"/>
        </w:rPr>
        <w:t xml:space="preserve">. The obligations of the Purchasers hereunder to purchase Notes, and to make payments pursuant to </w:t>
      </w:r>
      <w:r>
        <w:rPr>
          <w:rFonts w:ascii="Times New Roman" w:hAnsi="Times New Roman"/>
          <w:sz w:val="20"/>
          <w:u w:val="single"/>
        </w:rPr>
        <w:t>Section 12.07</w:t>
      </w:r>
      <w:r>
        <w:rPr>
          <w:rFonts w:ascii="Times New Roman" w:hAnsi="Times New Roman"/>
          <w:sz w:val="20"/>
        </w:rPr>
        <w:t xml:space="preserve"> are several and not joint. The failure of any Purchaser to purchase any Note or, as applicable, to fund any such participation or to make any such payment on any date required hereunder shall not relieve any other Purchaser of its corresponding obligation to do so on such date, and no Purchaser shall be responsible for the failure of any other Purchaser to so purchase its applicable Note, to purchase its participations, as applicable, or to make its payment under </w:t>
      </w:r>
      <w:r>
        <w:rPr>
          <w:rFonts w:ascii="Times New Roman" w:hAnsi="Times New Roman"/>
          <w:sz w:val="20"/>
          <w:u w:val="single"/>
        </w:rPr>
        <w:t>Section 12.07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Ratable Sharing</w:t>
      </w:r>
      <w:r>
        <w:rPr>
          <w:rFonts w:ascii="Times New Roman" w:hAnsi="Times New Roman"/>
          <w:sz w:val="20"/>
        </w:rPr>
        <w:t>. The Purchasers hereby agree among themselves that, except as otherwise expressly provided herein, if any of them shall, whether through the exercise of any right of Set-Off or banker’s Lien, by counterclaim or cross action or by the enforcement of any right under the Note Documents or otherwise, or as adequate protection of a deposit treated as cash collateral under the Bankruptcy Code, receive payment or reduction of a proportion of the aggregate amount of principal, interest, amounts payable in respect of fees and other amounts then due and owing to such Purchaser hereunder or under the other Note Documents (collectively, the “</w:t>
      </w:r>
      <w:r>
        <w:rPr>
          <w:rFonts w:ascii="Times New Roman" w:hAnsi="Times New Roman"/>
          <w:sz w:val="20"/>
          <w:u w:val="single"/>
        </w:rPr>
        <w:t>Aggregate Amounts Due</w:t>
      </w:r>
      <w:r>
        <w:rPr>
          <w:rFonts w:ascii="Times New Roman" w:hAnsi="Times New Roman"/>
          <w:sz w:val="20"/>
        </w:rPr>
        <w:t xml:space="preserve">” to such Purchaser) which is greater than the proportion received by any other Purchaser in respect of the Aggregate Amounts Due to such other Purchaser, then the Purchaser receiving such proportionately greater payment shall (a) notify the Agent and each other Purchaser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Purchasers so that all such recoveries of Aggregate Amounts Due shall be shared by all Purchasers in proportion to the Aggregate Amounts Due to them; </w:t>
      </w:r>
      <w:r>
        <w:rPr>
          <w:rFonts w:ascii="Times New Roman" w:hAnsi="Times New Roman"/>
          <w:sz w:val="20"/>
          <w:u w:val="single"/>
        </w:rPr>
        <w:t>provided</w:t>
      </w:r>
      <w:r>
        <w:rPr>
          <w:rFonts w:ascii="Times New Roman" w:hAnsi="Times New Roman"/>
          <w:sz w:val="20"/>
        </w:rPr>
        <w:t xml:space="preserve">, if all or part of such proportionately greater payment received by such purchasing Purchaser is thereafter recovered from such Purchaser upon the bankruptcy or reorganization of such Issuer or otherwise, those purchases shall be rescinded and the purchase prices paid for such participations shall be returned to such purchasing Purchaser ratably to the extent of such recovery, but without interest. The Issuers expressly consent to the foregoing arrangement and agree that any holder of a participation so purchased may exercise any and all rights of banker’s Lien, Set-Off or counterclaim with respect to any and all monies owing by the Issuers to that holder with respect thereto as fully as if that holder were owed the amount of the participation held by that holder.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TAXES; INCREASED COSTS </w:t>
      </w:r>
    </w:p>
    <w:p>
      <w:pPr>
        <w:pStyle w:val="TextBody"/>
        <w:bidi w:val="0"/>
        <w:spacing w:before="240" w:after="0"/>
        <w:jc w:val="both"/>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Except as otherwise required by Law, all payments by the Note Parties under this Agreement or any other Note Document (including payments with respect to the Notes and payment under a guarantee) shall be made free and clear of and without deduction for any present or future Taxes. If a Note Party, or any other applicable Withholding Agent shall be required by Law to deduct any Taxes from or in respect of any sum payable to a Recipient under this Agreement or any other Note Document, (i) if such Taxes are Indemnified Taxes, the sum payable by a Note Party shall be increased as necessary so that after all required deductions for Indemnified Taxes have been made by any applicable Withholding Agent, such Recipient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Status of Purchasers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Any Purchaser that is entitled to an exemption from or reduction of withholding Tax with respect to any payments made under any Note Document shall deliver to the Note Parties, at the time or times reasonably requested by such Note Party, such properly completed and executed documentation reasonably requested by such Note Party as will permit such payments to be made without withholding or at a reduced rate of withholding. In addition, any Purchaser, if reasonably requested by a Note Party or the Agent, shall deliver such other documentation prescribed by Law or reasonably requested by such Note Party or the Agent as will enable such Note Party or the Agent to determine whether or not such Purchaser is subject to backup withholding or information reporting requirements. Notwithstanding anything to the contrary in the preceding two sentences, the completion, execution and submission of such documentation shall not be required if in the Purchaser’s reasonable judgment such completion, execution or submission would subject such Purchaser to any material unreimbursed cost or expense or would materially prejudice the legal or commercial position of such Purchaser. For so long as the Agent is a person who is not in Ireland and is not acting through a branch, agency or permanent establishment in Ireland for the purposes of section 64 of the Taxes Consolidation Act 1997, a Purchaser shall not be required to deliver a non-resident declaration of the type described in section 64 (7) of the Taxes Consolidation Act 1997. </w:t>
      </w:r>
    </w:p>
    <w:p>
      <w:pPr>
        <w:pStyle w:val="TextBody"/>
        <w:bidi w:val="0"/>
        <w:spacing w:before="120" w:after="0"/>
        <w:jc w:val="both"/>
        <w:rPr>
          <w:rFonts w:ascii="Times New Roman" w:hAnsi="Times New Roman"/>
          <w:sz w:val="20"/>
        </w:rPr>
      </w:pPr>
      <w:r>
        <w:rPr>
          <w:rFonts w:ascii="Times New Roman" w:hAnsi="Times New Roman"/>
          <w:sz w:val="20"/>
        </w:rPr>
        <w:t xml:space="preserve">(ii) Without limiting the generality of the foregoing, if a payment made to a Purchaser under any Note Document would be subject to U.S. federal withholding Tax imposed by FATCA if such Purchaser were to fail to comply with the applicable reporting requirements of FATCA (including those contained in Section 1471(b) or 1472(b) of the Code, as applicable), such Purchaser shall deliver to the Issuers at the time or times prescribed by law and at such time or times reasonably requested by the Issuers such documentation prescribed by Law (including as prescribed by Section 1471(b)(3)(C)(i) of the Code) and such additional documentation reasonably requested by the Issuers as may be necessary for the Issuers to comply with their obligations under FATCA and to determine that such Purchaser has complied with such Purchaser’s obligations under FATCA or to determine the amount, if any, to deduct and withhold from such payment. Solely for purposes of this </w:t>
      </w:r>
      <w:r>
        <w:rPr>
          <w:rFonts w:ascii="Times New Roman" w:hAnsi="Times New Roman"/>
          <w:sz w:val="20"/>
          <w:u w:val="single"/>
        </w:rPr>
        <w:t>clause (ii)</w:t>
      </w:r>
      <w:r>
        <w:rPr>
          <w:rFonts w:ascii="Times New Roman" w:hAnsi="Times New Roman"/>
          <w:sz w:val="20"/>
        </w:rPr>
        <w:t xml:space="preserve">, “FATCA” shall include any amendments made to FATCA after the date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(iii) Notwithstanding any other provision of this </w:t>
      </w:r>
      <w:r>
        <w:rPr>
          <w:rFonts w:ascii="Times New Roman" w:hAnsi="Times New Roman"/>
          <w:sz w:val="20"/>
          <w:u w:val="single"/>
        </w:rPr>
        <w:t>Section 4.01(b)</w:t>
      </w:r>
      <w:r>
        <w:rPr>
          <w:rFonts w:ascii="Times New Roman" w:hAnsi="Times New Roman"/>
          <w:sz w:val="20"/>
        </w:rPr>
        <w:t xml:space="preserve">, no Purchaser shall be required to deliver any documentation pursuant to this </w:t>
      </w:r>
      <w:r>
        <w:rPr>
          <w:rFonts w:ascii="Times New Roman" w:hAnsi="Times New Roman"/>
          <w:sz w:val="20"/>
          <w:u w:val="single"/>
        </w:rPr>
        <w:t>Section 4.01(b)</w:t>
      </w:r>
      <w:r>
        <w:rPr>
          <w:rFonts w:ascii="Times New Roman" w:hAnsi="Times New Roman"/>
          <w:sz w:val="20"/>
        </w:rPr>
        <w:t xml:space="preserve"> that such Purchaser is not legally eligible to deliver; </w:t>
      </w:r>
    </w:p>
    <w:p>
      <w:pPr>
        <w:pStyle w:val="TextBody"/>
        <w:bidi w:val="0"/>
        <w:spacing w:before="120" w:after="0"/>
        <w:jc w:val="both"/>
        <w:rPr>
          <w:rFonts w:ascii="Times New Roman" w:hAnsi="Times New Roman"/>
          <w:sz w:val="20"/>
        </w:rPr>
      </w:pPr>
      <w:r>
        <w:rPr>
          <w:rFonts w:ascii="Times New Roman" w:hAnsi="Times New Roman"/>
          <w:sz w:val="20"/>
        </w:rPr>
        <w:t xml:space="preserve">(iv) Each Purchaser shall promptly notify the Note Parties and the Agent of any change in circumstances which would modify or render invalid, obsolete or inaccurate any claimed exemption or reduction, and shall deliver or update any such form or certification previously delivered to the Note Parties and the Agent or promptly notify the Note Parties and the Agent in writing of its legal inability to do so; and </w:t>
      </w:r>
    </w:p>
    <w:p>
      <w:pPr>
        <w:pStyle w:val="TextBody"/>
        <w:bidi w:val="0"/>
        <w:spacing w:before="120" w:after="0"/>
        <w:jc w:val="both"/>
        <w:rPr>
          <w:rFonts w:ascii="Times New Roman" w:hAnsi="Times New Roman"/>
          <w:sz w:val="20"/>
        </w:rPr>
      </w:pPr>
      <w:r>
        <w:rPr>
          <w:rFonts w:ascii="Times New Roman" w:hAnsi="Times New Roman"/>
          <w:sz w:val="20"/>
        </w:rPr>
        <w:t xml:space="preserve">(v) Any Taxes attributable to a Purchaser’s failure to comply with this </w:t>
      </w:r>
      <w:r>
        <w:rPr>
          <w:rFonts w:ascii="Times New Roman" w:hAnsi="Times New Roman"/>
          <w:sz w:val="20"/>
          <w:u w:val="single"/>
        </w:rPr>
        <w:t>Section 4.01(b</w:t>
      </w:r>
      <w:r>
        <w:rPr>
          <w:rFonts w:ascii="Times New Roman" w:hAnsi="Times New Roman"/>
          <w:sz w:val="20"/>
        </w:rPr>
        <w:t xml:space="preserve">) shall not be subject to any indemnification or gross-up obligations of the Note Parties pursuant to this Article IV.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Agent Certificates</w:t>
      </w:r>
      <w:r>
        <w:rPr>
          <w:rFonts w:ascii="Times New Roman" w:hAnsi="Times New Roman"/>
          <w:sz w:val="20"/>
        </w:rPr>
        <w:t xml:space="preserve">. In addition, the Agent shall deliver to the Issuers (i) (A) prior to the date on which the first payment by the Issuers is due hereunder or (B) prior to the first date on or after the date on which the Agent becomes a Successor Agent pursuant to </w:t>
      </w:r>
      <w:r>
        <w:rPr>
          <w:rFonts w:ascii="Times New Roman" w:hAnsi="Times New Roman"/>
          <w:sz w:val="20"/>
          <w:u w:val="single"/>
        </w:rPr>
        <w:t>Section 12.08</w:t>
      </w:r>
      <w:r>
        <w:rPr>
          <w:rFonts w:ascii="Times New Roman" w:hAnsi="Times New Roman"/>
          <w:sz w:val="20"/>
        </w:rPr>
        <w:t xml:space="preserve"> on which payment by Issuers is due hereunder, as applicable, a properly completed and executed IRS Form W-9 certifying its exemption from U.S. federal backup withholding or such other properly completed and executed documentation prescribed by Law certifying its entitlement to an available exemption from applicable U.S. federal withholding Taxes in respect of any payments to be made to the Agent by the Issuers under this Agreement or any other Note Document and (ii) on or before the date on which any such previously delivered documentation expires or becomes obsolete or invalid, after the occurrence of any event requiring a change in the most recent documentation previously delivered by it to the Issuers, and from time to time if reasonably requested by the Issuers, two further copies of such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Receipt of Payment</w:t>
      </w:r>
      <w:r>
        <w:rPr>
          <w:rFonts w:ascii="Times New Roman" w:hAnsi="Times New Roman"/>
          <w:sz w:val="20"/>
        </w:rPr>
        <w:t xml:space="preserve">. As soon as practicable after the date of any payment of Taxes by the Issuers pursuant to this </w:t>
      </w:r>
      <w:r>
        <w:rPr>
          <w:rFonts w:ascii="Times New Roman" w:hAnsi="Times New Roman"/>
          <w:sz w:val="20"/>
          <w:u w:val="single"/>
        </w:rPr>
        <w:t>Article IV</w:t>
      </w:r>
      <w:r>
        <w:rPr>
          <w:rFonts w:ascii="Times New Roman" w:hAnsi="Times New Roman"/>
          <w:sz w:val="20"/>
        </w:rPr>
        <w:t xml:space="preserve">, the Issuers shall furnish to the applicable Recipient the original or a certified copy of a receipt evidencing payment thereof or other evidence reasonably satisfactory to such Recipient. </w:t>
      </w:r>
    </w:p>
    <w:p>
      <w:pPr>
        <w:pStyle w:val="TextBody"/>
        <w:bidi w:val="0"/>
        <w:spacing w:before="240" w:after="0"/>
        <w:jc w:val="both"/>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Other Taxes</w:t>
      </w:r>
      <w:r>
        <w:rPr>
          <w:rFonts w:ascii="Times New Roman" w:hAnsi="Times New Roman"/>
          <w:sz w:val="20"/>
        </w:rPr>
        <w:t xml:space="preserve">. The Issuers shall promptly pay any Other Taxes to the relevant Governmental Authority when due in accordance with Law. </w:t>
      </w:r>
    </w:p>
    <w:p>
      <w:pPr>
        <w:pStyle w:val="TextBody"/>
        <w:bidi w:val="0"/>
        <w:spacing w:before="240" w:after="0"/>
        <w:jc w:val="both"/>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Indemnification</w:t>
      </w:r>
      <w:r>
        <w:rPr>
          <w:rFonts w:ascii="Times New Roman" w:hAnsi="Times New Roman"/>
          <w:sz w:val="20"/>
        </w:rPr>
        <w:t xml:space="preserve">. If a Recipient pays any Indemnified Taxes pursuant to this </w:t>
      </w:r>
      <w:r>
        <w:rPr>
          <w:rFonts w:ascii="Times New Roman" w:hAnsi="Times New Roman"/>
          <w:sz w:val="20"/>
          <w:u w:val="single"/>
        </w:rPr>
        <w:t>Article IV</w:t>
      </w:r>
      <w:r>
        <w:rPr>
          <w:rFonts w:ascii="Times New Roman" w:hAnsi="Times New Roman"/>
          <w:sz w:val="20"/>
        </w:rPr>
        <w:t xml:space="preserve">, the Issuers shall indemnify such Recipient on demand in full (including any Indemnified Taxes imposed by any jurisdiction on amounts payable under this </w:t>
      </w:r>
      <w:r>
        <w:rPr>
          <w:rFonts w:ascii="Times New Roman" w:hAnsi="Times New Roman"/>
          <w:sz w:val="20"/>
          <w:u w:val="single"/>
        </w:rPr>
        <w:t>Section 4.04</w:t>
      </w:r>
      <w:r>
        <w:rPr>
          <w:rFonts w:ascii="Times New Roman" w:hAnsi="Times New Roman"/>
          <w:sz w:val="20"/>
        </w:rPr>
        <w:t xml:space="preserve">), whether or not such Taxes were correctly or legally asserted, together with interest thereon from the date of payment to, but excluding, the date of reimbursement at the Default Rate and any reasonable expenses arising therefrom. A certificate of an affected Recipient claiming any compensation under this </w:t>
      </w:r>
      <w:r>
        <w:rPr>
          <w:rFonts w:ascii="Times New Roman" w:hAnsi="Times New Roman"/>
          <w:sz w:val="20"/>
          <w:u w:val="single"/>
        </w:rPr>
        <w:t>Section 4.04</w:t>
      </w:r>
      <w:r>
        <w:rPr>
          <w:rFonts w:ascii="Times New Roman" w:hAnsi="Times New Roman"/>
          <w:sz w:val="20"/>
        </w:rPr>
        <w:t xml:space="preserve">, setting forth the amounts to be paid thereunder and delivered to the Issuers, shall be conclusive, binding and final for all purposes, absent manifest error. </w:t>
      </w:r>
    </w:p>
    <w:p>
      <w:pPr>
        <w:pStyle w:val="TextBody"/>
        <w:bidi w:val="0"/>
        <w:spacing w:before="240" w:after="0"/>
        <w:jc w:val="both"/>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Registered Obligation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Agent, acting solely for this purpose as a non-fiduciary agent of the Issuers, shall establish and maintain at its office, (i) a Register in which the Agent agrees to register by book entry the interests (including any rights to receive payment hereunder) of each Purchaser in the Notes, each of its obligations under this Agreement to participate in the Notes, and any assignment of any such interest, obligation or right, and (ii) accounts in the Register in which it shall record (A) the names and addresses of each Purchaser (and each change thereto pursuant to </w:t>
      </w:r>
      <w:r>
        <w:rPr>
          <w:rFonts w:ascii="Times New Roman" w:hAnsi="Times New Roman"/>
          <w:sz w:val="20"/>
          <w:u w:val="single"/>
        </w:rPr>
        <w:t>Section 11.01</w:t>
      </w:r>
      <w:r>
        <w:rPr>
          <w:rFonts w:ascii="Times New Roman" w:hAnsi="Times New Roman"/>
          <w:sz w:val="20"/>
        </w:rPr>
        <w:t xml:space="preserve"> and </w:t>
      </w:r>
      <w:r>
        <w:rPr>
          <w:rFonts w:ascii="Times New Roman" w:hAnsi="Times New Roman"/>
          <w:sz w:val="20"/>
          <w:u w:val="single"/>
        </w:rPr>
        <w:t>Section 11.02</w:t>
      </w:r>
      <w:r>
        <w:rPr>
          <w:rFonts w:ascii="Times New Roman" w:hAnsi="Times New Roman"/>
          <w:sz w:val="20"/>
        </w:rPr>
        <w:t xml:space="preserve">), (B) the Principal Amount of the Notes described in </w:t>
      </w:r>
      <w:r>
        <w:rPr>
          <w:rFonts w:ascii="Times New Roman" w:hAnsi="Times New Roman"/>
          <w:sz w:val="20"/>
          <w:u w:val="single"/>
        </w:rPr>
        <w:t>clause (i)</w:t>
      </w:r>
      <w:r>
        <w:rPr>
          <w:rFonts w:ascii="Times New Roman" w:hAnsi="Times New Roman"/>
          <w:sz w:val="20"/>
        </w:rPr>
        <w:t xml:space="preserve"> above, (C) the amount of any principal or interest due and payable or paid, and (D) any other payment received and its application to the Notes. The entries in the Register shall be conclusive, in the absence of manifest error, and the Issuers, the Agent and each Purchaser shall treat each person whose name is recorded in the Register as the owner of the Notes for all purposes of this Agreement, notwithstanding notice to the contrary. No error in the Register shall diminish any of the Issuers’ obligations to any Purchaser under this Agreement. Upon receipt of written notice from the Issuers pursuant to </w:t>
      </w:r>
      <w:r>
        <w:rPr>
          <w:rFonts w:ascii="Times New Roman" w:hAnsi="Times New Roman"/>
          <w:sz w:val="20"/>
          <w:u w:val="single"/>
        </w:rPr>
        <w:t>Section 11.01(c)</w:t>
      </w:r>
      <w:r>
        <w:rPr>
          <w:rFonts w:ascii="Times New Roman" w:hAnsi="Times New Roman"/>
          <w:sz w:val="20"/>
        </w:rPr>
        <w:t xml:space="preserve"> of any transfer or assignment of the interests of a Purchaser in the Notes or otherwise, the Agent shall update the Register based on the information provided by the Issuers. </w:t>
      </w:r>
    </w:p>
    <w:p>
      <w:pPr>
        <w:pStyle w:val="TextBody"/>
        <w:bidi w:val="0"/>
        <w:spacing w:before="120" w:after="0"/>
        <w:jc w:val="both"/>
        <w:rPr>
          <w:rFonts w:ascii="Times New Roman" w:hAnsi="Times New Roman"/>
          <w:sz w:val="20"/>
        </w:rPr>
      </w:pPr>
      <w:r>
        <w:rPr>
          <w:rFonts w:ascii="Times New Roman" w:hAnsi="Times New Roman"/>
          <w:sz w:val="20"/>
        </w:rPr>
        <w:t xml:space="preserve">(b) Notwithstanding anything to the contrary contained in this Agreement or elsewhere, the Notes are registered obligations, the right, title and interest of each Purchaser and its assignees in and to the Notes shall be transferable only upon notation of such transfer in the Register and no assignment thereof shall be effective until recorded therein. The Parties hereto intend that the Notes will be at all times maintained in “registered form” within the meaning of Section 5f.103-1(c) of the U.S. Treasury Regulations, Sections 163(f), 871(h)(2) and 881(c)(2) of the Code and any related regulations (and any successor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u w:val="single"/>
        </w:rPr>
        <w:t>Section 4.06 Tax Treatment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For all applicable Tax purposes, the Parties shall treat the Notes as indebtedness. Each Party agrees not to take any position that is inconsistent with the foregoing sentence on any Tax return or in any audit or other administrative or judicial Tax proceeding unless (i) each other Party has consented to such actions; or (ii) such inconsistent position is required as a result of a final “determination” within the meaning of Section 1313(a) of the Code (or any comparable law) (a “</w:t>
      </w:r>
      <w:r>
        <w:rPr>
          <w:rFonts w:ascii="Times New Roman" w:hAnsi="Times New Roman"/>
          <w:sz w:val="20"/>
          <w:u w:val="single"/>
        </w:rPr>
        <w:t>Determination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there is an inquiry by any Governmental Authority related to matters addressed in this </w:t>
      </w:r>
      <w:r>
        <w:rPr>
          <w:rFonts w:ascii="Times New Roman" w:hAnsi="Times New Roman"/>
          <w:sz w:val="20"/>
          <w:u w:val="single"/>
        </w:rPr>
        <w:t>Section 4.06</w:t>
      </w:r>
      <w:r>
        <w:rPr>
          <w:rFonts w:ascii="Times New Roman" w:hAnsi="Times New Roman"/>
          <w:sz w:val="20"/>
        </w:rPr>
        <w:t xml:space="preserve">, the Parties shall cooperate with each other in responding to such inquiry in a reasonable manner consistent with this </w:t>
      </w:r>
      <w:r>
        <w:rPr>
          <w:rFonts w:ascii="Times New Roman" w:hAnsi="Times New Roman"/>
          <w:sz w:val="20"/>
          <w:u w:val="single"/>
        </w:rPr>
        <w:t>Section 4.06</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This Agreement is not intended to create a partnership, association or joint venture between or among the Agent, any Purchaser, and/or any Issuer. Each Party agrees not to refer to the other as a “partner” or the relationship as a “partnership” or “joint venture”. </w:t>
      </w:r>
    </w:p>
    <w:p>
      <w:pPr>
        <w:pStyle w:val="TextBody"/>
        <w:bidi w:val="0"/>
        <w:spacing w:before="240" w:after="0"/>
        <w:jc w:val="both"/>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w:t>
      </w:r>
      <w:r>
        <w:rPr>
          <w:rFonts w:ascii="Times New Roman" w:hAnsi="Times New Roman"/>
          <w:sz w:val="20"/>
          <w:u w:val="single"/>
        </w:rPr>
        <w:t>Article IV</w:t>
      </w:r>
      <w:r>
        <w:rPr>
          <w:rFonts w:ascii="Times New Roman" w:hAnsi="Times New Roman"/>
          <w:sz w:val="20"/>
        </w:rPr>
        <w:t xml:space="preserve"> (including by the payment of additional amounts pursuant to this </w:t>
      </w:r>
      <w:r>
        <w:rPr>
          <w:rFonts w:ascii="Times New Roman" w:hAnsi="Times New Roman"/>
          <w:sz w:val="20"/>
          <w:u w:val="single"/>
        </w:rPr>
        <w:t>Article IV</w:t>
      </w:r>
      <w:r>
        <w:rPr>
          <w:rFonts w:ascii="Times New Roman" w:hAnsi="Times New Roman"/>
          <w:sz w:val="20"/>
        </w:rPr>
        <w:t xml:space="preserve">), it shall pay to the indemnifying party an amount equal to such refund (but only to the extent of indemnity payments made under this </w:t>
      </w:r>
      <w:r>
        <w:rPr>
          <w:rFonts w:ascii="Times New Roman" w:hAnsi="Times New Roman"/>
          <w:sz w:val="20"/>
          <w:u w:val="single"/>
        </w:rPr>
        <w:t>Article IV</w:t>
      </w:r>
      <w:r>
        <w:rPr>
          <w:rFonts w:ascii="Times New Roman" w:hAnsi="Times New Roman"/>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Section 4.07</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Section 4.07</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Section 4.07</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sz w:val="20"/>
          <w:u w:val="single"/>
        </w:rPr>
        <w:t>Section 4.07</w:t>
      </w:r>
      <w:r>
        <w:rPr>
          <w:rFonts w:ascii="Times New Roman" w:hAnsi="Times New Roman"/>
          <w:sz w:val="20"/>
        </w:rPr>
        <w:t xml:space="preserve">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both"/>
        <w:rPr>
          <w:rFonts w:ascii="Times New Roman" w:hAnsi="Times New Roman"/>
          <w:sz w:val="20"/>
        </w:rPr>
      </w:pPr>
      <w:r>
        <w:rPr>
          <w:rFonts w:ascii="Times New Roman" w:hAnsi="Times New Roman"/>
          <w:sz w:val="20"/>
        </w:rPr>
        <w:t>Section</w:t>
      </w:r>
      <w:r>
        <w:rPr>
          <w:rFonts w:ascii="Times New Roman" w:hAnsi="Times New Roman"/>
          <w:sz w:val="20"/>
          <w:u w:val="single"/>
        </w:rPr>
        <w:t> 4.08 Increased Cost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If any Regulatory Change occurs that has or would have the effect of: </w:t>
      </w:r>
    </w:p>
    <w:p>
      <w:pPr>
        <w:pStyle w:val="TextBody"/>
        <w:bidi w:val="0"/>
        <w:spacing w:before="120" w:after="0"/>
        <w:jc w:val="both"/>
        <w:rPr>
          <w:rFonts w:ascii="Times New Roman" w:hAnsi="Times New Roman"/>
          <w:sz w:val="20"/>
        </w:rPr>
      </w:pPr>
      <w:r>
        <w:rPr>
          <w:rFonts w:ascii="Times New Roman" w:hAnsi="Times New Roman"/>
          <w:sz w:val="20"/>
        </w:rPr>
        <w:t xml:space="preserve">(i) imposing, modifying or deeming applicable any reserve, special deposit, compulsory loan, insurance charge or similar requirement against assets of, deposits with or for the account of, or credit extended or participated in by, any Purchaser; </w:t>
      </w:r>
    </w:p>
    <w:p>
      <w:pPr>
        <w:pStyle w:val="TextBody"/>
        <w:bidi w:val="0"/>
        <w:spacing w:before="120" w:after="0"/>
        <w:jc w:val="both"/>
        <w:rPr>
          <w:rFonts w:ascii="Times New Roman" w:hAnsi="Times New Roman"/>
          <w:sz w:val="20"/>
        </w:rPr>
      </w:pPr>
      <w:r>
        <w:rPr>
          <w:rFonts w:ascii="Times New Roman" w:hAnsi="Times New Roman"/>
          <w:sz w:val="20"/>
        </w:rPr>
        <w:t xml:space="preserve">(ii) subjecting any Recipient to any Taxes (other than (A) Indemnified Taxes or (B) Excluded Taxes) with respect to the Notes, commitments, or other obligations, or its deposits, reserves, other liabilities or capital attributable thereto; or </w:t>
      </w:r>
    </w:p>
    <w:p>
      <w:pPr>
        <w:pStyle w:val="TextBody"/>
        <w:bidi w:val="0"/>
        <w:spacing w:before="120" w:after="0"/>
        <w:jc w:val="both"/>
        <w:rPr>
          <w:rFonts w:ascii="Times New Roman" w:hAnsi="Times New Roman"/>
          <w:sz w:val="20"/>
        </w:rPr>
      </w:pPr>
      <w:r>
        <w:rPr>
          <w:rFonts w:ascii="Times New Roman" w:hAnsi="Times New Roman"/>
          <w:sz w:val="20"/>
        </w:rPr>
        <w:t xml:space="preserve">(iii) imposing on any Purchaser any other condition, cost or expense (other than Taxes) affecting this Agreement or the Notes purchased by such Purchaser; and </w:t>
      </w:r>
    </w:p>
    <w:p>
      <w:pPr>
        <w:pStyle w:val="TextBody"/>
        <w:bidi w:val="0"/>
        <w:spacing w:before="120" w:after="0"/>
        <w:jc w:val="both"/>
        <w:rPr>
          <w:rFonts w:ascii="Times New Roman" w:hAnsi="Times New Roman"/>
          <w:sz w:val="20"/>
        </w:rPr>
      </w:pPr>
      <w:r>
        <w:rPr>
          <w:rFonts w:ascii="Times New Roman" w:hAnsi="Times New Roman"/>
          <w:sz w:val="20"/>
        </w:rPr>
        <w:t xml:space="preserve">the result of any of the foregoing shall be to reduce the rate of return on the capital of any Purchaser or other Recipient as a consequence of its obligations hereunder or arising in connection herewith to a level below that which such Purchaser or Recipient could have achieved but for such introduction, change or compliance (taking into consideration the policies of Purchaser with respect to capital adequacy) by an amount deemed by such Purchaser or Recipient to be material, then from time to time, on the first Payment Date occurring after demand by such Purchaser or Recipient (which demand shall be accompanied by a certificate setting forth the basis for such demand and a description of the computation of such demand), the Issuers shall pay directly to such Purchaser or Recipient such additional amount or amounts as will compensate such Purchaser or Recipient for such reduction. Such Purchaser or Recipient will take such actions reasonably requested by the Issuers, at the expense of the Issuers, if such actions will avoid the need for, or reduce the amount of, such compensation and will not, in the judgment of such Purchaser or Recipient, be otherwise disadvantageous to it or inconsistent with its internal policies and procedures. In no event will such Purchaser or Recipient be expected or required to monitor the occurrence of any of the events or contingencies described in this </w:t>
      </w:r>
      <w:r>
        <w:rPr>
          <w:rFonts w:ascii="Times New Roman" w:hAnsi="Times New Roman"/>
          <w:sz w:val="20"/>
          <w:u w:val="single"/>
        </w:rPr>
        <w:t>Section 4.08</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If any Purchaser or other Recipient makes a claim under this </w:t>
      </w:r>
      <w:r>
        <w:rPr>
          <w:rFonts w:ascii="Times New Roman" w:hAnsi="Times New Roman"/>
          <w:sz w:val="20"/>
          <w:u w:val="single"/>
        </w:rPr>
        <w:t>Section 4.08</w:t>
      </w:r>
      <w:r>
        <w:rPr>
          <w:rFonts w:ascii="Times New Roman" w:hAnsi="Times New Roman"/>
          <w:sz w:val="20"/>
        </w:rPr>
        <w:t xml:space="preserve">, it shall submit to the Issuers a certificate setting forth the basis for such demand and a description of the computation of such demand as to such additional or increased cost or reduction, which certificate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both"/>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Conditions Precedent to the Notes Issuance</w:t>
      </w:r>
      <w:r>
        <w:rPr>
          <w:rFonts w:ascii="Times New Roman" w:hAnsi="Times New Roman"/>
          <w:sz w:val="20"/>
        </w:rPr>
        <w:t xml:space="preserve">. The obligation of each Purchaser to purchase the Notes on the Closing Date shall be subject to the fulfillment, to the satisfaction of each Purchaser (subject in all respects to the Certain Funds Provision), of each of the following conditions precedent: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Notes</w:t>
      </w:r>
      <w:r>
        <w:rPr>
          <w:rFonts w:ascii="Times New Roman" w:hAnsi="Times New Roman"/>
          <w:sz w:val="20"/>
        </w:rPr>
        <w:t xml:space="preserve">. The Issuers shall have executed and delivered an original wet ink Note to each Purchaser dated as of the Closing Date, and, at least two (2) Business Days prior to the Closing Date, the Agent and Purchasers shall have received a funds flow statement reasonably acceptable to the Agent and Purchasers specifying the use for the proceeds of the Notes Issuance permitted by </w:t>
      </w:r>
      <w:r>
        <w:rPr>
          <w:rFonts w:ascii="Times New Roman" w:hAnsi="Times New Roman"/>
          <w:sz w:val="20"/>
          <w:u w:val="single"/>
        </w:rPr>
        <w:t>Section 2.02</w:t>
      </w:r>
      <w:r>
        <w:rPr>
          <w:rFonts w:ascii="Times New Roman" w:hAnsi="Times New Roman"/>
          <w:sz w:val="20"/>
        </w:rPr>
        <w:t xml:space="preserve"> and </w:t>
      </w:r>
      <w:r>
        <w:rPr>
          <w:rFonts w:ascii="Times New Roman" w:hAnsi="Times New Roman"/>
          <w:sz w:val="20"/>
          <w:u w:val="single"/>
        </w:rPr>
        <w:t>Section 7.06</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Note Documents</w:t>
      </w:r>
      <w:r>
        <w:rPr>
          <w:rFonts w:ascii="Times New Roman" w:hAnsi="Times New Roman"/>
          <w:sz w:val="20"/>
        </w:rPr>
        <w:t xml:space="preserve">. The Agent shall have received a copy of this Agreement, each Collateral Document, the Bad Acts Guaranty, the Contribution, Purchase and Sale Agreement, the Servicing Agreement, the Control Agreement and each other Transaction Document (including any notices or other ancillary documents required under each relevant Transaction Document) to be entered into on the Closing Date, each duly executed and delivered by the relevant Transaction Party and each other Third Party contemplated to be a party thereto, in each case in form and substance satisfactory to the Purchasers.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Representations and Warranties</w:t>
      </w:r>
      <w:r>
        <w:rPr>
          <w:rFonts w:ascii="Times New Roman" w:hAnsi="Times New Roman"/>
          <w:sz w:val="20"/>
        </w:rPr>
        <w:t xml:space="preserve">. The Specified Acquisition Agreement Representations shall be true and correct to the extent required by the Certain Funds Provision and the Specified Representations shall be true and correct in all material respects (except in the case of any Specified Representation which expressly relates to a given date or period, such representation and warranty shall be true and correct in all material respects as of the respective date or for the respective period, as the case may be).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Financing Reorganization</w:t>
      </w:r>
      <w:r>
        <w:rPr>
          <w:rFonts w:ascii="Times New Roman" w:hAnsi="Times New Roman"/>
          <w:sz w:val="20"/>
        </w:rPr>
        <w:t xml:space="preserve">. The transactions contemplated to occur in respect of the Financing Reorganization on or prior to the Closing Date shall have been consummated or will be consummated concurrently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 Purchase and Sale Agreement</w:t>
      </w:r>
      <w:r>
        <w:rPr>
          <w:rFonts w:ascii="Times New Roman" w:hAnsi="Times New Roman"/>
          <w:sz w:val="20"/>
        </w:rPr>
        <w:t xml:space="preserve">. The transactions contemplated to occur under the Contribution, Purchase and Sale Agreement on or prior to the Closing Date shall have been consummated or will be consummated concurrently herewith, and all conditions precedent to the consummation of the transactions under the Contribution, Purchase and Sale Agreement shall have been satisfied.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Certificates</w:t>
      </w:r>
      <w:r>
        <w:rPr>
          <w:rFonts w:ascii="Times New Roman" w:hAnsi="Times New Roman"/>
          <w:sz w:val="20"/>
        </w:rPr>
        <w:t xml:space="preserve">. The Agent and the Purchasers shall have received executed copies of each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(i) a certificate of the Issuers, executed and delivered by a Senior Officer of the Issuers and dated as of the Closing Date, substantially in the form of </w:t>
      </w:r>
      <w:r>
        <w:rPr>
          <w:rFonts w:ascii="Times New Roman" w:hAnsi="Times New Roman"/>
          <w:sz w:val="20"/>
          <w:u w:val="single"/>
        </w:rPr>
        <w:t>Exhibit D</w:t>
      </w:r>
      <w:r>
        <w:rPr>
          <w:rFonts w:ascii="Times New Roman" w:hAnsi="Times New Roman"/>
          <w:sz w:val="20"/>
        </w:rPr>
        <w:t xml:space="preserve"> hereto, certifying as to such matters in </w:t>
      </w:r>
      <w:r>
        <w:rPr>
          <w:rFonts w:ascii="Times New Roman" w:hAnsi="Times New Roman"/>
          <w:sz w:val="20"/>
          <w:u w:val="single"/>
        </w:rPr>
        <w:t>Section 5.01(c)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and </w:t>
      </w:r>
      <w:r>
        <w:rPr>
          <w:rFonts w:ascii="Times New Roman" w:hAnsi="Times New Roman"/>
          <w:sz w:val="20"/>
          <w:u w:val="single"/>
        </w:rPr>
        <w:t>(n)</w:t>
      </w:r>
      <w:r>
        <w:rPr>
          <w:rFonts w:ascii="Times New Roman" w:hAnsi="Times New Roman"/>
          <w:sz w:val="20"/>
        </w:rPr>
        <w:t xml:space="preserve"> and a certificate of TBIL signed by a director certifying such matters in </w:t>
      </w:r>
      <w:r>
        <w:rPr>
          <w:rFonts w:ascii="Times New Roman" w:hAnsi="Times New Roman"/>
          <w:sz w:val="20"/>
          <w:u w:val="single"/>
        </w:rPr>
        <w:t>Section 5.01(g)</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Section 239 of the Irish Companies Act and other Irish customary certifications; </w:t>
      </w:r>
    </w:p>
    <w:p>
      <w:pPr>
        <w:pStyle w:val="TextBody"/>
        <w:bidi w:val="0"/>
        <w:spacing w:before="120" w:after="0"/>
        <w:jc w:val="both"/>
        <w:rPr>
          <w:rFonts w:ascii="Times New Roman" w:hAnsi="Times New Roman"/>
          <w:sz w:val="20"/>
        </w:rPr>
      </w:pPr>
      <w:r>
        <w:rPr>
          <w:rFonts w:ascii="Times New Roman" w:hAnsi="Times New Roman"/>
          <w:sz w:val="20"/>
        </w:rPr>
        <w:t xml:space="preserve">(ii) (A) Solvency Certificates in substantially the form attached hereto as </w:t>
      </w:r>
      <w:r>
        <w:rPr>
          <w:rFonts w:ascii="Times New Roman" w:hAnsi="Times New Roman"/>
          <w:sz w:val="20"/>
          <w:u w:val="single"/>
        </w:rPr>
        <w:t>Exhibit E-1</w:t>
      </w:r>
      <w:r>
        <w:rPr>
          <w:rFonts w:ascii="Times New Roman" w:hAnsi="Times New Roman"/>
          <w:sz w:val="20"/>
        </w:rPr>
        <w:t xml:space="preserve">, executed and delivered by a Senior Officer of TBUS and by a Senior Officer of each Issuer, each dated as of the Closing Date and addressed to the Agent and the Purchasers, certifying as to the matters in </w:t>
      </w:r>
      <w:r>
        <w:rPr>
          <w:rFonts w:ascii="Times New Roman" w:hAnsi="Times New Roman"/>
          <w:sz w:val="20"/>
          <w:u w:val="single"/>
        </w:rPr>
        <w:t>Section 6.09,</w:t>
      </w:r>
      <w:r>
        <w:rPr>
          <w:rFonts w:ascii="Times New Roman" w:hAnsi="Times New Roman"/>
          <w:sz w:val="20"/>
        </w:rPr>
        <w:t xml:space="preserve"> and (B) a SAP Declaration of the directors of TBIL in substantially the form attached hereto as </w:t>
      </w:r>
      <w:r>
        <w:rPr>
          <w:rFonts w:ascii="Times New Roman" w:hAnsi="Times New Roman"/>
          <w:sz w:val="20"/>
          <w:u w:val="single"/>
        </w:rPr>
        <w:t>Exhibit E-2</w:t>
      </w:r>
      <w:r>
        <w:rPr>
          <w:rFonts w:ascii="Times New Roman" w:hAnsi="Times New Roman"/>
          <w:sz w:val="20"/>
        </w:rPr>
        <w:t xml:space="preserve">; and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Organizational Documents; Incumbency</w:t>
      </w:r>
      <w:r>
        <w:rPr>
          <w:rFonts w:ascii="Times New Roman" w:hAnsi="Times New Roman"/>
          <w:sz w:val="20"/>
        </w:rPr>
        <w:t xml:space="preserve">. The Agent and the Purchasers shall have received a certificate, executed and delivered by a Senior Officer of each Transaction Party dated as of the Closing Date and certifying that each of the following attached documents are true, correct and complete on and as of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(i) the Organizational Documents of each Transaction Party, certified by the appropriate Governmental Authority (if applicable), or in the case of TBIL, by a director of TBIL; </w:t>
      </w:r>
    </w:p>
    <w:p>
      <w:pPr>
        <w:pStyle w:val="TextBody"/>
        <w:bidi w:val="0"/>
        <w:spacing w:before="120" w:after="0"/>
        <w:jc w:val="both"/>
        <w:rPr>
          <w:rFonts w:ascii="Times New Roman" w:hAnsi="Times New Roman"/>
          <w:sz w:val="20"/>
        </w:rPr>
      </w:pPr>
      <w:r>
        <w:rPr>
          <w:rFonts w:ascii="Times New Roman" w:hAnsi="Times New Roman"/>
          <w:sz w:val="20"/>
        </w:rPr>
        <w:t xml:space="preserve">(ii) resolutions or other authorizing documents, in form and substance satisfactory to the Purchasers, executed by the appropriate governing body of each such Transaction Party, as applicable, approving the execution, delivery and performance by each such Transaction Party, as applicable, of (x) the Transaction Documents to which it is a party and (y) the Transactions and in the case of TBIL, the S82 Summary Approval Procedure; </w:t>
      </w:r>
    </w:p>
    <w:p>
      <w:pPr>
        <w:pStyle w:val="TextBody"/>
        <w:bidi w:val="0"/>
        <w:spacing w:before="120" w:after="0"/>
        <w:jc w:val="both"/>
        <w:rPr>
          <w:rFonts w:ascii="Times New Roman" w:hAnsi="Times New Roman"/>
          <w:sz w:val="20"/>
        </w:rPr>
      </w:pPr>
      <w:r>
        <w:rPr>
          <w:rFonts w:ascii="Times New Roman" w:hAnsi="Times New Roman"/>
          <w:sz w:val="20"/>
        </w:rPr>
        <w:t xml:space="preserve">(iii) an incumbency certificate containing the true and genuine signature of each Senior Officer of each such Transaction Party, as applicable, duly authorized to execute documents and deliver the Transaction Documents to which such Transaction Party, as applicable are a party to, and including therein a signature specimen of each such officer; and </w:t>
      </w:r>
    </w:p>
    <w:p>
      <w:pPr>
        <w:pStyle w:val="TextBody"/>
        <w:bidi w:val="0"/>
        <w:spacing w:before="120" w:after="0"/>
        <w:jc w:val="both"/>
        <w:rPr>
          <w:rFonts w:ascii="Times New Roman" w:hAnsi="Times New Roman"/>
          <w:sz w:val="20"/>
        </w:rPr>
      </w:pPr>
      <w:r>
        <w:rPr>
          <w:rFonts w:ascii="Times New Roman" w:hAnsi="Times New Roman"/>
          <w:sz w:val="20"/>
        </w:rPr>
        <w:t xml:space="preserve">(iv) a true, correct and complete copy of a certificate of good standing dated as of a date not more than five (5) days before the Closing Date, issued by the applicable Governmental Authority of the jurisdiction of incorporation of each such Transaction Party,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Opinions</w:t>
      </w:r>
      <w:r>
        <w:rPr>
          <w:rFonts w:ascii="Times New Roman" w:hAnsi="Times New Roman"/>
          <w:sz w:val="20"/>
        </w:rPr>
        <w:t xml:space="preserve">. Customary written opinions each dated as of the Closing Date and addressed to the Agent and the Purchasers of (A) Kirkland &amp; Ellis LLP, Matheson LLP, Appleby and Richards, Layton &amp; Finger, P.A. counsel to the Transaction Parties in form and substance satisfactory to the Purchasers and (B) Maples &amp; Calder (Ireland) LLP in respect of the enforceability of the Irish Security Agreement under the laws of Ireland.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w:t>
      </w:r>
      <w:r>
        <w:rPr>
          <w:rFonts w:ascii="Times New Roman" w:hAnsi="Times New Roman"/>
          <w:sz w:val="20"/>
        </w:rPr>
        <w:t xml:space="preserve">. Substantially concurrently with the purchase of the Notes, the Acquisition shall be consummated in all material respects in accordance with the terms of the Acquisition Agreement (and evidence of completion provided including but not limited to evidence of completion of the S.84 Summary Approval Procedure) but without giving effect to any amendments, waivers or consents by Merger Sub 1 or Parent that are materially adverse to the interests of the Purchasers in their respective capacities as such without the prior written consent of OMERS Life Sciences, such consent not to be unreasonably withheld, delayed or conditioned; </w:t>
      </w:r>
      <w:r>
        <w:rPr>
          <w:rFonts w:ascii="Times New Roman" w:hAnsi="Times New Roman"/>
          <w:sz w:val="20"/>
          <w:u w:val="single"/>
        </w:rPr>
        <w:t>provided</w:t>
      </w:r>
      <w:r>
        <w:rPr>
          <w:rFonts w:ascii="Times New Roman" w:hAnsi="Times New Roman"/>
          <w:sz w:val="20"/>
        </w:rPr>
        <w:t xml:space="preserve">, that (A) any decrease in the purchase price shall not be materially adverse to the interests of the Purchasers so long as such decrease is allocated to reduce other cash available to Parent to fund the Transactions and amounts funded in connection with the purchase of the Notes on a pro rata, dollar-for-dollar basis, (B) any increase in the purchase price shall not be materially adverse to the Purchasers, so long as such increase is funded by funds available to Parent and its subsidiaries including TBPH and its subsidiaries other than indebtedness for borrowed money, (C) any modification, amendment, consent or waiver to or under (x) Sections 6.17, 6.18, 9.16 and Exhibit C of the Acquisition Agreement, (y) the definition of “Material Adverse Effect” in the Acquisition Agreement or (z) the definition of “Financing Reorganization” (including Exhibit C of the Acquisition Agreement) in the Acquisition Agreement, in each case of this clause (C), shall be deemed to be materially adverse to the interests of the Purchasers and (D) OMERS Life Sciences shall be deemed to have consented to such amendments, waivers or consents unless it objects thereto in writing within three (3) Business Days (as defined in the Acquisition Agreement) of receipt of written notice of such amendments, waivers or consents. </w:t>
      </w:r>
    </w:p>
    <w:p>
      <w:pPr>
        <w:pStyle w:val="TextBody"/>
        <w:bidi w:val="0"/>
        <w:spacing w:before="120" w:after="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No Material Adverse Effect</w:t>
      </w:r>
      <w:r>
        <w:rPr>
          <w:rFonts w:ascii="Times New Roman" w:hAnsi="Times New Roman"/>
          <w:sz w:val="20"/>
        </w:rPr>
        <w:t xml:space="preserve">. Since the date of the Acquisition Agreement, there shall not have occurred a “Material Adverse Effect” (as defined in the Acquisition Agreement) that is continuing. </w:t>
      </w:r>
    </w:p>
    <w:p>
      <w:pPr>
        <w:pStyle w:val="TextBody"/>
        <w:bidi w:val="0"/>
        <w:spacing w:before="120" w:after="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Instruction Letter</w:t>
      </w:r>
      <w:r>
        <w:rPr>
          <w:rFonts w:ascii="Times New Roman" w:hAnsi="Times New Roman"/>
          <w:sz w:val="20"/>
        </w:rPr>
        <w:t xml:space="preserve">. The Agent and Purchasers shall have received written confirmation from TBIL and TBUS that it has delivered (or caused to be delivered) the Instruction Letter to the Collaboration Partner, together with all duly completed forms and documentary support required under Law or requested by the Collaboration Partner in order to give effect to the Instruction Letter (accompanied by a certified copy of the Instruction Letter). </w:t>
      </w:r>
    </w:p>
    <w:p>
      <w:pPr>
        <w:pStyle w:val="TextBody"/>
        <w:bidi w:val="0"/>
        <w:spacing w:before="120" w:after="0"/>
        <w:jc w:val="both"/>
        <w:rPr>
          <w:rFonts w:ascii="Times New Roman" w:hAnsi="Times New Roman"/>
          <w:sz w:val="20"/>
        </w:rPr>
      </w:pPr>
      <w:r>
        <w:rPr>
          <w:rFonts w:ascii="Times New Roman" w:hAnsi="Times New Roman"/>
          <w:sz w:val="20"/>
        </w:rPr>
        <w:t xml:space="preserve">(l) </w:t>
      </w:r>
      <w:r>
        <w:rPr>
          <w:rFonts w:ascii="Times New Roman" w:hAnsi="Times New Roman"/>
          <w:sz w:val="20"/>
          <w:u w:val="single"/>
        </w:rPr>
        <w:t>Collaboration Agreement; Co-Promotion Agreement; Servicing Agreement</w:t>
      </w:r>
      <w:r>
        <w:rPr>
          <w:rFonts w:ascii="Times New Roman" w:hAnsi="Times New Roman"/>
          <w:sz w:val="20"/>
        </w:rPr>
        <w:t xml:space="preserve">. The Agent and Purchasers shall have received a duly executed and delivered, true, correct and complete copies of (i) the Collaboration Agreement (including all amendments, waivers and other agreements with respect thereto), (ii) the Servicing Agreement, in form and substance reviewed and approved by the Purchasers in their sole discretion, and (iii) the Co-Promotion Agreement (including all amendments, waivers and other agreements with respect thereto). </w:t>
      </w:r>
    </w:p>
    <w:p>
      <w:pPr>
        <w:pStyle w:val="TextBody"/>
        <w:bidi w:val="0"/>
        <w:spacing w:before="120" w:after="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Collection Account</w:t>
      </w:r>
      <w:r>
        <w:rPr>
          <w:rFonts w:ascii="Times New Roman" w:hAnsi="Times New Roman"/>
          <w:sz w:val="20"/>
        </w:rPr>
        <w:t xml:space="preserve">. The Agent shall have received written confirmation from the Account Bank that it has opened the Collection Account in the name of the DST Issuer, and the Collection Account shall be subject to a Control Agreement. </w:t>
      </w:r>
    </w:p>
    <w:p>
      <w:pPr>
        <w:pStyle w:val="TextBody"/>
        <w:bidi w:val="0"/>
        <w:spacing w:before="120" w:after="0"/>
        <w:jc w:val="both"/>
        <w:rPr>
          <w:rFonts w:ascii="Times New Roman" w:hAnsi="Times New Roman"/>
          <w:sz w:val="20"/>
        </w:rPr>
      </w:pPr>
      <w:r>
        <w:rPr>
          <w:rFonts w:ascii="Times New Roman" w:hAnsi="Times New Roman"/>
          <w:sz w:val="20"/>
        </w:rPr>
        <w:t xml:space="preserve">(n) </w:t>
      </w:r>
      <w:r>
        <w:rPr>
          <w:rFonts w:ascii="Times New Roman" w:hAnsi="Times New Roman"/>
          <w:sz w:val="20"/>
          <w:u w:val="single"/>
        </w:rPr>
        <w:t>Minimum Own-Funds Property Amount</w:t>
      </w:r>
      <w:r>
        <w:rPr>
          <w:rFonts w:ascii="Times New Roman" w:hAnsi="Times New Roman"/>
          <w:sz w:val="20"/>
        </w:rPr>
        <w:t xml:space="preserve">. DST Issuer shall have deposited (or caused to be deposited) into the Collection Account (which, for the avoidance of doubt, may be indirectly pursuant to direction letters and/or the Contribution, Purchase and Sale Agreement funded from the proceeds of the Notes Issuance) net cash proceeds in a minimum amount equal to the Minimum Own-Funds Property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 </w:t>
      </w:r>
      <w:r>
        <w:rPr>
          <w:rFonts w:ascii="Times New Roman" w:hAnsi="Times New Roman"/>
          <w:sz w:val="20"/>
          <w:u w:val="single"/>
        </w:rPr>
        <w:t>Financial Statements</w:t>
      </w:r>
      <w:r>
        <w:rPr>
          <w:rFonts w:ascii="Times New Roman" w:hAnsi="Times New Roman"/>
          <w:sz w:val="20"/>
        </w:rPr>
        <w:t xml:space="preserve">. The Purchasers shall have received (a) the audited consolidated balance sheet and the related statements of income and cash flows of TBPH and its Subsidiaries (as defined in the Acquisition Agreement) as at and for each of the two most recent fiscal years ended at least 90 days prior to the Closing Date, commencing for the fiscal year ending December 31, 2024, (b) the unaudited consolidated balance sheet and the related statements of income and cash flows of TBPH and its Subsidiaries (as defined in the Acquisition Agreement) as at and for (x) the calendar quarter ended March 31, 2026 and (y) each subsequent calendar quarter (other than the fourth fiscal quarter) ended after the date of the most recent audited consolidated financial statements of TBPH and its Subsidiaries delivered pursuant to </w:t>
      </w:r>
      <w:r>
        <w:rPr>
          <w:rFonts w:ascii="Times New Roman" w:hAnsi="Times New Roman"/>
          <w:sz w:val="20"/>
          <w:u w:val="single"/>
        </w:rPr>
        <w:t>clause (a)</w:t>
      </w:r>
      <w:r>
        <w:rPr>
          <w:rFonts w:ascii="Times New Roman" w:hAnsi="Times New Roman"/>
          <w:sz w:val="20"/>
        </w:rPr>
        <w:t xml:space="preserve"> above and at least 45 days prior to the Closing Date, (c) copies of each Quarterly Report delivered under the Collaboration Agreement in the two (2) years immediately preceding the Closing Date and (d) copies of all information provided to Parent and/or Merger Sub 1 prior to the Closing Date pursuant to and in accordance with Section 6.5(b) of the Acquisition Agreement. It is agreed and acknowledged that timely filing of any required audited consolidated financial statements of TBPH on Form 10-K or required unaudited consolidated financial statements of TBPH on Form 10-Q, in each case, with the SEC pursuant to the Exchange Act will satisfy the requirements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that a subsequent Form 8-K, Item 4.02, has not been filed with respect to the financial statements included therein), and the Purchasers acknowledge receipt of the financial statements referred to in </w:t>
      </w:r>
      <w:r>
        <w:rPr>
          <w:rFonts w:ascii="Times New Roman" w:hAnsi="Times New Roman"/>
          <w:sz w:val="20"/>
          <w:u w:val="single"/>
        </w:rPr>
        <w:t>clause (a)</w:t>
      </w:r>
      <w:r>
        <w:rPr>
          <w:rFonts w:ascii="Times New Roman" w:hAnsi="Times New Roman"/>
          <w:sz w:val="20"/>
        </w:rPr>
        <w:t xml:space="preserve"> above for the fiscal years ended December 31, 2024 and December 31, 2025. </w:t>
      </w:r>
    </w:p>
    <w:p>
      <w:pPr>
        <w:pStyle w:val="TextBody"/>
        <w:bidi w:val="0"/>
        <w:spacing w:before="120" w:after="0"/>
        <w:jc w:val="both"/>
        <w:rPr>
          <w:rFonts w:ascii="Times New Roman" w:hAnsi="Times New Roman"/>
          <w:sz w:val="20"/>
        </w:rPr>
      </w:pPr>
      <w:r>
        <w:rPr>
          <w:rFonts w:ascii="Times New Roman" w:hAnsi="Times New Roman"/>
          <w:sz w:val="20"/>
        </w:rPr>
        <w:t xml:space="preserve">(p) </w:t>
      </w:r>
      <w:r>
        <w:rPr>
          <w:rFonts w:ascii="Times New Roman" w:hAnsi="Times New Roman"/>
          <w:sz w:val="20"/>
          <w:u w:val="single"/>
        </w:rPr>
        <w:t>Lien Searches</w:t>
      </w:r>
      <w:r>
        <w:rPr>
          <w:rFonts w:ascii="Times New Roman" w:hAnsi="Times New Roman"/>
          <w:sz w:val="20"/>
        </w:rPr>
        <w:t xml:space="preserve">. The Issuers shall have delivered to the Agent and the Purchasers copies of UCC, United States Patent and Trademark Office, tax and judgment lien searches, or equivalent reports or searches, each of a recent date listing all effective financing statements, lien notices or comparable documents that name the Transaction Parties as debtor and that are filed in those state, county and country jurisdictions in which such Transaction Party is organized, incorporated or maintains its principal place of business and such other searches that the Purchasers deem necessary or appropriate, none of which encumber the Collateral covered or intended to be covered by the Note Documents (other than any Permitted Liens) and including customary Irish searches against TBIL in all public registries in Ireland. </w:t>
      </w:r>
    </w:p>
    <w:p>
      <w:pPr>
        <w:pStyle w:val="TextBody"/>
        <w:bidi w:val="0"/>
        <w:spacing w:before="120" w:after="0"/>
        <w:jc w:val="both"/>
        <w:rPr>
          <w:rFonts w:ascii="Times New Roman" w:hAnsi="Times New Roman"/>
          <w:sz w:val="20"/>
        </w:rPr>
      </w:pPr>
      <w:r>
        <w:rPr>
          <w:rFonts w:ascii="Times New Roman" w:hAnsi="Times New Roman"/>
          <w:sz w:val="20"/>
        </w:rPr>
        <w:t xml:space="preserve">(q) </w:t>
      </w:r>
      <w:r>
        <w:rPr>
          <w:rFonts w:ascii="Times New Roman" w:hAnsi="Times New Roman"/>
          <w:sz w:val="20"/>
          <w:u w:val="single"/>
        </w:rPr>
        <w:t>Personal Property Collateral</w:t>
      </w:r>
      <w:r>
        <w:rPr>
          <w:rFonts w:ascii="Times New Roman" w:hAnsi="Times New Roman"/>
          <w:sz w:val="20"/>
        </w:rPr>
        <w:t xml:space="preserve">. Subject to the Certain Funds Provision, the Agent and the Purchasers shall have received all UCC financing statements in appropriate form for filing under the UCC, and all other certificates, agreements, instruments, filings, recordings and other actions, including Intellectual Property Security Agreements for recordation in the United States Patent and Trademark Office that are necessary in order to establish, protect, preserve and perfect the security interest in the assets of the Note Parties constituting Collateral as provided in any Collateral Document as a valid and perfected first priority security interest with respect to such assets shall have been duly effected (or arrangements therefor satisfactory to Purchasers in their sole discretion shall have been made) and in respect of TBIL, registration of particulars of the relevant Collateral Documents entered into by TBIL at the Companies Registration Office in Ireland under section 409 of the Irish Companies Act and, where applicable, at the European Union Intellectual Property Office and payment of associated fees. </w:t>
      </w:r>
    </w:p>
    <w:p>
      <w:pPr>
        <w:pStyle w:val="TextBody"/>
        <w:bidi w:val="0"/>
        <w:spacing w:before="120" w:after="0"/>
        <w:jc w:val="both"/>
        <w:rPr>
          <w:rFonts w:ascii="Times New Roman" w:hAnsi="Times New Roman"/>
          <w:sz w:val="20"/>
        </w:rPr>
      </w:pPr>
      <w:r>
        <w:rPr>
          <w:rFonts w:ascii="Times New Roman" w:hAnsi="Times New Roman"/>
          <w:sz w:val="20"/>
        </w:rPr>
        <w:t xml:space="preserve">(r) </w:t>
      </w:r>
      <w:r>
        <w:rPr>
          <w:rFonts w:ascii="Times New Roman" w:hAnsi="Times New Roman"/>
          <w:sz w:val="20"/>
          <w:u w:val="single"/>
        </w:rPr>
        <w:t>U.S. PATRIOT Act, KYC and Similar Disclosures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(i) The Agent and the Purchasers shall have received at least five (5) Business Days prior to the Closing Date, all documentation and other information, required by regulatory authorities with respect to the Transaction Parties under applicable economic sanctions laws, “know your customer,” and other terrorism, counter-terrorism, and anti-money laundering rules and regulations, including the PATRIOT Act and The Currency and Foreign Transactions Reporting Act (also known as the “</w:t>
      </w:r>
      <w:r>
        <w:rPr>
          <w:rFonts w:ascii="Times New Roman" w:hAnsi="Times New Roman"/>
          <w:sz w:val="20"/>
          <w:u w:val="single"/>
        </w:rPr>
        <w:t>Bank Secrecy Act</w:t>
      </w:r>
      <w:r>
        <w:rPr>
          <w:rFonts w:ascii="Times New Roman" w:hAnsi="Times New Roman"/>
          <w:sz w:val="20"/>
        </w:rPr>
        <w:t xml:space="preserve">,”) 31 § 5311-5330 and 12 U.S.C. §§ 1818(s), 1820(b) and 1951-1959, the CDD Rule and other Laws of any non-U.S. jurisdiction, along with the information described in </w:t>
      </w:r>
      <w:r>
        <w:rPr>
          <w:rFonts w:ascii="Times New Roman" w:hAnsi="Times New Roman"/>
          <w:sz w:val="20"/>
          <w:u w:val="single"/>
        </w:rPr>
        <w:t>Section 11.19</w:t>
      </w:r>
      <w:r>
        <w:rPr>
          <w:rFonts w:ascii="Times New Roman" w:hAnsi="Times New Roman"/>
          <w:sz w:val="20"/>
        </w:rPr>
        <w:t xml:space="preserve">, that has been reasonably requested in writing by any Purchaser at least ten (10) Business Days in advance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 At least five (5) Business Days prior to the Closing Date, if the Issuers qualify as a “legal entity customer” under the Beneficial Ownership Regulation, it shall deliver a Beneficial Ownership Certification in relation to the Issuers in each case, that has been reasonably requested by any Purchaser in writing at least ten (10) Business Days in advance of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(s) </w:t>
      </w:r>
      <w:r>
        <w:rPr>
          <w:rFonts w:ascii="Times New Roman" w:hAnsi="Times New Roman"/>
          <w:sz w:val="20"/>
          <w:u w:val="single"/>
        </w:rPr>
        <w:t>Fees</w:t>
      </w:r>
      <w:r>
        <w:rPr>
          <w:rFonts w:ascii="Times New Roman" w:hAnsi="Times New Roman"/>
          <w:sz w:val="20"/>
        </w:rPr>
        <w:t xml:space="preserve">. Evidence that all fees required to be paid to the Agent, Account Bank and Purchasers pursuant to any Note Document on or before the Closing Date, shall have been paid and all other fees and expenses required to be paid to the Purchasers or the Agent (including all out-of-pocket expenses of the Agent and Purchasers (including the reasonable fees, charges and disbursements of counsel to the Secured Parties) required to be paid or reimbursed by the Issuers) on or before or substantially concurrently with the Closing Date shall have been paid (or the Agent shall have received evidence in form and substance satisfactory to it that such fees will be paid substantially concurrently with the Closing Date) to the extent invoiced at least one (1) Business Day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(t) </w:t>
      </w:r>
      <w:r>
        <w:rPr>
          <w:rFonts w:ascii="Times New Roman" w:hAnsi="Times New Roman"/>
          <w:sz w:val="20"/>
          <w:u w:val="single"/>
        </w:rPr>
        <w:t>License</w:t>
      </w:r>
      <w:r>
        <w:rPr>
          <w:rFonts w:ascii="Times New Roman" w:hAnsi="Times New Roman"/>
          <w:sz w:val="20"/>
        </w:rPr>
        <w:t xml:space="preserve">. The Issuers shall have delivered to the Agent and the Purchasers evidence that the Trademark License, effective as of June 2, 2014, between RDIP, as licensor, and Theravance Biopharma, Inc. and its Affiliates, as licensee, has been (i) assigned to the transferee of the Theravance Trademarks concurrently with any transfer thereof, and (ii) amended, in form and substance reasonably satisfactory to the Requisite Purchasers, to provide that, as to the DST Issuer and its successors and permitted assigns under the Collaboration Agreement or any New Arrangement, the license granted thereunder (A) is not terminable for so long as the Collaboration Agreement or any New Arrangement requires the use of the Theravance Trademarks on labeling of the Licensed Product or the grant of the license contemplated by Section 2.01(d) of the Collaboration Agreement or the labeling of the Licensed Product uses the Theravance Trademarks, (B) is not terminated by reason of the DST Issuer or such successor or permitted assign ceasing to be an Affiliate of Theravance Biopharma, Inc., and (C) may be sublicensed to the Collaboration Partner and assigned to the Agent, to any transferee upon the exercise of remedies under the Note Documents and to any counterparty to a New Arrangement, in each case without further consent.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both"/>
        <w:rPr>
          <w:rFonts w:ascii="Times New Roman" w:hAnsi="Times New Roman"/>
          <w:sz w:val="20"/>
        </w:rPr>
      </w:pPr>
      <w:r>
        <w:rPr>
          <w:rFonts w:ascii="Times New Roman" w:hAnsi="Times New Roman"/>
          <w:sz w:val="20"/>
        </w:rPr>
        <w:t xml:space="preserve">The Issuers hereby represent and warrant to the Agent and each Purchaser as of the date of this Agreement (except for any representations and warranties which speak as to a specific date, which representations and warranties shall be made as of the date specified) and, solely with respect to the representations and warranties set forth in </w:t>
      </w:r>
      <w:r>
        <w:rPr>
          <w:rFonts w:ascii="Times New Roman" w:hAnsi="Times New Roman"/>
          <w:sz w:val="20"/>
          <w:u w:val="single"/>
        </w:rPr>
        <w:t>Section 6.10(a)</w:t>
      </w:r>
      <w:r>
        <w:rPr>
          <w:rFonts w:ascii="Times New Roman" w:hAnsi="Times New Roman"/>
          <w:sz w:val="20"/>
        </w:rPr>
        <w:t xml:space="preserve">, </w:t>
      </w:r>
      <w:r>
        <w:rPr>
          <w:rFonts w:ascii="Times New Roman" w:hAnsi="Times New Roman"/>
          <w:sz w:val="20"/>
          <w:u w:val="single"/>
        </w:rPr>
        <w:t>Section 6.11(a)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w:t>
      </w:r>
      <w:r>
        <w:rPr>
          <w:rFonts w:ascii="Times New Roman" w:hAnsi="Times New Roman"/>
          <w:sz w:val="20"/>
          <w:u w:val="single"/>
        </w:rPr>
        <w:t>Section 6.17(b)</w:t>
      </w:r>
      <w:r>
        <w:rPr>
          <w:rFonts w:ascii="Times New Roman" w:hAnsi="Times New Roman"/>
          <w:sz w:val="20"/>
        </w:rPr>
        <w:t xml:space="preserve"> through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Section 6.18</w:t>
      </w:r>
      <w:r>
        <w:rPr>
          <w:rFonts w:ascii="Times New Roman" w:hAnsi="Times New Roman"/>
          <w:sz w:val="20"/>
        </w:rPr>
        <w:t xml:space="preserve">, </w:t>
      </w:r>
      <w:r>
        <w:rPr>
          <w:rFonts w:ascii="Times New Roman" w:hAnsi="Times New Roman"/>
          <w:sz w:val="20"/>
          <w:u w:val="single"/>
        </w:rPr>
        <w:t>Section 6.19</w:t>
      </w:r>
      <w:r>
        <w:rPr>
          <w:rFonts w:ascii="Times New Roman" w:hAnsi="Times New Roman"/>
          <w:sz w:val="20"/>
        </w:rPr>
        <w:t xml:space="preserve">, </w:t>
      </w:r>
      <w:r>
        <w:rPr>
          <w:rFonts w:ascii="Times New Roman" w:hAnsi="Times New Roman"/>
          <w:sz w:val="20"/>
          <w:u w:val="single"/>
        </w:rPr>
        <w:t>Section 6.20</w:t>
      </w:r>
      <w:r>
        <w:rPr>
          <w:rFonts w:ascii="Times New Roman" w:hAnsi="Times New Roman"/>
          <w:sz w:val="20"/>
        </w:rPr>
        <w:t xml:space="preserve">, </w:t>
      </w:r>
      <w:r>
        <w:rPr>
          <w:rFonts w:ascii="Times New Roman" w:hAnsi="Times New Roman"/>
          <w:sz w:val="20"/>
          <w:u w:val="single"/>
        </w:rPr>
        <w:t>Section 6.21(a)</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and </w:t>
      </w:r>
      <w:r>
        <w:rPr>
          <w:rFonts w:ascii="Times New Roman" w:hAnsi="Times New Roman"/>
          <w:sz w:val="20"/>
          <w:u w:val="single"/>
        </w:rPr>
        <w:t>Section 6.27</w:t>
      </w:r>
      <w:r>
        <w:rPr>
          <w:rFonts w:ascii="Times New Roman" w:hAnsi="Times New Roman"/>
          <w:sz w:val="20"/>
        </w:rPr>
        <w:t xml:space="preserve"> as of each Payment Date (</w:t>
      </w:r>
      <w:r>
        <w:rPr>
          <w:rFonts w:ascii="Times New Roman" w:hAnsi="Times New Roman"/>
          <w:sz w:val="20"/>
          <w:u w:val="single"/>
        </w:rPr>
        <w:t>provided</w:t>
      </w:r>
      <w:r>
        <w:rPr>
          <w:rFonts w:ascii="Times New Roman" w:hAnsi="Times New Roman"/>
          <w:sz w:val="20"/>
        </w:rPr>
        <w:t xml:space="preserve"> that to the extent a New Arrangement has been entered into in compliance with </w:t>
      </w:r>
      <w:r>
        <w:rPr>
          <w:rFonts w:ascii="Times New Roman" w:hAnsi="Times New Roman"/>
          <w:sz w:val="20"/>
          <w:u w:val="single"/>
        </w:rPr>
        <w:t>Section 7.13(c)</w:t>
      </w:r>
      <w:r>
        <w:rPr>
          <w:rFonts w:ascii="Times New Roman" w:hAnsi="Times New Roman"/>
          <w:sz w:val="20"/>
        </w:rPr>
        <w:t xml:space="preserve">, any representation with respect to the Collaboration Agreement shall be understood to refer to such New Arrangement),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Organization; Requisite Power and Authority</w:t>
      </w:r>
      <w:r>
        <w:rPr>
          <w:rFonts w:ascii="Times New Roman" w:hAnsi="Times New Roman"/>
          <w:sz w:val="20"/>
        </w:rPr>
        <w:t xml:space="preserve">. The Group Members are duly incorporated, formed or organized, validly existing and, where applicable, in good standing under the Laws of the jurisdiction of its incorporation, formation or organization and is duly qualified and, where applicable, in good standing under the Laws of each jurisdiction where its ownership, lease or operation of properties or the conduct of its business requires such qualification. Each of the Group Members has all requisite power and authority, and all licenses, permits, franchises, authorizations, consents and approvals of all Governmental Authorities, required to own its property and conduct its business as now conducted and as proposed to be conducted in connection with the transactions contemplated by the Note Documents. </w:t>
      </w:r>
    </w:p>
    <w:p>
      <w:pPr>
        <w:pStyle w:val="TextBody"/>
        <w:bidi w:val="0"/>
        <w:spacing w:before="240" w:after="0"/>
        <w:jc w:val="both"/>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No Conflict</w:t>
      </w:r>
      <w:r>
        <w:rPr>
          <w:rFonts w:ascii="Times New Roman" w:hAnsi="Times New Roman"/>
          <w:sz w:val="20"/>
        </w:rPr>
        <w:t xml:space="preserve">. None of the execution and delivery by the Note Parties of any Note Document to which such Note Party is party, the performance by the Note Parties of the obligations contemplated hereby or thereby, or the consummation of the transactions contemplated hereby or thereby will (a) contravene, conflict with, result in a breach, violation, cancellation or termination of, constitute a default (with or without notice or lapse of time, or both) under, require prepayment under, give any Person the right to exercise any remedy (including termination, cancellation or acceleration) or obtain any additional rights under, or accelerate the maturity or performance of or payment under, in any respect, (i) any Law or any judgment, order, writ, decree, permit or license of any Governmental Authority to which a Note Party or any of a Note Party’s assets or properties may be subject or bound, (ii) any term or provision of any Contract, agreement, indenture, lease, license, mortgage, deed of trust, commitment, obligation or instrument to which a Note Party is a party or by which a Note Party or any of a Note Party’s assets or properties is bound or committed (in all cases, other than any Material Contract (as defined in the Acquisition Agreement) or Covered Agreement); or (iii) any term or provision of (A) any Note Party’s Organizational Documents, (B) any Material Contract or (C) any Covered Agreement, except in the case of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where any such event could not reasonably be expected to result in (x) a Material Adverse Effect or (y) an adverse effect, in any respect, on timing, amount or duration of the payments (including Yupelri Adjusted Net Profit, Adjusted Operating Profit (Loss) and/or any component parts thereof payable to any Note Party under the Collaboration Agreement or any other Covered Agreement, or the right of the Agent, for the ratable benefit of the Purchasers, to receive payments based on such amounts; or (b) result in or require the creation or imposition of any Lien on any of its properties or assets, including the Product Rights or the Covered Agreements (or, in each case, amounts due and payable to the applicable Note Party thereunder), other than Permitted Liens. Each Issuer is in compliance with the terms and provisions of its Organizational Documents. </w:t>
      </w:r>
    </w:p>
    <w:p>
      <w:pPr>
        <w:pStyle w:val="TextBody"/>
        <w:bidi w:val="0"/>
        <w:spacing w:before="240" w:after="0"/>
        <w:jc w:val="both"/>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No Liens</w:t>
      </w:r>
      <w:r>
        <w:rPr>
          <w:rFonts w:ascii="Times New Roman" w:hAnsi="Times New Roman"/>
          <w:sz w:val="20"/>
        </w:rPr>
        <w:t xml:space="preserve">. Other than Liens granted pursuant to the Note Documents, no Note Party has granted, and there does not exist, any Lien on the Collateral or any of a Note Party’s properties or assets (other than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Due Authorization; Enforceability</w:t>
      </w:r>
      <w:r>
        <w:rPr>
          <w:rFonts w:ascii="Times New Roman" w:hAnsi="Times New Roman"/>
          <w:sz w:val="20"/>
        </w:rPr>
        <w:t xml:space="preserve">. Each Note Party has all requisite power and authority to execute, deliver, and perform its obligations under the Note Documents to which it is party, to acquire the Collateral as set forth in the Contribution, Purchase and Sale Agreement and to consummate any transactions contemplated hereby and thereby (including the Transactions). The execution and delivery of each of the Note Documents to which a Note Party is party and the performance by such Note Party of its obligations hereunder and thereunder have been duly authorized in accordance with such Note Party’s Organizational Documents. Each of the Note Documents to which a Note Party is party has been duly executed and delivered by such Note Party. Each of the Note Documents to which a Note Party is party constitutes the legal, valid and binding obligation of such Note Party, enforceable against such Note Party in accordance with its respective terms, subject to applicable bankruptcy, insolvency, reorganization, moratorium, fraudulent transfer, and other Laws affecting creditors’ rights generally, general equitable principles and principles of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Title to Properties; Capitalization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 Each Note Party is the exclusive owner of the entire right, title (legal and equitable) and interest in, to and under all of its properties and assets, including the Collateral and any properties or assets that are excluded from the Collateral and (ii) the DST Issuer is the exclusive owner of the entire right, title (legal and equitable) and interest in, to and under the Transferred Assets (subject to TBIL’s beneficial interest in the DST Issuer), in each case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free and clear of all Liens other than Permitted Liens; </w:t>
      </w:r>
      <w:r>
        <w:rPr>
          <w:rFonts w:ascii="Times New Roman" w:hAnsi="Times New Roman"/>
          <w:sz w:val="20"/>
          <w:u w:val="single"/>
        </w:rPr>
        <w:t>provided</w:t>
      </w:r>
      <w:r>
        <w:rPr>
          <w:rFonts w:ascii="Times New Roman" w:hAnsi="Times New Roman"/>
          <w:sz w:val="20"/>
        </w:rPr>
        <w:t xml:space="preserve"> that, notwithstanding the foregoing DST Issuer, RDIP or TABI are (i) joint owners of the entire legal (and not beneficial or equitable) title of Joint Invention Patents, (ii) the owners of the entire legal (and not beneficial or equitable) title of the IP Rights that are owned or purported to be owned by the Note Parties or their Affiliates. Except in respect of any Permitted Lien, neither the Collateral nor any Transferred Aset has been pledged, sold, assigned, transferred, conveyed or granted to any Person, other than (x) the Agent pursuant to the Note Documents and (y) by TBIL to the DST Issuer pursuant to the Contribution, Purchase and Sale Agreement. Upon the execution and delivery of the Note Documents, the filing of appropriate financing statements under the UCC (which, in the case of all filings, have been delivered to the Agent in completed and duly authorized form), the recordation of the IP Security Agreements with United States Patent and Trademark Office, the taking of possession or control by the Agent of such Collateral with respect to which a security interest may be perfected only by possession or control (which possession or control shall be given to the Agent to the extent required by this Agreement), the Agent will have a valid and first priority perfected Lien on the Collateral, subject to no transfer or other restrictions or Liens of any kind in favor of any other Person other than Permitted Liens. No Note Party has caused, and no other Person has caused, the claims and rights of the Agent and the other Secured Parties created by any Note Document in and to the Collateral, to be subordinated to any creditor or any other Person. TBIL and each other applicable Note Party shall, promptly following the Closing Date, make (or cause to be made) all filings required to be made with the Companies Registration Office of Ireland in connection with the Summary Approval Procedure undertaken in connection with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(b) 100% of the outstanding Equity Interests in (i) RDIP and TABI are directly owned (both beneficially and of record) and controlled by the DST Issuer, (ii) the Issuers are directly owned (both beneficially and of record) and controlled by TBIL, (iii) TBIL is directly owned (both beneficially and of record) and controlled by TBPH, (iv) TBPH is directly owned (both beneficially and of record) and controlled by the Parent and (v) TBUS is directly or indirectly owned (both beneficially and of record) and controlled by the Parent. The outstanding beneficial or voting interests of the Issuers, RDIP, TABI and TBUS have been duly authorized and validly issued. </w:t>
      </w:r>
    </w:p>
    <w:p>
      <w:pPr>
        <w:pStyle w:val="TextBody"/>
        <w:bidi w:val="0"/>
        <w:spacing w:before="120" w:after="0"/>
        <w:jc w:val="both"/>
        <w:rPr>
          <w:rFonts w:ascii="Times New Roman" w:hAnsi="Times New Roman"/>
          <w:sz w:val="20"/>
        </w:rPr>
      </w:pPr>
      <w:r>
        <w:rPr>
          <w:rFonts w:ascii="Times New Roman" w:hAnsi="Times New Roman"/>
          <w:sz w:val="20"/>
        </w:rPr>
        <w:t xml:space="preserve">(c) The Transferred Assets (including the assets owned by RDIP and TABI) constitute all of the assets or rights that are primarily related to, used in or necessary for the Development, manufacture or Commercialization of the Licensed Product in the Territory. </w:t>
      </w:r>
    </w:p>
    <w:p>
      <w:pPr>
        <w:pStyle w:val="TextBody"/>
        <w:bidi w:val="0"/>
        <w:spacing w:before="240" w:after="0"/>
        <w:jc w:val="both"/>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Governmental and Third Party Consents</w:t>
      </w:r>
      <w:r>
        <w:rPr>
          <w:rFonts w:ascii="Times New Roman" w:hAnsi="Times New Roman"/>
          <w:sz w:val="20"/>
        </w:rPr>
        <w:t xml:space="preserve">. The execution and delivery by each Note Party of the Note Documents to which such Note Party is party, the performance by a Note Party of its obligations hereunder or thereunder and the consummation of any of the transactions contemplated hereunder and thereunder (including the granting of security interests in the Collateral to the Agent for the benefit of the Secured Parties) do not require any consent, approval, license, order, authorization or declaration from, notice to, action or registration by or filing with any Governmental Authority or any other Person, except for (a) the filing of any applicable notices under securities laws, (b) the filings necessary to perfect Liens created by the Note Documents, including, in respect of TBIL registration of particulars of the relevant Collateral Documents entered into by TBIL at the Companies Registration Office in Ireland under section 409 of the Irish Companies Act, (c) those previously obtained and in full force and effect and (d) immaterial consents, approvals, licenses, orders, authorizations, actions, notices, restrictions or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Grants</w:t>
      </w:r>
      <w:r>
        <w:rPr>
          <w:rFonts w:ascii="Times New Roman" w:hAnsi="Times New Roman"/>
          <w:sz w:val="20"/>
        </w:rPr>
        <w:t xml:space="preserve">. None of the Note Parties nor their respective Affiliates are obligated as a result of receipt of any Grant from any Governmental Authority to pay any royalties or any similar payments to any Governmental Authority in connection with the Exploitation of the Licensed Products in the Territory. The transactions contemplated under the Transaction Documents are not subject to any right and do not require the consent, approval or authorization of, or any notice, registration or filing with any Governmental Authority, except for the filings necessary to perfect Liens created by the Collateral Documents. The realization or enforcement of any Liens created by the Collateral Documents are not subject to any restrictions imposed by or requirements of any Governmental Authority. </w:t>
      </w:r>
    </w:p>
    <w:p>
      <w:pPr>
        <w:pStyle w:val="TextBody"/>
        <w:bidi w:val="0"/>
        <w:spacing w:before="240" w:after="0"/>
        <w:jc w:val="both"/>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Adverse Proceedings</w:t>
      </w:r>
      <w:r>
        <w:rPr>
          <w:rFonts w:ascii="Times New Roman" w:hAnsi="Times New Roman"/>
          <w:sz w:val="20"/>
        </w:rPr>
        <w:t xml:space="preserve">. There is no action, suit, arbitration, proceeding, claim, citation, summons, subpoena, investigation or other proceeding (whether civil, criminal, administrative, regulatory or investigative or informal, and including by or before a Governmental Authority) pending or threatened in writing by or against any Transaction Party or, to the Knowledge of the Transaction Parties, any of their other respective Affiliates, at law or in equity, that (a) (i) with respect to any Note Party, individually or in the aggregate, would reasonably be expected to result in (x) a Material Adverse Effect or (y) an adverse effect, in any respect, on timing, amount or duration of the payments (including Yupelri Adjusted Net Profit, Adjusted Operating Profit (Loss) and/or any component parts thereof payable to any Note Party under the Collaboration Agreement, the Co-Promotion Agreement or any other Covered Agreement, or the right of the Agent, for the ratable benefit of the Purchasers, to receive payments based on such amounts) or (ii) with respect to a Note Party’s Affiliates, individually or in the aggregate, would reasonably be expected to materially adversely impact the interests of the Secured Parties in the Collateral or the Transferred Assets, (b) challenges or seeks to prevent or delay the consummation of any of the transactions contemplated by any of the Transaction Documents or challenges or seeks to suspend the continued performance under the Covered Agreements or (c) may adversely impact any security interest granted to the Agent (for the benefit of the Secured Parties) over any asset subject to such security interest or the enforceability or validity of such security interest. </w:t>
      </w:r>
    </w:p>
    <w:p>
      <w:pPr>
        <w:pStyle w:val="TextBody"/>
        <w:bidi w:val="0"/>
        <w:spacing w:before="240" w:after="0"/>
        <w:jc w:val="both"/>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Solvency</w:t>
      </w:r>
      <w:r>
        <w:rPr>
          <w:rFonts w:ascii="Times New Roman" w:hAnsi="Times New Roman"/>
          <w:sz w:val="20"/>
        </w:rPr>
        <w:t xml:space="preserve">. Both immediately before and immediately after giving effect to the Transactions contemplated by the Transaction Documents and the incurrence of the indebtedness and obligations being incurred in connection with the Note Documents each of the Note Parties is and will be Solvent. No transfer of property is being made by any Note Party or its Affiliates and no obligation is being incurred by any Note Party or its Affiliates in connection with the issuance and sale of the Notes and the Transactions contemplated by this Agreement or the other Transaction Documents with the intent to hinder, delay or defraud either present or future creditors of any Note Party or its Affiliates and no step has been taken by any Note Party or any other Person to make any Note Party or its Affiliates subject to a Bankruptcy Event. </w:t>
      </w:r>
    </w:p>
    <w:p>
      <w:pPr>
        <w:pStyle w:val="TextBody"/>
        <w:bidi w:val="0"/>
        <w:spacing w:before="240" w:after="0"/>
        <w:jc w:val="both"/>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No Defaults; No Material Adverse Effect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 As of the Closing Date, no Default, Event of Default or Servicing Agreement Event of Default has occurred and is continuing, and no such event will occur upon the consummation of the Transactions on the Closing Date and (ii) thereafter, no Default, Event of Default or Servicing Agreement Event of Default has occurred and is continuing except as set forth in any notice delivered pursuant to </w:t>
      </w:r>
      <w:r>
        <w:rPr>
          <w:rFonts w:ascii="Times New Roman" w:hAnsi="Times New Roman"/>
          <w:sz w:val="20"/>
          <w:u w:val="single"/>
        </w:rPr>
        <w:t>Section 7.02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Since the date of the Acquisition Agreement, there has been no event or circumstance, either individually or in the aggregate, that has had or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Note Party has filed (or caused to be filed) all Tax returns and reports required by Law to have been filed by it and has paid all Taxes required to be paid by it (including in its capacity as a Withholding Agent); except (a) Taxes that are being contested in good faith by appropriate proceedings diligently conducted and for which adequate reserves are being maintained in accordance with GAAP or (b) solely with respect to TBIL or TBUS, to the extent that the failure to do so could not reasonably be expected to have a Material Adverse Effect. There are no material disputes with a Governmental Authority that are ongoing, pending or threatened in writing against a Note Party in respect of a Note Party’s Tax affairs. None of the payments received (or to be received) by a Note Party pursuant to the Covered Agreements has been, or under current Law will be, subject to any deduction or withholding of any Tax and no Note Party has provided, or been requested to provide, any documentation to any applicable withholding agent in order to establish entitlement to any treaty benefit in order to avoid any such withholding. </w:t>
      </w:r>
    </w:p>
    <w:p>
      <w:pPr>
        <w:pStyle w:val="TextBody"/>
        <w:bidi w:val="0"/>
        <w:spacing w:before="120" w:after="0"/>
        <w:jc w:val="both"/>
        <w:rPr>
          <w:rFonts w:ascii="Times New Roman" w:hAnsi="Times New Roman"/>
          <w:sz w:val="20"/>
        </w:rPr>
      </w:pPr>
      <w:r>
        <w:rPr>
          <w:rFonts w:ascii="Times New Roman" w:hAnsi="Times New Roman"/>
          <w:sz w:val="20"/>
        </w:rPr>
        <w:t xml:space="preserve">(b) Within the past three years, there has not been any material change in the nature or conduct of, the trade carried on by TBIL (within the meaning of Section 401 of the Taxes Consolidation Act 1997) and the scale of the activities in its trade have not become small or negligible (within the meaning of Section 401 of the Taxes Consolidation Act 1997). </w:t>
      </w:r>
    </w:p>
    <w:p>
      <w:pPr>
        <w:pStyle w:val="TextBody"/>
        <w:bidi w:val="0"/>
        <w:spacing w:before="120" w:after="0"/>
        <w:jc w:val="both"/>
        <w:rPr>
          <w:rFonts w:ascii="Times New Roman" w:hAnsi="Times New Roman"/>
          <w:sz w:val="20"/>
        </w:rPr>
      </w:pPr>
      <w:r>
        <w:rPr>
          <w:rFonts w:ascii="Times New Roman" w:hAnsi="Times New Roman"/>
          <w:sz w:val="20"/>
        </w:rPr>
        <w:t xml:space="preserve">(c) None of the payments made (or to be made) by TBUS or the Collaboration Partner pursuant to a Covered Agreement has been, or under current Law will be, subject to any deduction or withholding of or on account of any Tax. </w:t>
      </w:r>
    </w:p>
    <w:p>
      <w:pPr>
        <w:pStyle w:val="TextBody"/>
        <w:bidi w:val="0"/>
        <w:spacing w:before="120" w:after="0"/>
        <w:jc w:val="both"/>
        <w:rPr>
          <w:rFonts w:ascii="Times New Roman" w:hAnsi="Times New Roman"/>
          <w:sz w:val="20"/>
        </w:rPr>
      </w:pPr>
      <w:r>
        <w:rPr>
          <w:rFonts w:ascii="Times New Roman" w:hAnsi="Times New Roman"/>
          <w:sz w:val="20"/>
        </w:rPr>
        <w:t xml:space="preserve">(d) None of the payments made (or to be made) pursuant to the Collaboration Agreement has been, or under current Law will be, subject to any deduction or withholding of or on account of any Tax. </w:t>
      </w:r>
    </w:p>
    <w:p>
      <w:pPr>
        <w:pStyle w:val="TextBody"/>
        <w:bidi w:val="0"/>
        <w:spacing w:before="120" w:after="0"/>
        <w:jc w:val="both"/>
        <w:rPr>
          <w:rFonts w:ascii="Times New Roman" w:hAnsi="Times New Roman"/>
          <w:sz w:val="20"/>
        </w:rPr>
      </w:pPr>
      <w:r>
        <w:rPr>
          <w:rFonts w:ascii="Times New Roman" w:hAnsi="Times New Roman"/>
          <w:sz w:val="20"/>
        </w:rPr>
        <w:t xml:space="preserve">(e) Subject to the Notes being listed on an exchange which is a recognized stock exchange and for so long as payments of interest in respect of the Notes are made by or through the Agent (being an agent which is not resident in Ireland and is not acting through a branch, agency or permanent establishment in Ireland), no Irish tax deductions for or on account of any Taxes is required to be made from any payment made by the Issuers under the Notes. </w:t>
      </w:r>
    </w:p>
    <w:p>
      <w:pPr>
        <w:pStyle w:val="TextBody"/>
        <w:bidi w:val="0"/>
        <w:spacing w:before="120" w:after="0"/>
        <w:jc w:val="both"/>
        <w:rPr>
          <w:rFonts w:ascii="Times New Roman" w:hAnsi="Times New Roman"/>
          <w:sz w:val="20"/>
        </w:rPr>
      </w:pPr>
      <w:r>
        <w:rPr>
          <w:rFonts w:ascii="Times New Roman" w:hAnsi="Times New Roman"/>
          <w:sz w:val="20"/>
        </w:rPr>
        <w:t xml:space="preserve">(f) TBIL is resident solely in Ireland for tax purposes; </w:t>
      </w:r>
    </w:p>
    <w:p>
      <w:pPr>
        <w:pStyle w:val="TextBody"/>
        <w:bidi w:val="0"/>
        <w:spacing w:before="120" w:after="0"/>
        <w:jc w:val="both"/>
        <w:rPr>
          <w:rFonts w:ascii="Times New Roman" w:hAnsi="Times New Roman"/>
          <w:sz w:val="20"/>
        </w:rPr>
      </w:pPr>
      <w:r>
        <w:rPr>
          <w:rFonts w:ascii="Times New Roman" w:hAnsi="Times New Roman"/>
          <w:sz w:val="20"/>
        </w:rPr>
        <w:t xml:space="preserve">(g) The DST Issuer is fiscally transparent for Irish tax purposes such that all income, profits and gains from the Transferred Assets arises to TBIL in its capacity as beneficial owner of such income, profits and gains as a matter of Irish tax law; </w:t>
      </w:r>
    </w:p>
    <w:p>
      <w:pPr>
        <w:pStyle w:val="TextBody"/>
        <w:bidi w:val="0"/>
        <w:spacing w:before="120" w:after="0"/>
        <w:jc w:val="both"/>
        <w:rPr>
          <w:rFonts w:ascii="Times New Roman" w:hAnsi="Times New Roman"/>
          <w:sz w:val="20"/>
        </w:rPr>
      </w:pPr>
      <w:r>
        <w:rPr>
          <w:rFonts w:ascii="Times New Roman" w:hAnsi="Times New Roman"/>
          <w:sz w:val="20"/>
        </w:rPr>
        <w:t xml:space="preserve">(h) The transfer of the Transferred Assets to the DST Issuer by TBIL does not constitute a disposal of the Transferred Assets for Irish tax purposes and no Irish corporation tax (including corporation tax on chargeable gains) is payable in connection with the transfer of the Transferred Assets to the DST Issuer. </w:t>
      </w:r>
    </w:p>
    <w:p>
      <w:pPr>
        <w:pStyle w:val="TextBody"/>
        <w:bidi w:val="0"/>
        <w:spacing w:before="120" w:after="0"/>
        <w:jc w:val="both"/>
        <w:rPr>
          <w:rFonts w:ascii="Times New Roman" w:hAnsi="Times New Roman"/>
          <w:sz w:val="20"/>
        </w:rPr>
      </w:pPr>
      <w:r>
        <w:rPr>
          <w:rFonts w:ascii="Times New Roman" w:hAnsi="Times New Roman"/>
          <w:sz w:val="20"/>
        </w:rPr>
        <w:t xml:space="preserve">(i) No Irish registration, transfer, stamp or documentary, intangible, recording, filing or similar Taxes or any other Irish excise or property Taxes are payable in connection with the transfer of the Transferred Assets, or the execution of the Contribution, Purchase and Sale Agreement or the Note Documents. </w:t>
      </w:r>
    </w:p>
    <w:p>
      <w:pPr>
        <w:pStyle w:val="TextBody"/>
        <w:bidi w:val="0"/>
        <w:spacing w:before="240" w:after="0"/>
        <w:jc w:val="both"/>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Certain Fees</w:t>
      </w:r>
      <w:r>
        <w:rPr>
          <w:rFonts w:ascii="Times New Roman" w:hAnsi="Times New Roman"/>
          <w:sz w:val="20"/>
        </w:rPr>
        <w:t xml:space="preserve">. Other than any commissions or fees disclosed to the Purchasers prior to the Closing Date, no Transaction Party nor any of their respective Affiliates has taken any action that would entitle any person or entity to any commission or broker’s fee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Compliance with Laws; ERISA; Labor Matters; Environmental Matters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No Note Party (i) is in violation of, is under investigation with respect to or has been threatened in writing to be charged with or been given written notice of any violation of, any Law or any judgment, order, writ, decree, injunction, stipulation, consent order, permit or license granted, issued or entered by any Governmental Authority and (ii) is subject to any judgment, order, writ, decree, injunction, stipulation, consent order, permit or license granted, issued or entered by any Governmental Authority, in each case, where any such event could not reasonably be expected to result in (x) with respect to the Issuers and their Subsidiaries, a materially adverse effect on such Persons or their assets and (y) with respect to TBIL and TBUS, a Material Adverse Effect. Each Note Party is in compliance with the requirements of all Laws except in the case where any such event could not reasonably be expected to result in, (x) with respect to the Issuers and their Subsidiaries, a materially adverse effect on such Persons or their assets and (y) with respect to TBIL and TBUS,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(b) The Note Parties and all trades or businesses (whether or not incorporated) under common control which, together with the Note Parties, are treated as a single employer under Section 414(b), (c), (m) or (o) of the Code have not established and do not maintain or contribute to any “benefit plan” that is covered by Section 412 or Section 430 of the Code or Section 303 or Title IV of ERISA, except as could not reasonably be expected to result in, (x) with respect to the Issuers and their Subsidiaries, a materially adverse effect on such Persons or their assets and (y) with respect to TBIL and TBUS, a Material Adverse Effect. The assets of the Note Parties do not constitute the “plan assets” of any “benefit plan investor” each within the meaning of Section (3)(42) of ERISA. </w:t>
      </w:r>
    </w:p>
    <w:p>
      <w:pPr>
        <w:pStyle w:val="TextBody"/>
        <w:bidi w:val="0"/>
        <w:spacing w:before="120" w:after="0"/>
        <w:jc w:val="both"/>
        <w:rPr>
          <w:rFonts w:ascii="Times New Roman" w:hAnsi="Times New Roman"/>
          <w:sz w:val="20"/>
        </w:rPr>
      </w:pPr>
      <w:r>
        <w:rPr>
          <w:rFonts w:ascii="Times New Roman" w:hAnsi="Times New Roman"/>
          <w:sz w:val="20"/>
        </w:rPr>
        <w:t xml:space="preserve">(c) No Group Members nor any of its Subsidiaries has engaged in unfair labor practices as defined in the National Labor Relations Act, and there are no pending or, to the Knowledge of the Group Members, threatened in writing labor actions, disputes, grievances, arbitration proceedings or similar proceedings involving the employees of any Group Member or any of its Subsidiaries, in each case, that would reasonably be expected to have (x) with respect to the Issuers and their Subsidiaries, a materially adverse effect on such Persons or their assets or (y) with respect to TBIL and TBUS, a Material Adverse Effect. There are no strikes or work stoppages in existence or threatened in writing against any Group Member or any of its Subsidiaries and, to the Knowledge of the Group Members, no union organizing activity is taking place, in each case, that would reasonably be expected to have (x) with respect to the Issuers and their Subsidiaries, a materially adverse effect on such Persons or their assets or (y) with respect to TBIL and TBUS, a Material Adverse Effect. There are no collective bargaining agreements covering employees of any Group Member or any of its Subsidiaries. </w:t>
      </w:r>
    </w:p>
    <w:p>
      <w:pPr>
        <w:pStyle w:val="TextBody"/>
        <w:bidi w:val="0"/>
        <w:spacing w:before="120" w:after="0"/>
        <w:jc w:val="both"/>
        <w:rPr>
          <w:rFonts w:ascii="Times New Roman" w:hAnsi="Times New Roman"/>
          <w:sz w:val="20"/>
        </w:rPr>
      </w:pPr>
      <w:r>
        <w:rPr>
          <w:rFonts w:ascii="Times New Roman" w:hAnsi="Times New Roman"/>
          <w:sz w:val="20"/>
        </w:rPr>
        <w:t xml:space="preserve">(d) Except with respect to any matters that (either individually or in the aggregate) could not reasonably be expected to result in (x) with respect to the Issuers and their Subsidiaries, a materially adverse effect on such Persons or their assets or (y) with respect to TBIL and TBUS, a Material Adverse Effect, no Group Member nor any of its Subsidiaries (i) has failed to comply with any Environmental Law or to obtain, maintain or comply with any permit, license or other approval required under any Environmental Law, (ii) has become subject to any Environmental Liability, (iii) has received any Environmental Claim, or has Knowledge that any is threatened in writing, or (iv) has entered into any written agreement in which such Group Member or any of its Subsidiaries has assumed or undertaken responsibility or obligations of any other Person with respect to any Environmental Liability or (v) has Knowledge of any basis for any other Environmental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Compliance of Licensed Products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Note Parties and their Affiliates and, to the Knowledge of the Note Parties, the Collaboration Partner and its Affiliates, possess all material Governmental Authorizations from the FDA and other Governmental Authorities required for the Exploitation of the Licensed Products in the Territory as conducted by or on behalf of TBIL and its Affiliates and the Collaboration Partner prior to the Closing Date, and all such Governmental Authorizations are in full force and effect. </w:t>
      </w:r>
    </w:p>
    <w:p>
      <w:pPr>
        <w:pStyle w:val="TextBody"/>
        <w:bidi w:val="0"/>
        <w:spacing w:before="120" w:after="0"/>
        <w:jc w:val="both"/>
        <w:rPr>
          <w:rFonts w:ascii="Times New Roman" w:hAnsi="Times New Roman"/>
          <w:sz w:val="20"/>
        </w:rPr>
      </w:pPr>
      <w:r>
        <w:rPr>
          <w:rFonts w:ascii="Times New Roman" w:hAnsi="Times New Roman"/>
          <w:sz w:val="20"/>
        </w:rPr>
        <w:t xml:space="preserve">(b) No Governmental Authority has delivered any written notice to the Note Parties or any of its Affiliates, and neither the DST Issuer nor any of its Affiliates have received written notice that a Governmental Authority has delivered any notice to the Collaboration Partner or its Affiliates, regarding any failure to comply in any material respect with any Laws with respect to the Exploitation of the Licensed Products in the Territory, including any terms or requirements of any Governmental Authorization. To the Knowledge of the Note Parties and their Affiliates, there are no facts or circumstances that are reasonably likely to give rise to any revocation, withdrawal, suspension, cancellation, material limitation, termination, adverse modification or significant delay of any Governmental Authorization required to continue to Exploit the Licensed Product in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(c) To the Knowledge of the Note Parties and their Affiliates, none of the officers, directors, employees, agents or consultants of either the Note Parties or its Affiliates, or the Collaboration Partner or its Affiliates, involved in any Drug Application or the Exploitation of the Licensed Product in the Territory has been convicted of any crime or engaged in any conduct for which debarment is authorized by 21 U.S.C. Section 335a nor, to the Knowledge of the Note Parties and their Affiliates, are any debarment proceedings or investigations pending or threatened against any such individuals. </w:t>
      </w:r>
    </w:p>
    <w:p>
      <w:pPr>
        <w:pStyle w:val="TextBody"/>
        <w:bidi w:val="0"/>
        <w:spacing w:before="120" w:after="0"/>
        <w:jc w:val="both"/>
        <w:rPr>
          <w:rFonts w:ascii="Times New Roman" w:hAnsi="Times New Roman"/>
          <w:sz w:val="20"/>
        </w:rPr>
      </w:pPr>
      <w:r>
        <w:rPr>
          <w:rFonts w:ascii="Times New Roman" w:hAnsi="Times New Roman"/>
          <w:sz w:val="20"/>
        </w:rPr>
        <w:t xml:space="preserve">(d) To the Knowledge of the Note Parties and their Affiliates, all clinical trials conducted by or on behalf of the Note Parties and its Affiliates or the Collaboration Partner and its Affiliates that have been submitted to any Governmental Authority in connection with any Regulatory Approval of the Licensed Products in the Territory, are being or have been conducted in compliance in all material respects with applicable Laws. </w:t>
      </w:r>
    </w:p>
    <w:p>
      <w:pPr>
        <w:pStyle w:val="TextBody"/>
        <w:bidi w:val="0"/>
        <w:spacing w:before="120" w:after="0"/>
        <w:jc w:val="both"/>
        <w:rPr>
          <w:rFonts w:ascii="Times New Roman" w:hAnsi="Times New Roman"/>
          <w:sz w:val="20"/>
        </w:rPr>
      </w:pPr>
      <w:r>
        <w:rPr>
          <w:rFonts w:ascii="Times New Roman" w:hAnsi="Times New Roman"/>
          <w:sz w:val="20"/>
        </w:rPr>
        <w:t xml:space="preserve">(e) To the Knowledge of the Note Parties and their Affiliates, all applications, submissions, information and data related to the Licensed Product in the Territory submitted or utilized as the basis for any such Product Registration were true and correct in all material respects as of the date of such submission or use, and, to the Knowledge of the Note Parties and their Affiliates, any updates, changes, corrections or modifications to such applications, submissions, information or data required under Law have been submitted to the necessary Regulatory Agencies. </w:t>
      </w:r>
    </w:p>
    <w:p>
      <w:pPr>
        <w:pStyle w:val="TextBody"/>
        <w:bidi w:val="0"/>
        <w:spacing w:before="120" w:after="0"/>
        <w:jc w:val="both"/>
        <w:rPr>
          <w:rFonts w:ascii="Times New Roman" w:hAnsi="Times New Roman"/>
          <w:sz w:val="20"/>
        </w:rPr>
      </w:pPr>
      <w:r>
        <w:rPr>
          <w:rFonts w:ascii="Times New Roman" w:hAnsi="Times New Roman"/>
          <w:sz w:val="20"/>
        </w:rPr>
        <w:t xml:space="preserve">(f) To the Knowledge of the Note Parties and their Affiliates (i) all Licensed Products used or intended for use in the Territory have been manufactured, transported, stored and handled in accordance with all Laws in all material respects, including applicable current good manufacturing practices and (ii) there have not been any failures in the manufacturing of the Licensed Products for use in the Territory that would reasonably be expected to result in a material adverse effect on the Exploitation of the Licensed Products in the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Neither the Note Parties nor any of its Affiliates have received any written notice that any Governmental Authority (including the FDA, the Office of the Inspector General of the United States Department of Health and Human Services or the United States Department of Justice) has commenced any investigation or threatened to initiate any action against the Note Parties or any of its Affiliates or the Collaboration Partner or any of its Affiliates, or any action to enjoin the Note Parties or any of its Affiliates or the Collaboration Partner or any of its Affiliates, or their respective officers, directors, employees and agents, from conducting its business or for any civil penalty, injunction, seizure or criminal action, in each case, that would reasonably be expected to result in a material adverse effect on the Exploitation of the Licensed Products in the Territory. </w:t>
      </w:r>
    </w:p>
    <w:p>
      <w:pPr>
        <w:pStyle w:val="TextBody"/>
        <w:bidi w:val="0"/>
        <w:spacing w:before="120" w:after="0"/>
        <w:jc w:val="both"/>
        <w:rPr>
          <w:rFonts w:ascii="Times New Roman" w:hAnsi="Times New Roman"/>
          <w:sz w:val="20"/>
        </w:rPr>
      </w:pPr>
      <w:r>
        <w:rPr>
          <w:rFonts w:ascii="Times New Roman" w:hAnsi="Times New Roman"/>
          <w:sz w:val="20"/>
        </w:rPr>
        <w:t xml:space="preserve">(h) Neither the Note Parties nor any of its Affiliates have received, and to the Knowledge of the Note Parties and their Affiliates neither the Collaboration Partner nor its Affiliates have received, from the FDA or other Governmental Authority at any time, a Warning or Untitled Letter, Form FDA-483, Safety Notice, request for regulatory meeting, or similar correspondence or notice alleging violations of Laws enforced by the FDA or any comparable correspondence from any other Governmental Authority with regard to any Licensed Product used or intended for use in the Territory or the manufacture, processing, packaging or holding thereof, the subject of which communication is unresolved and would reasonably be expected to result in a material adverse effect on the Exploitation of the Licensed Products in the Territory. </w:t>
      </w:r>
    </w:p>
    <w:p>
      <w:pPr>
        <w:pStyle w:val="TextBody"/>
        <w:bidi w:val="0"/>
        <w:spacing w:before="120" w:after="0"/>
        <w:jc w:val="both"/>
        <w:rPr>
          <w:rFonts w:ascii="Times New Roman" w:hAnsi="Times New Roman"/>
          <w:sz w:val="20"/>
        </w:rPr>
      </w:pPr>
      <w:r>
        <w:rPr>
          <w:rFonts w:ascii="Times New Roman" w:hAnsi="Times New Roman"/>
          <w:sz w:val="20"/>
        </w:rPr>
        <w:t xml:space="preserve">(i) With respect to the Licensed Products in the Territory, (i) to the Knowledge of the Note Parties and their Affiliates, there are no unresolved material product complaints with respect to any Licensed Product in the Territory, and (ii) to the Knowledge of the Note Parties and their Affiliates, there are no facts or circumstances that would reasonably be expected to result in (A) any adverse change to the approved labeling for the Licensed Products in the Field and in the Territory, (B) a termination, cessation or suspension of Exploitation of Licensed Products in the Territory, or (C) the issuance of a Safety Notice by a Governmental Authority based in the Territory. </w:t>
      </w:r>
    </w:p>
    <w:p>
      <w:pPr>
        <w:pStyle w:val="TextBody"/>
        <w:bidi w:val="0"/>
        <w:spacing w:before="120" w:after="0"/>
        <w:jc w:val="both"/>
        <w:rPr>
          <w:rFonts w:ascii="Times New Roman" w:hAnsi="Times New Roman"/>
          <w:sz w:val="20"/>
        </w:rPr>
      </w:pPr>
      <w:r>
        <w:rPr>
          <w:rFonts w:ascii="Times New Roman" w:hAnsi="Times New Roman"/>
          <w:sz w:val="20"/>
        </w:rPr>
        <w:t xml:space="preserve">(j) All of the Licensed Products that exist as of the Closing Date are listed on </w:t>
      </w:r>
      <w:r>
        <w:rPr>
          <w:rFonts w:ascii="Times New Roman" w:hAnsi="Times New Roman"/>
          <w:sz w:val="20"/>
          <w:u w:val="single"/>
        </w:rPr>
        <w:t>Schedule 6.14</w:t>
      </w:r>
      <w:r>
        <w:rPr>
          <w:rFonts w:ascii="Times New Roman" w:hAnsi="Times New Roman"/>
          <w:sz w:val="20"/>
        </w:rPr>
        <w:t xml:space="preserve">. All of the Product Registrations that exist as of the Closing Date are listed on </w:t>
      </w:r>
      <w:r>
        <w:rPr>
          <w:rFonts w:ascii="Times New Roman" w:hAnsi="Times New Roman"/>
          <w:sz w:val="20"/>
          <w:u w:val="single"/>
        </w:rPr>
        <w:t>Schedule 6.14</w:t>
      </w:r>
      <w:r>
        <w:rPr>
          <w:rFonts w:ascii="Times New Roman" w:hAnsi="Times New Roman"/>
          <w:sz w:val="20"/>
        </w:rPr>
        <w:t xml:space="preserve">, including with respect to each Product Registration (i) the Licensed Product to which such Product Registration relates, and (ii) the name of the Person that owns each such Product Registration. To the Knowledge of the Note Parties and their Affiliates, the Exploitation of the Licensed Products in the Territory has been in material compliance with all Governmental Authorizations and Laws, including the United States Federal Food, Drug and Cosmetic Act (21 U.S.C. § 301 et seq.). </w:t>
      </w:r>
    </w:p>
    <w:p>
      <w:pPr>
        <w:pStyle w:val="TextBody"/>
        <w:bidi w:val="0"/>
        <w:spacing w:before="120" w:after="0"/>
        <w:jc w:val="both"/>
        <w:rPr>
          <w:rFonts w:ascii="Times New Roman" w:hAnsi="Times New Roman"/>
          <w:sz w:val="20"/>
        </w:rPr>
      </w:pPr>
      <w:r>
        <w:rPr>
          <w:rFonts w:ascii="Times New Roman" w:hAnsi="Times New Roman"/>
          <w:sz w:val="20"/>
        </w:rPr>
        <w:t xml:space="preserve">(k) Neither the Note Parties nor any of their Affiliates, and to the Knowledge of the Note Parties and their Affiliates, neither the Collaboration Partner nor any of its Affiliates, have, received any written notice from any Governmental Authority in the Territory, including the FDA, that such Governmental Authority is conducting an investigation or review of any Governmental Authorization for the Licensed Products in the Territory that would reasonably be expected to result in a revocation or withdrawal of such Governmental Authorization, nor, has any such Governmental Authority issued any written order or recommendation stating that the Exploitation of the Licensed Products in the Territory should cease or be suspended. </w:t>
      </w:r>
    </w:p>
    <w:p>
      <w:pPr>
        <w:pStyle w:val="TextBody"/>
        <w:bidi w:val="0"/>
        <w:spacing w:before="120" w:after="0"/>
        <w:jc w:val="both"/>
        <w:rPr>
          <w:rFonts w:ascii="Times New Roman" w:hAnsi="Times New Roman"/>
          <w:sz w:val="20"/>
        </w:rPr>
      </w:pPr>
      <w:r>
        <w:rPr>
          <w:rFonts w:ascii="Times New Roman" w:hAnsi="Times New Roman"/>
          <w:sz w:val="20"/>
        </w:rPr>
        <w:t xml:space="preserve">(l) As of the Closing Date and, thereafter, except to the extent otherwise notified to the Agent and the Purchasers pursuant to </w:t>
      </w:r>
      <w:r>
        <w:rPr>
          <w:rFonts w:ascii="Times New Roman" w:hAnsi="Times New Roman"/>
          <w:sz w:val="20"/>
          <w:u w:val="single"/>
        </w:rPr>
        <w:t>Section 7.02(n)</w:t>
      </w:r>
      <w:r>
        <w:rPr>
          <w:rFonts w:ascii="Times New Roman" w:hAnsi="Times New Roman"/>
          <w:sz w:val="20"/>
        </w:rPr>
        <w:t xml:space="preserve">, the Licensed Products are not under Development for any indication other than those indications that have been approved by the FDA and are not under Development as a combination product or co-formulation with any other chemically distinct and therapeutically active compound or as an over-the-counter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IP Rights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6.15</w:t>
      </w:r>
      <w:r>
        <w:rPr>
          <w:rFonts w:ascii="Times New Roman" w:hAnsi="Times New Roman"/>
          <w:sz w:val="20"/>
        </w:rPr>
        <w:t xml:space="preserve"> sets forth a complete and accurate list of the Product Patents. For each Product Patent set forth on </w:t>
      </w:r>
      <w:r>
        <w:rPr>
          <w:rFonts w:ascii="Times New Roman" w:hAnsi="Times New Roman"/>
          <w:sz w:val="20"/>
          <w:u w:val="single"/>
        </w:rPr>
        <w:t>Schedule 6.15</w:t>
      </w:r>
      <w:r>
        <w:rPr>
          <w:rFonts w:ascii="Times New Roman" w:hAnsi="Times New Roman"/>
          <w:sz w:val="20"/>
        </w:rPr>
        <w:t xml:space="preserve">, the Issuers have indicated: (i) the application number; (ii) the patent or registration number, if any; (iii) the country or jurisdiction of application and/or registration; (iv) the date of application and/or registration; and (v) the registered owner(s) thereof. To the Knowledge of the Note Parties and their Affiliates, the only Patents that are necessary to Exploit the Licensed Products in the Territory are the Product Patents. </w:t>
      </w:r>
    </w:p>
    <w:p>
      <w:pPr>
        <w:pStyle w:val="TextBody"/>
        <w:bidi w:val="0"/>
        <w:spacing w:before="120" w:after="0"/>
        <w:jc w:val="both"/>
        <w:rPr>
          <w:rFonts w:ascii="Times New Roman" w:hAnsi="Times New Roman"/>
          <w:sz w:val="20"/>
        </w:rPr>
      </w:pPr>
      <w:r>
        <w:rPr>
          <w:rFonts w:ascii="Times New Roman" w:hAnsi="Times New Roman"/>
          <w:sz w:val="20"/>
        </w:rPr>
        <w:t xml:space="preserve">(b) RDIP and DST Issuer are, collectively, the sole and exclusive owners of the entire right, title and interest in each of the Owned Product Patents, other than any “Joint Invention Patent” (as defined in the Collaboration Agreement). Other than Permitted Liens, the Owned Product Patents are not subject to any Lien or claim of ownership by any Third Party (other than the ownership interest of the Collaboration Partner in the “Joint Invention Patents”). None of the Note Parties or their Affiliates have, and to the Knowledge of the Note Parties and their Affiliates, neither the Collaboration Partner nor its Affiliates have, received any written notice of any claim by any Third Party challenging the ownership of the Product Patents. Following the Closing Date, other than any rights conveyed to TBUS pursuant to the Servicing Agreement, the DST Issuer has all rights held by TBIL immediately prior to the Closing Date with respect to the Owned Product Patents. </w:t>
      </w:r>
    </w:p>
    <w:p>
      <w:pPr>
        <w:pStyle w:val="TextBody"/>
        <w:bidi w:val="0"/>
        <w:spacing w:before="120" w:after="0"/>
        <w:jc w:val="both"/>
        <w:rPr>
          <w:rFonts w:ascii="Times New Roman" w:hAnsi="Times New Roman"/>
          <w:sz w:val="20"/>
        </w:rPr>
      </w:pPr>
      <w:r>
        <w:rPr>
          <w:rFonts w:ascii="Times New Roman" w:hAnsi="Times New Roman"/>
          <w:sz w:val="20"/>
        </w:rPr>
        <w:t xml:space="preserve">(c) To the Knowledge of the Note Parties and their Affiliates, each Person who has or has had any rights in or to the Owned Product Patents, including each inventor named on the Owned Product Patents, has executed a Contract assigning their entire right, title and interest in and to such Product Patents and the inventions embodied, described or claimed thereinto the owner thereof at the time of such assignment, and each such Contract has been duly recorded at the United States Patent and Trademark Office and, if required, other competent Governmental Authority outside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(d) To the Knowledge of the Note Parties and their Affiliates, no issued Product Patent has been judged invalid or unenforceable (other than as set forth in </w:t>
      </w:r>
      <w:r>
        <w:rPr>
          <w:rFonts w:ascii="Times New Roman" w:hAnsi="Times New Roman"/>
          <w:sz w:val="20"/>
          <w:u w:val="single"/>
        </w:rPr>
        <w:t>Schedule 6.15</w:t>
      </w:r>
      <w:r>
        <w:rPr>
          <w:rFonts w:ascii="Times New Roman" w:hAnsi="Times New Roman"/>
          <w:sz w:val="20"/>
        </w:rPr>
        <w:t xml:space="preserve">). To the Knowledge of the Note Parties and their Affiliates, as of the date hereof, no material Product Patent applications have lapsed, expired, been abandoned or otherwise been terminated, other than by operation of law or, by any prosecution or maintenance decisions of the Note Parties or the Collaboration Partner on a case-by-case basis and under routine patent prosecutions. </w:t>
      </w:r>
    </w:p>
    <w:p>
      <w:pPr>
        <w:pStyle w:val="TextBody"/>
        <w:bidi w:val="0"/>
        <w:spacing w:before="120" w:after="0"/>
        <w:jc w:val="both"/>
        <w:rPr>
          <w:rFonts w:ascii="Times New Roman" w:hAnsi="Times New Roman"/>
          <w:sz w:val="20"/>
        </w:rPr>
      </w:pPr>
      <w:r>
        <w:rPr>
          <w:rFonts w:ascii="Times New Roman" w:hAnsi="Times New Roman"/>
          <w:sz w:val="20"/>
        </w:rPr>
        <w:t xml:space="preserve">(e) There are no unpaid maintenance fees, annuities or other like payments with respect to the Owned Product Patents, or to the Knowledge of the Note Parties and their Affiliates, the other Product Patents, that would reasonably be expected to have a material adverse effect on any Product Patent or that would reasonably be expected to result in a material reduction in the amount of the Yupelri Adjusted Net Profit, Adjusted Operating Profit (Loss) and/or any component parts that would add to Yupelri Adjusted Net Profit and/or Adjusted Operating Profit (Loss). </w:t>
      </w:r>
    </w:p>
    <w:p>
      <w:pPr>
        <w:pStyle w:val="TextBody"/>
        <w:bidi w:val="0"/>
        <w:spacing w:before="120" w:after="0"/>
        <w:jc w:val="both"/>
        <w:rPr>
          <w:rFonts w:ascii="Times New Roman" w:hAnsi="Times New Roman"/>
          <w:sz w:val="20"/>
        </w:rPr>
      </w:pPr>
      <w:r>
        <w:rPr>
          <w:rFonts w:ascii="Times New Roman" w:hAnsi="Times New Roman"/>
          <w:sz w:val="20"/>
        </w:rPr>
        <w:t xml:space="preserve">(f) (i) To the Knowledge of the Note Parties and their Affiliates, each of the Owned Product Patents correctly identifies each and every inventor of the claims thereof as determined in accordance with Laws, (ii) to the Knowledge of the Note Parties and their Affiliates, there is not any Person who is or claims to be an inventor of any of the Product Patents who is not a named inventor thereof and (iii) none of the Note Parties or their Affiliates have received any written notice from any Person who is or claims to be an inventor of any of the Product Patents who is not a named inventor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(i) Each of the Product Patents is subsisting and, to the Knowledge of the Note Parties and their Affiliates, valid and enforceable; and (ii) none of the Note Parties or their Affiliates have received any written notice of any claim by any Third Party challenging the validity or enforceability of any of the Product Patents (other than as set forth in </w:t>
      </w:r>
      <w:r>
        <w:rPr>
          <w:rFonts w:ascii="Times New Roman" w:hAnsi="Times New Roman"/>
          <w:sz w:val="20"/>
          <w:u w:val="single"/>
        </w:rPr>
        <w:t>Schedule 6.15</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(h) To the Knowledge of the Note Parties and their Affiliates, each individual associated with the filing and prosecution of the Owned Product Patents has complied, in all material respects with all applicable duties of candor and good faith in dealing with any Patent Office, including any duty to disclose to any Patent Office all information known by such individual to be material to patentability of each such Owned Product Patent. </w:t>
      </w:r>
    </w:p>
    <w:p>
      <w:pPr>
        <w:pStyle w:val="TextBody"/>
        <w:bidi w:val="0"/>
        <w:spacing w:before="120" w:after="0"/>
        <w:jc w:val="both"/>
        <w:rPr>
          <w:rFonts w:ascii="Times New Roman" w:hAnsi="Times New Roman"/>
          <w:sz w:val="20"/>
        </w:rPr>
      </w:pPr>
      <w:r>
        <w:rPr>
          <w:rFonts w:ascii="Times New Roman" w:hAnsi="Times New Roman"/>
          <w:sz w:val="20"/>
        </w:rPr>
        <w:t xml:space="preserve">(i) To the Knowledge of the Note Parties and their Affiliates, there is at least one Valid Claim in each of the United States Product Patents on </w:t>
      </w:r>
      <w:r>
        <w:rPr>
          <w:rFonts w:ascii="Times New Roman" w:hAnsi="Times New Roman"/>
          <w:sz w:val="20"/>
          <w:u w:val="single"/>
        </w:rPr>
        <w:t>Schedule 6.15(i)</w:t>
      </w:r>
      <w:r>
        <w:rPr>
          <w:rFonts w:ascii="Times New Roman" w:hAnsi="Times New Roman"/>
          <w:sz w:val="20"/>
        </w:rPr>
        <w:t xml:space="preserve"> that would be infringed by Exploitation of the Licensed Products in the Field in the United States but for rights in such Product Patents (either by ownership or by license under the Covered Agreements). </w:t>
      </w:r>
    </w:p>
    <w:p>
      <w:pPr>
        <w:pStyle w:val="TextBody"/>
        <w:bidi w:val="0"/>
        <w:spacing w:before="120" w:after="0"/>
        <w:jc w:val="both"/>
        <w:rPr>
          <w:rFonts w:ascii="Times New Roman" w:hAnsi="Times New Roman"/>
          <w:sz w:val="20"/>
        </w:rPr>
      </w:pPr>
      <w:r>
        <w:rPr>
          <w:rFonts w:ascii="Times New Roman" w:hAnsi="Times New Roman"/>
          <w:sz w:val="20"/>
        </w:rPr>
        <w:t xml:space="preserve">(j) There are no pending or threatened proceedings before a Governmental Authority (other than normal course patent prosecution matters) that would reasonably be expected to have a material adverse impact on the validity or enforceability of any Valid Claim of the Product Patents. </w:t>
      </w:r>
    </w:p>
    <w:p>
      <w:pPr>
        <w:pStyle w:val="TextBody"/>
        <w:bidi w:val="0"/>
        <w:spacing w:before="120" w:after="0"/>
        <w:jc w:val="both"/>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Schedule 6.15</w:t>
      </w:r>
      <w:r>
        <w:rPr>
          <w:rFonts w:ascii="Times New Roman" w:hAnsi="Times New Roman"/>
          <w:sz w:val="20"/>
        </w:rPr>
        <w:t xml:space="preserve">, to the Knowledge of the Note Parties and their Affiliates, there are no pending Disputes involving any of the IP Rights or Exploitation of the Licensed Product in the Territory and none of the Note Parties or their Affiliates have received or given notice of any such Dispute. </w:t>
      </w:r>
    </w:p>
    <w:p>
      <w:pPr>
        <w:pStyle w:val="TextBody"/>
        <w:bidi w:val="0"/>
        <w:spacing w:before="120" w:after="0"/>
        <w:jc w:val="both"/>
        <w:rPr>
          <w:rFonts w:ascii="Times New Roman" w:hAnsi="Times New Roman"/>
          <w:sz w:val="20"/>
        </w:rPr>
      </w:pPr>
      <w:r>
        <w:rPr>
          <w:rFonts w:ascii="Times New Roman" w:hAnsi="Times New Roman"/>
          <w:sz w:val="20"/>
        </w:rPr>
        <w:t xml:space="preserve">(l) To the Knowledge of the Note Parties and their Affiliates, none of the conception, development and reduction to practice of the inventions claimed in the Product Patents has constituted or involved the misappropriation of trade secrets or other rights or property of any Third Party. </w:t>
      </w:r>
    </w:p>
    <w:p>
      <w:pPr>
        <w:pStyle w:val="TextBody"/>
        <w:bidi w:val="0"/>
        <w:spacing w:before="120" w:after="0"/>
        <w:jc w:val="both"/>
        <w:rPr>
          <w:rFonts w:ascii="Times New Roman" w:hAnsi="Times New Roman"/>
          <w:sz w:val="20"/>
        </w:rPr>
      </w:pPr>
      <w:r>
        <w:rPr>
          <w:rFonts w:ascii="Times New Roman" w:hAnsi="Times New Roman"/>
          <w:sz w:val="20"/>
        </w:rPr>
        <w:t xml:space="preserve">(m) None of the Note Parties or their Affiliates have filed any disclaimer of, other than a terminal disclaimer, or made or permitted any other voluntary reduction in the scope of, any Owned Product Patent, except in the ordinary course of patent prosecution. </w:t>
      </w:r>
    </w:p>
    <w:p>
      <w:pPr>
        <w:pStyle w:val="TextBody"/>
        <w:bidi w:val="0"/>
        <w:spacing w:before="120" w:after="0"/>
        <w:jc w:val="both"/>
        <w:rPr>
          <w:rFonts w:ascii="Times New Roman" w:hAnsi="Times New Roman"/>
          <w:sz w:val="20"/>
        </w:rPr>
      </w:pPr>
      <w:r>
        <w:rPr>
          <w:rFonts w:ascii="Times New Roman" w:hAnsi="Times New Roman"/>
          <w:sz w:val="20"/>
        </w:rPr>
        <w:t xml:space="preserve">(n) To the Knowledge of the Note Parties and their Affiliates, no Person has undertaken or omitted to undertake any acts, and no facts or circumstances exist, that would void, invalidate, or materially reduce or eliminate the enforceability or scope of any Valid Claim of the Product Patents. </w:t>
      </w:r>
    </w:p>
    <w:p>
      <w:pPr>
        <w:pStyle w:val="TextBody"/>
        <w:bidi w:val="0"/>
        <w:spacing w:before="120" w:after="0"/>
        <w:jc w:val="both"/>
        <w:rPr>
          <w:rFonts w:ascii="Times New Roman" w:hAnsi="Times New Roman"/>
          <w:sz w:val="20"/>
        </w:rPr>
      </w:pPr>
      <w:r>
        <w:rPr>
          <w:rFonts w:ascii="Times New Roman" w:hAnsi="Times New Roman"/>
          <w:sz w:val="20"/>
        </w:rPr>
        <w:t xml:space="preserve">(o) To the Knowledge of the Note Parties and their Affiliates, no Third Party Patent is being infringed by Exploitation of the Licensed Products in the Territory. Except as set forth in </w:t>
      </w:r>
      <w:r>
        <w:rPr>
          <w:rFonts w:ascii="Times New Roman" w:hAnsi="Times New Roman"/>
          <w:sz w:val="20"/>
          <w:u w:val="single"/>
        </w:rPr>
        <w:t>Schedule 6.15</w:t>
      </w:r>
      <w:r>
        <w:rPr>
          <w:rFonts w:ascii="Times New Roman" w:hAnsi="Times New Roman"/>
          <w:sz w:val="20"/>
        </w:rPr>
        <w:t xml:space="preserve">, none of the Note Parties or their Affiliates have received, any written notice of any claim by any Third Party asserting that the Exploitation of any Licensed Product in the Territory infringes such Third Party’s Patents. </w:t>
      </w:r>
    </w:p>
    <w:p>
      <w:pPr>
        <w:pStyle w:val="TextBody"/>
        <w:bidi w:val="0"/>
        <w:spacing w:before="120" w:after="0"/>
        <w:jc w:val="both"/>
        <w:rPr>
          <w:rFonts w:ascii="Times New Roman" w:hAnsi="Times New Roman"/>
          <w:sz w:val="20"/>
        </w:rPr>
      </w:pPr>
      <w:r>
        <w:rPr>
          <w:rFonts w:ascii="Times New Roman" w:hAnsi="Times New Roman"/>
          <w:sz w:val="20"/>
        </w:rPr>
        <w:t xml:space="preserve">(p) Except as set forth in </w:t>
      </w:r>
      <w:r>
        <w:rPr>
          <w:rFonts w:ascii="Times New Roman" w:hAnsi="Times New Roman"/>
          <w:sz w:val="20"/>
          <w:u w:val="single"/>
        </w:rPr>
        <w:t>Schedule 6.15</w:t>
      </w:r>
      <w:r>
        <w:rPr>
          <w:rFonts w:ascii="Times New Roman" w:hAnsi="Times New Roman"/>
          <w:sz w:val="20"/>
        </w:rPr>
        <w:t xml:space="preserve"> or as would not reasonably be expected to result in a Material Adverse Effect or be likely to result in a material reduction in the amount of the Yupelri Adjusted Net Profit, Adjusted Operating Profit (Loss) and/or any component parts that would add to Yupelri Adjusted Net Profit and/or Adjusted Operating Profit (Loss) (i) there are no Disputes between the Note Parties and their Affiliates, or to the Knowledge of the Note Parties and their Affiliates, the Collaboration Partner or its Affiliates, on the one hand, and a Third Party, on the other hand, relating to the Exploitation of any Licensed Product in the Territory, (ii) none of the Issuers or their Affiliates have received or given notice of any such Dispute and (iii) to the Knowledge of the Issuers and their Affiliates, there exists no circumstances or grounds upon which any such claims would reasonably be asserted. Except as set forth in </w:t>
      </w:r>
      <w:r>
        <w:rPr>
          <w:rFonts w:ascii="Times New Roman" w:hAnsi="Times New Roman"/>
          <w:sz w:val="20"/>
          <w:u w:val="single"/>
        </w:rPr>
        <w:t>Schedule 6.15</w:t>
      </w:r>
      <w:r>
        <w:rPr>
          <w:rFonts w:ascii="Times New Roman" w:hAnsi="Times New Roman"/>
          <w:sz w:val="20"/>
        </w:rPr>
        <w:t xml:space="preserve">, the Product Patents are not subject to any outstanding injunction, judgment or other decree, ruling, charge settlement or other disposition of any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(q) Except as set forth in </w:t>
      </w:r>
      <w:r>
        <w:rPr>
          <w:rFonts w:ascii="Times New Roman" w:hAnsi="Times New Roman"/>
          <w:sz w:val="20"/>
          <w:u w:val="single"/>
        </w:rPr>
        <w:t>Schedule 6.15</w:t>
      </w:r>
      <w:r>
        <w:rPr>
          <w:rFonts w:ascii="Times New Roman" w:hAnsi="Times New Roman"/>
          <w:sz w:val="20"/>
        </w:rPr>
        <w:t xml:space="preserve">, to the Knowledge of the Note Parties and their Affiliates, no Third Party is infringing, misappropriating, or otherwise violating any IP Rights in the Territory in any material respect. </w:t>
      </w:r>
    </w:p>
    <w:p>
      <w:pPr>
        <w:pStyle w:val="TextBody"/>
        <w:bidi w:val="0"/>
        <w:spacing w:before="120" w:after="0"/>
        <w:jc w:val="both"/>
        <w:rPr>
          <w:rFonts w:ascii="Times New Roman" w:hAnsi="Times New Roman"/>
          <w:sz w:val="20"/>
        </w:rPr>
      </w:pPr>
      <w:r>
        <w:rPr>
          <w:rFonts w:ascii="Times New Roman" w:hAnsi="Times New Roman"/>
          <w:sz w:val="20"/>
        </w:rPr>
        <w:t xml:space="preserve">(r) Except as set forth on </w:t>
      </w:r>
      <w:r>
        <w:rPr>
          <w:rFonts w:ascii="Times New Roman" w:hAnsi="Times New Roman"/>
          <w:sz w:val="20"/>
          <w:u w:val="single"/>
        </w:rPr>
        <w:t>Schedule 6.15</w:t>
      </w:r>
      <w:r>
        <w:rPr>
          <w:rFonts w:ascii="Times New Roman" w:hAnsi="Times New Roman"/>
          <w:sz w:val="20"/>
        </w:rPr>
        <w:t xml:space="preserve">, there are no settlements, covenants not to sue, consents, judgements, orders or similar obligations that (i) restrict the rights of the Note Parties or any of their Affiliates or, to the Knowledge of the Note Parties and their Affiliates, the Collaboration Partner, from the Exploitation of the Licensed Products in the Territory in any material respect or (ii) permit any Third Parties (other than the Collaboration Partner or its Affiliates) to Exploit the Licensed Products in the Territory or use the Product Patents in any manner that would reasonably be expected to result in a material adverse effect on the Exploitation of the Licensed Products in the Territory by the Collaboration Partner or the Note Parties or their Affiliates under the Covered Agreements. </w:t>
      </w:r>
    </w:p>
    <w:p>
      <w:pPr>
        <w:pStyle w:val="TextBody"/>
        <w:bidi w:val="0"/>
        <w:spacing w:before="120" w:after="0"/>
        <w:jc w:val="both"/>
        <w:rPr>
          <w:rFonts w:ascii="Times New Roman" w:hAnsi="Times New Roman"/>
          <w:sz w:val="20"/>
        </w:rPr>
      </w:pPr>
      <w:r>
        <w:rPr>
          <w:rFonts w:ascii="Times New Roman" w:hAnsi="Times New Roman"/>
          <w:sz w:val="20"/>
        </w:rPr>
        <w:t xml:space="preserve">(s) There are no trademarks, other than the Product Trademarks, material to Commercialization of the Licensed Products in the Territory, except for the use of Theravance Trademarks in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Margin Stock; Use of Proceeds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Note Parties are not engaged in the business of extending credit for the purpose of buying or carrying margin stock. </w:t>
      </w:r>
    </w:p>
    <w:p>
      <w:pPr>
        <w:pStyle w:val="TextBody"/>
        <w:bidi w:val="0"/>
        <w:spacing w:before="120" w:after="0"/>
        <w:jc w:val="both"/>
        <w:rPr>
          <w:rFonts w:ascii="Times New Roman" w:hAnsi="Times New Roman"/>
          <w:sz w:val="20"/>
        </w:rPr>
      </w:pPr>
      <w:r>
        <w:rPr>
          <w:rFonts w:ascii="Times New Roman" w:hAnsi="Times New Roman"/>
          <w:sz w:val="20"/>
        </w:rPr>
        <w:t xml:space="preserve">(b) No proceeds of the Notes will be used to purchase or carry any “margin stock” or “margin security” (within the meaning of Regulations T, U or X issued by the Federal Reserve Board) or to extend credit to others for the purpose of purchasing or carrying any margin stock or margin security. </w:t>
      </w:r>
    </w:p>
    <w:p>
      <w:pPr>
        <w:pStyle w:val="TextBody"/>
        <w:bidi w:val="0"/>
        <w:spacing w:before="120" w:after="0"/>
        <w:jc w:val="both"/>
        <w:rPr>
          <w:rFonts w:ascii="Times New Roman" w:hAnsi="Times New Roman"/>
          <w:sz w:val="20"/>
        </w:rPr>
      </w:pPr>
      <w:r>
        <w:rPr>
          <w:rFonts w:ascii="Times New Roman" w:hAnsi="Times New Roman"/>
          <w:sz w:val="20"/>
        </w:rPr>
        <w:t xml:space="preserve">(c) The proceeds of the Notes will be used by the Issuers to fund the Purchase Price (as defined in the Contribution, Purchase and Sale Agreement), and otherwise in accordance with </w:t>
      </w:r>
      <w:r>
        <w:rPr>
          <w:rFonts w:ascii="Times New Roman" w:hAnsi="Times New Roman"/>
          <w:sz w:val="20"/>
          <w:u w:val="single"/>
        </w:rPr>
        <w:t>Section 7.06</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Collaboration Agreement and Co-Promotion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A true and complete copy of (i) the Collaboration Agreement and the Co-Promotion Agreement, (ii) all Quarterly Reports delivered under Section 1.08 (a)(ii) of Exhibit F of the Collaboration Agreement, and (iii) all material notices and all other material written communications that could reasonably be expected to adversely affect the rights of a Note Party under such agreement or any adverse effect on the timing, amount or duration of the payments (including Yupelri Adjusted Net Profit, Adjusted Operating Profit (Loss) and/or any component parts of Yupelri Adjusted Net Profit and/or Adjusted Operating Profit (Loss)) payable to the DST Issuer under the Collaboration Agreement or any payments payable to a Note Party under the Co-Promotion Agreement or any other Covered Agreement), in each case delivered to any Note Party or any of its Affiliates by the Collaboration Partner or to the Collaboration Partner by any Note Party or any of its Affiliates pursuant to, or relating to, the Collaboration Agreement or the Co-Promotion Agreement that were delivered or received within the five (5) year period prior to the Closing Date, in each case together with all amendments, supplements or other modifications thereto, have been delivered to the Purchasers by the Note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None of the Note Parties nor any of their respective Affiliates has, and to the Knowledge of the Note Parties and their Affiliates, neither the Collaboration Partner and its Affiliates nor any other Covered Agreement Counterparty has, taken any action or omitted to take any action that could adversely impact the right of the Agent to take a security interest in the proceeds of the Collaboration Agreement or the Co-Promotion Agreement constituting Collateral. </w:t>
      </w:r>
    </w:p>
    <w:p>
      <w:pPr>
        <w:pStyle w:val="TextBody"/>
        <w:bidi w:val="0"/>
        <w:spacing w:before="120" w:after="0"/>
        <w:jc w:val="both"/>
        <w:rPr>
          <w:rFonts w:ascii="Times New Roman" w:hAnsi="Times New Roman"/>
          <w:sz w:val="20"/>
        </w:rPr>
      </w:pPr>
      <w:r>
        <w:rPr>
          <w:rFonts w:ascii="Times New Roman" w:hAnsi="Times New Roman"/>
          <w:sz w:val="20"/>
        </w:rPr>
        <w:t xml:space="preserve">(c) The Collaboration Agreement and the Co-Promotion Agreement are each the legal, valid and binding obligations of the Note Party or Note Parties party thereto and the Collaboration Partner and are enforceable against each such party in accordance with their respective terms. At the applicable time of execution, each of the Collaboration Agreement and the Co-Promotion Agreement, including each amendment or modification thereto, was duly authorized by all necessary action on the part of, and validly executed and delivered by, the Note Party or Note Parties party thereto and, to the Knowledge of the Note Parties and their Affiliates, the Collaboration Partner and, none of the Note Parties or their respective Affiliates has received any notice from the Collaboration Partner challenging the validity or enforceability of the Collaboration Agreement or the Co-Promotion Agreement. None of the Note Parties or their respective Affiliates has delivered or intends to deliver any notice to the Collaboration Partner challenging the validity or enforceability of the Collaboration Agreement or the Co-Promotion Agreement. Following the Closing Date, the DST Issuer has all rights held by TBIL and TBUS under the Collaboration Agreement immediately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(d) The Collaboration Agreement and the Co-Promotion Agreement are each in full force and effect and have not been waived, altered or modified in any material respect, whether by consent or otherwise, other than as set forth in the certificate delivered to Agent and the Purchasers pursuant to </w:t>
      </w:r>
      <w:r>
        <w:rPr>
          <w:rFonts w:ascii="Times New Roman" w:hAnsi="Times New Roman"/>
          <w:sz w:val="20"/>
          <w:u w:val="single"/>
        </w:rPr>
        <w:t>Section 5.01(l)</w:t>
      </w:r>
      <w:r>
        <w:rPr>
          <w:rFonts w:ascii="Times New Roman" w:hAnsi="Times New Roman"/>
          <w:sz w:val="20"/>
        </w:rPr>
        <w:t xml:space="preserve">. The Collaboration Partner has not been released, in whole or in part, from any of its material obligations under the Collaboration Agreement or the Co-Promotion Agreement, except as set forth in the certificate delivered to Agent and the Purchasers pursuant to </w:t>
      </w:r>
      <w:r>
        <w:rPr>
          <w:rFonts w:ascii="Times New Roman" w:hAnsi="Times New Roman"/>
          <w:sz w:val="20"/>
          <w:u w:val="single"/>
        </w:rPr>
        <w:t>Section 5.01(l)</w:t>
      </w:r>
      <w:r>
        <w:rPr>
          <w:rFonts w:ascii="Times New Roman" w:hAnsi="Times New Roman"/>
          <w:sz w:val="20"/>
        </w:rPr>
        <w:t xml:space="preserve"> (for the avoidance of doubt, any payment obligation shall be deemed “material” under this provision). Neither the Collaboration Agreement nor the Co-Promotion Agreement has been satisfied in full, discharged, canceled, terminated, subordinated or rescinded, in whole or in part, except as otherwise expressly permitted under this Agreement. The Collaboration Agreement and the Co-Promotion Agreement are each the entire agreement among the parties thereto relating to the subject matter thereof. </w:t>
      </w:r>
    </w:p>
    <w:p>
      <w:pPr>
        <w:pStyle w:val="TextBody"/>
        <w:bidi w:val="0"/>
        <w:spacing w:before="120" w:after="0"/>
        <w:jc w:val="both"/>
        <w:rPr>
          <w:rFonts w:ascii="Times New Roman" w:hAnsi="Times New Roman"/>
          <w:sz w:val="20"/>
        </w:rPr>
      </w:pPr>
      <w:r>
        <w:rPr>
          <w:rFonts w:ascii="Times New Roman" w:hAnsi="Times New Roman"/>
          <w:sz w:val="20"/>
        </w:rPr>
        <w:t xml:space="preserve">(e) None of the Note Parties or their respective Affiliates has received any written notice or written communication of the Collaboration Partner’s intention to terminate, in whole or in part, or breach the Collaboration Agreement or the Co-Promotion Agreement. None of the Note Parties or their respective Affiliates or, to the Knowledge of the Note Parties and their respective Affiliates, the Collaboration Partner, is in breach or default (or, following the Closing Date, material breach or default) of the Collaboration Agreement or the Co-Promotion Agreement. No facts or circumstances exist that would, upon the giving of notice, the passage of time or both, give rise (i) to a claim by the Note Parties or their respective Affiliates or, to the Knowledge of the Note Parties and their Affiliates, the Collaboration Partner of a, material breach or default) of the Collaboration Agreement or the Co-Promotion Agreement or (ii) to a right of rescission, termination, Set-Off, or similar rights, by the Note Parties or their respective Affiliates or, to the Knowledge of the Note Parties and their Affiliates, the Collaboration Partner, in, to or under the Collaboration Agreement or the Co-Promotion Agreement. None of the Note Parties or their respective Affiliates has received from, or delivered to, the Collaboration Partner, any written notice or other written communication alleging a breach or default under the Collaboration Agreement or the Co-Promotion Agreement, which such breach or default has not been cured or waived as of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None of the Note Parties or their respective Affiliates has received any written notice or written communication requesting any amendment, supplement, alteration or modification to the Collaboration Agreement or the Co-Promotion Agreement (in each case as they exist as of the applicable date), and to the Knowledge of the Note Parties and their Affiliates, no facts or circumstance exists, in each case, that would reasonably be expected to have any adverse effect on (i) the timing, amount or duration of the payments (including Yupelri Adjusted Net Profit, Adjusted Operating Profit (Loss) and/or any component parts of Yupelri Adjusted Net Profit and/or Adjusted Operating Profit (Loss)) payable to the DST Issuer under the Collaboration Agreement or any payments payable to a Note Party under the Co-Promotion Agreement or any other Covered Agreement, (ii) the right for such payments to be paid into the Collection Account and be included as Collateral (to the extent thereof) or (iii) the right of the Agent, for the ratable benefit of the Secured Parties, to receive the proceeds of the Collaboration Agreement (including Yupelri Adjusted Net Profit, Adjusted Operating Profit (Loss) and/or any component parts of Yupelri Adjusted Net Profit and/or Adjusted Operating Profit (Loss)) or the Co-Promotion Agreement as Collateral. </w:t>
      </w:r>
    </w:p>
    <w:p>
      <w:pPr>
        <w:pStyle w:val="TextBody"/>
        <w:bidi w:val="0"/>
        <w:spacing w:before="120" w:after="0"/>
        <w:jc w:val="both"/>
        <w:rPr>
          <w:rFonts w:ascii="Times New Roman" w:hAnsi="Times New Roman"/>
          <w:sz w:val="20"/>
        </w:rPr>
      </w:pPr>
      <w:r>
        <w:rPr>
          <w:rFonts w:ascii="Times New Roman" w:hAnsi="Times New Roman"/>
          <w:sz w:val="20"/>
        </w:rPr>
        <w:t xml:space="preserve">(g) All payments required to be made under the Collaboration Agreement and the Co-Promotion Agreement have been made in material accordance with the terms thereof, and no condition exists that would reasonably be expected to have an adverse effect, in any respect, on the timing, amount or duration of the payments (including Yupelri Adjusted Net Profit, Adjusted Operating Profit (Loss) and/or any component parts of Yupelri Adjusted Net Profit and/or Adjusted Operating Profit (Loss)) payable to the DST Issuer under the Collaboration Agreement or any payments payable to a Note Party under the Co-Promotion Agreement or any other Covered Agreement, or the right of the DST Issuer or any applicable Note Party to receive such payments, in each case in respect of any period ending on or prior to the Scheduled Maturity Date. None of the Note Parties, their respective Affiliates or, to the Knowledge of the Note Parties, the Collaboration Partner has taken any action or omitted to take any action that would reasonably be expected to adversely impact the right of the Agent to take a security interest in the Collaboration Agreement or the Co-Promotion Agreement (and the payments to the Note Parties or their Affiliates thereunder) for the benefit of the Secured Parties. None of the Note Parties or their respective Affiliates has received any written notice of any tax Set-Off, dispute or counterclaim that would reasonably be expected to reduce Yupelri Adjusted Net Profit, Adjusted Operating Profit (Loss) and/or any component parts of Yupelri Adjusted Net Profit and/or Adjusted Operating Profit (Loss) or the amount of any other payments payable to the Note Parties or their respective Affiliates under the Collaboration Agreement, the Co-Promotion Agreement or any other Covered Agreement. </w:t>
      </w:r>
    </w:p>
    <w:p>
      <w:pPr>
        <w:pStyle w:val="TextBody"/>
        <w:bidi w:val="0"/>
        <w:spacing w:before="120" w:after="0"/>
        <w:jc w:val="both"/>
        <w:rPr>
          <w:rFonts w:ascii="Times New Roman" w:hAnsi="Times New Roman"/>
          <w:sz w:val="20"/>
        </w:rPr>
      </w:pPr>
      <w:r>
        <w:rPr>
          <w:rFonts w:ascii="Times New Roman" w:hAnsi="Times New Roman"/>
          <w:sz w:val="20"/>
        </w:rPr>
        <w:t xml:space="preserve">(h) No event or condition has occurred that would reasonably be expected to have the effect of reducing the DST Issuer’s share of Operating Profit (Loss) below thirty-five percent (35%) with respect to any Calendar Quarter, and no obligation, covenant, agreement or other event or condition of any kind whatsoever exists that would reasonably be expected to have the effect of requiring the DST Issuer or any of its Affiliates to take any action or omit to take any action in order for the DST Issuer’s share of Operating Profit (Loss) to equal thirty-five percent (35%) with respect to any Calendar Quarter. </w:t>
      </w:r>
    </w:p>
    <w:p>
      <w:pPr>
        <w:pStyle w:val="TextBody"/>
        <w:bidi w:val="0"/>
        <w:spacing w:before="120" w:after="0"/>
        <w:jc w:val="both"/>
        <w:rPr>
          <w:rFonts w:ascii="Times New Roman" w:hAnsi="Times New Roman"/>
          <w:sz w:val="20"/>
        </w:rPr>
      </w:pPr>
      <w:r>
        <w:rPr>
          <w:rFonts w:ascii="Times New Roman" w:hAnsi="Times New Roman"/>
          <w:sz w:val="20"/>
        </w:rPr>
        <w:t xml:space="preserve">(i) To the Knowledge of the Issuers and their Affiliates, the Collaboration Partner is not intending to commence any Insolvency Proceeding in connection with, or that would reasonably be expected to adversely affect, the Collaboration Agreement or the Co-Promotion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 To the Knowledge of the Note Parties and their Affiliates, the Collaboration Partner is not, intending to cease, terminate or suspend the Commercialization of the Licensed Products in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Servicing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Servicing Agreement is the legal, valid and binding obligation of the Note Parties party thereto, enforceable against such Note Parties in accordance with its terms. The Servicing Agreement was duly authorized by all necessary action on the part of, and validly executed and delivered by, the relevant Note Parties party thereto. No Note Party party thereto or any of its Affiliates have received any notice challenging the validity or enforceability of the Servicing Agreement. No Note Party party thereto or any of its Affiliates have delivered or intend to deliver any notice challenging the validity or enforceability of the Servicing Agreement. </w:t>
      </w:r>
    </w:p>
    <w:p>
      <w:pPr>
        <w:pStyle w:val="TextBody"/>
        <w:bidi w:val="0"/>
        <w:spacing w:before="120" w:after="0"/>
        <w:jc w:val="both"/>
        <w:rPr>
          <w:rFonts w:ascii="Times New Roman" w:hAnsi="Times New Roman"/>
          <w:sz w:val="20"/>
        </w:rPr>
      </w:pPr>
      <w:r>
        <w:rPr>
          <w:rFonts w:ascii="Times New Roman" w:hAnsi="Times New Roman"/>
          <w:sz w:val="20"/>
        </w:rPr>
        <w:t xml:space="preserve">(b) The Servicing Agreement is in full force and effect and has not been waived, altered or modified in any respect, whether by consent or otherwise, except as otherwise expressly permitted under this Agreement. The Servicer has not been released, in whole or in part, from any of its obligations under the Servicing Agreement. The Servicing Agreement has not been satisfied in full, discharged, canceled, terminated, subordinated or rescinded, in whole or in part. The Servicing Agreement is the entire agreement among the parties thereto relating to the subject matter thereof. The Servicing Agreement is on terms and conditions that are intrinsically fair to the Note Parties party thereto and substantially similar to those that would be available to the Note Parties party thereto on an arms-length basis with Third Parties. </w:t>
      </w:r>
    </w:p>
    <w:p>
      <w:pPr>
        <w:pStyle w:val="TextBody"/>
        <w:bidi w:val="0"/>
        <w:spacing w:before="240" w:after="0"/>
        <w:jc w:val="both"/>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Principal Place of Business; Chief Executive Office</w:t>
      </w:r>
      <w:r>
        <w:rPr>
          <w:rFonts w:ascii="Times New Roman" w:hAnsi="Times New Roman"/>
          <w:sz w:val="20"/>
        </w:rPr>
        <w:t xml:space="preserve">. The chief place of business, the chief executive office and the office where each Note Party keeps all of its books and records are only located at the locations described on </w:t>
      </w:r>
      <w:r>
        <w:rPr>
          <w:rFonts w:ascii="Times New Roman" w:hAnsi="Times New Roman"/>
          <w:sz w:val="20"/>
          <w:u w:val="single"/>
        </w:rPr>
        <w:t>Schedule 6.19</w:t>
      </w:r>
      <w:r>
        <w:rPr>
          <w:rFonts w:ascii="Times New Roman" w:hAnsi="Times New Roman"/>
          <w:sz w:val="20"/>
        </w:rPr>
        <w:t xml:space="preserve"> (other than Collateral in the custody of the Agent). </w:t>
      </w:r>
    </w:p>
    <w:p>
      <w:pPr>
        <w:pStyle w:val="TextBody"/>
        <w:bidi w:val="0"/>
        <w:spacing w:before="240" w:after="0"/>
        <w:jc w:val="both"/>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Other Names</w:t>
      </w:r>
      <w:r>
        <w:rPr>
          <w:rFonts w:ascii="Times New Roman" w:hAnsi="Times New Roman"/>
          <w:sz w:val="20"/>
        </w:rPr>
        <w:t xml:space="preserve">. No Issuer has conducted business under or used any name other than its name as set forth on the signature pages hereto. </w:t>
      </w:r>
    </w:p>
    <w:p>
      <w:pPr>
        <w:pStyle w:val="TextBody"/>
        <w:bidi w:val="0"/>
        <w:spacing w:before="240" w:after="0"/>
        <w:jc w:val="both"/>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Disclosure; SEC Filings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(x) Prior to the Closing Date, to the Knowledge of the Transaction Parties, and (y) on or after the Closing Date, no information, certificate or statement heretofore, herein or hereafter supplied by or on behalf of the Transaction Parties (including from the Servicer pursuant to the Servicing Agreement) or any of its Affiliates to any Agent or any Purchaser in connection with the Transactions contains any material misstatement of fact or omits to state any material fact necessary to make the statements therein, in the light of the circumstances under which they were or are made, not misleading (in light of the circumstances under which it was furnished). The Note Parties have disclosed to the Agent and Purchasers all agreements, instruments and corporate or other restrictions to which the Transaction Parties or any of the Collateral is subject, and all other matters known to the Transaction Parties or its Affiliates, that individually or in the aggregate, would reasonably be expected to have an adverse effect, in any material respect, on (i) the timing, amount or duration of the payments (including Yupelri Adjusted Net Profit, Adjusted Operating Profit (Loss) and/or any component parts of Yupelri Adjusted Net Profit and/or Adjusted Operating Profit (Loss)), payable to the DST Issuer or its Affiliates under the Collaboration Agreement, the Co-Promotion Agreement or any agreement between or among the Note Parties or the Servicer or the right of the Agent, for the ratable benefit of the Purchasers, to receive payments based on the Yupelri Adjusted Net Profit, Adjusted Operating Profit (Loss) and/or any component parts of Yupelri Adjusted Net Profit and/or Adjusted Operating Profit (Loss), (ii) the right of the Agent, for the ratable benefit of the Purchasers, to receive payments based on the Yupelri Adjusted Net Profit, Adjusted Operating Profit (Loss) and/or any component parts thereof or (iii) a Note Party’s rights in or title to the Collateral. As of the Closing Date, the information included in the Beneficial Ownership Certification is true and correct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(b) The Parent has filed all forms, statements, certifications, reports and documents required to be filed by it with the SEC under Sections 13, 14(a) and 15(d) of the Exchange Act for the one year preceding the Closing Date (collectively, the “</w:t>
      </w:r>
      <w:r>
        <w:rPr>
          <w:rFonts w:ascii="Times New Roman" w:hAnsi="Times New Roman"/>
          <w:sz w:val="20"/>
          <w:u w:val="single"/>
        </w:rPr>
        <w:t>SEC Reports</w:t>
      </w:r>
      <w:r>
        <w:rPr>
          <w:rFonts w:ascii="Times New Roman" w:hAnsi="Times New Roman"/>
          <w:sz w:val="20"/>
        </w:rPr>
        <w:t xml:space="preserve">”). As of the time it was filed with the SEC (or, if amended or superseded by a filing prior to the Closing Date, then on the date of such filing), each of the SEC Reports complied in all material respects with the applicable requirements of the Exchange Act, and, as of the time they were filed, none of the SEC Reports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representation is made hereby as to the accuracy of any financial projections or forward-looking statements or the completeness of any information filed or furnished by the Parent to the SEC solely for purposes of complying with Regulation FD promulgated under the Exchange Act. There are no outstanding or unresolved comments from the SEC staff with respect to the SEC Reports that would reasonably be expected to result in the issuance of a stop order by the SEC, and, to the Knowledge of the Note Parties, none of the SEC Reports is the subject of ongoing SEC review or investigation. </w:t>
      </w:r>
    </w:p>
    <w:p>
      <w:pPr>
        <w:pStyle w:val="TextBody"/>
        <w:bidi w:val="0"/>
        <w:spacing w:before="240" w:after="0"/>
        <w:jc w:val="both"/>
        <w:rPr>
          <w:rFonts w:ascii="Times New Roman" w:hAnsi="Times New Roman"/>
          <w:sz w:val="20"/>
        </w:rPr>
      </w:pPr>
      <w:r>
        <w:rPr>
          <w:rFonts w:ascii="Times New Roman" w:hAnsi="Times New Roman"/>
          <w:sz w:val="20"/>
        </w:rPr>
        <w:t xml:space="preserve">Section 6.22 </w:t>
      </w:r>
      <w:r>
        <w:rPr>
          <w:rFonts w:ascii="Times New Roman" w:hAnsi="Times New Roman"/>
          <w:sz w:val="20"/>
          <w:u w:val="single"/>
        </w:rPr>
        <w:t>Sanctions; Anti-Corruption Laws; Anti-Terrorism and AML Laws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None of the Transaction Parties, any of their respective Affiliates or, to the Knowledge of the Transaction Parties or their Affiliates, any of their respective directors, officers, employees, agents, representatives, are (i) the subject or target of any Sanctions, (ii) located, organized or incorporated, or residing in any Designated Jurisdiction in violation of Sanctions or (iii) in their capacity as such (other than any Excluded Product Subsidiary), is in violation of, or has since April 24, 2019 violated, any Sanctions. No Note, nor the proceeds from the Notes Issuance, will be used, directly or knowingly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incorporated, or residing in any Designated Jurisdiction or who is the subject of any Sanctions, in violation of Sanctions, or in any manner that will result in any violation by any party to this Agreement of Sanctions. </w:t>
      </w:r>
    </w:p>
    <w:p>
      <w:pPr>
        <w:pStyle w:val="TextBody"/>
        <w:bidi w:val="0"/>
        <w:spacing w:before="120" w:after="0"/>
        <w:jc w:val="both"/>
        <w:rPr>
          <w:rFonts w:ascii="Times New Roman" w:hAnsi="Times New Roman"/>
          <w:sz w:val="20"/>
        </w:rPr>
      </w:pPr>
      <w:r>
        <w:rPr>
          <w:rFonts w:ascii="Times New Roman" w:hAnsi="Times New Roman"/>
          <w:sz w:val="20"/>
        </w:rPr>
        <w:t xml:space="preserve">(b) Each of the Transaction Parties and, to the Knowledge of the Transaction Parties, each of their respective directors, officers or employees, is in material compliance with applicable Anti-Corruption Laws. </w:t>
      </w:r>
    </w:p>
    <w:p>
      <w:pPr>
        <w:pStyle w:val="TextBody"/>
        <w:bidi w:val="0"/>
        <w:spacing w:before="240" w:after="0"/>
        <w:jc w:val="both"/>
        <w:rPr>
          <w:rFonts w:ascii="Times New Roman" w:hAnsi="Times New Roman"/>
          <w:sz w:val="20"/>
        </w:rPr>
      </w:pPr>
      <w:r>
        <w:rPr>
          <w:rFonts w:ascii="Times New Roman" w:hAnsi="Times New Roman"/>
          <w:sz w:val="20"/>
        </w:rPr>
        <w:t xml:space="preserve">Section 6.23 </w:t>
      </w:r>
      <w:r>
        <w:rPr>
          <w:rFonts w:ascii="Times New Roman" w:hAnsi="Times New Roman"/>
          <w:sz w:val="20"/>
          <w:u w:val="single"/>
        </w:rPr>
        <w:t>Privacy</w:t>
      </w:r>
      <w:r>
        <w:rPr>
          <w:rFonts w:ascii="Times New Roman" w:hAnsi="Times New Roman"/>
          <w:sz w:val="20"/>
        </w:rPr>
        <w:t xml:space="preserve">. With respect to activities that relate to the Licensed Product, each Note Party has complied with in the three (3) years prior to the date hereof, and is in compliance with, all applicable Privacy Laws and any applicable written privacy policy of such Note Party, in each case except in the case that such failure to comply with any Privacy Laws and any applicable privacy policy of each Note Party could not reasonably be expected to result in a Material Adverse Effect. In the three (3) years prior to the date hereof there have not been, and there are not any written allegations or claims pertaining to an actual security breach of Personal Information or alleged non-compliance with Privacy Laws applicable to a Note Party and the Licensed Product, except as could not reasonably be expected to result in a Material Adverse Effect. Each Note Party has implemented commercially reasonable data security policies and procedures that are designed to safeguard the confidential information of such Note Party relating to the Licensed product (including Confidential Information related or received pursuant to the Covered Agreements). No Note Party has, in the three (3) years prior to the date hereof and with respect to the Licensed Product (i) experienced any material unauthorized access, use, or disclosure of, or data breach or other security incident involving, Personal Information in its possession or, to the Knowledge of the Note Parties and its Affiliates, control, or (ii) received any written notice of any proceeding by any Governmental Authority concerning a Note Party’s or its Affiliate’s collection, use, processing, storage, transfer, or protection of Personal Information or any actual, alleged, or suspected violation of any Privacy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6.24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6.25 </w:t>
      </w:r>
      <w:r>
        <w:rPr>
          <w:rFonts w:ascii="Times New Roman" w:hAnsi="Times New Roman"/>
          <w:sz w:val="20"/>
          <w:u w:val="single"/>
        </w:rPr>
        <w:t>Ranking of Debt</w:t>
      </w:r>
      <w:r>
        <w:rPr>
          <w:rFonts w:ascii="Times New Roman" w:hAnsi="Times New Roman"/>
          <w:sz w:val="20"/>
        </w:rPr>
        <w:t xml:space="preserve">. The Transaction Parties’ obligations under the Transaction Documents to which each such Transaction Party is a party (including the Issuers’ obligations to pay the principal of and interest on the Notes and any and all other amounts due thereunder), constitute direct and unconditional senior obligations of each such Transaction Party and will at all times rank at least equal in right of payment with all other present and future obligations of each Transaction Party. </w:t>
      </w:r>
    </w:p>
    <w:p>
      <w:pPr>
        <w:pStyle w:val="TextBody"/>
        <w:bidi w:val="0"/>
        <w:spacing w:before="240" w:after="0"/>
        <w:jc w:val="both"/>
        <w:rPr>
          <w:rFonts w:ascii="Times New Roman" w:hAnsi="Times New Roman"/>
          <w:sz w:val="20"/>
        </w:rPr>
      </w:pPr>
      <w:r>
        <w:rPr>
          <w:rFonts w:ascii="Times New Roman" w:hAnsi="Times New Roman"/>
          <w:sz w:val="20"/>
        </w:rPr>
        <w:t xml:space="preserve">Section 6.26 </w:t>
      </w:r>
      <w:r>
        <w:rPr>
          <w:rFonts w:ascii="Times New Roman" w:hAnsi="Times New Roman"/>
          <w:sz w:val="20"/>
          <w:u w:val="single"/>
        </w:rPr>
        <w:t>No Set-Off</w:t>
      </w:r>
      <w:r>
        <w:rPr>
          <w:rFonts w:ascii="Times New Roman" w:hAnsi="Times New Roman"/>
          <w:sz w:val="20"/>
        </w:rPr>
        <w:t xml:space="preserve">. The Transaction Parties’ obligations under the Note Documents are not subject to any defense, Set-Off or counterclaim by any such Transaction Party or any circumstance whatsoever which might constitute a legal or equitable discharge from its obligations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6.27 </w:t>
      </w:r>
      <w:r>
        <w:rPr>
          <w:rFonts w:ascii="Times New Roman" w:hAnsi="Times New Roman"/>
          <w:sz w:val="20"/>
          <w:u w:val="single"/>
        </w:rPr>
        <w:t>Covered Agreements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6.27</w:t>
      </w:r>
      <w:r>
        <w:rPr>
          <w:rFonts w:ascii="Times New Roman" w:hAnsi="Times New Roman"/>
          <w:sz w:val="20"/>
        </w:rPr>
        <w:t xml:space="preserve"> contains a complete and accurate list of all Covered Agreements as of the Closing Date. There is no Contract, other than a Covered Agreement or License Agreement (if any) (including any Contract identified on a supplement to </w:t>
      </w:r>
      <w:r>
        <w:rPr>
          <w:rFonts w:ascii="Times New Roman" w:hAnsi="Times New Roman"/>
          <w:sz w:val="20"/>
          <w:u w:val="single"/>
        </w:rPr>
        <w:t xml:space="preserve">Schedule 6.27 </w:t>
      </w:r>
      <w:r>
        <w:rPr>
          <w:rFonts w:ascii="Times New Roman" w:hAnsi="Times New Roman"/>
          <w:sz w:val="20"/>
        </w:rPr>
        <w:t xml:space="preserve">delivered pursuant to Section 7.10(c)), to which a Note Party or any of its Affiliates is a party that is material to the Exploitation of the Licensed Product (other than Contracts with logistics providers, distribution and channel partners, or other Third Party service providers that, in each case, can be replaced by a Note Party promptly without any material and adverse effect on the Exploitation of any Licensed Product) that is not identified on </w:t>
      </w:r>
      <w:r>
        <w:rPr>
          <w:rFonts w:ascii="Times New Roman" w:hAnsi="Times New Roman"/>
          <w:sz w:val="20"/>
          <w:u w:val="single"/>
        </w:rPr>
        <w:t>Schedule 6.27</w:t>
      </w:r>
      <w:r>
        <w:rPr>
          <w:rFonts w:ascii="Times New Roman" w:hAnsi="Times New Roman"/>
          <w:sz w:val="20"/>
        </w:rPr>
        <w:t xml:space="preserve">. A true and complete copy of each Covered Agreement has been provided to the Purchasers by, or on behalf of, the Note Parties. </w:t>
      </w:r>
    </w:p>
    <w:p>
      <w:pPr>
        <w:pStyle w:val="TextBody"/>
        <w:bidi w:val="0"/>
        <w:spacing w:before="120" w:after="0"/>
        <w:jc w:val="both"/>
        <w:rPr>
          <w:rFonts w:ascii="Times New Roman" w:hAnsi="Times New Roman"/>
          <w:sz w:val="20"/>
        </w:rPr>
      </w:pPr>
      <w:r>
        <w:rPr>
          <w:rFonts w:ascii="Times New Roman" w:hAnsi="Times New Roman"/>
          <w:sz w:val="20"/>
        </w:rPr>
        <w:t xml:space="preserve">(b) Each Covered Agreement to which a Note Party is a party (other than the Collaboration Agreement and the Co-Promotion Agreement) is, a valid and binding obligation of such Note Party and enforceable against such Note Party in accordance with its terms and to the Knowledge of the Note Parties and their Affiliates, a valid and binding obligation of and enforceable against the applicable Covered Agreement Counterparty in accordance with its terms. None of the Note Parties or any of their Affiliates have received any notice from any Covered Agreement Counterparty (other than with respect to the Collaboration Agreement and the Co-Promotion Agreement) or any other Person challenging the validity or enforceability of any Covered Agreement (other than the Collaboration Agreement and the Co-Promotion Agreement). None of the Note Parties or any of their Affiliates have delivered or intend to deliver any notice to any Covered Agreement Counterparty challenging the validity or enforceability of any Covered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None of the Note Parties or their Affiliates or any Covered Agreement Counterparty (other than with respect to the Collaboration Agreement and the Co-Promotion Agreement), is in breach or default (or, following the Closing Date, material breach or default) of any Covered Agreement (other than the Collaboration Agreement and the Co-Promotion Agreement) and, to the Knowledge of the Note Parties and their Affiliates, no facts or circumstances exist that would, upon the giving of notice, the passage of time or both, give rise (i) to a claim by a Note Party or any of its Affiliates or any Covered Agreement Counterparty of a material breach or default) of any Covered Agreement (other than the Collaboration Agreement and the Co-Promotion Agreement) or (ii) to a right of rescission, termination, or Set-Off by a Note Party or any of its Affiliates or any Covered Agreement Counterparty, in, to or under any Covered Agreement (other than the Collaboration Agreement and the Co-Promotion Agreement). None of the Note Parties or any of their Affiliates have received from, or delivered to, any Covered Agreement Counterparty (other than with respect to the Collaboration Agreement and the Co-Promotion Agreement), any written notice or other written communication alleging a breach or default under any Covered Agreement, which breach or default has not been cured or waived as of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(d) To the Knowledge of the Issuers and their Affiliates, no Covered Agreement Counterparty is intending to commence any Insolvency Proceeding in connection with, or that would reasonably be expected to adversely affect, the applicable Covered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6.28 </w:t>
      </w:r>
      <w:r>
        <w:rPr>
          <w:rFonts w:ascii="Times New Roman" w:hAnsi="Times New Roman"/>
          <w:sz w:val="20"/>
          <w:u w:val="single"/>
        </w:rPr>
        <w:t>Investment Company Act</w:t>
      </w:r>
      <w:r>
        <w:rPr>
          <w:rFonts w:ascii="Times New Roman" w:hAnsi="Times New Roman"/>
          <w:sz w:val="20"/>
        </w:rPr>
        <w:t xml:space="preserve">. No Transaction Party (i) is required to register as an “investment company” within the meaning of the Investment Company Act of 1940 or (ii) relies solely on the exemption from the definition of “investment company” set forth in Section 3(c)(1) and/or Section 3(c)(7) of the Investment Company Act of 1940 (although such exceptions may be available). </w:t>
      </w:r>
    </w:p>
    <w:p>
      <w:pPr>
        <w:pStyle w:val="TextBody"/>
        <w:bidi w:val="0"/>
        <w:spacing w:before="240" w:after="0"/>
        <w:jc w:val="both"/>
        <w:rPr>
          <w:rFonts w:ascii="Times New Roman" w:hAnsi="Times New Roman"/>
          <w:sz w:val="20"/>
        </w:rPr>
      </w:pPr>
      <w:r>
        <w:rPr>
          <w:rFonts w:ascii="Times New Roman" w:hAnsi="Times New Roman"/>
          <w:sz w:val="20"/>
        </w:rPr>
        <w:t xml:space="preserve">Section 6.29 </w:t>
      </w:r>
      <w:r>
        <w:rPr>
          <w:rFonts w:ascii="Times New Roman" w:hAnsi="Times New Roman"/>
          <w:sz w:val="20"/>
          <w:u w:val="single"/>
        </w:rPr>
        <w:t>Special Purpose Entity/Separateness</w:t>
      </w:r>
      <w:r>
        <w:rPr>
          <w:rFonts w:ascii="Times New Roman" w:hAnsi="Times New Roman"/>
          <w:sz w:val="20"/>
        </w:rPr>
        <w:t xml:space="preserve">. Each Issuer is a Special Purpose Entity and has not engaged in any business or activity unrelated to the purposes set forth in </w:t>
      </w:r>
      <w:r>
        <w:rPr>
          <w:rFonts w:ascii="Times New Roman" w:hAnsi="Times New Roman"/>
          <w:sz w:val="20"/>
          <w:u w:val="single"/>
        </w:rPr>
        <w:t>Section 8.01(a)</w:t>
      </w:r>
      <w:r>
        <w:rPr>
          <w:rFonts w:ascii="Times New Roman" w:hAnsi="Times New Roman"/>
          <w:sz w:val="20"/>
        </w:rPr>
        <w:t xml:space="preserve"> since its formation. </w:t>
      </w:r>
    </w:p>
    <w:p>
      <w:pPr>
        <w:pStyle w:val="TextBody"/>
        <w:bidi w:val="0"/>
        <w:spacing w:before="240" w:after="0"/>
        <w:jc w:val="both"/>
        <w:rPr>
          <w:rFonts w:ascii="Times New Roman" w:hAnsi="Times New Roman"/>
          <w:sz w:val="20"/>
        </w:rPr>
      </w:pPr>
      <w:r>
        <w:rPr>
          <w:rFonts w:ascii="Times New Roman" w:hAnsi="Times New Roman"/>
          <w:sz w:val="20"/>
        </w:rPr>
        <w:t xml:space="preserve">Section 6.30 </w:t>
      </w:r>
      <w:r>
        <w:rPr>
          <w:rFonts w:ascii="Times New Roman" w:hAnsi="Times New Roman"/>
          <w:sz w:val="20"/>
          <w:u w:val="single"/>
        </w:rPr>
        <w:t>License Agreements</w:t>
      </w:r>
      <w:r>
        <w:rPr>
          <w:rFonts w:ascii="Times New Roman" w:hAnsi="Times New Roman"/>
          <w:sz w:val="20"/>
        </w:rPr>
        <w:t xml:space="preserve">. </w:t>
      </w:r>
      <w:r>
        <w:rPr>
          <w:rFonts w:ascii="Times New Roman" w:hAnsi="Times New Roman"/>
          <w:sz w:val="20"/>
          <w:u w:val="single"/>
        </w:rPr>
        <w:t>Schedule 6.30</w:t>
      </w:r>
      <w:r>
        <w:rPr>
          <w:rFonts w:ascii="Times New Roman" w:hAnsi="Times New Roman"/>
          <w:sz w:val="20"/>
        </w:rPr>
        <w:t xml:space="preserve"> sets forth an accurate and complete list of each License Agreement as of the Closing Date (other than non-exclusive licenses granted to or by logistics providers, distribution and channel partners, or other Third Party service providers that, in each case, can be replaced by a Note Party promptly without any material and adverse effect on the Exploitation of any Licensed Product). A true, correct and complete copy of each License Agreement, together with any amendment, supplement or modification, in each case existing as of the Closing Date, has been provided to the Purchasers (other than non-exclusive licenses granted to or by logistics providers, distribution and channel partners, or other Third Party service providers that, in each case, can be replaced by a Note Party promptly without any material and adverse effect on the Exploitation of any Licensed Product). Each License Agreement is a valid and binding obligation of the Note Party or Affiliate of the Note Party that is a party thereto and, to the Knowledge of the Note Parties and their Affiliates, each counterparty thereto, and is enforceable against each counterparty thereto in accordance with its terms except as may be limited by applicable Debtor Relief Laws. No Note Party or Affiliate of the Note Party or the respective counterparty thereto has granted any written waiver under any material provision or with respect to any payment obligations of any License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6.31 </w:t>
      </w:r>
      <w:r>
        <w:rPr>
          <w:rFonts w:ascii="Times New Roman" w:hAnsi="Times New Roman"/>
          <w:sz w:val="20"/>
          <w:u w:val="single"/>
        </w:rPr>
        <w:t>Private Placement</w:t>
      </w:r>
      <w:r>
        <w:rPr>
          <w:rFonts w:ascii="Times New Roman" w:hAnsi="Times New Roman"/>
          <w:sz w:val="20"/>
        </w:rPr>
        <w:t xml:space="preserve">. Neither Issuer nor anyone acting on its behalf has offered the Notes or any similar securities for sale to, or solicited any offer to buy the Notes or any similar securities from, or otherwise approached or negotiated in respect thereof with, any Person other than the Purchasers, each of which has been offered the Notes at a private sale for investment. Neither Issuer nor anyone acting on its behalf has, with respect to the Notes, engaged in any form of “general solicitation or general advertising,” as defined under Rule 502(c) of the Securities Act. The Issuers have provided the Purchasers an opportunity to discuss with the Issuers’ and the Parent’s management the Issuers’ and the Parent’s business, management, financial affairs and the terms and conditions of the offering of the Notes. Neither Issuer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 including the jurisdiction that governs either Issuer’s or the Parent’s internal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6.32 </w:t>
      </w:r>
      <w:r>
        <w:rPr>
          <w:rFonts w:ascii="Times New Roman" w:hAnsi="Times New Roman"/>
          <w:sz w:val="20"/>
          <w:u w:val="single"/>
        </w:rPr>
        <w:t>Survival of Representations and Warranties</w:t>
      </w:r>
      <w:r>
        <w:rPr>
          <w:rFonts w:ascii="Times New Roman" w:hAnsi="Times New Roman"/>
          <w:sz w:val="20"/>
        </w:rPr>
        <w:t xml:space="preserve">. All representations and warranties by the Issuers, with respect to itself, any Affiliate or any asset or property, contained in this Agreement shall survive the execution, delivery and acceptance thereof by the Parties and the closing of the transactions described in this Agreement and continue in effect until Payment in Full.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both"/>
        <w:rPr>
          <w:rFonts w:ascii="Times New Roman" w:hAnsi="Times New Roman"/>
          <w:sz w:val="20"/>
        </w:rPr>
      </w:pPr>
      <w:r>
        <w:rPr>
          <w:rFonts w:ascii="Times New Roman" w:hAnsi="Times New Roman"/>
          <w:sz w:val="20"/>
        </w:rPr>
        <w:t xml:space="preserve">Each Note Party covenants and agrees that, until Payment in Full, it shall, and shall cause each of its Subsidiaries to: </w:t>
      </w:r>
    </w:p>
    <w:p>
      <w:pPr>
        <w:pStyle w:val="TextBody"/>
        <w:bidi w:val="0"/>
        <w:spacing w:before="240" w:after="0"/>
        <w:jc w:val="both"/>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Financial Statements; Information; Purchaser Calls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As soon as available and in any event within ninety (90) days after the end of each calendar year of the Parent (commencing with the calendar year ended December 31, 2026), deliver to the Agent (for prompt further distribution to the Purchasers) a consolidated balance sheet of the Parent as at the end of such calendar year, and the related consolidated statements of income or operations, stockholders’ equity and cash flows for such calendar year, setting forth in each case in comparative form the figures for the previous calendar year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explanatory paragraph or emphasis (other than with respect to, or resulting from, an upcoming debt maturity under any Indebtedness due within twelve (12) months from the time such opinion is delivered) or any qualification or exception as to the scope of such audit; </w:t>
      </w:r>
    </w:p>
    <w:p>
      <w:pPr>
        <w:pStyle w:val="TextBody"/>
        <w:bidi w:val="0"/>
        <w:spacing w:before="120" w:after="0"/>
        <w:jc w:val="both"/>
        <w:rPr>
          <w:rFonts w:ascii="Times New Roman" w:hAnsi="Times New Roman"/>
          <w:sz w:val="20"/>
        </w:rPr>
      </w:pPr>
      <w:r>
        <w:rPr>
          <w:rFonts w:ascii="Times New Roman" w:hAnsi="Times New Roman"/>
          <w:sz w:val="20"/>
        </w:rPr>
        <w:t xml:space="preserve">(b) As soon as available and in any event within forty-five (45) days after the end of each Calendar Quarter (commencing with the Calendar Quarter ended September 30, 2026), deliver to the Agent (for prompt further distribution to the Purchasers) a consolidated balance sheet of the Parent as at the end of such Calendar Quarter, and the related (i) consolidated statements of income or operations, stockholders’ equity and (ii) consolidated statements of cash flows for the portion of the calendar year then ended, setting forth in each case in comparative form the figures for the corresponding period in the previous calendar year and certified by a Senior Officer of the Parent as fairly presenting in all material respects the consolidated financial condition, results of operations, stockholders’ equity and cash flows of the Parent, in accordance with GAAP, subject to normal year-end adjustments and the absence of footnotes, together with management’s discussion and analysis describing results of operations in the form customarily prepared by management of the Parent; </w:t>
      </w:r>
    </w:p>
    <w:p>
      <w:pPr>
        <w:pStyle w:val="TextBody"/>
        <w:bidi w:val="0"/>
        <w:spacing w:before="120" w:after="0"/>
        <w:jc w:val="both"/>
        <w:rPr>
          <w:rFonts w:ascii="Times New Roman" w:hAnsi="Times New Roman"/>
          <w:sz w:val="20"/>
        </w:rPr>
      </w:pPr>
      <w:r>
        <w:rPr>
          <w:rFonts w:ascii="Times New Roman" w:hAnsi="Times New Roman"/>
          <w:sz w:val="20"/>
        </w:rPr>
        <w:t xml:space="preserve">(c) As soon as available, but in any event within forty five (45) days after the end of each Calendar Quarter, deliver to the Agent (for prompt further distribution to the Purchasers), the unaudited statements of assets and liabilities of each Issuer, TBIL and TBUS for such Calendar Quarter, all in reasonable detail and prepared in accordance with GAAP. </w:t>
      </w:r>
    </w:p>
    <w:p>
      <w:pPr>
        <w:pStyle w:val="TextBody"/>
        <w:bidi w:val="0"/>
        <w:spacing w:before="120" w:after="0"/>
        <w:jc w:val="both"/>
        <w:rPr>
          <w:rFonts w:ascii="Times New Roman" w:hAnsi="Times New Roman"/>
          <w:sz w:val="20"/>
        </w:rPr>
      </w:pPr>
      <w:r>
        <w:rPr>
          <w:rFonts w:ascii="Times New Roman" w:hAnsi="Times New Roman"/>
          <w:sz w:val="20"/>
        </w:rPr>
        <w:t xml:space="preserve">(d) As soon as available, but promptly following receipt thereof for each Calendar Quarter ending after the Closing Date, deliver to the Agent (for prompt further distribution to the Purchasers) a copy of the Quarterly Report for the relevant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(e) As soon as available, but in any event at least fifteen (15) Business Days prior to each Payment Date (or such shorter period as agreed by Requisite Purchasers in their discretion), deliver to the Agent (for prompt further distribution to the Purchasers) and the Account Bank a quarterly report (the “</w:t>
      </w:r>
      <w:r>
        <w:rPr>
          <w:rFonts w:ascii="Times New Roman" w:hAnsi="Times New Roman"/>
          <w:sz w:val="20"/>
          <w:u w:val="single"/>
        </w:rPr>
        <w:t>Waterfall Report</w:t>
      </w:r>
      <w:r>
        <w:rPr>
          <w:rFonts w:ascii="Times New Roman" w:hAnsi="Times New Roman"/>
          <w:sz w:val="20"/>
        </w:rPr>
        <w:t xml:space="preserve">”) prepared by the Servicer, substantially in the form attached to the form of Waterfall Report Certificate attached hereto as </w:t>
      </w:r>
      <w:r>
        <w:rPr>
          <w:rFonts w:ascii="Times New Roman" w:hAnsi="Times New Roman"/>
          <w:sz w:val="20"/>
          <w:u w:val="single"/>
        </w:rPr>
        <w:t>Exhibit B</w:t>
      </w:r>
      <w:r>
        <w:rPr>
          <w:rFonts w:ascii="Times New Roman" w:hAnsi="Times New Roman"/>
          <w:sz w:val="20"/>
        </w:rPr>
        <w:t xml:space="preserve"> or otherwise in form and substance reasonably satisfactory to the Agent (acting at the direction of the Requisite Purchasers), setting forth in reasonable detail (i) the calculation of all revenues, royalties and other amounts received by the Issuers during such calendar quarter in respect of the Collateral and the related underlying assets, (ii) all operating expenses, taxes and other amounts deducted or payable in connection therewith, (iii) the calculation of all amounts payable to the Purchasers and other parties pursuant to </w:t>
      </w:r>
      <w:r>
        <w:rPr>
          <w:rFonts w:ascii="Times New Roman" w:hAnsi="Times New Roman"/>
          <w:sz w:val="20"/>
          <w:u w:val="single"/>
        </w:rPr>
        <w:t xml:space="preserve">Section 3.04 </w:t>
      </w:r>
      <w:r>
        <w:rPr>
          <w:rFonts w:ascii="Times New Roman" w:hAnsi="Times New Roman"/>
          <w:sz w:val="20"/>
        </w:rPr>
        <w:t xml:space="preserve">of this Agreement and (iv) such other supporting information, reports and invoices reasonably related thereto, certified by a Senior Officer of the DST Issuer that such Waterfall Report is true, correct and complete in all material respects; </w:t>
      </w:r>
    </w:p>
    <w:p>
      <w:pPr>
        <w:pStyle w:val="TextBody"/>
        <w:bidi w:val="0"/>
        <w:spacing w:before="120" w:after="0"/>
        <w:jc w:val="both"/>
        <w:rPr>
          <w:rFonts w:ascii="Times New Roman" w:hAnsi="Times New Roman"/>
          <w:sz w:val="20"/>
        </w:rPr>
      </w:pPr>
      <w:r>
        <w:rPr>
          <w:rFonts w:ascii="Times New Roman" w:hAnsi="Times New Roman"/>
          <w:sz w:val="20"/>
        </w:rPr>
        <w:t xml:space="preserve">(f) Promptly, but in any event within five (5) days following delivery or receipt thereof, deliver to the Agent (for prompt further distribution to the Purchasers) copies of all written information delivered or received under or pursuant to the Covered Agreements including all written notices, communications and other materials delivered or received pursuant to Section 6.5 of the Acquisition Agreement and all written reports, minutes and material records from, and written meeting materials of, the joint steering committee, joint product committee and/or joint commercialization committee, development and commercialization plans, budgets and updates, actual, forecasted and budgeted net sales, material notices, information regarding clinical study status, patent enforcement notices, audit reports (including, subject to </w:t>
      </w:r>
      <w:r>
        <w:rPr>
          <w:rFonts w:ascii="Times New Roman" w:hAnsi="Times New Roman"/>
          <w:sz w:val="20"/>
          <w:u w:val="single"/>
        </w:rPr>
        <w:t>Section 11.17</w:t>
      </w:r>
      <w:r>
        <w:rPr>
          <w:rFonts w:ascii="Times New Roman" w:hAnsi="Times New Roman"/>
          <w:sz w:val="20"/>
        </w:rPr>
        <w:t xml:space="preserve">, such audit reports and related information provided under Section 6.08 of the Collaboration Agreement), updates regarding development and commercialization of generic competitive products and information regarding recalls, market withdrawals and other corrective action and material quality issues revealed by quality inspections, in each case to the extent such item (x) is in the possession of one or more of the Transaction Parties or any of their Subsidiaries or (y) may be requested or is required to be delivered by or to one or more Transaction Parties or any of their Subsidiaries; </w:t>
      </w:r>
      <w:r>
        <w:rPr>
          <w:rFonts w:ascii="Times New Roman" w:hAnsi="Times New Roman"/>
          <w:sz w:val="20"/>
          <w:u w:val="single"/>
        </w:rPr>
        <w:t>provided</w:t>
      </w:r>
      <w:r>
        <w:rPr>
          <w:rFonts w:ascii="Times New Roman" w:hAnsi="Times New Roman"/>
          <w:sz w:val="20"/>
        </w:rPr>
        <w:t xml:space="preserve"> that, to the extent any Covered Agreement (other than the Collaboration Agreement (including any New Arrangement), the Co-Promotion Agreement, the Contribution, Purchase and Sale Agreement or the Servicing Agreement) prohibits the delivery of any such item, the Issuers shall (x) use commercially reasonable efforts to obtain the consent of the applicable counterparty to such delivery and (y) pending such consent, deliver a redacted copy or a summary of such item to the extent so permitted; </w:t>
      </w:r>
      <w:r>
        <w:rPr>
          <w:rFonts w:ascii="Times New Roman" w:hAnsi="Times New Roman"/>
          <w:sz w:val="20"/>
          <w:u w:val="single"/>
        </w:rPr>
        <w:t>provided,</w:t>
      </w:r>
      <w:r>
        <w:rPr>
          <w:rFonts w:ascii="Times New Roman" w:hAnsi="Times New Roman"/>
          <w:sz w:val="20"/>
        </w:rPr>
        <w:t xml:space="preserve"> that the Issuers shall not be required to deliver any such information, notices or materials that were delivered or received more than three (3) years prior to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(g) Within forty-five (45) days of the date each Waterfall Report is required to be delivered pursuant to </w:t>
      </w:r>
      <w:r>
        <w:rPr>
          <w:rFonts w:ascii="Times New Roman" w:hAnsi="Times New Roman"/>
          <w:sz w:val="20"/>
          <w:u w:val="single"/>
        </w:rPr>
        <w:t>Section 7.01(e)</w:t>
      </w:r>
      <w:r>
        <w:rPr>
          <w:rFonts w:ascii="Times New Roman" w:hAnsi="Times New Roman"/>
          <w:sz w:val="20"/>
        </w:rPr>
        <w:t xml:space="preserve"> (commencing with respect to the Waterfall Report required to be delivered for the Calendar Quarter ending September 30, 2026), the Senior Officers of the Parent and the Note Parties shall participate in a conference call with Purchasers to provide discussion and analysis with respect to the financial condition and results of operations of the Transaction Parties, including with respect to the form and content of the Waterfall Report and the matters listed on </w:t>
      </w:r>
      <w:r>
        <w:rPr>
          <w:rFonts w:ascii="Times New Roman" w:hAnsi="Times New Roman"/>
          <w:sz w:val="20"/>
          <w:u w:val="single"/>
        </w:rPr>
        <w:t>Exhibit F</w:t>
      </w:r>
      <w:r>
        <w:rPr>
          <w:rFonts w:ascii="Times New Roman" w:hAnsi="Times New Roman"/>
          <w:sz w:val="20"/>
        </w:rPr>
        <w:t xml:space="preserve"> hereto, together with such other matters reasonably related thereto, at a time at which the Issuers and the Purchasers mutually agree. </w:t>
      </w:r>
    </w:p>
    <w:p>
      <w:pPr>
        <w:pStyle w:val="TextBody"/>
        <w:bidi w:val="0"/>
        <w:spacing w:before="120" w:after="0"/>
        <w:jc w:val="both"/>
        <w:rPr>
          <w:rFonts w:ascii="Times New Roman" w:hAnsi="Times New Roman"/>
          <w:sz w:val="20"/>
        </w:rPr>
      </w:pPr>
      <w:r>
        <w:rPr>
          <w:rFonts w:ascii="Times New Roman" w:hAnsi="Times New Roman"/>
          <w:sz w:val="20"/>
        </w:rPr>
        <w:t>(h) Promptly upon request, deliver to the Agent (for prompt further distribution to the Purchasers) such other information regarding the operations, business, financial condition or assets of the Transaction Parties or any of their Subsidiaries as the Agent or any Purchaser may reasonably request, in each case, to the extent not consisting of privileged information (</w:t>
      </w:r>
      <w:r>
        <w:rPr>
          <w:rFonts w:ascii="Times New Roman" w:hAnsi="Times New Roman"/>
          <w:sz w:val="20"/>
          <w:u w:val="single"/>
        </w:rPr>
        <w:t>provided</w:t>
      </w:r>
      <w:r>
        <w:rPr>
          <w:rFonts w:ascii="Times New Roman" w:hAnsi="Times New Roman"/>
          <w:sz w:val="20"/>
        </w:rPr>
        <w:t xml:space="preserve"> that the Issuer or Note Party shall use commercially reasonable efforts to provide a non-privileged summary or appropriately redacted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When the Issuer or any Transaction Party provides information or documents to the Agent pursuant to this </w:t>
      </w:r>
      <w:r>
        <w:rPr>
          <w:rFonts w:ascii="Times New Roman" w:hAnsi="Times New Roman"/>
          <w:sz w:val="20"/>
          <w:u w:val="single"/>
        </w:rPr>
        <w:t>Section 7.01</w:t>
      </w:r>
      <w:r>
        <w:rPr>
          <w:rFonts w:ascii="Times New Roman" w:hAnsi="Times New Roman"/>
          <w:sz w:val="20"/>
        </w:rPr>
        <w:t xml:space="preserve"> or any other Transaction Document, which such information is to be provided by the Agent to the Purchasers, the Issuers shall direct the Agent as to which information is to be posted to the Agent Website (as defined herein). </w:t>
      </w:r>
    </w:p>
    <w:p>
      <w:pPr>
        <w:pStyle w:val="TextBody"/>
        <w:bidi w:val="0"/>
        <w:spacing w:before="240" w:after="0"/>
        <w:jc w:val="both"/>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Issuers shall promptly (and in any event within five (5) Business Days) after the occurrence thereof, provide written notice to the Agent and Purchasers of (i) each Default, Event of Default or Servicing Agreement Event of Default, (ii) any development, event, fact, circumstance or condition that has or would reasonably be expected to have a Material Adverse Effect or (iii) any adverse effect, in any respect, on timing, amount or duration of the payments (including Yupelri Adjusted Net Profit, Adjusted Operating Profit (Loss) and/or any component parts of Yupelri Adjusted Net Profit and/or Adjusted Operating Profit (Loss)) payable to the Note Parties under the Collaboration Agreement, the Co-Promotion Agreement or any agreement between or among the Note Parties or the Servicer or the right of the Agent, for the ratable benefit of the Purchasers, to receive payments based on Yupelri Adjusted Net Profit, Adjusted Operating Profit (Loss) and/or any component parts of Yupelri Adjusted Net Profit and/or Adjusted Operating Profit (Loss). </w:t>
      </w:r>
    </w:p>
    <w:p>
      <w:pPr>
        <w:pStyle w:val="TextBody"/>
        <w:bidi w:val="0"/>
        <w:spacing w:before="120" w:after="0"/>
        <w:jc w:val="both"/>
        <w:rPr>
          <w:rFonts w:ascii="Times New Roman" w:hAnsi="Times New Roman"/>
          <w:sz w:val="20"/>
        </w:rPr>
      </w:pPr>
      <w:r>
        <w:rPr>
          <w:rFonts w:ascii="Times New Roman" w:hAnsi="Times New Roman"/>
          <w:sz w:val="20"/>
        </w:rPr>
        <w:t xml:space="preserve">(b) Each Note Party shall promptly, and in any event within five (5) Business Days after a Senior Officer of any Transaction Party or the Servicer becomes aware thereof, notify the Agent and Purchasers of: </w:t>
      </w:r>
    </w:p>
    <w:p>
      <w:pPr>
        <w:pStyle w:val="TextBody"/>
        <w:bidi w:val="0"/>
        <w:spacing w:before="120" w:after="0"/>
        <w:jc w:val="both"/>
        <w:rPr>
          <w:rFonts w:ascii="Times New Roman" w:hAnsi="Times New Roman"/>
          <w:sz w:val="20"/>
        </w:rPr>
      </w:pPr>
      <w:r>
        <w:rPr>
          <w:rFonts w:ascii="Times New Roman" w:hAnsi="Times New Roman"/>
          <w:sz w:val="20"/>
        </w:rPr>
        <w:t xml:space="preserve">(i) any audit, enquiry, investigation, assessment, claim or dispute by or with any Governmental Authority concerning Taxes which involves an amount exceeding (x) with respect to the Issuers and their Subsidiaries, $100,000 and (y) with respect to TBIL and TBUS, $1,000,000; and </w:t>
      </w:r>
    </w:p>
    <w:p>
      <w:pPr>
        <w:pStyle w:val="TextBody"/>
        <w:bidi w:val="0"/>
        <w:spacing w:before="120" w:after="0"/>
        <w:jc w:val="both"/>
        <w:rPr>
          <w:rFonts w:ascii="Times New Roman" w:hAnsi="Times New Roman"/>
          <w:sz w:val="20"/>
        </w:rPr>
      </w:pPr>
      <w:r>
        <w:rPr>
          <w:rFonts w:ascii="Times New Roman" w:hAnsi="Times New Roman"/>
          <w:sz w:val="20"/>
        </w:rPr>
        <w:t xml:space="preserve">(ii) any audit, enquiry, investigation, assessment, claim or dispute which would reasonably be expected to adversely affect: </w:t>
      </w:r>
    </w:p>
    <w:p>
      <w:pPr>
        <w:pStyle w:val="TextBody"/>
        <w:bidi w:val="0"/>
        <w:spacing w:before="120" w:after="0"/>
        <w:jc w:val="both"/>
        <w:rPr>
          <w:rFonts w:ascii="Times New Roman" w:hAnsi="Times New Roman"/>
          <w:sz w:val="20"/>
        </w:rPr>
      </w:pPr>
      <w:r>
        <w:rPr>
          <w:rFonts w:ascii="Times New Roman" w:hAnsi="Times New Roman"/>
          <w:sz w:val="20"/>
        </w:rPr>
        <w:t xml:space="preserve">(1) the availability or utilisation of any Irish tax losses or reliefs of TBIL or another Note Party in any material respects; </w:t>
      </w:r>
    </w:p>
    <w:p>
      <w:pPr>
        <w:pStyle w:val="TextBody"/>
        <w:bidi w:val="0"/>
        <w:spacing w:before="120" w:after="0"/>
        <w:jc w:val="both"/>
        <w:rPr>
          <w:rFonts w:ascii="Times New Roman" w:hAnsi="Times New Roman"/>
          <w:sz w:val="20"/>
        </w:rPr>
      </w:pPr>
      <w:r>
        <w:rPr>
          <w:rFonts w:ascii="Times New Roman" w:hAnsi="Times New Roman"/>
          <w:sz w:val="20"/>
        </w:rPr>
        <w:t xml:space="preserve">(2) the Irish tax treatment of the Issuers, the Transferred Assets or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(3) any exemption from withholding tax relied upon in connection with the Notes or any Covered Agreement; or </w:t>
      </w:r>
    </w:p>
    <w:p>
      <w:pPr>
        <w:pStyle w:val="TextBody"/>
        <w:bidi w:val="0"/>
        <w:spacing w:before="120" w:after="0"/>
        <w:jc w:val="both"/>
        <w:rPr>
          <w:rFonts w:ascii="Times New Roman" w:hAnsi="Times New Roman"/>
          <w:sz w:val="20"/>
        </w:rPr>
      </w:pPr>
      <w:r>
        <w:rPr>
          <w:rFonts w:ascii="Times New Roman" w:hAnsi="Times New Roman"/>
          <w:sz w:val="20"/>
        </w:rPr>
        <w:t xml:space="preserve">(4) the timing, amount or duration of payments under a Covered Agreement (other than the Collaboration Agreement, the Co-Promotion Agreement or any agreement between or among the Note Parties or the Servicer or the right of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The Issuers shall promptly (and in any event within five (5) Business Days) after any Senior Officer of any Transaction Party or the Servicer becomes aware thereof, provide written notice to the Agent and Purchasers of any breach, default or noncompliance under the Collaboration Agreement, the Co-Promotion Agreement or any claims or disputes under the Collaboration Agreement or the Co-Promotion Agreement. </w:t>
      </w:r>
    </w:p>
    <w:p>
      <w:pPr>
        <w:pStyle w:val="TextBody"/>
        <w:bidi w:val="0"/>
        <w:spacing w:before="120" w:after="0"/>
        <w:jc w:val="both"/>
        <w:rPr>
          <w:rFonts w:ascii="Times New Roman" w:hAnsi="Times New Roman"/>
          <w:sz w:val="20"/>
        </w:rPr>
      </w:pPr>
      <w:r>
        <w:rPr>
          <w:rFonts w:ascii="Times New Roman" w:hAnsi="Times New Roman"/>
          <w:sz w:val="20"/>
        </w:rPr>
        <w:t xml:space="preserve">(d) The Issuers shall promptly (and in any event within five (5) Business Days) after any Senior Officer of any Transaction Party or the Servicer becomes aware thereof, provide written notice to the Agent and Purchasers of (i) (x) with respect to any Note Party, any material pending legal action, litigation, suit, investigation, arbitration, dispute resolution proceeding or administrative or regulatory proceeding to which a Note Party is a party and (y) with respect to any Bad Acts Guarantor, any pending legal action, litigation, suit, investigation, arbitration, dispute resolution proceeding or administrative or regulatory proceeding to which a Bad Acts Guarantor is party that would reasonably be expected to result in a Material Adverse Effect, (ii) any pending legal action, litigation, suit, investigation, arbitration, dispute resolution proceeding or administrative or regulatory proceeding relating to the Collaboration Agreement, the Co-Promotion Agreement, the Servicing Agreement, Contribution, Purchase and Sale Agreement or any portion of the Collateral and (iii) any material developments with respect to any of the foregoing. </w:t>
      </w:r>
    </w:p>
    <w:p>
      <w:pPr>
        <w:pStyle w:val="TextBody"/>
        <w:bidi w:val="0"/>
        <w:spacing w:before="120" w:after="0"/>
        <w:jc w:val="both"/>
        <w:rPr>
          <w:rFonts w:ascii="Times New Roman" w:hAnsi="Times New Roman"/>
          <w:sz w:val="20"/>
        </w:rPr>
      </w:pPr>
      <w:r>
        <w:rPr>
          <w:rFonts w:ascii="Times New Roman" w:hAnsi="Times New Roman"/>
          <w:sz w:val="20"/>
        </w:rPr>
        <w:t xml:space="preserve">(e) The Issuers shall promptly (and in any event within five (5) Business Days) upon receiving notice or after any Senior Officer of any Transaction Party or the Servicer otherwise has Knowledge thereof, provide written notice to the Agent and Purchasers of the resignation of the Independent Manager of either Issuer. </w:t>
      </w:r>
    </w:p>
    <w:p>
      <w:pPr>
        <w:pStyle w:val="TextBody"/>
        <w:bidi w:val="0"/>
        <w:spacing w:before="120" w:after="0"/>
        <w:jc w:val="both"/>
        <w:rPr>
          <w:rFonts w:ascii="Times New Roman" w:hAnsi="Times New Roman"/>
          <w:sz w:val="20"/>
        </w:rPr>
      </w:pPr>
      <w:r>
        <w:rPr>
          <w:rFonts w:ascii="Times New Roman" w:hAnsi="Times New Roman"/>
          <w:sz w:val="20"/>
        </w:rPr>
        <w:t xml:space="preserve">(f) The Issuers shall promptly (and in any event within five (5) Business Days) upon receiving notice or after any Senior Officer of any Transaction Party or the Servicer otherwise has Knowledge thereof, provide written notice to the Agent and Purchasers of any material notice, request, consent or other communication from the Collaboration Partner or any of its Affiliates or any other Person in connection with the Collaboration Agreement or Co-Promotion Agreement, as applicable. </w:t>
      </w:r>
    </w:p>
    <w:p>
      <w:pPr>
        <w:pStyle w:val="TextBody"/>
        <w:bidi w:val="0"/>
        <w:spacing w:before="120" w:after="0"/>
        <w:jc w:val="both"/>
        <w:rPr>
          <w:rFonts w:ascii="Times New Roman" w:hAnsi="Times New Roman"/>
          <w:sz w:val="20"/>
        </w:rPr>
      </w:pPr>
      <w:r>
        <w:rPr>
          <w:rFonts w:ascii="Times New Roman" w:hAnsi="Times New Roman"/>
          <w:sz w:val="20"/>
        </w:rPr>
        <w:t xml:space="preserve">(g) The Issuers shall promptly (and in any event within five (5) Business Days) of receiving written notice or of, or after any Senior Officer of any Transaction Party or the Servicer otherwise has Knowledge thereof, provide written notice to the Agent and Purchasers of the occurrence any event or the existence of any circumstance that (with or without notice or lapse of time, or both) would reasonably be expected to result in or serve as a basis for any, action, suit or proceeding, or any investigation or claim, or the receipt of any written notice of the foregoing, that (i) claims that the Exploitation of the Licensed Products in the Territory infringes, misappropriates or otherwise violates any Intellectual Property of any other Person or (ii) otherwise would reasonably be expected to have an adverse effect on the Exploitation of the Licensed Products in the Territory in any material respect. </w:t>
      </w:r>
    </w:p>
    <w:p>
      <w:pPr>
        <w:pStyle w:val="TextBody"/>
        <w:bidi w:val="0"/>
        <w:spacing w:before="120" w:after="0"/>
        <w:jc w:val="both"/>
        <w:rPr>
          <w:rFonts w:ascii="Times New Roman" w:hAnsi="Times New Roman"/>
          <w:sz w:val="20"/>
        </w:rPr>
      </w:pPr>
      <w:r>
        <w:rPr>
          <w:rFonts w:ascii="Times New Roman" w:hAnsi="Times New Roman"/>
          <w:sz w:val="20"/>
        </w:rPr>
        <w:t xml:space="preserve">(h) The Issuers shall promptly (and in any event within five (5) Business Days) after the occurrence thereof, provide written notice to the Agent and Purchasers of (i) any Contract entered into by the Note Parties or any of their Affiliates in connection with any claim of actual or alleged infringement, misappropriation or other violation of any Intellectual Property by or against the Note Parties or any of their Affiliates in connection with the Exploitation of the Licensed Product in the Territory or (ii) receipt of any written claim of actual or alleged infringement, misappropriation or other violation of any Intellectual Property by or against the Note Parties or any of their Affiliates in connection with the Exploitation of the Licensed Product in the Territory, in each case, to the extent such claim could materially and adversely impact the value of the Collateral or any Note Party’s rights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The Issuers shall promptly (and in any event within five (5) Business Days) (i) after the occurrence thereof, provide written notice to the Agent and Purchasers of any Issuer initiating an enforcement action regarding any suspected infringement by a Third Party of any Owned Product Patent (or any Issuer’s determination not to bring such an enforcement action within the period provided in Section 12.04(a) of the Collaboration Agreement) or (ii) after any Senior Officer of any Transaction Party or the Servicer has Knowledge thereof, provide written notice to the Agent and Purchasers of the Collaboration Partner initiating an enforcement action regarding any suspected infringement by a Third Party of any Product Patent. </w:t>
      </w:r>
    </w:p>
    <w:p>
      <w:pPr>
        <w:pStyle w:val="TextBody"/>
        <w:bidi w:val="0"/>
        <w:spacing w:before="120" w:after="0"/>
        <w:jc w:val="both"/>
        <w:rPr>
          <w:rFonts w:ascii="Times New Roman" w:hAnsi="Times New Roman"/>
          <w:sz w:val="20"/>
        </w:rPr>
      </w:pPr>
      <w:r>
        <w:rPr>
          <w:rFonts w:ascii="Times New Roman" w:hAnsi="Times New Roman"/>
          <w:sz w:val="20"/>
        </w:rPr>
        <w:t xml:space="preserve">(j) Promptly (and within no later than five (5) Business Days) after the receipt of any written claim or demand challenging the validity, enforceability or ownership of any Product Patents or Product Trademarks included in the Collateral or owned by the Note Parties or their Affiliates and relating to the Licensed Products that would reasonably be expected to adversely impact the Exploitation of the Licensed Products in the Territory (including, for the avoidance of doubt, any Paragraph IV Certification) or pursuant to which any Third Party commences or threatens in writing any action, suit or other proceeding against any Note Party or any of its Affiliates relating to any Licensed Product, the Issuers shall, (i) provide written notice to the Agent and Purchasers of such claim or demand, and (ii) furnish to the Agent and the Purchasers a copy of such claim or demand, and an unredacted copy of all pleadings, briefs, certifications (including Paragraph IV Certifications), expert reports (including exhibits) and other documents reasonably requested by the Agent or the Purchasers. </w:t>
      </w:r>
    </w:p>
    <w:p>
      <w:pPr>
        <w:pStyle w:val="TextBody"/>
        <w:bidi w:val="0"/>
        <w:spacing w:before="120" w:after="0"/>
        <w:jc w:val="both"/>
        <w:rPr>
          <w:rFonts w:ascii="Times New Roman" w:hAnsi="Times New Roman"/>
          <w:sz w:val="20"/>
        </w:rPr>
      </w:pPr>
      <w:r>
        <w:rPr>
          <w:rFonts w:ascii="Times New Roman" w:hAnsi="Times New Roman"/>
          <w:sz w:val="20"/>
        </w:rPr>
        <w:t xml:space="preserve">(k) The Issuers shall promptly (and in any event within five (5) Business Days) after (i) the receipt thereof, provide written notice to the Agent and Purchasers of any written notice or other written communications from the FDA that the FDA intends to revoke, withdraw, suspend, cancel, materially limit, terminate or make a materially adverse modification to any Regulatory Approval for any Licensed Product in the Territory, or (ii) after obtaining Knowledge of the occurrence thereof, provide written notice to the Agent and Purchasers of any change, or any proposed or requested change (whether initiated by the FDA or any other Regulatory Agency, the Collaboration Partner or any Note Party), to the approved labeling for any Licensed Product in the Territory. </w:t>
      </w:r>
    </w:p>
    <w:p>
      <w:pPr>
        <w:pStyle w:val="TextBody"/>
        <w:bidi w:val="0"/>
        <w:spacing w:before="120" w:after="0"/>
        <w:jc w:val="both"/>
        <w:rPr>
          <w:rFonts w:ascii="Times New Roman" w:hAnsi="Times New Roman"/>
          <w:sz w:val="20"/>
        </w:rPr>
      </w:pPr>
      <w:r>
        <w:rPr>
          <w:rFonts w:ascii="Times New Roman" w:hAnsi="Times New Roman"/>
          <w:sz w:val="20"/>
        </w:rPr>
        <w:t xml:space="preserve">(l) The Issuers shall promptly (and in any event within five (5) Business Days) after obtaining Knowledge of the occurrence thereof, provide written notice to the Agent and the Purchasers of any spillage, leakage, discharge, disposal, leaching, migration or release of any Hazardous Material by any Group Member required to be reported to any Governmental Authority and that would reasonably be expected to result in a Material Environmental Liability. </w:t>
      </w:r>
    </w:p>
    <w:p>
      <w:pPr>
        <w:pStyle w:val="TextBody"/>
        <w:bidi w:val="0"/>
        <w:spacing w:before="120" w:after="0"/>
        <w:jc w:val="both"/>
        <w:rPr>
          <w:rFonts w:ascii="Times New Roman" w:hAnsi="Times New Roman"/>
          <w:sz w:val="20"/>
        </w:rPr>
      </w:pPr>
      <w:r>
        <w:rPr>
          <w:rFonts w:ascii="Times New Roman" w:hAnsi="Times New Roman"/>
          <w:sz w:val="20"/>
        </w:rPr>
        <w:t xml:space="preserve">(m) The Issuers shall promptly (and in any event within five (5) Business Days) after obtaining Knowledge of the occurrence thereof, provide written notice to the Agent and the Purchasers of the assertion of any Environmental Claim by any Person against, or with respect to the activities of, any Group Member and any alleged liability or non-compliance with any Environmental Laws or any permits, licenses or authorizations issued pursuant to Environmental Laws, in each case, which would reasonably be expected to result in a Material Environmental Liability. </w:t>
      </w:r>
    </w:p>
    <w:p>
      <w:pPr>
        <w:pStyle w:val="TextBody"/>
        <w:bidi w:val="0"/>
        <w:spacing w:before="120" w:after="0"/>
        <w:jc w:val="both"/>
        <w:rPr>
          <w:rFonts w:ascii="Times New Roman" w:hAnsi="Times New Roman"/>
          <w:sz w:val="20"/>
        </w:rPr>
      </w:pPr>
      <w:r>
        <w:rPr>
          <w:rFonts w:ascii="Times New Roman" w:hAnsi="Times New Roman"/>
          <w:sz w:val="20"/>
        </w:rPr>
        <w:t xml:space="preserve">(n) The Issuers shall promptly (and in any event within five (5) Business Days) after obtaining Knowledge of the occurrence thereof, provide written notice to the Agent and the Purchasers of the commencement of any Development of the Licensed Products (i) for any indication other than those indications that have been approved by the FDA or (ii) as a combination product or co-formulation with any other chemically distinct and therapeutically active compound or as an over-the-counter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connection with any notice, report, update or other data or information delivered or required to be delivered to the Agent and Purchasers pursuant to </w:t>
      </w:r>
      <w:r>
        <w:rPr>
          <w:rFonts w:ascii="Times New Roman" w:hAnsi="Times New Roman"/>
          <w:sz w:val="20"/>
          <w:u w:val="single"/>
        </w:rPr>
        <w:t>Section 7.02(a)</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the Issuers shall concurrently provide the Agent and Purchasers with a summary of the Issuers’ intended response or action to cure such matter and, the Issuers shall promptly (and in any event within five (5) Business Days) following delivery of a response to any third party in respect thereof, deliver a copy of such response to the Agent and Purchasers. </w:t>
      </w:r>
    </w:p>
    <w:p>
      <w:pPr>
        <w:pStyle w:val="TextBody"/>
        <w:bidi w:val="0"/>
        <w:spacing w:before="240" w:after="0"/>
        <w:jc w:val="both"/>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Maintenance of Existence</w:t>
      </w:r>
      <w:r>
        <w:rPr>
          <w:rFonts w:ascii="Times New Roman" w:hAnsi="Times New Roman"/>
          <w:sz w:val="20"/>
        </w:rPr>
        <w:t xml:space="preserve">. Each Note Party shall, and shall cause its Subsidiaries to, at all times (a) preserve, renew and maintain in full force and effect its legal existence and good standing under the Laws of the jurisdiction of its organization and (b) take all action to maintain all rights, privileges, permits, licenses and franchises necessary or desirable in the normal conduct of its business (including its Development and Commercialization of the Licensed Products), except to the extent that failure to do so could not reasonably be expected to have an adverse effect on any Group Member or its assets or properties. </w:t>
      </w:r>
    </w:p>
    <w:p>
      <w:pPr>
        <w:pStyle w:val="TextBody"/>
        <w:bidi w:val="0"/>
        <w:spacing w:before="240" w:after="0"/>
        <w:jc w:val="both"/>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Except where failure to do so (either individually or in the aggregate) would not reasonably be expected (i) with respect to TBIL and TBUS, to result in a Material Adverse Effect, or (ii) with respect to the Issuers and their Subsidiaries, to result in a material adverse effect on such Persons or their assets, each Note Party shall, and shall cause its Subsidiaries to, comply, in all material respects, with all applicable Laws (including all applicable Healthcare Laws, if any, and Environmental Laws). </w:t>
      </w:r>
    </w:p>
    <w:p>
      <w:pPr>
        <w:pStyle w:val="TextBody"/>
        <w:bidi w:val="0"/>
        <w:spacing w:before="120" w:after="0"/>
        <w:jc w:val="both"/>
        <w:rPr>
          <w:rFonts w:ascii="Times New Roman" w:hAnsi="Times New Roman"/>
          <w:sz w:val="20"/>
        </w:rPr>
      </w:pPr>
      <w:r>
        <w:rPr>
          <w:rFonts w:ascii="Times New Roman" w:hAnsi="Times New Roman"/>
          <w:sz w:val="20"/>
        </w:rPr>
        <w:t xml:space="preserve">(b) Each Note Party shall, and shall cause its Subsidiaries to, at all times comply with the margin requirements set forth in Section 7 of the Exchange Act and any regulations issued pursuant thereto, including, without limitation, Regulations T, U and X of the Board of Governors of the Federal Reserve System, 12 C.F.R., Chapter II. </w:t>
      </w:r>
    </w:p>
    <w:p>
      <w:pPr>
        <w:pStyle w:val="TextBody"/>
        <w:bidi w:val="0"/>
        <w:spacing w:before="120" w:after="0"/>
        <w:jc w:val="both"/>
        <w:rPr>
          <w:rFonts w:ascii="Times New Roman" w:hAnsi="Times New Roman"/>
          <w:sz w:val="20"/>
        </w:rPr>
      </w:pPr>
      <w:r>
        <w:rPr>
          <w:rFonts w:ascii="Times New Roman" w:hAnsi="Times New Roman"/>
          <w:sz w:val="20"/>
        </w:rPr>
        <w:t xml:space="preserve">(c) Each Note Party shall, and shall cause its Subsidiaries to, comply with all applicable Sanctions, Anti-Corruption Laws, and Anti-Terrorism and AML Laws applicable to it and its business activities in all material respects. Each Note Party shall maintain in effect and enforce policies and procedures designed to ensure compliance by each Note Party and their respective directors, officers, employees and agents with Anti-Terrorism and AML Laws, Anti-Corruption Laws and Sanctions. </w:t>
      </w:r>
    </w:p>
    <w:p>
      <w:pPr>
        <w:pStyle w:val="TextBody"/>
        <w:bidi w:val="0"/>
        <w:spacing w:before="240" w:after="0"/>
        <w:jc w:val="both"/>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Books and Records; Audit Rights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Note Party shall, and shall cause its Subsidiaries to, keep proper books, records (including all records required to be maintained by any Governmental Authority or otherwise under any applicable Healthcare Law) and accounts in which entries in conformity with sound business practices and all requirements of Law applicable to it shall be made of all dealings and transactions in relation to its business, assets and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Agent, the Purchasers and their Representatives shall have the right from time to time at the cost of the Issuers to visit the offices and properties of each Note Party where books and records relating or pertaining to the Note Parties are kept and maintained (or, at the option of the Agent and Purchasers, to conduct a meeting by telecommunications), to discuss, with officers of a Note Party, the business, operations, properties and financial and other condition of such Note Party, to discuss the Collaboration Agreement, the Co-Promotion Agreement, the Servicing Agreement and the Collateral, to discuss the form and contents of any Quarterly Report and Waterfall Report, to verify compliance with the provisions of the Note Documents regarding receipt and application of Yupelri Adjusted Net Profit, Adjusted Operating Profit (Loss) and/or any component parts of Yupelri Adjusted Net Profit and/or Adjusted Operating Profit (Loss) and, upon physical visits, to inspect and make extracts from and copies of the books and records of a Note Party relating or pertaining to the Collateral; </w:t>
      </w:r>
      <w:r>
        <w:rPr>
          <w:rFonts w:ascii="Times New Roman" w:hAnsi="Times New Roman"/>
          <w:sz w:val="20"/>
          <w:u w:val="single"/>
        </w:rPr>
        <w:t>provided</w:t>
      </w:r>
      <w:r>
        <w:rPr>
          <w:rFonts w:ascii="Times New Roman" w:hAnsi="Times New Roman"/>
          <w:sz w:val="20"/>
        </w:rPr>
        <w:t xml:space="preserve">, that, absent a Default or Event of Default, (i) the Agent, the Purchasers and their Representatives shall not exercise such rights more than one (1) time during any calendar year, (ii) such visits and inspections shall be made during normal business hours and upon reasonable prior written notice to such Note Party, and not materially interfere with the Note Party’s normal business operations, and (iii) the Issuers shall not be required to reimburse the Agent, the Purchasers or their Representatives for expenses incurred in connection with more than one (1) such visit per calendar year. </w:t>
      </w:r>
    </w:p>
    <w:p>
      <w:pPr>
        <w:pStyle w:val="TextBody"/>
        <w:bidi w:val="0"/>
        <w:spacing w:before="120" w:after="0"/>
        <w:jc w:val="both"/>
        <w:rPr>
          <w:rFonts w:ascii="Times New Roman" w:hAnsi="Times New Roman"/>
          <w:sz w:val="20"/>
        </w:rPr>
      </w:pPr>
      <w:r>
        <w:rPr>
          <w:rFonts w:ascii="Times New Roman" w:hAnsi="Times New Roman"/>
          <w:sz w:val="20"/>
        </w:rPr>
        <w:t>(c) Upon request by the Agent (acting at the direction of the Requisite Purchasers), at any time and from time to time, but no more than once in a given calendar year absent a Default, Event of Default or Servicing Agreement Event of Default, the Issuers shall within thirty (30) Business Days of request therefor, at its expense, hire a Third Party consultant (“</w:t>
      </w:r>
      <w:r>
        <w:rPr>
          <w:rFonts w:ascii="Times New Roman" w:hAnsi="Times New Roman"/>
          <w:sz w:val="20"/>
          <w:u w:val="single"/>
        </w:rPr>
        <w:t>Payment Auditor</w:t>
      </w:r>
      <w:r>
        <w:rPr>
          <w:rFonts w:ascii="Times New Roman" w:hAnsi="Times New Roman"/>
          <w:sz w:val="20"/>
        </w:rPr>
        <w:t xml:space="preserve">”) to conduct an inspection and/or audit of the Note Parties’ and Servicer’s compliance with the terms of the Collaboration Agreement, the Co-Promotion Agreement, the Servicing Agreement and/or the Note Documents, which such inspection or audit shall include verification by the Payment Auditor of the calculation of Yupelri Adjusted Net Profit, Adjusted Operating Profit (Loss) and/or any component parts of Yupelri Adjusted Net Profit and/or Adjusted Operating Profit (Loss) for the applicable period that is the subject of such inspection or audit. In furtherance of the foregoing, DST Issuer shall, and shall cause the Servicer to, jointly retain the Payment Auditor and make available to the Payment Auditor its respective books and records, including unredacted copies of all Quarterly Reports delivered under (and as defined in) Section 1.08 (a)(ii) of Exhibit F to the Collaboration Agreement with respect to the applicable period that is the subject of such inspection or audit, together with all other relevant reports, invoices, calculations, notices and evidence of payments made and/or delivered in respect of the Collaboration Agreement or Co-Promotion Agreement that are necessary or desirable for the Payment Auditor to verify compliance with the Collaboration Agreement, the Co-Promotion Agreement, the Servicing Agreement and/or the Note Documents, including the calculation of Yupelri Adjusted Net Profit, Adjusted Operating Profit (Loss) and/or any component parts of Yupelri Adjusted Net Profit and/or Adjusted Operating Profit (Loss). The terms and conditions of the applicable Payment Auditor Agreement, including the scope of services thereunder, shall be in such form and substance as to give effect to all of this </w:t>
      </w:r>
      <w:r>
        <w:rPr>
          <w:rFonts w:ascii="Times New Roman" w:hAnsi="Times New Roman"/>
          <w:sz w:val="20"/>
          <w:u w:val="single"/>
        </w:rPr>
        <w:t>Section 7.05(c)</w:t>
      </w:r>
      <w:r>
        <w:rPr>
          <w:rFonts w:ascii="Times New Roman" w:hAnsi="Times New Roman"/>
          <w:sz w:val="20"/>
        </w:rPr>
        <w:t xml:space="preserve"> and otherwise satisfactory to the Requisite Purchasers. The Payment Auditor shall, within thirty (30) Business Days of its engagement, complete such audit and inspection, consult with the Agent and the Purchasers on its findings (including participation in a reasonable number of meetings (virtual sufficient) to answer questions in respect of the Payment Auditor’s report) and deliver a true, correct and complete copy to the Agent and the Purchasers of the Payment Auditor’s certified report of its findings (in each case, subject to redactions only to the extent expressly required to remain in compliance with such Collaboration Agreement or the Co-Promotion Agreement); </w:t>
      </w:r>
      <w:r>
        <w:rPr>
          <w:rFonts w:ascii="Times New Roman" w:hAnsi="Times New Roman"/>
          <w:sz w:val="20"/>
          <w:u w:val="single"/>
        </w:rPr>
        <w:t>provided</w:t>
      </w:r>
      <w:r>
        <w:rPr>
          <w:rFonts w:ascii="Times New Roman" w:hAnsi="Times New Roman"/>
          <w:sz w:val="20"/>
        </w:rPr>
        <w:t xml:space="preserve">, that any redactions to such report shall not include any information necessary to determine the correctness of the calculation of Yupelri Adjusted Net Profit, Adjusted Operating Profit (Loss) and/or any component parts of Yupelri Adjusted Net Profit and/or Adjusted Operating Profit (Loss), as applicable, made under the Collaboration Agreement, the Co-Promotion Agreement, the Servicing Agreement or this Agreement, as applicable. All information obtained by the Purchasers as a result of any such inspection or audit shall be subject to </w:t>
      </w:r>
      <w:r>
        <w:rPr>
          <w:rFonts w:ascii="Times New Roman" w:hAnsi="Times New Roman"/>
          <w:sz w:val="20"/>
          <w:u w:val="single"/>
        </w:rPr>
        <w:t>Section 11.17</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Upon request by the Agent (acting at the direction of the Requisite Purchasers), no more than once per calendar year (or at such greater frequency than permitted under the applicable agreement), the DST Issuer shall within thirty (30) Business Days of request therefor, at its expense, promptly exercise, or cause to be exercised, any rights the DST Issuer has under the Collaboration Agreement or the Co-Promotion Agreement to cause an inspection and/or audit of the Collaboration Partner, including the audit rights described in Section 6.08 of the Collaboration Agreement for the purpose of determining the accuracy of the applicable Quarterly Report under the Collaboration Agreement and the Co-Promotion Agreement and the correctness of the calculation of Yupelri Adjusted Net Profit, Adjusted Operating Profit (Loss) and/or any component parts of Yupelri Adjusted Net Profit and/or Adjusted Operating Profit (Loss), as applicable. Any such auditor selected by the Issuers shall meet the terms and conditions of the Collaboration Agreement. The DST Issuer shall notify the Purchasers in writing if it independently initiates an inspection and/or audit of the books and records of the Collaboration Partner. Upon the conclusion of any such inspection and/or audit described in this </w:t>
      </w:r>
      <w:r>
        <w:rPr>
          <w:rFonts w:ascii="Times New Roman" w:hAnsi="Times New Roman"/>
          <w:sz w:val="20"/>
          <w:u w:val="single"/>
        </w:rPr>
        <w:t>Section 7.05(d)</w:t>
      </w:r>
      <w:r>
        <w:rPr>
          <w:rFonts w:ascii="Times New Roman" w:hAnsi="Times New Roman"/>
          <w:sz w:val="20"/>
        </w:rPr>
        <w:t xml:space="preserve">, the DST Issuer shall provide to the Agent and Purchasers a copy of any report relating thereto within five (5) Business Days of receipt thereof (in each case, subject to redactions only to the extent expressly required to remain in compliance with such Collaboration Agreement); </w:t>
      </w:r>
      <w:r>
        <w:rPr>
          <w:rFonts w:ascii="Times New Roman" w:hAnsi="Times New Roman"/>
          <w:sz w:val="20"/>
          <w:u w:val="single"/>
        </w:rPr>
        <w:t>provided</w:t>
      </w:r>
      <w:r>
        <w:rPr>
          <w:rFonts w:ascii="Times New Roman" w:hAnsi="Times New Roman"/>
          <w:sz w:val="20"/>
        </w:rPr>
        <w:t xml:space="preserve">, that any redactions to such report shall not include any information necessary to determine the correctness of the calculation of Yupelri Adjusted Net Profit, Adjusted Operating Profit (Loss) and/or any component parts of Yupelri Adjusted Net Profit and/or Adjusted Operating Profit (Loss), as applicable, made under the Collaboration Agreement or this Agreement, as applicable. All information obtained by the Purchasers as a result of any such inspection or audit shall be subject to </w:t>
      </w:r>
      <w:r>
        <w:rPr>
          <w:rFonts w:ascii="Times New Roman" w:hAnsi="Times New Roman"/>
          <w:sz w:val="20"/>
          <w:u w:val="single"/>
        </w:rPr>
        <w:t>Section 11.17</w:t>
      </w:r>
      <w:r>
        <w:rPr>
          <w:rFonts w:ascii="Times New Roman" w:hAnsi="Times New Roman"/>
          <w:sz w:val="20"/>
        </w:rPr>
        <w:t xml:space="preserve">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(e) Any fees, costs and expenses due and owing by the DST Issuer pursuant to an inspection or audit requested by the Agent under </w:t>
      </w:r>
      <w:r>
        <w:rPr>
          <w:rFonts w:ascii="Times New Roman" w:hAnsi="Times New Roman"/>
          <w:sz w:val="20"/>
          <w:u w:val="single"/>
        </w:rPr>
        <w:t>Section 7.05(c)</w:t>
      </w:r>
      <w:r>
        <w:rPr>
          <w:rFonts w:ascii="Times New Roman" w:hAnsi="Times New Roman"/>
          <w:sz w:val="20"/>
        </w:rPr>
        <w:t xml:space="preserve"> or </w:t>
      </w:r>
      <w:r>
        <w:rPr>
          <w:rFonts w:ascii="Times New Roman" w:hAnsi="Times New Roman"/>
          <w:sz w:val="20"/>
          <w:u w:val="single"/>
        </w:rPr>
        <w:t>Section 7.05(d)</w:t>
      </w:r>
      <w:r>
        <w:rPr>
          <w:rFonts w:ascii="Times New Roman" w:hAnsi="Times New Roman"/>
          <w:sz w:val="20"/>
        </w:rPr>
        <w:t xml:space="preserve"> may be paid using any funds that, other than during the continuance of an Event of Default, are in excess of the Minimum Own-Funds Property Amount, then available in the Collection Account; </w:t>
      </w:r>
      <w:r>
        <w:rPr>
          <w:rFonts w:ascii="Times New Roman" w:hAnsi="Times New Roman"/>
          <w:sz w:val="20"/>
          <w:u w:val="single"/>
        </w:rPr>
        <w:t>provided</w:t>
      </w:r>
      <w:r>
        <w:rPr>
          <w:rFonts w:ascii="Times New Roman" w:hAnsi="Times New Roman"/>
          <w:sz w:val="20"/>
        </w:rPr>
        <w:t xml:space="preserve">, that to the extent there are insufficient funds in the Collection Account to make payment in full of such fees, costs and expenses, each of the Parent, TBPH and TBIL may, but is not obligated to, make capital contributions to the DST Issuer in accordance with </w:t>
      </w:r>
      <w:r>
        <w:rPr>
          <w:rFonts w:ascii="Times New Roman" w:hAnsi="Times New Roman"/>
          <w:sz w:val="20"/>
          <w:u w:val="single"/>
        </w:rPr>
        <w:t>Section 3.03(g)</w:t>
      </w:r>
      <w:r>
        <w:rPr>
          <w:rFonts w:ascii="Times New Roman" w:hAnsi="Times New Roman"/>
          <w:sz w:val="20"/>
        </w:rPr>
        <w:t xml:space="preserve"> in order for the DST Issuer to satisfy when due such payment obligation. Upon the conclusion of, and after giving effect to, any such audit right under </w:t>
      </w:r>
      <w:r>
        <w:rPr>
          <w:rFonts w:ascii="Times New Roman" w:hAnsi="Times New Roman"/>
          <w:sz w:val="20"/>
          <w:u w:val="single"/>
        </w:rPr>
        <w:t>Section 7.05(d)</w:t>
      </w:r>
      <w:r>
        <w:rPr>
          <w:rFonts w:ascii="Times New Roman" w:hAnsi="Times New Roman"/>
          <w:sz w:val="20"/>
        </w:rPr>
        <w:t>, if any additional payments become due to the DST Issuer (“</w:t>
      </w:r>
      <w:r>
        <w:rPr>
          <w:rFonts w:ascii="Times New Roman" w:hAnsi="Times New Roman"/>
          <w:sz w:val="20"/>
          <w:u w:val="single"/>
        </w:rPr>
        <w:t>Reconciliation Amounts</w:t>
      </w:r>
      <w:r>
        <w:rPr>
          <w:rFonts w:ascii="Times New Roman" w:hAnsi="Times New Roman"/>
          <w:sz w:val="20"/>
        </w:rPr>
        <w:t xml:space="preserve">”), such Reconciliation Amounts shall be immediately deposited into the Collection Account and distributed in accordance with the terms of and in accordance with </w:t>
      </w:r>
      <w:r>
        <w:rPr>
          <w:rFonts w:ascii="Times New Roman" w:hAnsi="Times New Roman"/>
          <w:sz w:val="20"/>
          <w:u w:val="single"/>
        </w:rPr>
        <w:t>Section 3.04</w:t>
      </w:r>
      <w:r>
        <w:rPr>
          <w:rFonts w:ascii="Times New Roman" w:hAnsi="Times New Roman"/>
          <w:sz w:val="20"/>
        </w:rPr>
        <w:t xml:space="preserve"> upon receipt by the DST Issuer, and to the extent any refund is due to the Collaboration Partner from any overpayment in respect of Adjusted Operating Profit (Loss), in each case, as determined in any such audit, then, each of the Parent, TBPH and TBIL may, but is not obligated to, make capital contributions to the DST Issuer in accordance with </w:t>
      </w:r>
      <w:r>
        <w:rPr>
          <w:rFonts w:ascii="Times New Roman" w:hAnsi="Times New Roman"/>
          <w:sz w:val="20"/>
          <w:u w:val="single"/>
        </w:rPr>
        <w:t>Section 3.03(g)</w:t>
      </w:r>
      <w:r>
        <w:rPr>
          <w:rFonts w:ascii="Times New Roman" w:hAnsi="Times New Roman"/>
          <w:sz w:val="20"/>
        </w:rPr>
        <w:t xml:space="preserve"> in order for the DST Issuer to make payment when due in accordance with the Collaboration Agreement and the Co-Promotion Agreement, but any such payment shall not result in a corresponding reduction in the amount of Yupelri Adjusted Net Profit previously paid by the DST Issuer for any prior period, but may be included as a reduction in the next calculation of Yupelri Adjusted Net Profit if such amount should properly have reduced the Yupelri Adjusted Net Profit in a prior period. </w:t>
      </w:r>
    </w:p>
    <w:p>
      <w:pPr>
        <w:pStyle w:val="TextBody"/>
        <w:bidi w:val="0"/>
        <w:spacing w:before="240" w:after="0"/>
        <w:jc w:val="both"/>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Use of Proceeds</w:t>
      </w:r>
      <w:r>
        <w:rPr>
          <w:rFonts w:ascii="Times New Roman" w:hAnsi="Times New Roman"/>
          <w:sz w:val="20"/>
        </w:rPr>
        <w:t xml:space="preserve">. The DST Issuer shall use the net proceeds from the issuance of the Notes received by it (i) for payment of the Purchase Price (as defined in the Contribution, Purchase and Sale Agreement), (ii) which shall in turn be used by TBIL for the repayment in cash of all intercompany indebtedness owing by TBIL to TBPH and after giving effect thereto, in whole or part, return of capital to TBPH, and (iii) to finance all or a portion of the other Transactions (including the payment of fees, taxes and other expenses incurred in connection therewith). No portion of the proceeds of the Notes Issuance shall be used in any manner that causes or might cause the Notes Issuance or the application of such proceeds to violate Regulation T, Regulation U or Regulation X of the Board of Governors of the Federal Reserve System or any other regulation thereof or to violate the Exchange Act, to violate any Sanctions, Anti-Corruption Laws or Anti-Terrorism and AML Laws or other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Collections</w:t>
      </w:r>
      <w:r>
        <w:rPr>
          <w:rFonts w:ascii="Times New Roman" w:hAnsi="Times New Roman"/>
          <w:sz w:val="20"/>
        </w:rPr>
        <w:t xml:space="preserve">. The Issuers shall and shall cause the Group Members to: </w:t>
      </w:r>
    </w:p>
    <w:p>
      <w:pPr>
        <w:pStyle w:val="TextBody"/>
        <w:bidi w:val="0"/>
        <w:spacing w:before="120" w:after="0"/>
        <w:jc w:val="both"/>
        <w:rPr>
          <w:rFonts w:ascii="Times New Roman" w:hAnsi="Times New Roman"/>
          <w:sz w:val="20"/>
        </w:rPr>
      </w:pPr>
      <w:r>
        <w:rPr>
          <w:rFonts w:ascii="Times New Roman" w:hAnsi="Times New Roman"/>
          <w:sz w:val="20"/>
        </w:rPr>
        <w:t xml:space="preserve">(a) At all times comply, and require the Collaboration Partner to comply, with the terms of </w:t>
      </w:r>
      <w:r>
        <w:rPr>
          <w:rFonts w:ascii="Times New Roman" w:hAnsi="Times New Roman"/>
          <w:sz w:val="20"/>
          <w:u w:val="single"/>
        </w:rPr>
        <w:t>Section 3.03</w:t>
      </w:r>
      <w:r>
        <w:rPr>
          <w:rFonts w:ascii="Times New Roman" w:hAnsi="Times New Roman"/>
          <w:sz w:val="20"/>
        </w:rPr>
        <w:t xml:space="preserve"> hereof; and </w:t>
      </w:r>
    </w:p>
    <w:p>
      <w:pPr>
        <w:pStyle w:val="TextBody"/>
        <w:bidi w:val="0"/>
        <w:spacing w:before="120" w:after="0"/>
        <w:jc w:val="both"/>
        <w:rPr>
          <w:rFonts w:ascii="Times New Roman" w:hAnsi="Times New Roman"/>
          <w:sz w:val="20"/>
        </w:rPr>
      </w:pPr>
      <w:r>
        <w:rPr>
          <w:rFonts w:ascii="Times New Roman" w:hAnsi="Times New Roman"/>
          <w:sz w:val="20"/>
        </w:rPr>
        <w:t xml:space="preserve">(b) Prevent the deposit into the Collection Account of any funds other than (i) payments in respect of or derived from the Collaboration Agreement (including any permitted sublicense thereunder), the Co-Promotion Agreement, the Servicing Agreement or other agreement, instrument, document or action, related to the exploitation of the Collateral and (ii) contributions in accordance with </w:t>
      </w:r>
      <w:r>
        <w:rPr>
          <w:rFonts w:ascii="Times New Roman" w:hAnsi="Times New Roman"/>
          <w:sz w:val="20"/>
          <w:u w:val="single"/>
        </w:rPr>
        <w:t>Section 3.03(g)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this covenant shall not be breached to the extent that funds are inadvertently deposited into the Collection Account and upon discovery are promptly segregated and removed from the Collection Account. </w:t>
      </w:r>
    </w:p>
    <w:p>
      <w:pPr>
        <w:pStyle w:val="TextBody"/>
        <w:bidi w:val="0"/>
        <w:spacing w:before="240" w:after="0"/>
        <w:jc w:val="both"/>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Governmental Authorizations</w:t>
      </w:r>
      <w:r>
        <w:rPr>
          <w:rFonts w:ascii="Times New Roman" w:hAnsi="Times New Roman"/>
          <w:sz w:val="20"/>
        </w:rPr>
        <w:t xml:space="preserve">. The Issuers shall, and shall cause each Note Party to, obtain, make and keep in full force and effect all authorizations from and registrations with Governmental Authorities that may be required for the validity or enforceability against a Note Party of this Agreement and the other Note Documents. The Issuers shall cause TBIL to, promptly following the Closing Date, make (or cause to be made) all filings required to be made with the Companies Registration Office of Ireland in connection with the S.82 (and S.84, to the extent it has not been filed on the Closing Date) Summary Approval Procedure undertaken in connection with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Payment of Taxes and Tax Disputes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Issuer is intended to be treated as an entity disregarded as separate from TBPH (its regarded owner) for U.S. federal income tax purposes, and no Issuer shall, or shall permit any Person to, make any election (e.g., pursuant to U. S. Treasury Regulation §301.7701-3) for the Issuer to be classified as an entity taxable as a corporation for U.S. federal income tax purposes. Each Issuer will, and will cause each Note Party to, (a) timely file all material Tax returns, and (b) pay all material amounts of Taxes (it being understood that any Tax return, Tax or claim the filing or payment of which is necessary to obtain, preserve or maintain any exemption from withholding Tax, Tax residence, fiscal transparency, tax loss, capital allowance or other Tax attribute, or the Tax treatment of any Note Party or of the Transactions, in each case as contemplated by </w:t>
      </w:r>
      <w:r>
        <w:rPr>
          <w:rFonts w:ascii="Times New Roman" w:hAnsi="Times New Roman"/>
          <w:sz w:val="20"/>
          <w:u w:val="single"/>
        </w:rPr>
        <w:t>Section 6.11</w:t>
      </w:r>
      <w:r>
        <w:rPr>
          <w:rFonts w:ascii="Times New Roman" w:hAnsi="Times New Roman"/>
          <w:sz w:val="20"/>
        </w:rPr>
        <w:t xml:space="preserve"> or </w:t>
      </w:r>
      <w:r>
        <w:rPr>
          <w:rFonts w:ascii="Times New Roman" w:hAnsi="Times New Roman"/>
          <w:sz w:val="20"/>
          <w:u w:val="single"/>
        </w:rPr>
        <w:t>Section 8.19</w:t>
      </w:r>
      <w:r>
        <w:rPr>
          <w:rFonts w:ascii="Times New Roman" w:hAnsi="Times New Roman"/>
          <w:sz w:val="20"/>
        </w:rPr>
        <w:t xml:space="preserve">, shall be deemed material for purposes of this </w:t>
      </w:r>
      <w:r>
        <w:rPr>
          <w:rFonts w:ascii="Times New Roman" w:hAnsi="Times New Roman"/>
          <w:sz w:val="20"/>
          <w:u w:val="single"/>
        </w:rPr>
        <w:t>Section 7.09</w:t>
      </w:r>
      <w:r>
        <w:rPr>
          <w:rFonts w:ascii="Times New Roman" w:hAnsi="Times New Roman"/>
          <w:sz w:val="20"/>
        </w:rPr>
        <w:t xml:space="preserve">) imposed upon it or any of its properties or assets or in respect of any of its businesses or franchises before any penalty or fine accrues thereon, and all material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hAnsi="Times New Roman"/>
          <w:sz w:val="20"/>
          <w:u w:val="single"/>
        </w:rPr>
        <w:t>provided</w:t>
      </w:r>
      <w:r>
        <w:rPr>
          <w:rFonts w:ascii="Times New Roman" w:hAnsi="Times New Roman"/>
          <w:sz w:val="20"/>
        </w:rPr>
        <w:t xml:space="preserve">, no such Tax or claim need be paid to the extent such Taxes or claims are being contested in good faith by appropriate proceedings promptly instituted and diligently conducted, so long as, (i) adequate reserve or other appropriate provision, as shall be required in conformity with GAAP shall have been made therefor, and (ii) in the case of a Tax or claim which has or may become a Lien against any of the Collateral, such contest proceedings conclusively operate to stay the sale of any portion of the Collateral to satisfy such Tax or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Collaboration Agreement; Co-Promotion Agreement; Servicing Agreement; Covered Agreements; Contribution, Purchase and Sale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DST Issuer shall do or cause to be done all things necessary and commercially reasonable to (i) maintain the Collaboration Agreement in full force and effect, (ii) perform its obligations under, and otherwise comply with all terms and conditions set forth in, the Collaboration Agreement, (iii) promptly cure any breach or default by it under the Collaboration Agreement within the applicable cure period (if any) provided therein and (iv) enforce the Collaboration Partner’s obligations under the Collaboration Agreement, including the diligent and timely enforcement of its rights and remedies thereunder (other than the right to terminate such agreement). </w:t>
      </w:r>
    </w:p>
    <w:p>
      <w:pPr>
        <w:pStyle w:val="TextBody"/>
        <w:bidi w:val="0"/>
        <w:spacing w:before="120" w:after="0"/>
        <w:jc w:val="both"/>
        <w:rPr>
          <w:rFonts w:ascii="Times New Roman" w:hAnsi="Times New Roman"/>
          <w:sz w:val="20"/>
        </w:rPr>
      </w:pPr>
      <w:r>
        <w:rPr>
          <w:rFonts w:ascii="Times New Roman" w:hAnsi="Times New Roman"/>
          <w:sz w:val="20"/>
        </w:rPr>
        <w:t xml:space="preserve">(b) The Note Parties shall do or cause to be done all things necessary and commercially reasonable to (i) maintain, or cause to be maintained, the Co-Promotion Agreement in full force and effect, (ii) perform, or cause to be performed, the obligations of the Note Party thereto, and otherwise comply or cause to be complied with all terms and conditions set forth in the Co-Promotion Agreement, (iii) promptly cure any breach or default by a Note Party under the Co-Promotion Agreement within the applicable cure period (if any) provided therein, and (iv) enforce the Collaboration Partner’s obligations under the Co-Promotion Agreement, including the diligent and timely enforcement of a Note Party’s rights and remedies thereunder (other than the right to terminate such agreement). Notwithstanding anything to the contrary in </w:t>
      </w:r>
      <w:r>
        <w:rPr>
          <w:rFonts w:ascii="Times New Roman" w:hAnsi="Times New Roman"/>
          <w:sz w:val="20"/>
          <w:u w:val="single"/>
        </w:rPr>
        <w:t>Section 8.07</w:t>
      </w:r>
      <w:r>
        <w:rPr>
          <w:rFonts w:ascii="Times New Roman" w:hAnsi="Times New Roman"/>
          <w:sz w:val="20"/>
        </w:rPr>
        <w:t xml:space="preserve">, TBUS may make a Permitted Co-Promotion Election; </w:t>
      </w:r>
      <w:r>
        <w:rPr>
          <w:rFonts w:ascii="Times New Roman" w:hAnsi="Times New Roman"/>
          <w:sz w:val="20"/>
          <w:u w:val="single"/>
        </w:rPr>
        <w:t>provided</w:t>
      </w:r>
      <w:r>
        <w:rPr>
          <w:rFonts w:ascii="Times New Roman" w:hAnsi="Times New Roman"/>
          <w:sz w:val="20"/>
        </w:rPr>
        <w:t xml:space="preserve"> that (A) the Issuers shall deliver to the Agent written notice of TBUS’s intention to make such election not less than fifteen (15) Business Days prior to the delivery of the related notice to the Collaboration Partner, and a copy of such notice promptly following its delivery, (B) the Note Parties shall continue to perform their remaining obligations under the Co-Promotion Agreement and the Collaboration Agreement, and (C) no Default or Event of Default shall have occurred and be continuing at the time such notice is delivered to the Collaboration Partner. A Permitted Co-Promotion Election shall not, in and of itself, constitute a Material Modification, a breach of this </w:t>
      </w:r>
      <w:r>
        <w:rPr>
          <w:rFonts w:ascii="Times New Roman" w:hAnsi="Times New Roman"/>
          <w:sz w:val="20"/>
          <w:u w:val="single"/>
        </w:rPr>
        <w:t>Section 7.10(b)</w:t>
      </w:r>
      <w:r>
        <w:rPr>
          <w:rFonts w:ascii="Times New Roman" w:hAnsi="Times New Roman"/>
          <w:sz w:val="20"/>
        </w:rPr>
        <w:t xml:space="preserve"> or </w:t>
      </w:r>
      <w:r>
        <w:rPr>
          <w:rFonts w:ascii="Times New Roman" w:hAnsi="Times New Roman"/>
          <w:sz w:val="20"/>
          <w:u w:val="single"/>
        </w:rPr>
        <w:t>Section 8.07</w:t>
      </w:r>
      <w:r>
        <w:rPr>
          <w:rFonts w:ascii="Times New Roman" w:hAnsi="Times New Roman"/>
          <w:sz w:val="20"/>
        </w:rPr>
        <w:t xml:space="preserve">, a termination of the Co-Promotion Agreement for purposes of </w:t>
      </w:r>
      <w:r>
        <w:rPr>
          <w:rFonts w:ascii="Times New Roman" w:hAnsi="Times New Roman"/>
          <w:sz w:val="20"/>
          <w:u w:val="single"/>
        </w:rPr>
        <w:t>Section 9.01(j)</w:t>
      </w:r>
      <w:r>
        <w:rPr>
          <w:rFonts w:ascii="Times New Roman" w:hAnsi="Times New Roman"/>
          <w:sz w:val="20"/>
        </w:rPr>
        <w:t xml:space="preserve"> or a Material Adverse Effect; </w:t>
      </w:r>
      <w:r>
        <w:rPr>
          <w:rFonts w:ascii="Times New Roman" w:hAnsi="Times New Roman"/>
          <w:sz w:val="20"/>
          <w:u w:val="single"/>
        </w:rPr>
        <w:t>provided</w:t>
      </w:r>
      <w:r>
        <w:rPr>
          <w:rFonts w:ascii="Times New Roman" w:hAnsi="Times New Roman"/>
          <w:sz w:val="20"/>
        </w:rPr>
        <w:t xml:space="preserve"> that the foregoing shall not limit the effect for purposes of any Note Document of any subsequent event, fact or circumstance (including any change in Yupelri Adjusted Net Profit, Adjusted Operating Profit (Loss) or any component part thereof). Any breach, default or event of default under, or termination, cancellation or rescission of, the Co-Promotion Agreement shall remain subject to the rights and remedies of the Agent and the other Secured Parties under this Agreement, the other Note Documents and Law, including the remedies set forth in </w:t>
      </w:r>
      <w:r>
        <w:rPr>
          <w:rFonts w:ascii="Times New Roman" w:hAnsi="Times New Roman"/>
          <w:sz w:val="20"/>
          <w:u w:val="single"/>
        </w:rPr>
        <w:t>Section 9.01(j)</w:t>
      </w:r>
      <w:r>
        <w:rPr>
          <w:rFonts w:ascii="Times New Roman" w:hAnsi="Times New Roman"/>
          <w:sz w:val="20"/>
        </w:rPr>
        <w:t xml:space="preserve">, and shall not limit the Agent’s rights with respect to the Collateral, any New Arrangement or, where applicable, the replacement of the Servicer in accordance with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(c) The DST Issuer shall do or cause to be done all things necessary and commercially reasonable to (i) maintain, or cause to be maintained, the Servicing Agreement and each other Covered Agreement (other than the Collaboration Agreement and Co-Promotion Agreement, which are addressed above) in full force and effect, (ii) perform, or cause to be performed, the obligations of the Note Party thereto, and otherwise comply or cause to be complied with all terms and conditions set forth in, the Servicing Agreement and each such other Covered Agreement, (iii) promptly cure any breach or default by a Note Party or Servicing Agreement Event of Default under the Servicing Agreement or any such other Covered Agreement within the applicable cure period (if any) provided therein, and (iv) enforce the Servicer’s and each Covered Agreement Counterparty’s, as applicable, obligations under the Servicing Agreement and each such other Covered Agreement, including the diligent and timely enforcement of a Note Party’s rights and remedies thereunder. The Issuers shall, promptly (and in any event within ten (10) Business Days) after any Note Party or any of its Affiliates enters into any Covered Agreement or License Agreement (if any) that is material to the Exploitation of the Licensed Product (other than Contracts with logistics providers, distribution and channel partners, or other Third Party service providers that, in each case, can be replaced by a Note Party promptly without any material and adverse effect on the Exploitation of any Licensed Product), deliver to the Agent a copy thereof together with a supplement to </w:t>
      </w:r>
      <w:r>
        <w:rPr>
          <w:rFonts w:ascii="Times New Roman" w:hAnsi="Times New Roman"/>
          <w:sz w:val="20"/>
          <w:u w:val="single"/>
        </w:rPr>
        <w:t>Schedule 6.27</w:t>
      </w:r>
      <w:r>
        <w:rPr>
          <w:rFonts w:ascii="Times New Roman" w:hAnsi="Times New Roman"/>
          <w:sz w:val="20"/>
        </w:rPr>
        <w:t xml:space="preserve"> identifying such Contract, whereupon such Contract shall constitute a Covered Agreement for all purposes of the Note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Each Issuer shall do or cause to be done, to the extent necessary to permit the Issuers to perform their obligations hereunder, and otherwise at the direction of the Requisite Purchasers following the occurrence and during the continuation of a Default, Event of Default or Servicing Agreement Event of Default. </w:t>
      </w:r>
    </w:p>
    <w:p>
      <w:pPr>
        <w:pStyle w:val="TextBody"/>
        <w:bidi w:val="0"/>
        <w:spacing w:before="120" w:after="0"/>
        <w:jc w:val="both"/>
        <w:rPr>
          <w:rFonts w:ascii="Times New Roman" w:hAnsi="Times New Roman"/>
          <w:sz w:val="20"/>
        </w:rPr>
      </w:pPr>
      <w:r>
        <w:rPr>
          <w:rFonts w:ascii="Times New Roman" w:hAnsi="Times New Roman"/>
          <w:sz w:val="20"/>
        </w:rPr>
        <w:t xml:space="preserve">(e) Each Note Party shall do or cause to be done all things necessary to (i) perform the DST Issuer’s obligations under, and otherwise comply with all terms and conditions set forth in, the Contribution, Purchase and Sale Agreement, (ii) promptly cure any breach or default by the DST Issuer under the Contribution, Purchase and Sale Agreement within the applicable cure period (if any) provided therein, and (iii) enforce the applicable counterparty’s obligations under the Contribution, Purchase and Sale Agreement, including the diligent and timely enforcement of the DST Issuer’s rights and remedies thereunder.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Intellectual Property</w:t>
      </w:r>
      <w:r>
        <w:rPr>
          <w:rFonts w:ascii="Times New Roman" w:hAnsi="Times New Roman"/>
          <w:sz w:val="20"/>
        </w:rPr>
        <w:t xml:space="preserve">. In each case (x) subject to Article 12 of the Collaboration Agreement, and (y) solely to the extent that the DST Issuer is permitted to take such actions in accordance with the Collaboration Agreement: </w:t>
      </w:r>
    </w:p>
    <w:p>
      <w:pPr>
        <w:pStyle w:val="TextBody"/>
        <w:bidi w:val="0"/>
        <w:spacing w:before="120" w:after="0"/>
        <w:jc w:val="both"/>
        <w:rPr>
          <w:rFonts w:ascii="Times New Roman" w:hAnsi="Times New Roman"/>
          <w:sz w:val="20"/>
        </w:rPr>
      </w:pPr>
      <w:r>
        <w:rPr>
          <w:rFonts w:ascii="Times New Roman" w:hAnsi="Times New Roman"/>
          <w:sz w:val="20"/>
        </w:rPr>
        <w:t xml:space="preserve">(a) Subject to Article 12 of the Collaboration Agreement and the rights of the Collaboration Partner, the DST Issuer shall, at its sole expense, prepare, execute, deliver and file any and all agreements, documents or instruments which are necessary or desirable to (i) prosecute and maintain the Product Patents, the Product Trademarks and any other material IP Rights; and (ii) defend or assert the Product Patents and the Product Trademarks against commercially significant infringement by any other Persons, and against any claims of invalidity or unenforceability (including by bringing any legal action for infringement or defending any counterclaim of invalidity or action of a Third Party for declaratory judgment of non-infringement or non-interference) to the extent the DST Issuer has the right to do so. The Issuers shall keep the Agent and the Purchasers reasonably and timely informed of material developments under all such actions and shall consider all of the Agent’s and the Purchasers’ feedback regarding such actions in good faith. For clarity, this </w:t>
      </w:r>
      <w:r>
        <w:rPr>
          <w:rFonts w:ascii="Times New Roman" w:hAnsi="Times New Roman"/>
          <w:sz w:val="20"/>
          <w:u w:val="single"/>
        </w:rPr>
        <w:t>subsection (a)</w:t>
      </w:r>
      <w:r>
        <w:rPr>
          <w:rFonts w:ascii="Times New Roman" w:hAnsi="Times New Roman"/>
          <w:sz w:val="20"/>
        </w:rPr>
        <w:t xml:space="preserve"> shall apply only to the extent of the DST Issuer’s or any Affiliate’s rights (including rights to review and comment) to prosecute, maintain and/or enforce the IP Rights; </w:t>
      </w:r>
      <w:r>
        <w:rPr>
          <w:rFonts w:ascii="Times New Roman" w:hAnsi="Times New Roman"/>
          <w:sz w:val="20"/>
          <w:u w:val="single"/>
        </w:rPr>
        <w:t>provided</w:t>
      </w:r>
      <w:r>
        <w:rPr>
          <w:rFonts w:ascii="Times New Roman" w:hAnsi="Times New Roman"/>
          <w:sz w:val="20"/>
        </w:rPr>
        <w:t xml:space="preserve"> that the Issuers may request the Agent’s (acting at the direction of the Requisite Purchasers) consent of any planned deviation of this </w:t>
      </w:r>
      <w:r>
        <w:rPr>
          <w:rFonts w:ascii="Times New Roman" w:hAnsi="Times New Roman"/>
          <w:sz w:val="20"/>
          <w:u w:val="single"/>
        </w:rPr>
        <w:t>subsection (a)</w:t>
      </w:r>
      <w:r>
        <w:rPr>
          <w:rFonts w:ascii="Times New Roman" w:hAnsi="Times New Roman"/>
          <w:sz w:val="20"/>
        </w:rPr>
        <w:t xml:space="preserve"> on a case-by-case basis, such consent not to be unreasonably withheld. </w:t>
      </w:r>
    </w:p>
    <w:p>
      <w:pPr>
        <w:pStyle w:val="TextBody"/>
        <w:bidi w:val="0"/>
        <w:spacing w:before="120" w:after="0"/>
        <w:jc w:val="both"/>
        <w:rPr>
          <w:rFonts w:ascii="Times New Roman" w:hAnsi="Times New Roman"/>
          <w:sz w:val="20"/>
        </w:rPr>
      </w:pPr>
      <w:r>
        <w:rPr>
          <w:rFonts w:ascii="Times New Roman" w:hAnsi="Times New Roman"/>
          <w:sz w:val="20"/>
        </w:rPr>
        <w:t xml:space="preserve">(b) To the extent permitted under the Collaboration Agreement, the Issuers shall not, nor shall they permit or suffer any of their Affiliates (including the other Note Parties) to, voluntarily admit the invalidity or unenforceability of any Product Patent or Product Trademark without the Requisite Purchasers’ prior written consent; </w:t>
      </w:r>
      <w:r>
        <w:rPr>
          <w:rFonts w:ascii="Times New Roman" w:hAnsi="Times New Roman"/>
          <w:sz w:val="20"/>
          <w:u w:val="single"/>
        </w:rPr>
        <w:t>provided</w:t>
      </w:r>
      <w:r>
        <w:rPr>
          <w:rFonts w:ascii="Times New Roman" w:hAnsi="Times New Roman"/>
          <w:sz w:val="20"/>
        </w:rPr>
        <w:t xml:space="preserve"> that consent shall be deemed granted if no objection is delivered within thirty (30) Business Days (or such shorter period, not less than ten (10) Business Days, as is reasonably necessary to preserve rights or meet a court or tribunal-imposed deadline, </w:t>
      </w:r>
      <w:r>
        <w:rPr>
          <w:rFonts w:ascii="Times New Roman" w:hAnsi="Times New Roman"/>
          <w:sz w:val="20"/>
          <w:u w:val="single"/>
        </w:rPr>
        <w:t>provided</w:t>
      </w:r>
      <w:r>
        <w:rPr>
          <w:rFonts w:ascii="Times New Roman" w:hAnsi="Times New Roman"/>
          <w:sz w:val="20"/>
        </w:rPr>
        <w:t xml:space="preserve"> that the Issuers shall have used commercially reasonable efforts to obtain any available extension of such deadline), or consent to any judgment or settlement in any action, suit or proceeding referred to in Article 12 of the Collaboration Agreement, without the prior written consent of the Requisite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Each Issuer shall, and shall cause its Affiliates (including the other Note Parties) to: </w:t>
      </w:r>
    </w:p>
    <w:p>
      <w:pPr>
        <w:pStyle w:val="TextBody"/>
        <w:bidi w:val="0"/>
        <w:spacing w:before="120" w:after="0"/>
        <w:jc w:val="both"/>
        <w:rPr>
          <w:rFonts w:ascii="Times New Roman" w:hAnsi="Times New Roman"/>
          <w:sz w:val="20"/>
        </w:rPr>
      </w:pPr>
      <w:r>
        <w:rPr>
          <w:rFonts w:ascii="Times New Roman" w:hAnsi="Times New Roman"/>
          <w:sz w:val="20"/>
        </w:rPr>
        <w:t xml:space="preserve">(i) use commercially reasonable efforts to protect and maintain the Product Patents, Product Trademarks, and other material IP Rights and to maintain in confidence all trade secrets and Confidential Information comprising a part thereof to the fullest extent permitted under the Collaboration Agreement; and </w:t>
      </w:r>
    </w:p>
    <w:p>
      <w:pPr>
        <w:pStyle w:val="TextBody"/>
        <w:bidi w:val="0"/>
        <w:spacing w:before="120" w:after="0"/>
        <w:jc w:val="both"/>
        <w:rPr>
          <w:rFonts w:ascii="Times New Roman" w:hAnsi="Times New Roman"/>
          <w:sz w:val="20"/>
        </w:rPr>
      </w:pPr>
      <w:r>
        <w:rPr>
          <w:rFonts w:ascii="Times New Roman" w:hAnsi="Times New Roman"/>
          <w:sz w:val="20"/>
        </w:rPr>
        <w:t xml:space="preserve">(ii) use commercially reasonable efforts to prevent any unauthorized disclosure of (including by employees and contractors) or unauthorized access to any item that contains or embodies confidential and proprietary IP Rights, including by using reasonable physical and electronic security measures. </w:t>
      </w:r>
    </w:p>
    <w:p>
      <w:pPr>
        <w:pStyle w:val="TextBody"/>
        <w:bidi w:val="0"/>
        <w:spacing w:before="120" w:after="0"/>
        <w:jc w:val="both"/>
        <w:rPr>
          <w:rFonts w:ascii="Times New Roman" w:hAnsi="Times New Roman"/>
          <w:sz w:val="20"/>
        </w:rPr>
      </w:pPr>
      <w:r>
        <w:rPr>
          <w:rFonts w:ascii="Times New Roman" w:hAnsi="Times New Roman"/>
          <w:sz w:val="20"/>
        </w:rPr>
        <w:t xml:space="preserve">(d) Subject to its rights in Article 12 of the Collaboration Agreement, Issuers shall use commercially reasonable efforts to cause each individual associated with the filing and prosecution of the Product Patents to comply in all material respects with all applicable duties of candor and good faith in dealing with any Patent Office, including any duty of disclosure. </w:t>
      </w:r>
    </w:p>
    <w:p>
      <w:pPr>
        <w:pStyle w:val="TextBody"/>
        <w:bidi w:val="0"/>
        <w:spacing w:before="120" w:after="0"/>
        <w:jc w:val="both"/>
        <w:rPr>
          <w:rFonts w:ascii="Times New Roman" w:hAnsi="Times New Roman"/>
          <w:sz w:val="20"/>
        </w:rPr>
      </w:pPr>
      <w:r>
        <w:rPr>
          <w:rFonts w:ascii="Times New Roman" w:hAnsi="Times New Roman"/>
          <w:sz w:val="20"/>
        </w:rPr>
        <w:t xml:space="preserve">(e) The Issuers shall furnish the Agent and the Purchasers from time to time upon the Agent’s reasonable written request therefor, but in any event not more than once in any calendar year so long as no Event of Default is continuing, reasonably detailed statements and schedules identifying and describing the Product Patents and Product Trademarks and such other materials evidencing the material IP Rights as the Agent and the Purchasers may reasonably request. </w:t>
      </w:r>
    </w:p>
    <w:p>
      <w:pPr>
        <w:pStyle w:val="TextBody"/>
        <w:bidi w:val="0"/>
        <w:spacing w:before="240" w:after="0"/>
        <w:jc w:val="both"/>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Security Documents; Further Assurances</w:t>
      </w:r>
      <w:r>
        <w:rPr>
          <w:rFonts w:ascii="Times New Roman" w:hAnsi="Times New Roman"/>
          <w:sz w:val="20"/>
        </w:rPr>
        <w:t xml:space="preserve">. The Issuers shall, and shall cause the Note Parties to, promptly, upon the request of the Agent, at such Note Parties’ expense: (a) execute, acknowledge and deliver, or cause the execution, acknowledgment and delivery of, and thereafter register, file or record, or cause to be registered, filed or recorded, in an appropriate governmental office, any document or instrument supplemental to or confirmatory of the Note Documents or otherwise deemed by the Agent or any Purchaser reasonably necessary or desirable for the continued validity, perfection and priority of the Liens on the Collateral covered thereby subject to no other Liens except as permitted by the applicable Note Document, or obtain any consents or waivers as may be necessary or appropriate in connection therewith; (b) deliver or cause to be delivered to the Agent and the Purchasers from time to time such other documents, consents, authorizations, approvals and orders in form and substance reasonably satisfactory to the Agent (acting at the direction of the Requisite Purchasers) and as the Agent (acting at the direction of the Requisite Purchasers) shall reasonably deem necessary to perfect or maintain the Liens on the Collateral pursuant to the Note Documents; and (c) upon the exercise by the Agent of any power, right, privilege or remedy pursuant to any Note Document which requires any consent, approval, registration, qualification or authorization of any Governmental Authority execute and deliver all applications, certifications, instruments and other documents and papers that the Agent may require. </w:t>
      </w:r>
    </w:p>
    <w:p>
      <w:pPr>
        <w:pStyle w:val="TextBody"/>
        <w:bidi w:val="0"/>
        <w:spacing w:before="240" w:after="0"/>
        <w:jc w:val="both"/>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Additional Guarantors; Additional Collateral; New License Arrangement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Issuers shall cause each Subsidiary of an Issuer, TBIL or TBUS (other than any Excluded Product Subsidiary) formed or acquired after the Closing Date, promptly and in any event within thirty (30) days following such formation or acquisition (or such longer period as the Agent (acting at the direction of the Requisite Purchasers) may agree in writing), to (i) become a Guarantor by executing and delivering a joinder to the Guaranty and Security Agreement, (ii) grant to the Agent, for the benefit of the Secured Parties, a first priority perfected Lien (subject to Permitted Liens) on substantially all of its tangible and intangible assets, and pledge, or cause the pledge of, one hundred percent (100%) of its Equity Interests to the Agent, in each case, subject to the exclusions set forth in the Collateral Documents, and (iii) deliver to the Agent such Organizational Documents, resolutions, certificates and customary legal opinions relating to the foregoing as the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With respect to any asset or property of any Note Party that is intended to be Collateral acquired after the Closing Date by a Note Party that is not already subject to the Lien created by any of the Note Documents or specifically excluded from the requirement to be subject to such Lien in the Note Documents, the Note Parties shall promptly (and in any event within fifteen (15) days after the end of the quarter in which the acquisition thereof occurs) (i) execute and deliver to the Agent and Purchasers such amendments or supplements to the relevant Note Documents or such other documents (including pledge agreements, collateral assignments and debentures) as the Agent (acting at the direction of the Requisite Purchasers) shall deem necessary or advisable to grant for its benefit, a first priority Lien on such property subject to no Liens other than Permitted Liens, and (ii) take all actions necessary or reasonably requested by the Agent to cause such Lien to be duly perfected in accordance with all applicable requirements of Law, including the filing of financing statements in such jurisdictions as may be reasonably requested by the Agent. Each Note Party shall otherwise take such actions and execute and/or deliver to the Agent such documents as the Agent shall reasonably require to confirm the validity, perfection and priority of the Lien of any Collateral Document on such after-acquired properties. </w:t>
      </w:r>
    </w:p>
    <w:p>
      <w:pPr>
        <w:pStyle w:val="TextBody"/>
        <w:bidi w:val="0"/>
        <w:spacing w:before="120" w:after="0"/>
        <w:jc w:val="both"/>
        <w:rPr>
          <w:rFonts w:ascii="Times New Roman" w:hAnsi="Times New Roman"/>
          <w:sz w:val="20"/>
        </w:rPr>
      </w:pPr>
      <w:r>
        <w:rPr>
          <w:rFonts w:ascii="Times New Roman" w:hAnsi="Times New Roman"/>
          <w:sz w:val="20"/>
        </w:rPr>
        <w:t xml:space="preserve">(c) Without limiting any other rights or remedies the Agent or any other Secured Party may have under this Agreement or any Collateral Document, if (i) the Collaboration Partner terminates or provides written notice of termination of the Collaboration Agreement or the Collaboration Agreement terminates as to the Collaboration Partner by operation of law or (ii) any Note Party terminates the Collaboration Agreement in violation of its covenants or guaranties herein or the Collaboration Agreement terminates as to a Note Party by operation of law, then, in each case, solely at the election of the Agent (acting at the direction of the Requisite Purchasers in their sole discretion), the Note Parties shall, in consultation with the Agent and the Purchasers, subject to the Requisite Purchasers’ consent and the further requirements of this </w:t>
      </w:r>
      <w:r>
        <w:rPr>
          <w:rFonts w:ascii="Times New Roman" w:hAnsi="Times New Roman"/>
          <w:sz w:val="20"/>
          <w:u w:val="single"/>
        </w:rPr>
        <w:t>Section 7.13(c)</w:t>
      </w:r>
      <w:r>
        <w:rPr>
          <w:rFonts w:ascii="Times New Roman" w:hAnsi="Times New Roman"/>
          <w:sz w:val="20"/>
        </w:rPr>
        <w:t>, identify and use all reasonable efforts to consummate a licensing opportunity with a Third Party to Exploit the Licensed Products in the Territory. Each Note Party shall cooperate with the Agent and the other Secured Parties, at the cost and expense of the Issuers, in such efforts to identify and consummate such licensing opportunity, which license shall (i) become effective as soon as practicable but in any event not earlier than the effective date of such termination, (ii) expire not earlier than the Maturity Date, (iii) not include, without the Requisite Purchasers’ prior written consent, terms, conditions and limitations that are materially less favorable to the DST Issuer or the Agent and other Secured Parties (other than economic terms, which shall be no less favorable to the DST Issuer or the Agent and other Secured Parties), than those contained in the Collaboration Agreement applicable to the Licensed Product at the effective date of termination, including with respect to obligations and costs imposed on the DST Issuer, disclaimers of the DST Issuer’s liability, intellectual property ownership and control and indemnification of the DST Issuer (any such license, a “</w:t>
      </w:r>
      <w:r>
        <w:rPr>
          <w:rFonts w:ascii="Times New Roman" w:hAnsi="Times New Roman"/>
          <w:sz w:val="20"/>
          <w:u w:val="single"/>
        </w:rPr>
        <w:t>New Arrangement</w:t>
      </w:r>
      <w:r>
        <w:rPr>
          <w:rFonts w:ascii="Times New Roman" w:hAnsi="Times New Roman"/>
          <w:sz w:val="20"/>
        </w:rPr>
        <w:t xml:space="preserve">”). If the DST Issuer (in consultation with the Agent and the Purchasers) is the party pursuing such New Arrangement, the DST Issuer and the Requisite Purchasers shall mutually agree on the Third Party with which to enter into such New Arrangement. Should such New Arrangement be identified, (i) the DST Issuer agrees to use all reasonable efforts to execute and deliver a definitive agreement relating to the New Arrangement that satisfies the foregoing requirements of this </w:t>
      </w:r>
      <w:r>
        <w:rPr>
          <w:rFonts w:ascii="Times New Roman" w:hAnsi="Times New Roman"/>
          <w:sz w:val="20"/>
          <w:u w:val="single"/>
        </w:rPr>
        <w:t>Section 7.13(c)</w:t>
      </w:r>
      <w:r>
        <w:rPr>
          <w:rFonts w:ascii="Times New Roman" w:hAnsi="Times New Roman"/>
          <w:sz w:val="20"/>
        </w:rPr>
        <w:t xml:space="preserve"> as promptly as possible and (ii) the Parties shall coordinate in good faith to amend or modify this Agreement as may be reasonably necessary to account for such New Arrangement; </w:t>
      </w:r>
      <w:r>
        <w:rPr>
          <w:rFonts w:ascii="Times New Roman" w:hAnsi="Times New Roman"/>
          <w:sz w:val="20"/>
          <w:u w:val="single"/>
        </w:rPr>
        <w:t>provided</w:t>
      </w:r>
      <w:r>
        <w:rPr>
          <w:rFonts w:ascii="Times New Roman" w:hAnsi="Times New Roman"/>
          <w:sz w:val="20"/>
        </w:rPr>
        <w:t xml:space="preserve">, that no breach under this </w:t>
      </w:r>
      <w:r>
        <w:rPr>
          <w:rFonts w:ascii="Times New Roman" w:hAnsi="Times New Roman"/>
          <w:sz w:val="20"/>
          <w:u w:val="single"/>
        </w:rPr>
        <w:t>clause (c)</w:t>
      </w:r>
      <w:r>
        <w:rPr>
          <w:rFonts w:ascii="Times New Roman" w:hAnsi="Times New Roman"/>
          <w:sz w:val="20"/>
        </w:rPr>
        <w:t xml:space="preserve"> will be deemed to have occurred during the cure period specified under </w:t>
      </w:r>
      <w:r>
        <w:rPr>
          <w:rFonts w:ascii="Times New Roman" w:hAnsi="Times New Roman"/>
          <w:sz w:val="20"/>
          <w:u w:val="single"/>
        </w:rPr>
        <w:t>Section 9.01(j)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Further Assurances</w:t>
      </w:r>
      <w:r>
        <w:rPr>
          <w:rFonts w:ascii="Times New Roman" w:hAnsi="Times New Roman"/>
          <w:sz w:val="20"/>
        </w:rPr>
        <w:t xml:space="preserve">. At any time or from time to time upon the request of the Agent, the Issuers will, and shall cause the Note Parties to, at their expense, promptly execute, acknowledge and deliver such further documents and do such other acts and things as the Agent may reasonably request in order to effect fully the intent and purposes of the Note Documents, including providing Purchasers with any information reasonably requested pursuant to </w:t>
      </w:r>
      <w:r>
        <w:rPr>
          <w:rFonts w:ascii="Times New Roman" w:hAnsi="Times New Roman"/>
          <w:sz w:val="20"/>
          <w:u w:val="single"/>
        </w:rPr>
        <w:t>Section 11.19</w:t>
      </w:r>
      <w:r>
        <w:rPr>
          <w:rFonts w:ascii="Times New Roman" w:hAnsi="Times New Roman"/>
          <w:sz w:val="20"/>
        </w:rPr>
        <w:t xml:space="preserve">. In furtherance of (and not in limitation of) the foregoing, the Issuers shall, and shall cause the Note Parties to, take such actions as the Agent may reasonably request from time to time to ensure that the Obligations are secured by the assets intended to be Collateral owned by the Note Parties and to carry out the intent to establish and protect the rights, interests and remedies created, or intended to be created, in favor of the Agent for the benefit of the Secured Parties hereby and thereby. </w:t>
      </w:r>
    </w:p>
    <w:p>
      <w:pPr>
        <w:pStyle w:val="TextBody"/>
        <w:bidi w:val="0"/>
        <w:spacing w:before="240" w:after="0"/>
        <w:jc w:val="both"/>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Insurance</w:t>
      </w:r>
      <w:r>
        <w:rPr>
          <w:rFonts w:ascii="Times New Roman" w:hAnsi="Times New Roman"/>
          <w:sz w:val="20"/>
        </w:rPr>
        <w:t xml:space="preserve">. The Issuers shall, and shall cause each Note Party to, (i) keep all its insurable properties and properties in which such Note Party has an interest insured against those hazards covered, and for such amounts, as is customary in the case of companies engaged in businesses similar to such Note Party’s including business interruption insurance with a financially sound and reputable insurance company; (ii) maintain public and product liability insurance and commercial general liability insurance against claims for personal injury, death or property damage suffered by others in an aggregate amount as is customary in the case of companies engaged in businesses similar to such Note Party’s with a financially sound and reputable insurance company; (iii) maintain all such worker’s compensation or similar insurance as may be required under the laws of any state or jurisdiction in which any Note Party (other than the Issuers and their Subsidiaries) is engaged in business or otherwise in an aggregate amount as is customary in the case of companies engaged in businesses similar to such Note Party’s with a financially sound and reputable insurance company; (iv) maintain director’s and officer’s insurance coverage (which may be provided under an umbrella policy) in an aggregate amount as is customary in the case of companies engaged in businesses similar to such Note Party’s with a financially sound and reputable insurance company; and (v) subject to Schedule 7.18, furnish the Agent (A) upon the Agent’s request, copies of all policies, evidence of the maintenance of such policies by the renewal thereof on or before the earlier of (a) the date on which such insurance is required to be procured or renewed under any Covered Agreement and (y) the date that is concurrent with any expiration date, and (B) with appropriate loss payable endorsements in form and substance reasonably satisfactory to the Agent (acting at the direction of the Requisite Purchasers), naming the Agent as an additional insured and mortgagee and/or lender loss payee (as applicable) as its interests may appear with respect to all insurance coverage referred to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and providing (I) that all proceeds thereunder shall be payable to the Agent,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the Agent (or in the case of non-payment, at least ten (10) days prior written notice). In the event of any loss thereunder, the carriers named therein hereby are directed by the Agent and the DST Issuer to make payment for such loss to the Agent and not to the DST Issuer and the Agent jointly. If any insurance losses are paid by check, draft or other instrument payable to the DST Issuer and the Agent jointly, the Agent may endorse the DST Issuer’s name thereon and do such other things as the Agent may deem advisable to reduce the same to cash. </w:t>
      </w:r>
    </w:p>
    <w:p>
      <w:pPr>
        <w:pStyle w:val="TextBody"/>
        <w:bidi w:val="0"/>
        <w:spacing w:before="240" w:after="0"/>
        <w:jc w:val="both"/>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Listing of Notes</w:t>
      </w:r>
      <w:r>
        <w:rPr>
          <w:rFonts w:ascii="Times New Roman" w:hAnsi="Times New Roman"/>
          <w:sz w:val="20"/>
        </w:rPr>
        <w:t xml:space="preserve">. The Issuers shall apply for the Notes to be listed on an exchange which is a recognized stock exchange for the purposes of section 64 of the Irish Taxes Consolidation Act 1997 (a “recognized stock exchange”) promptly following the issuance of the Notes and in any event in advance of any payment being made on the Notes, and the Issuers shall use their reasonable best efforts to obtain and maintain the listing of the Notes on such recognized stock exchange; </w:t>
      </w:r>
      <w:r>
        <w:rPr>
          <w:rFonts w:ascii="Times New Roman" w:hAnsi="Times New Roman"/>
          <w:sz w:val="20"/>
          <w:u w:val="single"/>
        </w:rPr>
        <w:t>provided</w:t>
      </w:r>
      <w:r>
        <w:rPr>
          <w:rFonts w:ascii="Times New Roman" w:hAnsi="Times New Roman"/>
          <w:sz w:val="20"/>
        </w:rPr>
        <w:t xml:space="preserve">, that if the Issuers are unable to do so, having used such reasonable best efforts, or if the maintenance of such listing is unduly onerous, the Issuers will instead use their reasonable best efforts to apply for the Notes to be listed on such other recognized stock exchange as the Purchasers may determine in consultation with the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Tax and Financial Reporting</w:t>
      </w:r>
      <w:r>
        <w:rPr>
          <w:rFonts w:ascii="Times New Roman" w:hAnsi="Times New Roman"/>
          <w:sz w:val="20"/>
        </w:rPr>
        <w:t xml:space="preserve">. Each Note Party shall (and shall cause its Affiliates to) prepare all Tax filings and reports consistently with the treatment described in </w:t>
      </w:r>
      <w:r>
        <w:rPr>
          <w:rFonts w:ascii="Times New Roman" w:hAnsi="Times New Roman"/>
          <w:sz w:val="20"/>
          <w:u w:val="single"/>
        </w:rPr>
        <w:t>Sections 6.11(f)</w:t>
      </w:r>
      <w:r>
        <w:rPr>
          <w:rFonts w:ascii="Times New Roman" w:hAnsi="Times New Roman"/>
          <w:sz w:val="20"/>
        </w:rPr>
        <w:t xml:space="preserve"> through </w:t>
      </w:r>
      <w:r>
        <w:rPr>
          <w:rFonts w:ascii="Times New Roman" w:hAnsi="Times New Roman"/>
          <w:sz w:val="20"/>
          <w:u w:val="single"/>
        </w:rPr>
        <w:t>(i)</w:t>
      </w:r>
      <w:r>
        <w:rPr>
          <w:rFonts w:ascii="Times New Roman" w:hAnsi="Times New Roman"/>
          <w:sz w:val="20"/>
        </w:rPr>
        <w:t xml:space="preserve"> and </w:t>
      </w:r>
      <w:r>
        <w:rPr>
          <w:rFonts w:ascii="Times New Roman" w:hAnsi="Times New Roman"/>
          <w:sz w:val="20"/>
          <w:u w:val="single"/>
        </w:rPr>
        <w:t>Section 8.19</w:t>
      </w:r>
      <w:r>
        <w:rPr>
          <w:rFonts w:ascii="Times New Roman" w:hAnsi="Times New Roman"/>
          <w:sz w:val="20"/>
        </w:rPr>
        <w:t xml:space="preserve">, unless otherwise required pursuant to a Determination. Financial statements of any Note Party or any of its Affiliates shall reflect the Transferred Assets and the assets and liabilities of the Issuers only in the manner, and subject to the notations and separate balance sheet requirements, set forth in </w:t>
      </w:r>
      <w:r>
        <w:rPr>
          <w:rFonts w:ascii="Times New Roman" w:hAnsi="Times New Roman"/>
          <w:sz w:val="20"/>
          <w:u w:val="single"/>
        </w:rPr>
        <w:t>Section 8.01(b)(xvii)</w:t>
      </w:r>
      <w:r>
        <w:rPr>
          <w:rFonts w:ascii="Times New Roman" w:hAnsi="Times New Roman"/>
          <w:sz w:val="20"/>
        </w:rPr>
        <w:t xml:space="preserve">, whether such financial statements are prepared under GAAP, FRS 101 or other applicable accounting standards. This </w:t>
      </w:r>
      <w:r>
        <w:rPr>
          <w:rFonts w:ascii="Times New Roman" w:hAnsi="Times New Roman"/>
          <w:sz w:val="20"/>
          <w:u w:val="single"/>
        </w:rPr>
        <w:t>Section 7.17</w:t>
      </w:r>
      <w:r>
        <w:rPr>
          <w:rFonts w:ascii="Times New Roman" w:hAnsi="Times New Roman"/>
          <w:sz w:val="20"/>
        </w:rPr>
        <w:t xml:space="preserve"> addresses Tax and financial reporting characterization only, and shall not constitute, or be construed as, a statement, agreement or admission as to legal or equitable title to, or ownership of, any asset for any other purpose. </w:t>
      </w:r>
    </w:p>
    <w:p>
      <w:pPr>
        <w:pStyle w:val="TextBody"/>
        <w:bidi w:val="0"/>
        <w:spacing w:before="240" w:after="0"/>
        <w:jc w:val="both"/>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Post-Closing Obligations</w:t>
      </w:r>
      <w:r>
        <w:rPr>
          <w:rFonts w:ascii="Times New Roman" w:hAnsi="Times New Roman"/>
          <w:sz w:val="20"/>
        </w:rPr>
        <w:t xml:space="preserve">. To the extent not completed prior to the Closing Date, the Issuers shall, and shall cause each Note Party, to satisfy the requirements set forth on </w:t>
      </w:r>
      <w:r>
        <w:rPr>
          <w:rFonts w:ascii="Times New Roman" w:hAnsi="Times New Roman"/>
          <w:sz w:val="20"/>
          <w:u w:val="single"/>
        </w:rPr>
        <w:t>Schedule 7.18</w:t>
      </w:r>
      <w:r>
        <w:rPr>
          <w:rFonts w:ascii="Times New Roman" w:hAnsi="Times New Roman"/>
          <w:sz w:val="20"/>
        </w:rPr>
        <w:t xml:space="preserve"> on or prior to the dates set forth on such schedule (or such later dates as shall be reasonably acceptable to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both"/>
        <w:rPr>
          <w:rFonts w:ascii="Times New Roman" w:hAnsi="Times New Roman"/>
          <w:sz w:val="20"/>
        </w:rPr>
      </w:pPr>
      <w:r>
        <w:rPr>
          <w:rFonts w:ascii="Times New Roman" w:hAnsi="Times New Roman"/>
          <w:sz w:val="20"/>
        </w:rPr>
        <w:t xml:space="preserve">Until Payment in Full, each Note Party covenants and agrees that, it shall not, nor shall it permit any of its Subsidiaries (other than any Excluded Product Subsidiary) to: </w:t>
      </w:r>
    </w:p>
    <w:p>
      <w:pPr>
        <w:pStyle w:val="TextBody"/>
        <w:bidi w:val="0"/>
        <w:spacing w:before="240" w:after="0"/>
        <w:jc w:val="both"/>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Special Purpose Entity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Permit the Issuers to operate for any purposes other than to: </w:t>
      </w:r>
    </w:p>
    <w:p>
      <w:pPr>
        <w:pStyle w:val="TextBody"/>
        <w:bidi w:val="0"/>
        <w:spacing w:before="120" w:after="0"/>
        <w:jc w:val="both"/>
        <w:rPr>
          <w:rFonts w:ascii="Times New Roman" w:hAnsi="Times New Roman"/>
          <w:sz w:val="20"/>
        </w:rPr>
      </w:pPr>
      <w:r>
        <w:rPr>
          <w:rFonts w:ascii="Times New Roman" w:hAnsi="Times New Roman"/>
          <w:sz w:val="20"/>
        </w:rPr>
        <w:t xml:space="preserve">(i) enter into and perform its obligations under or with respect to the Note Documents, the Covered Agreements to which the Issuers are a party and all other documents, instruments or agreements executed and delivered in connection herewith and therewith to the extent permitted by this Agreement and the other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(ii) own, hold, manage and otherwise maintain the Transferred Assets (including the Collateral) in accordance with this Agreement and the other Note Documents and activities incidental thereto; </w:t>
      </w:r>
    </w:p>
    <w:p>
      <w:pPr>
        <w:pStyle w:val="TextBody"/>
        <w:bidi w:val="0"/>
        <w:spacing w:before="120" w:after="0"/>
        <w:jc w:val="both"/>
        <w:rPr>
          <w:rFonts w:ascii="Times New Roman" w:hAnsi="Times New Roman"/>
          <w:sz w:val="20"/>
        </w:rPr>
      </w:pPr>
      <w:r>
        <w:rPr>
          <w:rFonts w:ascii="Times New Roman" w:hAnsi="Times New Roman"/>
          <w:sz w:val="20"/>
        </w:rPr>
        <w:t xml:space="preserve">(iii) acquire, own, hold, manage, encumber and otherwise deal with and in the Permitted Assets and activities incidental thereto; </w:t>
      </w:r>
    </w:p>
    <w:p>
      <w:pPr>
        <w:pStyle w:val="TextBody"/>
        <w:bidi w:val="0"/>
        <w:spacing w:before="120" w:after="0"/>
        <w:jc w:val="both"/>
        <w:rPr>
          <w:rFonts w:ascii="Times New Roman" w:hAnsi="Times New Roman"/>
          <w:sz w:val="20"/>
        </w:rPr>
      </w:pPr>
      <w:r>
        <w:rPr>
          <w:rFonts w:ascii="Times New Roman" w:hAnsi="Times New Roman"/>
          <w:sz w:val="20"/>
        </w:rPr>
        <w:t xml:space="preserve">(iv) incur, pay or discharge Permitted Liabilities and activities incidental thereto; and </w:t>
      </w:r>
    </w:p>
    <w:p>
      <w:pPr>
        <w:pStyle w:val="TextBody"/>
        <w:bidi w:val="0"/>
        <w:spacing w:before="120" w:after="0"/>
        <w:jc w:val="both"/>
        <w:rPr>
          <w:rFonts w:ascii="Times New Roman" w:hAnsi="Times New Roman"/>
          <w:sz w:val="20"/>
        </w:rPr>
      </w:pPr>
      <w:r>
        <w:rPr>
          <w:rFonts w:ascii="Times New Roman" w:hAnsi="Times New Roman"/>
          <w:sz w:val="20"/>
        </w:rPr>
        <w:t xml:space="preserve">(v) exercise powers permitted to be exercised by statutory trusts or limited liability companies organized, as applicable, under the laws of the State of Delaware that are necessary or advisable for the accomplishment of the purposes set forth in the foregoing </w:t>
      </w:r>
      <w:r>
        <w:rPr>
          <w:rFonts w:ascii="Times New Roman" w:hAnsi="Times New Roman"/>
          <w:sz w:val="20"/>
          <w:u w:val="single"/>
        </w:rPr>
        <w:t>subclauses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including the power to maintain its legal existence. </w:t>
      </w:r>
    </w:p>
    <w:p>
      <w:pPr>
        <w:pStyle w:val="TextBody"/>
        <w:bidi w:val="0"/>
        <w:spacing w:before="120" w:after="0"/>
        <w:jc w:val="both"/>
        <w:rPr>
          <w:rFonts w:ascii="Times New Roman" w:hAnsi="Times New Roman"/>
          <w:sz w:val="20"/>
        </w:rPr>
      </w:pPr>
      <w:r>
        <w:rPr>
          <w:rFonts w:ascii="Times New Roman" w:hAnsi="Times New Roman"/>
          <w:sz w:val="20"/>
        </w:rPr>
        <w:t xml:space="preserve">(b) Permit the Issuers to: </w:t>
      </w:r>
    </w:p>
    <w:p>
      <w:pPr>
        <w:pStyle w:val="TextBody"/>
        <w:bidi w:val="0"/>
        <w:spacing w:before="120" w:after="0"/>
        <w:jc w:val="both"/>
        <w:rPr>
          <w:rFonts w:ascii="Times New Roman" w:hAnsi="Times New Roman"/>
          <w:sz w:val="20"/>
        </w:rPr>
      </w:pPr>
      <w:r>
        <w:rPr>
          <w:rFonts w:ascii="Times New Roman" w:hAnsi="Times New Roman"/>
          <w:sz w:val="20"/>
        </w:rPr>
        <w:t xml:space="preserve">(i) merge into or consolidate with any Person or dissolve, terminate or liquidate in whole or in part, transfer or otherwise dispose of all or substantially all of its assets or change its legal structure, without, in each case, the prior written consent of the Agent (acting at the direction of the Requisite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 own or acquire any assets other than Permitted Assets; </w:t>
      </w:r>
    </w:p>
    <w:p>
      <w:pPr>
        <w:pStyle w:val="TextBody"/>
        <w:bidi w:val="0"/>
        <w:spacing w:before="120" w:after="0"/>
        <w:jc w:val="both"/>
        <w:rPr>
          <w:rFonts w:ascii="Times New Roman" w:hAnsi="Times New Roman"/>
          <w:sz w:val="20"/>
        </w:rPr>
      </w:pPr>
      <w:r>
        <w:rPr>
          <w:rFonts w:ascii="Times New Roman" w:hAnsi="Times New Roman"/>
          <w:sz w:val="20"/>
        </w:rPr>
        <w:t xml:space="preserve">(iii) form, acquire or hold any Subsidiary (other than RDIP or TABI) or make any equity investment in any Person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(iv) incur, directly or indirectly, or suffer to exist any Indebtedness or other obligation or liability, secured or unsecured, direct or contingent (including guaranteeing any obligation), other than Permitted Liabilities; </w:t>
      </w:r>
    </w:p>
    <w:p>
      <w:pPr>
        <w:pStyle w:val="TextBody"/>
        <w:bidi w:val="0"/>
        <w:spacing w:before="120" w:after="0"/>
        <w:jc w:val="both"/>
        <w:rPr>
          <w:rFonts w:ascii="Times New Roman" w:hAnsi="Times New Roman"/>
          <w:sz w:val="20"/>
        </w:rPr>
      </w:pPr>
      <w:r>
        <w:rPr>
          <w:rFonts w:ascii="Times New Roman" w:hAnsi="Times New Roman"/>
          <w:sz w:val="20"/>
        </w:rPr>
        <w:t xml:space="preserve">(v) except to the extent expressly permitted under the Note Documents commingle its assets with the assets of any of its members, shareholders, Affiliates, principals or of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(vi) fail to maintain its records, books of accounts and bank accounts separate and apart from those of the members, shareholders, principals and Affiliates of the Issuers or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(vii) other than with respect to the Note Documents or as otherwise required thereby, enter into any contract, agreement or transaction of any kind with any member, shareholder, principal or Affiliate of the Transaction Parties (or any member, partner, shareholder, principal or Affiliate of any of the foregoing), except upon terms and conditions that are intrinsically fair and substantially similar to those that would be available on an arms-length basis with Third Parties; </w:t>
      </w:r>
    </w:p>
    <w:p>
      <w:pPr>
        <w:pStyle w:val="TextBody"/>
        <w:bidi w:val="0"/>
        <w:spacing w:before="120" w:after="0"/>
        <w:jc w:val="both"/>
        <w:rPr>
          <w:rFonts w:ascii="Times New Roman" w:hAnsi="Times New Roman"/>
          <w:sz w:val="20"/>
        </w:rPr>
      </w:pPr>
      <w:r>
        <w:rPr>
          <w:rFonts w:ascii="Times New Roman" w:hAnsi="Times New Roman"/>
          <w:sz w:val="20"/>
        </w:rPr>
        <w:t xml:space="preserve">(viii) seek the dissolution or winding up in whole, or in part, of the Issuers; </w:t>
      </w:r>
    </w:p>
    <w:p>
      <w:pPr>
        <w:pStyle w:val="TextBody"/>
        <w:bidi w:val="0"/>
        <w:spacing w:before="120" w:after="0"/>
        <w:jc w:val="both"/>
        <w:rPr>
          <w:rFonts w:ascii="Times New Roman" w:hAnsi="Times New Roman"/>
          <w:sz w:val="20"/>
        </w:rPr>
      </w:pPr>
      <w:r>
        <w:rPr>
          <w:rFonts w:ascii="Times New Roman" w:hAnsi="Times New Roman"/>
          <w:sz w:val="20"/>
        </w:rPr>
        <w:t xml:space="preserve">(ix) fail to correct any known misunderstandings regarding the separate identity of the Issuers; </w:t>
      </w:r>
    </w:p>
    <w:p>
      <w:pPr>
        <w:pStyle w:val="TextBody"/>
        <w:bidi w:val="0"/>
        <w:spacing w:before="120" w:after="0"/>
        <w:jc w:val="both"/>
        <w:rPr>
          <w:rFonts w:ascii="Times New Roman" w:hAnsi="Times New Roman"/>
          <w:sz w:val="20"/>
        </w:rPr>
      </w:pPr>
      <w:r>
        <w:rPr>
          <w:rFonts w:ascii="Times New Roman" w:hAnsi="Times New Roman"/>
          <w:sz w:val="20"/>
        </w:rPr>
        <w:t xml:space="preserve">(x) (x) hold itself out to be responsible for the debts of another Person, (y) assume, guarantee, become obligated for or hold out its credit as being available to satisfy the debts or obligations of any other Person, or the decisions or actions respecting the daily business or affairs of any other Person or (z) except to the extent expressly permitted by the Note Documents, pledge its assets for the benefit of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(xi) make any loans or advances to any Person, including any member, partner, shareholder, principal or Affiliate of the Transaction Parties, or any member, partner, shareholder, principal or Affiliate of any of the foregoing; </w:t>
      </w:r>
    </w:p>
    <w:p>
      <w:pPr>
        <w:pStyle w:val="TextBody"/>
        <w:bidi w:val="0"/>
        <w:spacing w:before="120" w:after="0"/>
        <w:jc w:val="both"/>
        <w:rPr>
          <w:rFonts w:ascii="Times New Roman" w:hAnsi="Times New Roman"/>
          <w:sz w:val="20"/>
        </w:rPr>
      </w:pPr>
      <w:r>
        <w:rPr>
          <w:rFonts w:ascii="Times New Roman" w:hAnsi="Times New Roman"/>
          <w:sz w:val="20"/>
        </w:rPr>
        <w:t xml:space="preserve">(xii) fail either to hold itself out to the public as a legal entity separate and distinct from any other Person or to conduct its business solely in its own name in order not to mislead others as to the identity with which such other party is transacting business (including through the use of separate stationery, invoices and checks bearing its own name); </w:t>
      </w:r>
    </w:p>
    <w:p>
      <w:pPr>
        <w:pStyle w:val="TextBody"/>
        <w:bidi w:val="0"/>
        <w:spacing w:before="120" w:after="0"/>
        <w:jc w:val="both"/>
        <w:rPr>
          <w:rFonts w:ascii="Times New Roman" w:hAnsi="Times New Roman"/>
          <w:sz w:val="20"/>
        </w:rPr>
      </w:pPr>
      <w:r>
        <w:rPr>
          <w:rFonts w:ascii="Times New Roman" w:hAnsi="Times New Roman"/>
          <w:sz w:val="20"/>
        </w:rPr>
        <w:t xml:space="preserve">(xiii) fail to (x) remain Solvent, (y) pay its own debts and liabilities out of its own funds and assets (to the extent of such funds and assets) as the same shall become due or (z) otherwise maintain adequate capital for the reasonably foreseeable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(xiv) share any common logo with or hold itself out as or be considered as a department or division of (i) any partner, shareholder, principal, member or Affiliate of the Issuers, (ii) any Affiliate of a partner, shareholder, principal or member of the Issuers, or (iii) any other Person; </w:t>
      </w:r>
      <w:r>
        <w:rPr>
          <w:rFonts w:ascii="Times New Roman" w:hAnsi="Times New Roman"/>
          <w:sz w:val="20"/>
          <w:u w:val="single"/>
        </w:rPr>
        <w:t>provided</w:t>
      </w:r>
      <w:r>
        <w:rPr>
          <w:rFonts w:ascii="Times New Roman" w:hAnsi="Times New Roman"/>
          <w:sz w:val="20"/>
        </w:rPr>
        <w:t xml:space="preserve">, that use of the Theravance Trademarks in connection with Commercialization of the Licensed Product under the Covered Agreements, and in the legal names of the Note Parties, does not breach the clause; </w:t>
      </w:r>
    </w:p>
    <w:p>
      <w:pPr>
        <w:pStyle w:val="TextBody"/>
        <w:bidi w:val="0"/>
        <w:spacing w:before="120" w:after="0"/>
        <w:jc w:val="both"/>
        <w:rPr>
          <w:rFonts w:ascii="Times New Roman" w:hAnsi="Times New Roman"/>
          <w:sz w:val="20"/>
        </w:rPr>
      </w:pPr>
      <w:r>
        <w:rPr>
          <w:rFonts w:ascii="Times New Roman" w:hAnsi="Times New Roman"/>
          <w:sz w:val="20"/>
        </w:rPr>
        <w:t xml:space="preserve">(xv) without, in the case of the Trustee Co-Issuer, the unanimous consent of the Manager (as defined in the Amended and Restated Limited Liability Company Agreement of the Trustee Co-Issuer) and the Independent Manager of the Trustee Co-Issuer, and, in the case of the DST Issuer, the unanimous consent of the Administrative Trustee and Independent Trustee (each as defined in the Organizational Document of the DST Issuer), file or consent to any Bankruptcy Event, Insolvency Proceeding or otherwise the filing of any petition, either voluntary or involuntary, to take advantage of any applicable insolvency, bankruptcy, liquidation or reorganization statute, or make an assignment for the benefit of creditors or take any other Independent Manager Matter; </w:t>
      </w:r>
    </w:p>
    <w:p>
      <w:pPr>
        <w:pStyle w:val="TextBody"/>
        <w:bidi w:val="0"/>
        <w:spacing w:before="120" w:after="0"/>
        <w:jc w:val="both"/>
        <w:rPr>
          <w:rFonts w:ascii="Times New Roman" w:hAnsi="Times New Roman"/>
          <w:sz w:val="20"/>
        </w:rPr>
      </w:pPr>
      <w:r>
        <w:rPr>
          <w:rFonts w:ascii="Times New Roman" w:hAnsi="Times New Roman"/>
          <w:sz w:val="20"/>
        </w:rPr>
        <w:t xml:space="preserve">(xvi) fail to maintain its books, records, resolutions and agreements as official records at its offices set forth in Schedule 4.03(i) of the Guaranty and Security Agreement, change the location of such books, records, resolutions and agreements or change its fiscal year from one coinciding with the calendar year without first providing the Agent at least thirty (30) days (or such shorter period as may be agreed by the Agent (acting at the direction of the Requisite Purchasers)) prior written notice of such change in location; </w:t>
      </w:r>
    </w:p>
    <w:p>
      <w:pPr>
        <w:pStyle w:val="TextBody"/>
        <w:bidi w:val="0"/>
        <w:spacing w:before="120" w:after="0"/>
        <w:jc w:val="both"/>
        <w:rPr>
          <w:rFonts w:ascii="Times New Roman" w:hAnsi="Times New Roman"/>
          <w:sz w:val="20"/>
        </w:rPr>
      </w:pPr>
      <w:r>
        <w:rPr>
          <w:rFonts w:ascii="Times New Roman" w:hAnsi="Times New Roman"/>
          <w:sz w:val="20"/>
        </w:rPr>
        <w:t xml:space="preserve">(xvii) fail to maintain a separate statement of assets and liabilities showing its assets and liabilities separate and apart from those of any other Person or permit its assets and liabilities to be listed on the financial statements of any other Person; </w:t>
      </w:r>
      <w:r>
        <w:rPr>
          <w:rFonts w:ascii="Times New Roman" w:hAnsi="Times New Roman"/>
          <w:sz w:val="20"/>
          <w:u w:val="single"/>
        </w:rPr>
        <w:t>provided</w:t>
      </w:r>
      <w:r>
        <w:rPr>
          <w:rFonts w:ascii="Times New Roman" w:hAnsi="Times New Roman"/>
          <w:sz w:val="20"/>
        </w:rPr>
        <w:t xml:space="preserve">, that the Issuers’ assets and liabilities may be included in the consolidated or statutory financial statements of the Parent, TBPH and/or TBIL (whether prepared under GAAP, FRS 101 or other applicable accounting standards) so long as (x) appropriate notations shall be made on such consolidated financial statements to indicate the separateness of the Issuers, the Parent, TBPH and TBIL and to include that the Issuers’ assets and credit are not available to satisfy the debt and other obligations of the Parent, TBPH, TBIL or any other Person and (y) such assets shall also be listed on the Issuers’ own separate balance sheet; </w:t>
      </w:r>
    </w:p>
    <w:p>
      <w:pPr>
        <w:pStyle w:val="TextBody"/>
        <w:bidi w:val="0"/>
        <w:spacing w:before="120" w:after="0"/>
        <w:jc w:val="both"/>
        <w:rPr>
          <w:rFonts w:ascii="Times New Roman" w:hAnsi="Times New Roman"/>
          <w:sz w:val="20"/>
        </w:rPr>
      </w:pPr>
      <w:r>
        <w:rPr>
          <w:rFonts w:ascii="Times New Roman" w:hAnsi="Times New Roman"/>
          <w:sz w:val="20"/>
        </w:rPr>
        <w:t xml:space="preserve">(xviii) except as otherwise expressly required or permitted by this Agreement or the other Note Documents, fail to maintain its assets in such a manner that it will not be costly or difficult to segregate, ascertain or identify its individual assets from those of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(xix) fail to do or cause to be done all things necessary to observe all statutory trust or limited liability company formalities and preserve its existence and good standing, and will not amend, restate, amend and restate, reform, supplement or otherwise modify its Organizational Documents; </w:t>
      </w:r>
    </w:p>
    <w:p>
      <w:pPr>
        <w:pStyle w:val="TextBody"/>
        <w:bidi w:val="0"/>
        <w:spacing w:before="120" w:after="0"/>
        <w:jc w:val="both"/>
        <w:rPr>
          <w:rFonts w:ascii="Times New Roman" w:hAnsi="Times New Roman"/>
          <w:sz w:val="20"/>
        </w:rPr>
      </w:pPr>
      <w:r>
        <w:rPr>
          <w:rFonts w:ascii="Times New Roman" w:hAnsi="Times New Roman"/>
          <w:sz w:val="20"/>
        </w:rPr>
        <w:t xml:space="preserve">(xx) fail to have at least one (1) Independent Manager; permit any resignation or removal of an Independent Manager, or any appointment of a successor Independent Manager, to become effective unless and until a successor Independent Manager satisfying the requirements set forth in the definition of “Independent Manager” shall have been appointed and shall have accepted such appointment by a written instrument; fail, upon any vacancy in the office of Independent Manager (including by reason of death or incapacity), to appoint a successor Independent Manager satisfying such requirements as soon as practicable and in any event within ten (10) days (or such longer period as agreed by Requisite Purchasers in their sole discretion) of such vacancy; take, consent to, vote in favor of or otherwise permit any Independent Manager Matter or other action covered in </w:t>
      </w:r>
      <w:r>
        <w:rPr>
          <w:rFonts w:ascii="Times New Roman" w:hAnsi="Times New Roman"/>
          <w:sz w:val="20"/>
          <w:u w:val="single"/>
        </w:rPr>
        <w:t>Section 8.01(xv)</w:t>
      </w:r>
      <w:r>
        <w:rPr>
          <w:rFonts w:ascii="Times New Roman" w:hAnsi="Times New Roman"/>
          <w:sz w:val="20"/>
        </w:rPr>
        <w:t xml:space="preserve"> at any time when there is a vacancy in the office of Independent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(xxi) have any employees; or </w:t>
      </w:r>
    </w:p>
    <w:p>
      <w:pPr>
        <w:pStyle w:val="TextBody"/>
        <w:bidi w:val="0"/>
        <w:spacing w:before="120" w:after="0"/>
        <w:jc w:val="both"/>
        <w:rPr>
          <w:rFonts w:ascii="Times New Roman" w:hAnsi="Times New Roman"/>
          <w:sz w:val="20"/>
        </w:rPr>
      </w:pPr>
      <w:r>
        <w:rPr>
          <w:rFonts w:ascii="Times New Roman" w:hAnsi="Times New Roman"/>
          <w:sz w:val="20"/>
        </w:rPr>
        <w:t xml:space="preserve">(xxii) fail to cause its agents and other representatives to act at all times with respect to the business and affairs of the Issuers in compliance with this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Dispositions.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Dispose of, or otherwise permit, consent or agree to any Disposition, in one transaction or a series of transactions, all or any part of its business, assets or property of any kind whatsoever, whether tangible or intangible, whether now owned or hereafter acquired, other than (a) to the extent constituting a Disposition, Dispositions on the Closing Date to give effect to the Transactions (including the Financing Reorganization), (b) to the extent constituting a Disposition, Dispositions by the Note Parties (other than the Issuers or their Subsidiaries) in the ordinary course of business required in connection with performing under or entering into Contracts (other than in respect of Indebtedness) permitted or not prohibited by the Note Documents, (c) Dispositions by TBIL of Excluded Product Assets and (d) Dispositions of any property or asset (other than the Equity Interests of the Issuers or their Subsidiaries) of TBIL or TBUS or their Subsidiaries (other than the Issuers or their Subsidiaries or the Co-Promotion Agreement) not securing Indebtedness that are customary in the operation of the business of TBIL or TBUS or such Subsidiaries (including licenses of Intellectual Property (other than IP Rights)); </w:t>
      </w:r>
      <w:r>
        <w:rPr>
          <w:rFonts w:ascii="Times New Roman" w:hAnsi="Times New Roman"/>
          <w:sz w:val="20"/>
          <w:u w:val="single"/>
        </w:rPr>
        <w:t>provided</w:t>
      </w:r>
      <w:r>
        <w:rPr>
          <w:rFonts w:ascii="Times New Roman" w:hAnsi="Times New Roman"/>
          <w:sz w:val="20"/>
        </w:rPr>
        <w:t xml:space="preserve"> that (A) immediately before and immediately after giving effect to such Disposition, no Default or Event of Default shall have occurred and be continuing, (B) such Disposition shall be made on arms length, commercially reasonable terms and conditions and (C) such Disposition does not cause any breach of the covenants in </w:t>
      </w:r>
      <w:r>
        <w:rPr>
          <w:rFonts w:ascii="Times New Roman" w:hAnsi="Times New Roman"/>
          <w:sz w:val="20"/>
          <w:u w:val="single"/>
        </w:rPr>
        <w:t>Section 8.18</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Indebtedness</w:t>
      </w:r>
      <w:r>
        <w:rPr>
          <w:rFonts w:ascii="Times New Roman" w:hAnsi="Times New Roman"/>
          <w:sz w:val="20"/>
        </w:rPr>
        <w:t xml:space="preserve">. Create, incur, assume or suffer to exist any Indebtedness, except: </w:t>
      </w:r>
    </w:p>
    <w:p>
      <w:pPr>
        <w:pStyle w:val="TextBody"/>
        <w:bidi w:val="0"/>
        <w:spacing w:before="120" w:after="0"/>
        <w:jc w:val="both"/>
        <w:rPr>
          <w:rFonts w:ascii="Times New Roman" w:hAnsi="Times New Roman"/>
          <w:sz w:val="20"/>
        </w:rPr>
      </w:pPr>
      <w:r>
        <w:rPr>
          <w:rFonts w:ascii="Times New Roman" w:hAnsi="Times New Roman"/>
          <w:sz w:val="20"/>
        </w:rPr>
        <w:t xml:space="preserve">(i) with respect to the Issuers, RDIP and TABI, Permitted Liabilities; </w:t>
      </w:r>
    </w:p>
    <w:p>
      <w:pPr>
        <w:pStyle w:val="TextBody"/>
        <w:bidi w:val="0"/>
        <w:spacing w:before="120" w:after="0"/>
        <w:jc w:val="both"/>
        <w:rPr>
          <w:rFonts w:ascii="Times New Roman" w:hAnsi="Times New Roman"/>
          <w:sz w:val="20"/>
        </w:rPr>
      </w:pPr>
      <w:r>
        <w:rPr>
          <w:rFonts w:ascii="Times New Roman" w:hAnsi="Times New Roman"/>
          <w:sz w:val="20"/>
        </w:rPr>
        <w:t xml:space="preserve">(ii) with respect to the Guarantors (other than RDIP or TABI): </w:t>
      </w:r>
    </w:p>
    <w:p>
      <w:pPr>
        <w:pStyle w:val="TextBody"/>
        <w:bidi w:val="0"/>
        <w:spacing w:before="120" w:after="0"/>
        <w:jc w:val="both"/>
        <w:rPr>
          <w:rFonts w:ascii="Times New Roman" w:hAnsi="Times New Roman"/>
          <w:sz w:val="20"/>
        </w:rPr>
      </w:pPr>
      <w:r>
        <w:rPr>
          <w:rFonts w:ascii="Times New Roman" w:hAnsi="Times New Roman"/>
          <w:sz w:val="20"/>
        </w:rPr>
        <w:t xml:space="preserve">(A)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(B) all Contractual Obligations (including all liabilities and obligations incurred by any Guarantor in connection with its performance thereof) in respect of the Covered Agreements permitted hereunder; and </w:t>
      </w:r>
    </w:p>
    <w:p>
      <w:pPr>
        <w:pStyle w:val="TextBody"/>
        <w:bidi w:val="0"/>
        <w:spacing w:before="120" w:after="0"/>
        <w:jc w:val="both"/>
        <w:rPr>
          <w:rFonts w:ascii="Times New Roman" w:hAnsi="Times New Roman"/>
          <w:sz w:val="20"/>
        </w:rPr>
      </w:pPr>
      <w:r>
        <w:rPr>
          <w:rFonts w:ascii="Times New Roman" w:hAnsi="Times New Roman"/>
          <w:sz w:val="20"/>
        </w:rPr>
        <w:t xml:space="preserve">(C) Indebtedness in respect of Taxes levied upon any such Guarantor or upon its income, profits or property (other than federal, state, local and foreign income or similar Taxes of TBIL, or any other Guarantor organized under the Laws of any jurisdiction other than the U.S. or any state thereof or the District of Columbia), solely to the extent such Taxes are timely paid or otherwise being contested in good faith by appropriate proceedings; </w:t>
      </w:r>
      <w:r>
        <w:rPr>
          <w:rFonts w:ascii="Times New Roman" w:hAnsi="Times New Roman"/>
          <w:sz w:val="20"/>
          <w:u w:val="single"/>
        </w:rPr>
        <w:t>provided</w:t>
      </w:r>
      <w:r>
        <w:rPr>
          <w:rFonts w:ascii="Times New Roman" w:hAnsi="Times New Roman"/>
          <w:sz w:val="20"/>
        </w:rPr>
        <w:t xml:space="preserve">, that adequate reserves are set aside therefor in accordance with GAAP and such contest proceedings shall conclusively operate to stay the sale or other disposition of any portion of the Collateral to satisfy such Tax;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with respect to TBIL and TBUS: </w:t>
      </w:r>
    </w:p>
    <w:p>
      <w:pPr>
        <w:pStyle w:val="TextBody"/>
        <w:bidi w:val="0"/>
        <w:spacing w:before="120" w:after="0"/>
        <w:jc w:val="both"/>
        <w:rPr>
          <w:rFonts w:ascii="Times New Roman" w:hAnsi="Times New Roman"/>
          <w:sz w:val="20"/>
        </w:rPr>
      </w:pPr>
      <w:r>
        <w:rPr>
          <w:rFonts w:ascii="Times New Roman" w:hAnsi="Times New Roman"/>
          <w:sz w:val="20"/>
        </w:rPr>
        <w:t xml:space="preserve">(A) Indebtedness arising in connection with netting services, overdraft protections, business credit cards, purchasing cards, payment processing, automatic clearinghouse arrangements, arrangements in respect of pooled deposit or sweep accounts, check endorsement guarantees, and otherwise in connection with deposit accounts or cash management services, in each case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(B) Indebtedness arising in connection with the financing of insurance premiums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(C) Indebtedness consisting of guarantees resulting from the endorsement of negotiable instruments for collection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(D) Indebtedness in respect of letters of credit, bank guarantees, bankers’ acceptances or similar instruments issued or created in the ordinary course of business in connection with workers’ compensation claims, health, disability or other employee benefits, property or casualty insurance, leases, or other reimbursement-type obligations; </w:t>
      </w:r>
    </w:p>
    <w:p>
      <w:pPr>
        <w:pStyle w:val="TextBody"/>
        <w:bidi w:val="0"/>
        <w:spacing w:before="120" w:after="0"/>
        <w:jc w:val="both"/>
        <w:rPr>
          <w:rFonts w:ascii="Times New Roman" w:hAnsi="Times New Roman"/>
          <w:sz w:val="20"/>
        </w:rPr>
      </w:pPr>
      <w:r>
        <w:rPr>
          <w:rFonts w:ascii="Times New Roman" w:hAnsi="Times New Roman"/>
          <w:sz w:val="20"/>
        </w:rPr>
        <w:t xml:space="preserve">(E) Indebtedness in respect of Taxes levied upon any TBIL and TBUS or upon their income, profits or property (other than federal, state, local and foreign income or similar Taxes of TBIL), solely to the extent such Taxes are timely paid or otherwise being contested in good faith by appropriate proceedings; </w:t>
      </w:r>
      <w:r>
        <w:rPr>
          <w:rFonts w:ascii="Times New Roman" w:hAnsi="Times New Roman"/>
          <w:sz w:val="20"/>
          <w:u w:val="single"/>
        </w:rPr>
        <w:t>provided</w:t>
      </w:r>
      <w:r>
        <w:rPr>
          <w:rFonts w:ascii="Times New Roman" w:hAnsi="Times New Roman"/>
          <w:sz w:val="20"/>
        </w:rPr>
        <w:t xml:space="preserve">, that adequate reserves are set aside therefor in accordance with GAAP and such contest proceedings shall conclusively operate to stay the sale or other disposition of any portion of the Collateral to satisfy such Tax; </w:t>
      </w:r>
    </w:p>
    <w:p>
      <w:pPr>
        <w:pStyle w:val="TextBody"/>
        <w:bidi w:val="0"/>
        <w:spacing w:before="120" w:after="0"/>
        <w:jc w:val="both"/>
        <w:rPr>
          <w:rFonts w:ascii="Times New Roman" w:hAnsi="Times New Roman"/>
          <w:sz w:val="20"/>
        </w:rPr>
      </w:pPr>
      <w:r>
        <w:rPr>
          <w:rFonts w:ascii="Times New Roman" w:hAnsi="Times New Roman"/>
          <w:sz w:val="20"/>
        </w:rPr>
        <w:t xml:space="preserve">(F) Indebtedness arising under leases, licenses or other arrangements entered into in the ordinary course of business, so long as such leases, licenses or other arrangements are not related to any Product Rights or Covered Agreement; </w:t>
      </w:r>
    </w:p>
    <w:p>
      <w:pPr>
        <w:pStyle w:val="TextBody"/>
        <w:bidi w:val="0"/>
        <w:spacing w:before="120" w:after="0"/>
        <w:jc w:val="both"/>
        <w:rPr>
          <w:rFonts w:ascii="Times New Roman" w:hAnsi="Times New Roman"/>
          <w:sz w:val="20"/>
        </w:rPr>
      </w:pPr>
      <w:r>
        <w:rPr>
          <w:rFonts w:ascii="Times New Roman" w:hAnsi="Times New Roman"/>
          <w:sz w:val="20"/>
        </w:rPr>
        <w:t xml:space="preserve">(G) intercompany Indebtedness between such entity and its Affiliates (other than the Issuers and their Subsidiaries); </w:t>
      </w:r>
      <w:r>
        <w:rPr>
          <w:rFonts w:ascii="Times New Roman" w:hAnsi="Times New Roman"/>
          <w:sz w:val="20"/>
          <w:u w:val="single"/>
        </w:rPr>
        <w:t>provided,</w:t>
      </w:r>
      <w:r>
        <w:rPr>
          <w:rFonts w:ascii="Times New Roman" w:hAnsi="Times New Roman"/>
          <w:sz w:val="20"/>
        </w:rPr>
        <w:t xml:space="preserve"> that (i) such intercompany Indebtedness is subordinated in right of payment to the prior Payment in Full of the Obligations, (ii) such intercompany Indebtedness is evidenced by a Subordinated Intercompany Note or is otherwise subject to a subordination agreement, in each case in form and substance reasonably acceptable to the Requisite Purchasers and (iii) no payments of principal or interest shall be made on such intercompany Indebtedness at any time when an Event of Default has occurred and is continuing or would result from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Liens</w:t>
      </w:r>
      <w:r>
        <w:rPr>
          <w:rFonts w:ascii="Times New Roman" w:hAnsi="Times New Roman"/>
          <w:sz w:val="20"/>
        </w:rPr>
        <w:t xml:space="preserve">. Create, permit or suffer to exist any Lien on all or any part of its assets or property of any kind whatsoever, except for: </w:t>
      </w:r>
    </w:p>
    <w:p>
      <w:pPr>
        <w:pStyle w:val="TextBody"/>
        <w:bidi w:val="0"/>
        <w:spacing w:before="120" w:after="0"/>
        <w:jc w:val="both"/>
        <w:rPr>
          <w:rFonts w:ascii="Times New Roman" w:hAnsi="Times New Roman"/>
          <w:sz w:val="20"/>
        </w:rPr>
      </w:pPr>
      <w:r>
        <w:rPr>
          <w:rFonts w:ascii="Times New Roman" w:hAnsi="Times New Roman"/>
          <w:sz w:val="20"/>
        </w:rPr>
        <w:t xml:space="preserve">(i) Liens created pursuant to any Note Document or otherwise arising in favor of the Agent, for the benefit of the Secured Parties; </w:t>
      </w:r>
    </w:p>
    <w:p>
      <w:pPr>
        <w:pStyle w:val="TextBody"/>
        <w:bidi w:val="0"/>
        <w:spacing w:before="120" w:after="0"/>
        <w:jc w:val="both"/>
        <w:rPr>
          <w:rFonts w:ascii="Times New Roman" w:hAnsi="Times New Roman"/>
          <w:sz w:val="20"/>
        </w:rPr>
      </w:pPr>
      <w:r>
        <w:rPr>
          <w:rFonts w:ascii="Times New Roman" w:hAnsi="Times New Roman"/>
          <w:sz w:val="20"/>
        </w:rPr>
        <w:t xml:space="preserve">(ii) Liens in respect of Taxes levied upon the Note Parties or upon its income, profits or property (other than federal, state, local and foreign income or similar Taxes of TBIL, the Issuers, RDIP, TABI or any other Note Party organized under the Laws of any jurisdiction other than the U.S. or any state thereof or the District of Columbia) solely to the extent such Taxes are timely paid or otherwise being contested in good faith by appropriate proceedings; </w:t>
      </w:r>
      <w:r>
        <w:rPr>
          <w:rFonts w:ascii="Times New Roman" w:hAnsi="Times New Roman"/>
          <w:sz w:val="20"/>
          <w:u w:val="single"/>
        </w:rPr>
        <w:t>provided</w:t>
      </w:r>
      <w:r>
        <w:rPr>
          <w:rFonts w:ascii="Times New Roman" w:hAnsi="Times New Roman"/>
          <w:sz w:val="20"/>
        </w:rPr>
        <w:t xml:space="preserve">, that adequate reserves are set aside therefor in accordance with GAAP and such contest proceedings shall conclusively operate to stay the sale or other disposition of any portion of the Collateral to satisfy such Tax; </w:t>
      </w:r>
    </w:p>
    <w:p>
      <w:pPr>
        <w:pStyle w:val="TextBody"/>
        <w:bidi w:val="0"/>
        <w:spacing w:before="120" w:after="0"/>
        <w:jc w:val="both"/>
        <w:rPr>
          <w:rFonts w:ascii="Times New Roman" w:hAnsi="Times New Roman"/>
          <w:sz w:val="20"/>
        </w:rPr>
      </w:pPr>
      <w:r>
        <w:rPr>
          <w:rFonts w:ascii="Times New Roman" w:hAnsi="Times New Roman"/>
          <w:sz w:val="20"/>
        </w:rPr>
        <w:t xml:space="preserve">(iii) Liens securing Permitted Indebtedness permitted under </w:t>
      </w:r>
      <w:r>
        <w:rPr>
          <w:rFonts w:ascii="Times New Roman" w:hAnsi="Times New Roman"/>
          <w:sz w:val="20"/>
          <w:u w:val="single"/>
        </w:rPr>
        <w:t>Section 8.03(iii)(A)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in each case solely on assets of TBIL or TBUS other than the Collateral, the Equity Interests of the Issuers or any of their Subsidiaries, the Product Rights and the Covered Agreements (and amounts payable thereunder); </w:t>
      </w:r>
    </w:p>
    <w:p>
      <w:pPr>
        <w:pStyle w:val="TextBody"/>
        <w:bidi w:val="0"/>
        <w:spacing w:before="120" w:after="0"/>
        <w:jc w:val="both"/>
        <w:rPr>
          <w:rFonts w:ascii="Times New Roman" w:hAnsi="Times New Roman"/>
          <w:sz w:val="20"/>
        </w:rPr>
      </w:pPr>
      <w:r>
        <w:rPr>
          <w:rFonts w:ascii="Times New Roman" w:hAnsi="Times New Roman"/>
          <w:sz w:val="20"/>
        </w:rPr>
        <w:t xml:space="preserve">(iv) banker’s liens for collection or rights of Set-Off or similar rights and remedies as to the Collection Account and any other account expressly permitted hereunder or any other Note Document; </w:t>
      </w:r>
    </w:p>
    <w:p>
      <w:pPr>
        <w:pStyle w:val="TextBody"/>
        <w:bidi w:val="0"/>
        <w:spacing w:before="120" w:after="0"/>
        <w:jc w:val="both"/>
        <w:rPr>
          <w:rFonts w:ascii="Times New Roman" w:hAnsi="Times New Roman"/>
          <w:sz w:val="20"/>
        </w:rPr>
      </w:pPr>
      <w:r>
        <w:rPr>
          <w:rFonts w:ascii="Times New Roman" w:hAnsi="Times New Roman"/>
          <w:sz w:val="20"/>
        </w:rPr>
        <w:t xml:space="preserve">(v) non-exclusive licenses granted by the Note Parties in the ordinary course of business to service providers, solely for the purpose of providing such services to the Note Parties, so long as such licenses are not granted with respect to a Covered Agreement; </w:t>
      </w:r>
    </w:p>
    <w:p>
      <w:pPr>
        <w:pStyle w:val="TextBody"/>
        <w:bidi w:val="0"/>
        <w:spacing w:before="120" w:after="0"/>
        <w:jc w:val="both"/>
        <w:rPr>
          <w:rFonts w:ascii="Times New Roman" w:hAnsi="Times New Roman"/>
          <w:sz w:val="20"/>
        </w:rPr>
      </w:pPr>
      <w:r>
        <w:rPr>
          <w:rFonts w:ascii="Times New Roman" w:hAnsi="Times New Roman"/>
          <w:sz w:val="20"/>
        </w:rPr>
        <w:t xml:space="preserve">(vi) Liens on any property or asset (other than the Equity Interests of the Issuers or their Subsidiaries and the Co-Promotion Agreement) of TBIL or TBUS or such Subsidiaries (other than the Issuers or their Subsidiaries) not securing Indebtedness that are customary in the operation of the business of TBIL or TBUS or their Subsidiaries (including licenses of Intellectual Property (other than IP Rights)); </w:t>
      </w:r>
    </w:p>
    <w:p>
      <w:pPr>
        <w:pStyle w:val="TextBody"/>
        <w:bidi w:val="0"/>
        <w:spacing w:before="120" w:after="0"/>
        <w:jc w:val="both"/>
        <w:rPr>
          <w:rFonts w:ascii="Times New Roman" w:hAnsi="Times New Roman"/>
          <w:sz w:val="20"/>
        </w:rPr>
      </w:pPr>
      <w:r>
        <w:rPr>
          <w:rFonts w:ascii="Times New Roman" w:hAnsi="Times New Roman"/>
          <w:sz w:val="20"/>
        </w:rPr>
        <w:t xml:space="preserve">(vii) Liens granted by TBIL solely on a non-recourse basis on the Equity Interests of any Excluded Product Subsidiary; and </w:t>
      </w:r>
    </w:p>
    <w:p>
      <w:pPr>
        <w:pStyle w:val="TextBody"/>
        <w:bidi w:val="0"/>
        <w:spacing w:before="120" w:after="0"/>
        <w:jc w:val="both"/>
        <w:rPr>
          <w:rFonts w:ascii="Times New Roman" w:hAnsi="Times New Roman"/>
          <w:sz w:val="20"/>
        </w:rPr>
      </w:pPr>
      <w:r>
        <w:rPr>
          <w:rFonts w:ascii="Times New Roman" w:hAnsi="Times New Roman"/>
          <w:sz w:val="20"/>
        </w:rPr>
        <w:t xml:space="preserve">(viii) the licenses and other rights granted to the Collaboration Partner under the Collaboration Agreement and the Co-Promotion Agreement, and to the counterparties under the other Covered Agreements or License Agreement (if any), in each case as in effect on the Closing Date or as amended in compliance with </w:t>
      </w:r>
      <w:r>
        <w:rPr>
          <w:rFonts w:ascii="Times New Roman" w:hAnsi="Times New Roman"/>
          <w:sz w:val="20"/>
          <w:u w:val="single"/>
        </w:rPr>
        <w:t>Section 8.07</w:t>
      </w:r>
      <w:r>
        <w:rPr>
          <w:rFonts w:ascii="Times New Roman" w:hAnsi="Times New Roman"/>
          <w:sz w:val="20"/>
        </w:rPr>
        <w:t xml:space="preserve"> or </w:t>
      </w:r>
      <w:r>
        <w:rPr>
          <w:rFonts w:ascii="Times New Roman" w:hAnsi="Times New Roman"/>
          <w:sz w:val="20"/>
          <w:u w:val="single"/>
        </w:rPr>
        <w:t>Section 8.08</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Permitted Investments</w:t>
      </w:r>
      <w:r>
        <w:rPr>
          <w:rFonts w:ascii="Times New Roman" w:hAnsi="Times New Roman"/>
          <w:sz w:val="20"/>
        </w:rPr>
        <w:t xml:space="preserve">. Directly or indirectly, make or maintain any Investment, except for: </w:t>
      </w:r>
    </w:p>
    <w:p>
      <w:pPr>
        <w:pStyle w:val="TextBody"/>
        <w:bidi w:val="0"/>
        <w:spacing w:before="120" w:after="0"/>
        <w:jc w:val="both"/>
        <w:rPr>
          <w:rFonts w:ascii="Times New Roman" w:hAnsi="Times New Roman"/>
          <w:sz w:val="20"/>
        </w:rPr>
      </w:pPr>
      <w:r>
        <w:rPr>
          <w:rFonts w:ascii="Times New Roman" w:hAnsi="Times New Roman"/>
          <w:sz w:val="20"/>
        </w:rPr>
        <w:t xml:space="preserve">(i) Investments on the Closing Date to give effect to the Transactions; </w:t>
      </w:r>
    </w:p>
    <w:p>
      <w:pPr>
        <w:pStyle w:val="TextBody"/>
        <w:bidi w:val="0"/>
        <w:spacing w:before="120" w:after="0"/>
        <w:jc w:val="both"/>
        <w:rPr>
          <w:rFonts w:ascii="Times New Roman" w:hAnsi="Times New Roman"/>
          <w:sz w:val="20"/>
        </w:rPr>
      </w:pPr>
      <w:r>
        <w:rPr>
          <w:rFonts w:ascii="Times New Roman" w:hAnsi="Times New Roman"/>
          <w:sz w:val="20"/>
        </w:rPr>
        <w:t xml:space="preserve">(ii) Investments in the Issuers, RDIP and TABI;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Investments by TBIL, TBUS or any of their Affiliates (other than the Issuers and their Subsidiaries) in an Excluded Product Subsidiary, to the extent constituting (or made in connection with) a contribution, assignment or transfer of Excluded Product Assets to such Excluded Product Subsidiary, for any acquisition of new Excluded Product Subsidiaries or Excluded Product Assets, and for any research, exploitation, development or commercialization thereof; </w:t>
      </w:r>
      <w:r>
        <w:rPr>
          <w:rFonts w:ascii="Times New Roman" w:hAnsi="Times New Roman"/>
          <w:sz w:val="20"/>
          <w:u w:val="single"/>
        </w:rPr>
        <w:t>provided</w:t>
      </w:r>
      <w:r>
        <w:rPr>
          <w:rFonts w:ascii="Times New Roman" w:hAnsi="Times New Roman"/>
          <w:sz w:val="20"/>
        </w:rPr>
        <w:t xml:space="preserve">, that at the time of making such Investment (a) no Default or Event of Default shall have occurred and be continuing or would immediately result therefrom and (b) TBIL and TBUS shall be Solvent both before and immediately after giving effect to thereto. </w:t>
      </w:r>
    </w:p>
    <w:p>
      <w:pPr>
        <w:pStyle w:val="TextBody"/>
        <w:bidi w:val="0"/>
        <w:spacing w:before="120" w:after="0"/>
        <w:jc w:val="both"/>
        <w:rPr>
          <w:rFonts w:ascii="Times New Roman" w:hAnsi="Times New Roman"/>
          <w:sz w:val="20"/>
        </w:rPr>
      </w:pPr>
      <w:r>
        <w:rPr>
          <w:rFonts w:ascii="Times New Roman" w:hAnsi="Times New Roman"/>
          <w:sz w:val="20"/>
        </w:rPr>
        <w:t xml:space="preserve">(iv) Investments that the Agent (at the direction of the Requisite Purchasers) has provided written consent to. </w:t>
      </w:r>
    </w:p>
    <w:p>
      <w:pPr>
        <w:pStyle w:val="TextBody"/>
        <w:bidi w:val="0"/>
        <w:spacing w:before="240" w:after="0"/>
        <w:jc w:val="both"/>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Restricted Payments</w:t>
      </w:r>
      <w:r>
        <w:rPr>
          <w:rFonts w:ascii="Times New Roman" w:hAnsi="Times New Roman"/>
          <w:sz w:val="20"/>
        </w:rPr>
        <w:t xml:space="preserve">. Make, directly or indirectly, any Restricted Payments other than (a) so long as no Default or Event of Default exists, at the option of the Issuers in accordance with </w:t>
      </w:r>
      <w:r>
        <w:rPr>
          <w:rFonts w:ascii="Times New Roman" w:hAnsi="Times New Roman"/>
          <w:sz w:val="20"/>
          <w:u w:val="single"/>
        </w:rPr>
        <w:t>Section 3.04(k)</w:t>
      </w:r>
      <w:r>
        <w:rPr>
          <w:rFonts w:ascii="Times New Roman" w:hAnsi="Times New Roman"/>
          <w:sz w:val="20"/>
        </w:rPr>
        <w:t xml:space="preserve"> or (b) with the prior written consent of the Agent (acting at the direction of the Requisite Purchasers in their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Collaboration Agreement and Co-Promotion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Amend, restate, amend and restate, reform, supplement, replace, extend, modify or change in any manner, or otherwise effect a waiver of (in each case, a “</w:t>
      </w:r>
      <w:r>
        <w:rPr>
          <w:rFonts w:ascii="Times New Roman" w:hAnsi="Times New Roman"/>
          <w:sz w:val="20"/>
          <w:u w:val="single"/>
        </w:rPr>
        <w:t>Material Modification</w:t>
      </w:r>
      <w:r>
        <w:rPr>
          <w:rFonts w:ascii="Times New Roman" w:hAnsi="Times New Roman"/>
          <w:sz w:val="20"/>
        </w:rPr>
        <w:t xml:space="preserve">”) the Collaboration Agreement or the Co-Promotion Agreement (or any provision thereof), or permit, consent or agree to any such Material Modification of the Collaboration Agreement or the Co-Promotion Agreement (or any provision thereof), without the prior written consent of the Agent (acting at the direction of the Requisite Purchasers in their sole and absolute discretion); </w:t>
      </w:r>
    </w:p>
    <w:p>
      <w:pPr>
        <w:pStyle w:val="TextBody"/>
        <w:bidi w:val="0"/>
        <w:spacing w:before="120" w:after="0"/>
        <w:jc w:val="both"/>
        <w:rPr>
          <w:rFonts w:ascii="Times New Roman" w:hAnsi="Times New Roman"/>
          <w:sz w:val="20"/>
        </w:rPr>
      </w:pPr>
      <w:r>
        <w:rPr>
          <w:rFonts w:ascii="Times New Roman" w:hAnsi="Times New Roman"/>
          <w:sz w:val="20"/>
        </w:rPr>
        <w:t xml:space="preserve">(b) (i) Forgive, waive, consent to or agree to reduce any payments (including Yupelri Adjusted Net Profit, Adjusted Operating Profit (Loss) and/or any component parts of Yupelri Adjusted Net Profit and/or Adjusted Operating Profit (Loss)) payable to the DST Issuer under the Collaboration Agreement or payable to any Note Party under the Co-Promotion Agreement, in each case, in a manner adverse to the interests of the Purchasers, (ii) waive, permit, consent to or otherwise agree to any action or omission by the Collaboration Partner under the Collaboration Agreement or Co-Promotion Agreement in a manner adverse to the interests of the Purchasers or (iii) approve, consent to, or otherwise agree to incur research and development expenses that would reduce the Operating Profit (Loss) by more than $1,000,000 per calendar year, measured quarterly on a trailing four Calendar Quarter basis, in each case, except to the extent that such research and development expenses are funded entirely by a Person that is not a Note Party or from cash contributions in respect of the Equity Interests to the Note Parties by a Person other than a Note Party in a transaction which does not constitute a Change of Control; </w:t>
      </w:r>
    </w:p>
    <w:p>
      <w:pPr>
        <w:pStyle w:val="TextBody"/>
        <w:bidi w:val="0"/>
        <w:spacing w:before="120" w:after="0"/>
        <w:jc w:val="both"/>
        <w:rPr>
          <w:rFonts w:ascii="Times New Roman" w:hAnsi="Times New Roman"/>
          <w:sz w:val="20"/>
        </w:rPr>
      </w:pPr>
      <w:r>
        <w:rPr>
          <w:rFonts w:ascii="Times New Roman" w:hAnsi="Times New Roman"/>
          <w:sz w:val="20"/>
        </w:rPr>
        <w:t xml:space="preserve">(c) Assign, delegate or otherwise transfer the Collaboration Agreement or the Co-Promotion Agreement (or any of the DST Issuer’s or any of the Note Party’s rights thereunder) or permit, consent or otherwise agree to any such assignment, delegation or other transfer of the Collaboration Agreement (or any of the DST Issuer’s or any of the Note Party’s rights thereunder), in each case without the prior written consent of the Agent (acting at the direction of the Requisite Purchasers); </w:t>
      </w:r>
      <w:r>
        <w:rPr>
          <w:rFonts w:ascii="Times New Roman" w:hAnsi="Times New Roman"/>
          <w:sz w:val="20"/>
          <w:u w:val="single"/>
        </w:rPr>
        <w:t>provided</w:t>
      </w:r>
      <w:r>
        <w:rPr>
          <w:rFonts w:ascii="Times New Roman" w:hAnsi="Times New Roman"/>
          <w:sz w:val="20"/>
        </w:rPr>
        <w:t xml:space="preserve">, that to the extent the Servicing Agreement constitutes an assignment of rights, delegation of duties or transfer of the DST Issuer’s or any other Note Party’s rights or duties under the Collaboration Agreement or Co-Promotion, (i) such delegation or transfer and (ii) any subsequent delegation or transfer following an Event of Default under </w:t>
      </w:r>
      <w:r>
        <w:rPr>
          <w:rFonts w:ascii="Times New Roman" w:hAnsi="Times New Roman"/>
          <w:sz w:val="20"/>
          <w:u w:val="single"/>
        </w:rPr>
        <w:t>Section 9.01(j)</w:t>
      </w:r>
      <w:r>
        <w:rPr>
          <w:rFonts w:ascii="Times New Roman" w:hAnsi="Times New Roman"/>
          <w:sz w:val="20"/>
        </w:rPr>
        <w:t xml:space="preserve">, in each case shall not constitute an independent breach of this </w:t>
      </w:r>
      <w:r>
        <w:rPr>
          <w:rFonts w:ascii="Times New Roman" w:hAnsi="Times New Roman"/>
          <w:sz w:val="20"/>
          <w:u w:val="single"/>
        </w:rPr>
        <w:t>Section 8.07(c)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License or sublicense any of the DST Issuer’s IP Rights or other Product Rights in the United States (other than licenses granted to the Collaboration Partner under the Collaboration Agreement as in effect on the Closing Date or as amended in compliance with </w:t>
      </w:r>
      <w:r>
        <w:rPr>
          <w:rFonts w:ascii="Times New Roman" w:hAnsi="Times New Roman"/>
          <w:sz w:val="20"/>
          <w:u w:val="single"/>
        </w:rPr>
        <w:t>Section 8.07(a</w:t>
      </w:r>
      <w:r>
        <w:rPr>
          <w:rFonts w:ascii="Times New Roman" w:hAnsi="Times New Roman"/>
          <w:sz w:val="20"/>
        </w:rPr>
        <w:t xml:space="preserve">), or a New Arrangement in compliance with </w:t>
      </w:r>
      <w:r>
        <w:rPr>
          <w:rFonts w:ascii="Times New Roman" w:hAnsi="Times New Roman"/>
          <w:sz w:val="20"/>
          <w:u w:val="single"/>
        </w:rPr>
        <w:t>Section 7.13(c))</w:t>
      </w:r>
      <w:r>
        <w:rPr>
          <w:rFonts w:ascii="Times New Roman" w:hAnsi="Times New Roman"/>
          <w:sz w:val="20"/>
        </w:rPr>
        <w:t xml:space="preserve"> or permit, consent or otherwise agree to any license or sublicense of the Collaboration Partner’s rights in the Licensed Product or Licensed Compound (or any of the DST Issuer’s or any of the Note Party’s rights therein) in the Territory for which such Note Party has a right to permit, consent, or otherwise agree to under the Collaboration Agreement, in each case, without the prior written consent of Agent (acting at the direction of the Requisite Purchasers); </w:t>
      </w:r>
      <w:r>
        <w:rPr>
          <w:rFonts w:ascii="Times New Roman" w:hAnsi="Times New Roman"/>
          <w:sz w:val="20"/>
          <w:u w:val="single"/>
        </w:rPr>
        <w:t>provided</w:t>
      </w:r>
      <w:r>
        <w:rPr>
          <w:rFonts w:ascii="Times New Roman" w:hAnsi="Times New Roman"/>
          <w:sz w:val="20"/>
        </w:rPr>
        <w:t xml:space="preserve">, that to the extent the Servicing Agreement constitutes a license of the DST Issuer’s rights in the Licensed Product or any such Licensed Compound, (x) such license and (y) any subsequent license following an Event of Default under </w:t>
      </w:r>
      <w:r>
        <w:rPr>
          <w:rFonts w:ascii="Times New Roman" w:hAnsi="Times New Roman"/>
          <w:sz w:val="20"/>
          <w:u w:val="single"/>
        </w:rPr>
        <w:t>Section 9.01(k)</w:t>
      </w:r>
      <w:r>
        <w:rPr>
          <w:rFonts w:ascii="Times New Roman" w:hAnsi="Times New Roman"/>
          <w:sz w:val="20"/>
        </w:rPr>
        <w:t xml:space="preserve">, in each case, shall not constitute an independent breach of this </w:t>
      </w:r>
      <w:r>
        <w:rPr>
          <w:rFonts w:ascii="Times New Roman" w:hAnsi="Times New Roman"/>
          <w:sz w:val="20"/>
          <w:u w:val="single"/>
        </w:rPr>
        <w:t>Section 8.07(e)</w:t>
      </w:r>
      <w:r>
        <w:rPr>
          <w:rFonts w:ascii="Times New Roman" w:hAnsi="Times New Roman"/>
          <w:sz w:val="20"/>
        </w:rPr>
        <w:t xml:space="preserve">; or </w:t>
      </w:r>
    </w:p>
    <w:p>
      <w:pPr>
        <w:pStyle w:val="TextBody"/>
        <w:bidi w:val="0"/>
        <w:spacing w:before="120" w:after="0"/>
        <w:jc w:val="both"/>
        <w:rPr>
          <w:rFonts w:ascii="Times New Roman" w:hAnsi="Times New Roman"/>
          <w:sz w:val="20"/>
        </w:rPr>
      </w:pPr>
      <w:r>
        <w:rPr>
          <w:rFonts w:ascii="Times New Roman" w:hAnsi="Times New Roman"/>
          <w:sz w:val="20"/>
        </w:rPr>
        <w:t xml:space="preserve">(f) opt out of any promotion duties under the Co-Promotion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Servicing Agreement; Covered Agreements; Contribution, Purchase and Sale Agreement; Payment Auditor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Enter into any Material Modification of the Servicing Agreement (or any provision thereof) (including any waiver of a Servicing Agreement Event of Default), or permit, consent or otherwise agree to any such Material Modification of the Servicing Agreement (or any provision thereof), in each case in a manner that is adverse to the interests of the Agent or the Purchasers,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(b) Enter into any Material Modification of any Covered Agreement (other than the Collaboration Agreement or the Co-Promotion Agreement, which is covered in </w:t>
      </w:r>
      <w:r>
        <w:rPr>
          <w:rFonts w:ascii="Times New Roman" w:hAnsi="Times New Roman"/>
          <w:sz w:val="20"/>
          <w:u w:val="single"/>
        </w:rPr>
        <w:t>Section 8.07</w:t>
      </w:r>
      <w:r>
        <w:rPr>
          <w:rFonts w:ascii="Times New Roman" w:hAnsi="Times New Roman"/>
          <w:sz w:val="20"/>
        </w:rPr>
        <w:t xml:space="preserve">, and the Servicing Agreement, which is covered in </w:t>
      </w:r>
      <w:r>
        <w:rPr>
          <w:rFonts w:ascii="Times New Roman" w:hAnsi="Times New Roman"/>
          <w:sz w:val="20"/>
          <w:u w:val="single"/>
        </w:rPr>
        <w:t>Section 8.08(a)</w:t>
      </w:r>
      <w:r>
        <w:rPr>
          <w:rFonts w:ascii="Times New Roman" w:hAnsi="Times New Roman"/>
          <w:sz w:val="20"/>
        </w:rPr>
        <w:t xml:space="preserve">) (or any provision thereof), or permit, consent to or otherwise agree to any Material Modification of any such Covered Agreement (or any provision thereof) without the prior written consent of the Agent (acting at the direction of the Requisite Purchasers), if such Material Modification is materially adverse to the interests of the Agent and the Purchasers (it being understood that, any Material Modification which is related to or affects (i) the timing, amount or duration of payments payable to a Note Party or (ii) any Note Party’s rights with respect to the Licensed Product or IP Rights in violation of </w:t>
      </w:r>
      <w:r>
        <w:rPr>
          <w:rFonts w:ascii="Times New Roman" w:hAnsi="Times New Roman"/>
          <w:sz w:val="20"/>
          <w:u w:val="single"/>
        </w:rPr>
        <w:t>Section 8.02</w:t>
      </w:r>
      <w:r>
        <w:rPr>
          <w:rFonts w:ascii="Times New Roman" w:hAnsi="Times New Roman"/>
          <w:sz w:val="20"/>
        </w:rPr>
        <w:t xml:space="preserve"> of this Agreement is deemed materially adverse to the interests of the Agent and the Purchasers); </w:t>
      </w:r>
    </w:p>
    <w:p>
      <w:pPr>
        <w:pStyle w:val="TextBody"/>
        <w:bidi w:val="0"/>
        <w:spacing w:before="120" w:after="0"/>
        <w:jc w:val="both"/>
        <w:rPr>
          <w:rFonts w:ascii="Times New Roman" w:hAnsi="Times New Roman"/>
          <w:sz w:val="20"/>
        </w:rPr>
      </w:pPr>
      <w:r>
        <w:rPr>
          <w:rFonts w:ascii="Times New Roman" w:hAnsi="Times New Roman"/>
          <w:sz w:val="20"/>
        </w:rPr>
        <w:t xml:space="preserve">(c) Enter into any Material Modification of the Payment Auditor Agreement or the Contribution, Purchase and Sale Agreement (or any provision thereof), or permit, consent or agree to any Material Modification of the Payment Auditor Agreement or the Contribution, Purchase and Sale Agreement (or any provision thereof)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(d) Assign, delegate or otherwise transfer the Servicing Agreement, any other Covered Agreement (other than the Collaboration Agreement or the Co-Promotion Agreement, which is covered in </w:t>
      </w:r>
      <w:r>
        <w:rPr>
          <w:rFonts w:ascii="Times New Roman" w:hAnsi="Times New Roman"/>
          <w:sz w:val="20"/>
          <w:u w:val="single"/>
        </w:rPr>
        <w:t>Section 8.07</w:t>
      </w:r>
      <w:r>
        <w:rPr>
          <w:rFonts w:ascii="Times New Roman" w:hAnsi="Times New Roman"/>
          <w:sz w:val="20"/>
        </w:rPr>
        <w:t xml:space="preserve">), the Contribution, Purchase and Sale Agreement or the Payment Auditor Agreement or, in each case, any Note Party’s rights thereunder or permit, consent or otherwise agree to any such assignment, delegation or other transfer of the Servicing Agreement, any other Covered Agreement (other than the Collaboration Agreement or Co-Promotion Agreement, which is covered in </w:t>
      </w:r>
      <w:r>
        <w:rPr>
          <w:rFonts w:ascii="Times New Roman" w:hAnsi="Times New Roman"/>
          <w:sz w:val="20"/>
          <w:u w:val="single"/>
        </w:rPr>
        <w:t>Section 8.07</w:t>
      </w:r>
      <w:r>
        <w:rPr>
          <w:rFonts w:ascii="Times New Roman" w:hAnsi="Times New Roman"/>
          <w:sz w:val="20"/>
        </w:rPr>
        <w:t xml:space="preserve">), the Contribution, Purchase and Sale Agreement or the Payment Auditor Agreement or, in each case, any Note Party’s rights thereunder, in each case, without the prior written consent of the Agent (acting at the direction of the Requisite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Except in connection with the replacement of the Servicer by a third party servicer acceptable to the Agent (acting at the direction of the Requisite Purchasers in their sole and absolute discretion) after an Event of Default under </w:t>
      </w:r>
      <w:r>
        <w:rPr>
          <w:rFonts w:ascii="Times New Roman" w:hAnsi="Times New Roman"/>
          <w:sz w:val="20"/>
          <w:u w:val="single"/>
        </w:rPr>
        <w:t>Section 9.01(k)</w:t>
      </w:r>
      <w:r>
        <w:rPr>
          <w:rFonts w:ascii="Times New Roman" w:hAnsi="Times New Roman"/>
          <w:sz w:val="20"/>
        </w:rPr>
        <w:t xml:space="preserve">, allow the Servicer to transfer, assign, subcontract or delegate any of its duties or functions under the Servicing Agreement to any Person, or otherwise engage any such Person to perform any such duties or functions for or on behalf of the Servicer or a Note Party, in each case other than in accordance with the Servicing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Amendments to Organizational Documents</w:t>
      </w:r>
      <w:r>
        <w:rPr>
          <w:rFonts w:ascii="Times New Roman" w:hAnsi="Times New Roman"/>
          <w:sz w:val="20"/>
        </w:rPr>
        <w:t xml:space="preserve">. Consent, permit or agree to any (a) Material Modification of the Organizational Documents (or any provision thereof) of the Issuers or (b) Material Modification of the Organizational Documents (or any provision thereof) of any Note Party (other than the Issuers) that would be adverse to the Purchasers, in each case, without the prior written consent of the Agent (acting at the direction of the Requisite Purchasers, in their sole and absolute discretion). </w:t>
      </w:r>
    </w:p>
    <w:p>
      <w:pPr>
        <w:pStyle w:val="TextBody"/>
        <w:bidi w:val="0"/>
        <w:spacing w:before="240" w:after="0"/>
        <w:jc w:val="both"/>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Accounts and Payment Instructions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Open any deposit account or securities account of the Issuers, RDIP or TABI other than the Collection Account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(b) Make any change in the instructions to the Collaboration Partner with respect to the direct deposit of all payments that are due and payable to the DST Issuer in respect of or derived from the Collaboration Agreement or the Co-Promotion Agreement to the Collection Account in accordance with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Investment Company Act</w:t>
      </w:r>
      <w:r>
        <w:rPr>
          <w:rFonts w:ascii="Times New Roman" w:hAnsi="Times New Roman"/>
          <w:sz w:val="20"/>
        </w:rPr>
        <w:t xml:space="preserve">. Become an investment company subject to registration under the Investment Company Act of 1940 or begin to rely solely on the exemption from the definition of “investment company” set forth in Section 3(c)(1) and/or Section 3(c)(7) of the Investment Company Act of 1940. </w:t>
      </w:r>
    </w:p>
    <w:p>
      <w:pPr>
        <w:pStyle w:val="TextBody"/>
        <w:bidi w:val="0"/>
        <w:spacing w:before="240" w:after="0"/>
        <w:jc w:val="both"/>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ERISA</w:t>
      </w:r>
      <w:r>
        <w:rPr>
          <w:rFonts w:ascii="Times New Roman" w:hAnsi="Times New Roman"/>
          <w:sz w:val="20"/>
        </w:rPr>
        <w:t xml:space="preserve">. The Note Parties and all trades or businesses (whether or not incorporated) under common control which, together with the Note Parties, are treated as a single employer under Section 414(b), (c), (m) or (o) of the Code shall not establish, maintain or contribute to any “benefit plan” that is covered by Section 412 or Section 430 of the Code or Section 303 or Title IV of ERISA, except as could not reasonably be expected to result (x) with respect to the Issuers and their Subsidiaries, a materially adverse effect on such Persons or their assets and (y) with respect to TBIL and TBUS, a Material Adverse Effect. The assets of the Note Parties shall not constitute the “plan assets” of any “benefit plan investor” each within the meaning of Section (3)(42) of ERISA. </w:t>
      </w:r>
    </w:p>
    <w:p>
      <w:pPr>
        <w:pStyle w:val="TextBody"/>
        <w:bidi w:val="0"/>
        <w:spacing w:before="240" w:after="0"/>
        <w:jc w:val="both"/>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Sanctions; Anti-Corruption; Use of Proceeds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None of the Transaction Parties or any of their Subsidiaries, or their respective agents, shall (i) conduct any business or engage in any transaction or dealing with any Sanctioned Person, including the making or receiving any contribution of funds, goods or services to or for the benefit of any Sanctioned Person, in violation of Sanctions; (ii) deal in, or otherwise engage in any transaction relating to, any property or interests in property blocked pursuant to any Sanctions in violation of Sanctions; or (iii) otherwise violate any applicable Sanctions, Anti-Corruption Laws, or Anti-Terrorism and AML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Issuers will not, directly or knowingly indirectly, use the proceeds of the Notes, or lend, contribute or otherwise make available such proceeds to any subsidiary, joint venture partner or other Person, (i) in furtherance of an offer, payment, promise to pay, or authorization of the payment or giving of money, or anything else of value, to any Person, in each case in violation of any applicable Anti-Corruption Law, or (ii)(A) for the purpose of funding any activities or business of or with any Sanctioned Person, or in any Designated Jurisdiction or (B) in any other manner that would result in a violation of Sanctions by any Party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Burdensome Agreements</w:t>
      </w:r>
      <w:r>
        <w:rPr>
          <w:rFonts w:ascii="Times New Roman" w:hAnsi="Times New Roman"/>
          <w:sz w:val="20"/>
        </w:rPr>
        <w:t xml:space="preserve">. Enter into any agreement or document or permit to exist any Contractual Obligation that limits the ability of (a) any Subsidiary to make dividends or other distributions to any Note Party or to otherwise transfer property to or invest in a Note Party, (b) any Subsidiary to transfer property to a Note Party, or to make Investments in or repay obligations owing to a Note Party or (c) the Note Parties to create, incur, assume or suffer to exist Liens on the Collateral in favor of the Agent pursuant to the Collateral Documents, except for: </w:t>
      </w:r>
    </w:p>
    <w:p>
      <w:pPr>
        <w:pStyle w:val="TextBody"/>
        <w:bidi w:val="0"/>
        <w:spacing w:before="120" w:after="0"/>
        <w:jc w:val="both"/>
        <w:rPr>
          <w:rFonts w:ascii="Times New Roman" w:hAnsi="Times New Roman"/>
          <w:sz w:val="20"/>
        </w:rPr>
      </w:pPr>
      <w:r>
        <w:rPr>
          <w:rFonts w:ascii="Times New Roman" w:hAnsi="Times New Roman"/>
          <w:sz w:val="20"/>
        </w:rPr>
        <w:t xml:space="preserve">(a) restrictions and limitations imposed by Laws or by the Note Documents; and </w:t>
      </w:r>
    </w:p>
    <w:p>
      <w:pPr>
        <w:pStyle w:val="TextBody"/>
        <w:bidi w:val="0"/>
        <w:spacing w:before="120" w:after="0"/>
        <w:jc w:val="both"/>
        <w:rPr>
          <w:rFonts w:ascii="Times New Roman" w:hAnsi="Times New Roman"/>
          <w:sz w:val="20"/>
        </w:rPr>
      </w:pPr>
      <w:r>
        <w:rPr>
          <w:rFonts w:ascii="Times New Roman" w:hAnsi="Times New Roman"/>
          <w:sz w:val="20"/>
        </w:rPr>
        <w:t xml:space="preserve">(b) limitations associated with Permitted Liens or any document or instrument governing any Permitted Lien, in each case, solely with respect to the property subject to such Permitted Lien; and </w:t>
      </w:r>
    </w:p>
    <w:p>
      <w:pPr>
        <w:pStyle w:val="TextBody"/>
        <w:bidi w:val="0"/>
        <w:spacing w:before="120" w:after="0"/>
        <w:jc w:val="both"/>
        <w:rPr>
          <w:rFonts w:ascii="Times New Roman" w:hAnsi="Times New Roman"/>
          <w:sz w:val="20"/>
        </w:rPr>
      </w:pPr>
      <w:r>
        <w:rPr>
          <w:rFonts w:ascii="Times New Roman" w:hAnsi="Times New Roman"/>
          <w:sz w:val="20"/>
        </w:rPr>
        <w:t xml:space="preserve">(c) customary provisions in leases, non-exclusive licenses granted in the ordinary course of business and the Covered Agreements that restrict the assignment thereof or restrict the assignment, pledge, transfer or sublease or sublicense of the property leased, licensed or otherwise the subject thereof; </w:t>
      </w:r>
    </w:p>
    <w:p>
      <w:pPr>
        <w:pStyle w:val="TextBody"/>
        <w:bidi w:val="0"/>
        <w:spacing w:before="240" w:after="0"/>
        <w:jc w:val="both"/>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Fundamental Change</w:t>
      </w:r>
      <w:r>
        <w:rPr>
          <w:rFonts w:ascii="Times New Roman" w:hAnsi="Times New Roman"/>
          <w:sz w:val="20"/>
        </w:rPr>
        <w:t xml:space="preserve">. Merge into or consolidate with any other Person, or permit any other Person to merge into or consolidate with it, or otherwise Dispose of all, substantially all or any substantial part of its assets, or all or substantially all of the stock of any of its Subsidiaries (in each case, whether now owned or hereafter acquired), or liquidate or dissolve. </w:t>
      </w:r>
    </w:p>
    <w:p>
      <w:pPr>
        <w:pStyle w:val="TextBody"/>
        <w:bidi w:val="0"/>
        <w:spacing w:before="240" w:after="0"/>
        <w:jc w:val="both"/>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Nature of Business</w:t>
      </w:r>
      <w:r>
        <w:rPr>
          <w:rFonts w:ascii="Times New Roman" w:hAnsi="Times New Roman"/>
          <w:sz w:val="20"/>
        </w:rPr>
        <w:t xml:space="preserve">. From and after the Closing Date, engage in any business other than (a) the businesses engaged in by such Note Party on the Closing Date and (b) such other lines of business as may be consented to from time to time by the Requisite Purchasers; </w:t>
      </w:r>
      <w:r>
        <w:rPr>
          <w:rFonts w:ascii="Times New Roman" w:hAnsi="Times New Roman"/>
          <w:sz w:val="20"/>
          <w:u w:val="single"/>
        </w:rPr>
        <w:t>provided</w:t>
      </w:r>
      <w:r>
        <w:rPr>
          <w:rFonts w:ascii="Times New Roman" w:hAnsi="Times New Roman"/>
          <w:sz w:val="20"/>
        </w:rPr>
        <w:t xml:space="preserve">, that none of the Issuers, RDIP or TABI shall have any employees or engage in any business or activity, own any assets or incur any liabilities other than, in the case of the Issuers, as permitted under </w:t>
      </w:r>
      <w:r>
        <w:rPr>
          <w:rFonts w:ascii="Times New Roman" w:hAnsi="Times New Roman"/>
          <w:sz w:val="20"/>
          <w:u w:val="single"/>
        </w:rPr>
        <w:t>Section 8.01</w:t>
      </w:r>
      <w:r>
        <w:rPr>
          <w:rFonts w:ascii="Times New Roman" w:hAnsi="Times New Roman"/>
          <w:sz w:val="20"/>
        </w:rPr>
        <w:t xml:space="preserve">, and, in the case of each of them, holding its assets, maintaining its legal existence, performing the Note Documents and the Covered Agreements to which it is a party, and other passive, administrative or intercompany activities not prohibited by this Agreement and reasonably incidental to the foregoing. </w:t>
      </w:r>
    </w:p>
    <w:p>
      <w:pPr>
        <w:pStyle w:val="TextBody"/>
        <w:bidi w:val="0"/>
        <w:spacing w:before="240" w:after="0"/>
        <w:jc w:val="both"/>
        <w:rPr>
          <w:rFonts w:ascii="Times New Roman" w:hAnsi="Times New Roman"/>
          <w:sz w:val="20"/>
        </w:rPr>
      </w:pPr>
      <w:r>
        <w:rPr>
          <w:rFonts w:ascii="Times New Roman" w:hAnsi="Times New Roman"/>
          <w:sz w:val="20"/>
        </w:rPr>
        <w:t xml:space="preserve">Section 8.17 </w:t>
      </w:r>
      <w:r>
        <w:rPr>
          <w:rFonts w:ascii="Times New Roman" w:hAnsi="Times New Roman"/>
          <w:sz w:val="20"/>
          <w:u w:val="single"/>
        </w:rPr>
        <w:t>Transactions with Affiliates</w:t>
      </w:r>
      <w:r>
        <w:rPr>
          <w:rFonts w:ascii="Times New Roman" w:hAnsi="Times New Roman"/>
          <w:sz w:val="20"/>
        </w:rPr>
        <w:t xml:space="preserve">. Enter into any transaction or series of related transactions or participate in any arrangement (including any purchase, sale, lease, license or exchange of assets or the rendering of any service) with any Affiliate, except for: </w:t>
      </w:r>
    </w:p>
    <w:p>
      <w:pPr>
        <w:pStyle w:val="TextBody"/>
        <w:bidi w:val="0"/>
        <w:spacing w:before="120" w:after="0"/>
        <w:jc w:val="both"/>
        <w:rPr>
          <w:rFonts w:ascii="Times New Roman" w:hAnsi="Times New Roman"/>
          <w:sz w:val="20"/>
        </w:rPr>
      </w:pPr>
      <w:r>
        <w:rPr>
          <w:rFonts w:ascii="Times New Roman" w:hAnsi="Times New Roman"/>
          <w:sz w:val="20"/>
        </w:rPr>
        <w:t xml:space="preserve">(a) any transaction existing on the Closing Date and set forth on </w:t>
      </w:r>
      <w:r>
        <w:rPr>
          <w:rFonts w:ascii="Times New Roman" w:hAnsi="Times New Roman"/>
          <w:sz w:val="20"/>
          <w:u w:val="single"/>
        </w:rPr>
        <w:t>Schedule 8.17</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transactions between or among the Note Parties that are not otherwise prohibited under the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(c) transactions permitted under </w:t>
      </w:r>
      <w:r>
        <w:rPr>
          <w:rFonts w:ascii="Times New Roman" w:hAnsi="Times New Roman"/>
          <w:sz w:val="20"/>
          <w:u w:val="single"/>
        </w:rPr>
        <w:t>Section 8.01</w:t>
      </w:r>
      <w:r>
        <w:rPr>
          <w:rFonts w:ascii="Times New Roman" w:hAnsi="Times New Roman"/>
          <w:sz w:val="20"/>
        </w:rPr>
        <w:t xml:space="preserve">, </w:t>
      </w:r>
      <w:r>
        <w:rPr>
          <w:rFonts w:ascii="Times New Roman" w:hAnsi="Times New Roman"/>
          <w:sz w:val="20"/>
          <w:u w:val="single"/>
        </w:rPr>
        <w:t>Section 8.02</w:t>
      </w:r>
      <w:r>
        <w:rPr>
          <w:rFonts w:ascii="Times New Roman" w:hAnsi="Times New Roman"/>
          <w:sz w:val="20"/>
        </w:rPr>
        <w:t xml:space="preserve">, </w:t>
      </w:r>
      <w:r>
        <w:rPr>
          <w:rFonts w:ascii="Times New Roman" w:hAnsi="Times New Roman"/>
          <w:sz w:val="20"/>
          <w:u w:val="single"/>
        </w:rPr>
        <w:t>Section 8.04</w:t>
      </w:r>
      <w:r>
        <w:rPr>
          <w:rFonts w:ascii="Times New Roman" w:hAnsi="Times New Roman"/>
          <w:sz w:val="20"/>
        </w:rPr>
        <w:t xml:space="preserve">, </w:t>
      </w:r>
      <w:r>
        <w:rPr>
          <w:rFonts w:ascii="Times New Roman" w:hAnsi="Times New Roman"/>
          <w:sz w:val="20"/>
          <w:u w:val="single"/>
        </w:rPr>
        <w:t xml:space="preserve">Section 8.05 </w:t>
      </w:r>
      <w:r>
        <w:rPr>
          <w:rFonts w:ascii="Times New Roman" w:hAnsi="Times New Roman"/>
          <w:sz w:val="20"/>
        </w:rPr>
        <w:t xml:space="preserve">or </w:t>
      </w:r>
      <w:r>
        <w:rPr>
          <w:rFonts w:ascii="Times New Roman" w:hAnsi="Times New Roman"/>
          <w:sz w:val="20"/>
          <w:u w:val="single"/>
        </w:rPr>
        <w:t>Section 8.06</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 transactions contemplated under the Covered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intercompany loans, advances and other Indebtedness between or among the Note Parties and their Affiliates to the extent expressly permitted under </w:t>
      </w:r>
      <w:r>
        <w:rPr>
          <w:rFonts w:ascii="Times New Roman" w:hAnsi="Times New Roman"/>
          <w:sz w:val="20"/>
          <w:u w:val="single"/>
        </w:rPr>
        <w:t>Section 8.03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(f) transfer pricing arrangements, cost-sharing agreements and other similar business arrangements entered into in the ordinary course of business on arms-length terms or as required by applicable Tax Law between TBUS, TBIL and/or of their Affiliates other than the Issuers, TABI and RDIP; and </w:t>
      </w:r>
    </w:p>
    <w:p>
      <w:pPr>
        <w:pStyle w:val="TextBody"/>
        <w:bidi w:val="0"/>
        <w:spacing w:before="120" w:after="0"/>
        <w:jc w:val="both"/>
        <w:rPr>
          <w:rFonts w:ascii="Times New Roman" w:hAnsi="Times New Roman"/>
          <w:sz w:val="20"/>
        </w:rPr>
      </w:pPr>
      <w:r>
        <w:rPr>
          <w:rFonts w:ascii="Times New Roman" w:hAnsi="Times New Roman"/>
          <w:sz w:val="20"/>
        </w:rPr>
        <w:t xml:space="preserve">(g) transactions consented to by the Agent acting at the direction of the Required Purchasers. </w:t>
      </w:r>
    </w:p>
    <w:p>
      <w:pPr>
        <w:pStyle w:val="TextBody"/>
        <w:bidi w:val="0"/>
        <w:spacing w:before="240" w:after="0"/>
        <w:jc w:val="both"/>
        <w:rPr>
          <w:rFonts w:ascii="Times New Roman" w:hAnsi="Times New Roman"/>
          <w:sz w:val="20"/>
        </w:rPr>
      </w:pPr>
      <w:r>
        <w:rPr>
          <w:rFonts w:ascii="Times New Roman" w:hAnsi="Times New Roman"/>
          <w:sz w:val="20"/>
        </w:rPr>
        <w:t xml:space="preserve">Section 8.18 </w:t>
      </w:r>
      <w:r>
        <w:rPr>
          <w:rFonts w:ascii="Times New Roman" w:hAnsi="Times New Roman"/>
          <w:sz w:val="20"/>
          <w:u w:val="single"/>
        </w:rPr>
        <w:t>Filing Information; Fiscal Year</w:t>
      </w:r>
      <w:r>
        <w:rPr>
          <w:rFonts w:ascii="Times New Roman" w:hAnsi="Times New Roman"/>
          <w:sz w:val="20"/>
        </w:rPr>
        <w:t xml:space="preserve">. No Note Party shall effect any change (i) in its legal name (or establish new or additional trade names), (ii) in the location of its chief executive office or the address where any portion of a Note Party’s books and records are maintained, (iii) in its corporate form, (iv) in its organizational identification number, if any, (v) in its jurisdiction of organization (in each case, including by merging with or into any other entity, reorganizing, dissolving, liquidating or organizing in any other jurisdiction) or (vi) in its fiscal year. </w:t>
      </w:r>
    </w:p>
    <w:p>
      <w:pPr>
        <w:pStyle w:val="TextBody"/>
        <w:bidi w:val="0"/>
        <w:spacing w:before="240" w:after="0"/>
        <w:jc w:val="both"/>
        <w:rPr>
          <w:rFonts w:ascii="Times New Roman" w:hAnsi="Times New Roman"/>
          <w:sz w:val="20"/>
        </w:rPr>
      </w:pPr>
      <w:r>
        <w:rPr>
          <w:rFonts w:ascii="Times New Roman" w:hAnsi="Times New Roman"/>
          <w:sz w:val="20"/>
        </w:rPr>
        <w:t xml:space="preserve">Section 8.19 </w:t>
      </w:r>
      <w:r>
        <w:rPr>
          <w:rFonts w:ascii="Times New Roman" w:hAnsi="Times New Roman"/>
          <w:sz w:val="20"/>
          <w:u w:val="single"/>
        </w:rPr>
        <w:t>Certain Tax Matters; Co-Promotion</w:t>
      </w:r>
      <w:r>
        <w:rPr>
          <w:rFonts w:ascii="Times New Roman" w:hAnsi="Times New Roman"/>
          <w:sz w:val="20"/>
        </w:rPr>
        <w:t xml:space="preserve">. No Note Party shall: </w:t>
      </w:r>
    </w:p>
    <w:p>
      <w:pPr>
        <w:pStyle w:val="TextBody"/>
        <w:bidi w:val="0"/>
        <w:spacing w:before="120" w:after="0"/>
        <w:jc w:val="both"/>
        <w:rPr>
          <w:rFonts w:ascii="Times New Roman" w:hAnsi="Times New Roman"/>
          <w:sz w:val="20"/>
        </w:rPr>
      </w:pPr>
      <w:r>
        <w:rPr>
          <w:rFonts w:ascii="Times New Roman" w:hAnsi="Times New Roman"/>
          <w:sz w:val="20"/>
        </w:rPr>
        <w:t xml:space="preserve">(a) make or permit any change to the tax status of a Note Party, that would restrict or otherwise adversely affect the use of any Irish losses or reliefs relating to any Note Party for Irish tax purposes, including, without limitation, no change in the nature or conduct of the trade carried on by TBIL as at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(b) make or permit any change in the ultimate ownership of any Note Party which would restrict or prevent it from relying upon the provisions of the Irish/U.S. Double Tax Treaty in order to enjoy full exemption from U.S. Tax with respect to any income, royalties or payments TBIL, the Issuers, any non-U.S. Note Party, RDIP or TABI may receive under the Covered Agreements following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(c) take any action, or omit to take any action, which would cause any exemption from withholding Tax (to the extent currently relied upon with respect to any payment under the Collaboration Agreement or the Co-Promotion Agreement) to cease to be available; </w:t>
      </w:r>
    </w:p>
    <w:p>
      <w:pPr>
        <w:pStyle w:val="TextBody"/>
        <w:bidi w:val="0"/>
        <w:spacing w:before="120" w:after="0"/>
        <w:jc w:val="both"/>
        <w:rPr>
          <w:rFonts w:ascii="Times New Roman" w:hAnsi="Times New Roman"/>
          <w:sz w:val="20"/>
        </w:rPr>
      </w:pPr>
      <w:r>
        <w:rPr>
          <w:rFonts w:ascii="Times New Roman" w:hAnsi="Times New Roman"/>
          <w:sz w:val="20"/>
        </w:rPr>
        <w:t xml:space="preserve">(d) take any action, or omit to take any action, which would cause any of the Issuers or TBIL to be treated as other than an entity disregarded as separate from TBPH (its regarded owner) for U.S. income Tax purposes; </w:t>
      </w:r>
    </w:p>
    <w:p>
      <w:pPr>
        <w:pStyle w:val="TextBody"/>
        <w:bidi w:val="0"/>
        <w:spacing w:before="120" w:after="0"/>
        <w:jc w:val="both"/>
        <w:rPr>
          <w:rFonts w:ascii="Times New Roman" w:hAnsi="Times New Roman"/>
          <w:sz w:val="20"/>
        </w:rPr>
      </w:pPr>
      <w:r>
        <w:rPr>
          <w:rFonts w:ascii="Times New Roman" w:hAnsi="Times New Roman"/>
          <w:sz w:val="20"/>
        </w:rPr>
        <w:t xml:space="preserve">(e) change the tax residency of TBIL for Irish tax purposes and/or allow it to become resident, or be treated under any applicable double taxation agreement as resident, in any other jurisdiction; or </w:t>
      </w:r>
    </w:p>
    <w:p>
      <w:pPr>
        <w:pStyle w:val="TextBody"/>
        <w:bidi w:val="0"/>
        <w:spacing w:before="120" w:after="0"/>
        <w:jc w:val="both"/>
        <w:rPr>
          <w:rFonts w:ascii="Times New Roman" w:hAnsi="Times New Roman"/>
          <w:sz w:val="20"/>
        </w:rPr>
      </w:pPr>
      <w:r>
        <w:rPr>
          <w:rFonts w:ascii="Times New Roman" w:hAnsi="Times New Roman"/>
          <w:sz w:val="20"/>
        </w:rPr>
        <w:t xml:space="preserve">(f) take any position, or take or omit to take any action which is inconsistent with: </w:t>
      </w:r>
    </w:p>
    <w:p>
      <w:pPr>
        <w:pStyle w:val="TextBody"/>
        <w:bidi w:val="0"/>
        <w:spacing w:before="120" w:after="0"/>
        <w:jc w:val="both"/>
        <w:rPr>
          <w:rFonts w:ascii="Times New Roman" w:hAnsi="Times New Roman"/>
          <w:sz w:val="20"/>
        </w:rPr>
      </w:pPr>
      <w:r>
        <w:rPr>
          <w:rFonts w:ascii="Times New Roman" w:hAnsi="Times New Roman"/>
          <w:sz w:val="20"/>
        </w:rPr>
        <w:t xml:space="preserve">(i) the treatment of the DST Issuer as fiscally transparent for Irish tax purposes; </w:t>
      </w:r>
    </w:p>
    <w:p>
      <w:pPr>
        <w:pStyle w:val="TextBody"/>
        <w:bidi w:val="0"/>
        <w:spacing w:before="120" w:after="0"/>
        <w:jc w:val="both"/>
        <w:rPr>
          <w:rFonts w:ascii="Times New Roman" w:hAnsi="Times New Roman"/>
          <w:sz w:val="20"/>
        </w:rPr>
      </w:pPr>
      <w:r>
        <w:rPr>
          <w:rFonts w:ascii="Times New Roman" w:hAnsi="Times New Roman"/>
          <w:sz w:val="20"/>
        </w:rPr>
        <w:t xml:space="preserve">(ii) TBIL being treated for Irish tax purposes as continuing to own the Transferred Assets and the related income streams;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the transfer of the Transferred Assets not constituting a disposal by TBIL for Irish tax purposes, </w:t>
      </w:r>
    </w:p>
    <w:p>
      <w:pPr>
        <w:pStyle w:val="TextBody"/>
        <w:bidi w:val="0"/>
        <w:spacing w:before="120" w:after="0"/>
        <w:jc w:val="both"/>
        <w:rPr>
          <w:rFonts w:ascii="Times New Roman" w:hAnsi="Times New Roman"/>
          <w:sz w:val="20"/>
        </w:rPr>
      </w:pPr>
      <w:r>
        <w:rPr>
          <w:rFonts w:ascii="Times New Roman" w:hAnsi="Times New Roman"/>
          <w:sz w:val="20"/>
        </w:rPr>
        <w:t xml:space="preserve">unless required by applicable Law, in which case the relevant Note Party shall promptly notify and consult with the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both"/>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Events of Default</w:t>
      </w:r>
      <w:r>
        <w:rPr>
          <w:rFonts w:ascii="Times New Roman" w:hAnsi="Times New Roman"/>
          <w:sz w:val="20"/>
        </w:rPr>
        <w:t xml:space="preserve">. If one or more of the following conditions or events occurs: </w:t>
      </w:r>
    </w:p>
    <w:p>
      <w:pPr>
        <w:pStyle w:val="TextBody"/>
        <w:bidi w:val="0"/>
        <w:spacing w:before="120" w:after="0"/>
        <w:jc w:val="both"/>
        <w:rPr>
          <w:rFonts w:ascii="Times New Roman" w:hAnsi="Times New Roman"/>
          <w:sz w:val="20"/>
        </w:rPr>
      </w:pPr>
      <w:r>
        <w:rPr>
          <w:rFonts w:ascii="Times New Roman" w:hAnsi="Times New Roman"/>
          <w:sz w:val="20"/>
        </w:rPr>
        <w:t xml:space="preserve">(a) Failure of any Note Party to make any payment of (i) principal or interest on the Notes due on any Payment Date in full, but only to the extent of the amount available (or that should have been available in accordance with (x) the terms of the Covered Agreements absent any default or event of default thereunder by a Note Party or any of its Affiliates or (y) the Note Documents) in the Collection Account as of such Payment Date or (ii) any other amount when due under the Note Documents and such failure continues for five (5) Business Days;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 xml:space="preserve">that the due date of any such amount referred to in this </w:t>
      </w:r>
      <w:r>
        <w:rPr>
          <w:rFonts w:ascii="Times New Roman" w:hAnsi="Times New Roman"/>
          <w:sz w:val="20"/>
          <w:u w:val="single"/>
        </w:rPr>
        <w:t>clause (ii)</w:t>
      </w:r>
      <w:r>
        <w:rPr>
          <w:rFonts w:ascii="Times New Roman" w:hAnsi="Times New Roman"/>
          <w:sz w:val="20"/>
        </w:rPr>
        <w:t xml:space="preserve">, other than (A) amounts due under </w:t>
      </w:r>
      <w:r>
        <w:rPr>
          <w:rFonts w:ascii="Times New Roman" w:hAnsi="Times New Roman"/>
          <w:sz w:val="20"/>
          <w:u w:val="single"/>
        </w:rPr>
        <w:t>Section 3.04(a)</w:t>
      </w:r>
      <w:r>
        <w:rPr>
          <w:rFonts w:ascii="Times New Roman" w:hAnsi="Times New Roman"/>
          <w:sz w:val="20"/>
        </w:rPr>
        <w:t xml:space="preserve"> or </w:t>
      </w:r>
      <w:r>
        <w:rPr>
          <w:rFonts w:ascii="Times New Roman" w:hAnsi="Times New Roman"/>
          <w:sz w:val="20"/>
          <w:u w:val="single"/>
        </w:rPr>
        <w:t>Section 3.04(b)</w:t>
      </w:r>
      <w:r>
        <w:rPr>
          <w:rFonts w:ascii="Times New Roman" w:hAnsi="Times New Roman"/>
          <w:sz w:val="20"/>
        </w:rPr>
        <w:t xml:space="preserve">, </w:t>
      </w:r>
      <w:r>
        <w:rPr>
          <w:rFonts w:ascii="Times New Roman" w:hAnsi="Times New Roman"/>
          <w:sz w:val="20"/>
          <w:u w:val="single"/>
        </w:rPr>
        <w:t>Section 3.04(c)</w:t>
      </w:r>
      <w:r>
        <w:rPr>
          <w:rFonts w:ascii="Times New Roman" w:hAnsi="Times New Roman"/>
          <w:sz w:val="20"/>
        </w:rPr>
        <w:t xml:space="preserve">, </w:t>
      </w:r>
      <w:r>
        <w:rPr>
          <w:rFonts w:ascii="Times New Roman" w:hAnsi="Times New Roman"/>
          <w:sz w:val="20"/>
          <w:u w:val="single"/>
        </w:rPr>
        <w:t>Section 3.04(f)</w:t>
      </w:r>
      <w:r>
        <w:rPr>
          <w:rFonts w:ascii="Times New Roman" w:hAnsi="Times New Roman"/>
          <w:sz w:val="20"/>
        </w:rPr>
        <w:t xml:space="preserve"> or</w:t>
      </w:r>
      <w:r>
        <w:rPr>
          <w:rFonts w:ascii="Times New Roman" w:hAnsi="Times New Roman"/>
          <w:sz w:val="20"/>
          <w:u w:val="single"/>
        </w:rPr>
        <w:t xml:space="preserve"> Section 3.04(h)</w:t>
      </w:r>
      <w:r>
        <w:rPr>
          <w:rFonts w:ascii="Times New Roman" w:hAnsi="Times New Roman"/>
          <w:sz w:val="20"/>
        </w:rPr>
        <w:t xml:space="preserve"> (in the case of </w:t>
      </w:r>
      <w:r>
        <w:rPr>
          <w:rFonts w:ascii="Times New Roman" w:hAnsi="Times New Roman"/>
          <w:sz w:val="20"/>
          <w:u w:val="single"/>
        </w:rPr>
        <w:t>Section 3.04(f)</w:t>
      </w:r>
      <w:r>
        <w:rPr>
          <w:rFonts w:ascii="Times New Roman" w:hAnsi="Times New Roman"/>
          <w:sz w:val="20"/>
        </w:rPr>
        <w:t xml:space="preserve"> and</w:t>
      </w:r>
      <w:r>
        <w:rPr>
          <w:rFonts w:ascii="Times New Roman" w:hAnsi="Times New Roman"/>
          <w:sz w:val="20"/>
          <w:u w:val="single"/>
        </w:rPr>
        <w:t xml:space="preserve"> Section 3.04(h)</w:t>
      </w:r>
      <w:r>
        <w:rPr>
          <w:rFonts w:ascii="Times New Roman" w:hAnsi="Times New Roman"/>
          <w:sz w:val="20"/>
        </w:rPr>
        <w:t xml:space="preserve">, to the extent comprised of amounts due under Section 4.01(a) in respect of interest distributed under such Section) and (B) any amount payable by any Bad Acts Guarantor under the Bad Acts Guaranty or Guarantor Pursuant to the Guaranty and Security Agreement, shall be extended until the earlier of (a) the date that there is a sufficient amount available in the Collection Account to pay such amount pursuant to the priority of payments in </w:t>
      </w:r>
      <w:r>
        <w:rPr>
          <w:rFonts w:ascii="Times New Roman" w:hAnsi="Times New Roman"/>
          <w:sz w:val="20"/>
          <w:u w:val="single"/>
        </w:rPr>
        <w:t>Section 3.04</w:t>
      </w:r>
      <w:r>
        <w:rPr>
          <w:rFonts w:ascii="Times New Roman" w:hAnsi="Times New Roman"/>
          <w:sz w:val="20"/>
        </w:rPr>
        <w:t xml:space="preserve"> and (b) the Maturity Date or (iii) the aggregate Principal Amount of the Notes, together with all other accrued and unpaid Obligations (including Yield Maintenance Premium, if any), on the Maturity Date. </w:t>
      </w:r>
    </w:p>
    <w:p>
      <w:pPr>
        <w:pStyle w:val="TextBody"/>
        <w:bidi w:val="0"/>
        <w:spacing w:before="120" w:after="0"/>
        <w:jc w:val="both"/>
        <w:rPr>
          <w:rFonts w:ascii="Times New Roman" w:hAnsi="Times New Roman"/>
          <w:sz w:val="20"/>
        </w:rPr>
      </w:pPr>
      <w:r>
        <w:rPr>
          <w:rFonts w:ascii="Times New Roman" w:hAnsi="Times New Roman"/>
          <w:sz w:val="20"/>
        </w:rPr>
        <w:t xml:space="preserve">(b) Any representation or warranty of a Transaction Party in any Transaction Document to which it is party or in any certificate, financial statement or other document delivered by a Transaction Party pursuant to the Transaction Documents to the Agent or any Purchaser proves to have been incorrect in any material respect at the time it was made or deemed made (except that any representation or warranty that is qualified as to “materiality”, or by reference to an objective standard (e.g., a specified dollar amount), shall be true and correct in all respects) and, to the extent capable of being cured, such incorrectness is not corrected or clarified within thirty (30) days after the date on which written notice thereof shall have been given to the Issuers by the Agent. </w:t>
      </w:r>
    </w:p>
    <w:p>
      <w:pPr>
        <w:pStyle w:val="TextBody"/>
        <w:bidi w:val="0"/>
        <w:spacing w:before="120" w:after="0"/>
        <w:jc w:val="both"/>
        <w:rPr>
          <w:rFonts w:ascii="Times New Roman" w:hAnsi="Times New Roman"/>
          <w:sz w:val="20"/>
        </w:rPr>
      </w:pPr>
      <w:r>
        <w:rPr>
          <w:rFonts w:ascii="Times New Roman" w:hAnsi="Times New Roman"/>
          <w:sz w:val="20"/>
        </w:rPr>
        <w:t xml:space="preserve">(c) Any Note Party fails to perform or observe any covenant or agreement contained in (i) </w:t>
      </w:r>
      <w:r>
        <w:rPr>
          <w:rFonts w:ascii="Times New Roman" w:hAnsi="Times New Roman"/>
          <w:sz w:val="20"/>
          <w:u w:val="single"/>
        </w:rPr>
        <w:t>Section 7.01</w:t>
      </w:r>
      <w:r>
        <w:rPr>
          <w:rFonts w:ascii="Times New Roman" w:hAnsi="Times New Roman"/>
          <w:sz w:val="20"/>
        </w:rPr>
        <w:t xml:space="preserve">, </w:t>
      </w:r>
      <w:r>
        <w:rPr>
          <w:rFonts w:ascii="Times New Roman" w:hAnsi="Times New Roman"/>
          <w:sz w:val="20"/>
          <w:u w:val="single"/>
        </w:rPr>
        <w:t>Section 7.02(a)</w:t>
      </w:r>
      <w:r>
        <w:rPr>
          <w:rFonts w:ascii="Times New Roman" w:hAnsi="Times New Roman"/>
          <w:sz w:val="20"/>
        </w:rPr>
        <w:t xml:space="preserve"> (other than </w:t>
      </w:r>
      <w:r>
        <w:rPr>
          <w:rFonts w:ascii="Times New Roman" w:hAnsi="Times New Roman"/>
          <w:sz w:val="20"/>
          <w:u w:val="single"/>
        </w:rPr>
        <w:t>clause (a)(i)</w:t>
      </w:r>
      <w:r>
        <w:rPr>
          <w:rFonts w:ascii="Times New Roman" w:hAnsi="Times New Roman"/>
          <w:sz w:val="20"/>
        </w:rPr>
        <w:t xml:space="preserve"> thereof), </w:t>
      </w:r>
      <w:r>
        <w:rPr>
          <w:rFonts w:ascii="Times New Roman" w:hAnsi="Times New Roman"/>
          <w:sz w:val="20"/>
          <w:u w:val="single"/>
        </w:rPr>
        <w:t>Section 7.04</w:t>
      </w:r>
      <w:r>
        <w:rPr>
          <w:rFonts w:ascii="Times New Roman" w:hAnsi="Times New Roman"/>
          <w:sz w:val="20"/>
        </w:rPr>
        <w:t xml:space="preserve">, </w:t>
      </w:r>
      <w:r>
        <w:rPr>
          <w:rFonts w:ascii="Times New Roman" w:hAnsi="Times New Roman"/>
          <w:sz w:val="20"/>
          <w:u w:val="single"/>
        </w:rPr>
        <w:t>Section 7.05(c), Section 7.05(d)</w:t>
      </w:r>
      <w:r>
        <w:rPr>
          <w:rFonts w:ascii="Times New Roman" w:hAnsi="Times New Roman"/>
          <w:sz w:val="20"/>
        </w:rPr>
        <w:t xml:space="preserve">, </w:t>
      </w:r>
      <w:r>
        <w:rPr>
          <w:rFonts w:ascii="Times New Roman" w:hAnsi="Times New Roman"/>
          <w:sz w:val="20"/>
          <w:u w:val="single"/>
        </w:rPr>
        <w:t>Section 7.07,</w:t>
      </w:r>
      <w:r>
        <w:rPr>
          <w:rFonts w:ascii="Times New Roman" w:hAnsi="Times New Roman"/>
          <w:sz w:val="20"/>
        </w:rPr>
        <w:t xml:space="preserve"> </w:t>
      </w:r>
      <w:r>
        <w:rPr>
          <w:rFonts w:ascii="Times New Roman" w:hAnsi="Times New Roman"/>
          <w:sz w:val="20"/>
          <w:u w:val="single"/>
        </w:rPr>
        <w:t>Section 7.10</w:t>
      </w:r>
      <w:r>
        <w:rPr>
          <w:rFonts w:ascii="Times New Roman" w:hAnsi="Times New Roman"/>
          <w:sz w:val="20"/>
        </w:rPr>
        <w:t xml:space="preserve"> (other than </w:t>
      </w:r>
      <w:r>
        <w:rPr>
          <w:rFonts w:ascii="Times New Roman" w:hAnsi="Times New Roman"/>
          <w:sz w:val="20"/>
          <w:u w:val="single"/>
        </w:rPr>
        <w:t>clause (a)</w:t>
      </w:r>
      <w:r>
        <w:rPr>
          <w:rFonts w:ascii="Times New Roman" w:hAnsi="Times New Roman"/>
          <w:sz w:val="20"/>
        </w:rPr>
        <w:t xml:space="preserve"> thereof) or </w:t>
      </w:r>
      <w:r>
        <w:rPr>
          <w:rFonts w:ascii="Times New Roman" w:hAnsi="Times New Roman"/>
          <w:sz w:val="20"/>
          <w:u w:val="single"/>
        </w:rPr>
        <w:t>Section 7.18</w:t>
      </w:r>
      <w:r>
        <w:rPr>
          <w:rFonts w:ascii="Times New Roman" w:hAnsi="Times New Roman"/>
          <w:sz w:val="20"/>
        </w:rPr>
        <w:t xml:space="preserve"> and such failure is not remedied within five (5) Business Days of the earlier of (A) a Senior Officer of a Note Party obtaining Knowledge thereof or (B) notice thereof from the Agent or (ii)</w:t>
      </w:r>
      <w:r>
        <w:rPr>
          <w:rFonts w:ascii="Times New Roman" w:hAnsi="Times New Roman"/>
          <w:sz w:val="20"/>
          <w:u w:val="single"/>
        </w:rPr>
        <w:t> Section 3.03</w:t>
      </w:r>
      <w:r>
        <w:rPr>
          <w:rFonts w:ascii="Times New Roman" w:hAnsi="Times New Roman"/>
          <w:sz w:val="20"/>
        </w:rPr>
        <w:t xml:space="preserve">, </w:t>
      </w:r>
      <w:r>
        <w:rPr>
          <w:rFonts w:ascii="Times New Roman" w:hAnsi="Times New Roman"/>
          <w:sz w:val="20"/>
          <w:u w:val="single"/>
        </w:rPr>
        <w:t>Section 7.02(a)(i)</w:t>
      </w:r>
      <w:r>
        <w:rPr>
          <w:rFonts w:ascii="Times New Roman" w:hAnsi="Times New Roman"/>
          <w:sz w:val="20"/>
        </w:rPr>
        <w:t xml:space="preserve">, </w:t>
      </w:r>
      <w:r>
        <w:rPr>
          <w:rFonts w:ascii="Times New Roman" w:hAnsi="Times New Roman"/>
          <w:sz w:val="20"/>
          <w:u w:val="single"/>
        </w:rPr>
        <w:t>Section 7.03</w:t>
      </w:r>
      <w:r>
        <w:rPr>
          <w:rFonts w:ascii="Times New Roman" w:hAnsi="Times New Roman"/>
          <w:sz w:val="20"/>
        </w:rPr>
        <w:t xml:space="preserve"> (with respect to the existence of the Issuers only), </w:t>
      </w:r>
      <w:r>
        <w:rPr>
          <w:rFonts w:ascii="Times New Roman" w:hAnsi="Times New Roman"/>
          <w:sz w:val="20"/>
          <w:u w:val="single"/>
        </w:rPr>
        <w:t>Section 7.06</w:t>
      </w:r>
      <w:r>
        <w:rPr>
          <w:rFonts w:ascii="Times New Roman" w:hAnsi="Times New Roman"/>
          <w:sz w:val="20"/>
        </w:rPr>
        <w:t xml:space="preserve">, </w:t>
      </w:r>
      <w:r>
        <w:rPr>
          <w:rFonts w:ascii="Times New Roman" w:hAnsi="Times New Roman"/>
          <w:sz w:val="20"/>
          <w:u w:val="single"/>
        </w:rPr>
        <w:t>Section 7.10(a)</w:t>
      </w:r>
      <w:r>
        <w:rPr>
          <w:rFonts w:ascii="Times New Roman" w:hAnsi="Times New Roman"/>
          <w:sz w:val="20"/>
        </w:rPr>
        <w:t xml:space="preserve">, </w:t>
      </w:r>
      <w:r>
        <w:rPr>
          <w:rFonts w:ascii="Times New Roman" w:hAnsi="Times New Roman"/>
          <w:sz w:val="20"/>
          <w:u w:val="single"/>
        </w:rPr>
        <w:t>Section 7.10(b)</w:t>
      </w:r>
      <w:r>
        <w:rPr>
          <w:rFonts w:ascii="Times New Roman" w:hAnsi="Times New Roman"/>
          <w:sz w:val="20"/>
        </w:rPr>
        <w:t xml:space="preserve">, </w:t>
      </w:r>
      <w:r>
        <w:rPr>
          <w:rFonts w:ascii="Times New Roman" w:hAnsi="Times New Roman"/>
          <w:sz w:val="20"/>
          <w:u w:val="single"/>
        </w:rPr>
        <w:t>Section 7.11(a)</w:t>
      </w:r>
      <w:r>
        <w:rPr>
          <w:rFonts w:ascii="Times New Roman" w:hAnsi="Times New Roman"/>
          <w:sz w:val="20"/>
        </w:rPr>
        <w:t xml:space="preserve">, </w:t>
      </w:r>
      <w:r>
        <w:rPr>
          <w:rFonts w:ascii="Times New Roman" w:hAnsi="Times New Roman"/>
          <w:sz w:val="20"/>
          <w:u w:val="single"/>
        </w:rPr>
        <w:t>Section 7.11(b)</w:t>
      </w:r>
      <w:r>
        <w:rPr>
          <w:rFonts w:ascii="Times New Roman" w:hAnsi="Times New Roman"/>
          <w:sz w:val="20"/>
        </w:rPr>
        <w:t xml:space="preserve">, </w:t>
      </w:r>
      <w:r>
        <w:rPr>
          <w:rFonts w:ascii="Times New Roman" w:hAnsi="Times New Roman"/>
          <w:sz w:val="20"/>
          <w:u w:val="single"/>
        </w:rPr>
        <w:t>Section 7.11(c)</w:t>
      </w:r>
      <w:r>
        <w:rPr>
          <w:rFonts w:ascii="Times New Roman" w:hAnsi="Times New Roman"/>
          <w:sz w:val="20"/>
        </w:rPr>
        <w:t xml:space="preserve">, </w:t>
      </w:r>
      <w:r>
        <w:rPr>
          <w:rFonts w:ascii="Times New Roman" w:hAnsi="Times New Roman"/>
          <w:sz w:val="20"/>
          <w:u w:val="single"/>
        </w:rPr>
        <w:t>Section 7.11(d)</w:t>
      </w:r>
      <w:r>
        <w:rPr>
          <w:rFonts w:ascii="Times New Roman" w:hAnsi="Times New Roman"/>
          <w:sz w:val="20"/>
        </w:rPr>
        <w:t xml:space="preserve">, or </w:t>
      </w:r>
      <w:r>
        <w:rPr>
          <w:rFonts w:ascii="Times New Roman" w:hAnsi="Times New Roman"/>
          <w:sz w:val="20"/>
          <w:u w:val="single"/>
        </w:rPr>
        <w:t>Article VIII</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 Any Transaction Party fails to perform or observe any covenant or agreement contained in the Transaction Documents to which it is a party (other than those referred to in </w:t>
      </w:r>
      <w:r>
        <w:rPr>
          <w:rFonts w:ascii="Times New Roman" w:hAnsi="Times New Roman"/>
          <w:sz w:val="20"/>
          <w:u w:val="single"/>
        </w:rPr>
        <w:t>Section 9.01(c)</w:t>
      </w:r>
      <w:r>
        <w:rPr>
          <w:rFonts w:ascii="Times New Roman" w:hAnsi="Times New Roman"/>
          <w:sz w:val="20"/>
        </w:rPr>
        <w:t xml:space="preserve">) and such failure is not remedied within thirty (30) days of the earlier of (A) a Senior Officer of any Transaction Party obtaining Knowledge thereof or (B) notice thereof from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A Change of Control shall occur without the prior written consent of the Agent (acting at the direction of the Requisite Purchasers, in their sole and absolute discretion). </w:t>
      </w:r>
    </w:p>
    <w:p>
      <w:pPr>
        <w:pStyle w:val="TextBody"/>
        <w:bidi w:val="0"/>
        <w:spacing w:before="120" w:after="0"/>
        <w:jc w:val="both"/>
        <w:rPr>
          <w:rFonts w:ascii="Times New Roman" w:hAnsi="Times New Roman"/>
          <w:sz w:val="20"/>
        </w:rPr>
      </w:pPr>
      <w:r>
        <w:rPr>
          <w:rFonts w:ascii="Times New Roman" w:hAnsi="Times New Roman"/>
          <w:sz w:val="20"/>
        </w:rPr>
        <w:t xml:space="preserve">(f) Any money judgment, writ or warrant of attachment or similar process involving an amount individually or in the aggregate in excess of (x) with respect to the Issuers and their Subsidiaries, $500,000 and (y) with respect to any other Note Party or their respective Subsidiaries (other than any Excluded Product Subsidiary or the Issuers and their Subsidiaries), $1,000,000 (in each case, to the extent not adequately covered by insurance as to which a solvent and unaffiliated insurance company has acknowledged coverage) shall be entered or filed against such Person or its assets and shall remain undischarged, unvacated, unbonded or unstayed for a period of forty-five (45) days of entry or filing thereof; </w:t>
      </w:r>
      <w:r>
        <w:rPr>
          <w:rFonts w:ascii="Times New Roman" w:hAnsi="Times New Roman"/>
          <w:sz w:val="20"/>
          <w:u w:val="single"/>
        </w:rPr>
        <w:t>provided</w:t>
      </w:r>
      <w:r>
        <w:rPr>
          <w:rFonts w:ascii="Times New Roman" w:hAnsi="Times New Roman"/>
          <w:sz w:val="20"/>
        </w:rPr>
        <w:t xml:space="preserve">, that if a Note Party files an answer admitting the material allegations of a petition filed against it in any such proceeding prior to such date, such grace period will cease to apply. </w:t>
      </w:r>
    </w:p>
    <w:p>
      <w:pPr>
        <w:pStyle w:val="TextBody"/>
        <w:bidi w:val="0"/>
        <w:spacing w:before="120" w:after="0"/>
        <w:jc w:val="both"/>
        <w:rPr>
          <w:rFonts w:ascii="Times New Roman" w:hAnsi="Times New Roman"/>
          <w:sz w:val="20"/>
        </w:rPr>
      </w:pPr>
      <w:r>
        <w:rPr>
          <w:rFonts w:ascii="Times New Roman" w:hAnsi="Times New Roman"/>
          <w:sz w:val="20"/>
        </w:rPr>
        <w:t xml:space="preserve">(g) A Bankruptcy Event shall occur in respect of any Bad Acts Guarantor or any Note Party or any of their Subsidiaries (other than an Excluded Product Subsidiary). </w:t>
      </w:r>
    </w:p>
    <w:p>
      <w:pPr>
        <w:pStyle w:val="TextBody"/>
        <w:bidi w:val="0"/>
        <w:spacing w:before="120" w:after="0"/>
        <w:jc w:val="both"/>
        <w:rPr>
          <w:rFonts w:ascii="Times New Roman" w:hAnsi="Times New Roman"/>
          <w:sz w:val="20"/>
        </w:rPr>
      </w:pPr>
      <w:r>
        <w:rPr>
          <w:rFonts w:ascii="Times New Roman" w:hAnsi="Times New Roman"/>
          <w:sz w:val="20"/>
        </w:rPr>
        <w:t xml:space="preserve">(h) (i) Any of the Transaction Documents shall cease to be in full force and effect (other than pursuant to its terms), (ii) the validity or enforceability of any Transaction Document is disaffirmed or challenged in writing by any Transaction Party or any of their Affiliates or by any other Person (other than the Agent or any Secured Party) asserting an interest in any substantial portion of the Collateral and such written disaffirmation or challenge is not withdrawn or disavowed by such Person within thirty (30) days after its communication or a Transaction Party has not brought appropriate proceedings for declaratory or other relief negating such disaffirmation or challenge within thirty (30) days after such communication and has not obtained an order granting such relief within one hundred and twenty (120) days after commencement of such proceedings or (iii) this Agreement or any Transaction Document shall cease to give the Agent or any other Secured Party a first priority perfected and enforceable Lien on the assets of the Note Parties that constitute Collateral (except as otherwise expressly provided herein and in the other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(i) A moratorium shall be agreed or declared in respect of any Indebtedness of the Note Parties, or any restriction or requirement not in effect on the Closing Date shall be imposed, whether by legislative enactment, decree, regulation, order or otherwise, which limits the availability or the transfer by the Note Parties for the purpose of performing any payment obligation under any Note Document to which it is a party and such moratorium, restriction, or requirement, has a material adverse effect on the ability of the relevant Note Party to pay the Obligations under the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(j) The Collaboration Agreement or the Co-Promotion Agreement is terminated, cancelled or rescinded in whole or with respect to the United States, in each case prior to the Scheduled Maturity Date, or written notice of termination in whole or with respect to the United States of the Collaboration Agreement or the Co-Promotion Agreement is delivered and is not revoked, rescinded or otherwise withdrawn or cured within thirty (30) days after delivery of such notice (or a shorter time period permitted under the Collaboration Agreement or the Co-Promotion Agreement to cure a breach), or any other event or circumstance occurs that causes the termination, cancellation or rescission of (i) the Collaboration Agreement as a whole or with respect to the United States, (ii) the Co-Promotion Agreement as a whole or with respect to the United States, or (iii) the DST Issuer’s rights to receive payments (including Yupelri Adjusted Net Profit, Adjusted Operating Profit (Loss) and/or any component parts of Yupelri Adjusted Net Profit and/or Adjusted Operating Profit (Loss)) payable to the DST Issuer under the Collaboration Agreement or Co-Promotion Agreement, in each case, other than (x) to the extent a New Arrangement is entered into and consented to by the Agent (acting at the direction of the Requisite Purchasers in their sole discretion) and otherwise in accordance with </w:t>
      </w:r>
      <w:r>
        <w:rPr>
          <w:rFonts w:ascii="Times New Roman" w:hAnsi="Times New Roman"/>
          <w:sz w:val="20"/>
          <w:u w:val="single"/>
        </w:rPr>
        <w:t>Section 7.13(c)</w:t>
      </w:r>
      <w:r>
        <w:rPr>
          <w:rFonts w:ascii="Times New Roman" w:hAnsi="Times New Roman"/>
          <w:sz w:val="20"/>
        </w:rPr>
        <w:t xml:space="preserve">, or (y) in the case of the Co-Promotion Agreement, a Permitted Co-Promotion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(k) (i) The occurrence of any Servicing Agreement Event of Default or (ii) the termination, cancellation or rescission of the Servicing Agreement to the extent the Servicing Agreement and the Servicer thereunder are each not replaced within sixty (60) days after such occurrence with an agreement and replacement servicer acceptable to the Agent (acting at the direction of the Requisite Purchasers in their reasonable discretion). </w:t>
      </w:r>
    </w:p>
    <w:p>
      <w:pPr>
        <w:pStyle w:val="TextBody"/>
        <w:bidi w:val="0"/>
        <w:spacing w:before="120" w:after="0"/>
        <w:jc w:val="both"/>
        <w:rPr>
          <w:rFonts w:ascii="Times New Roman" w:hAnsi="Times New Roman"/>
          <w:sz w:val="20"/>
        </w:rPr>
      </w:pPr>
      <w:r>
        <w:rPr>
          <w:rFonts w:ascii="Times New Roman" w:hAnsi="Times New Roman"/>
          <w:sz w:val="20"/>
        </w:rPr>
        <w:t xml:space="preserve">(l) (i) The occurrence of any breach or event of default under any Covered Agreement (other than the Collaboration Agreement, the Co-Promotion Agreement and the Servicing Agreement) that is not cured or otherwise waived within the period allowed by such Covered Agreement following the occurrence or notice thereof and which has given rise to a right of the applicable Covered Agreement Counterparty to terminate such Covered Agreement, to suspend performance thereunder or to withhold or set off any payment thereunder or (ii) the termination, cancellation or rescission of any Covered Agreement, in each case, solely to the extent the relevant Covered Agreement is not replaced within sixty (60) days after such occurrence with an agreement acceptable to the Agent (acting at the direction of the Requisite Purchasers in their reasonable discretion). </w:t>
      </w:r>
    </w:p>
    <w:p>
      <w:pPr>
        <w:pStyle w:val="TextBody"/>
        <w:bidi w:val="0"/>
        <w:spacing w:before="120" w:after="0"/>
        <w:jc w:val="both"/>
        <w:rPr>
          <w:rFonts w:ascii="Times New Roman" w:hAnsi="Times New Roman"/>
          <w:sz w:val="20"/>
        </w:rPr>
      </w:pPr>
      <w:r>
        <w:rPr>
          <w:rFonts w:ascii="Times New Roman" w:hAnsi="Times New Roman"/>
          <w:sz w:val="20"/>
        </w:rPr>
        <w:t xml:space="preserve">(m) Any security interest in any Collateral purported to be created by any Collateral Document shall cease to be in full force and effect, or shall cease to give the rights, powers and privileges purported to be created and granted hereunder or thereunder (including a perfected first priority Lien on substantially all of the Collateral (except as otherwise expressly provided herein and therein)) in favor of the Agent pursuant hereto or thereto (other than as a result of the failure by the Agent of taking any action it is expressly required to take hereunder to maintain the perfection of such security interests), or shall be asserted by any Transaction Party or any of its Affiliates not to be a valid, perfected, first priority (except as otherwise expressly provided in this Agreement or such Collateral Document) security interest in the Collateral and/or any Transaction Party or any of its Affiliates takes any action that would reasonably be expected to impair the Agent’s security interest in any of the Collateral. </w:t>
      </w:r>
    </w:p>
    <w:p>
      <w:pPr>
        <w:pStyle w:val="TextBody"/>
        <w:bidi w:val="0"/>
        <w:spacing w:before="120" w:after="0"/>
        <w:jc w:val="both"/>
        <w:rPr>
          <w:rFonts w:ascii="Times New Roman" w:hAnsi="Times New Roman"/>
          <w:sz w:val="20"/>
        </w:rPr>
      </w:pPr>
      <w:r>
        <w:rPr>
          <w:rFonts w:ascii="Times New Roman" w:hAnsi="Times New Roman"/>
          <w:sz w:val="20"/>
        </w:rPr>
        <w:t xml:space="preserve">(n) The occurrence (as reasonably determined by the Requisite Purchasers acting in good faith) of any act of fraud, malfeasance or willful misconduct by any Note Party or Bad Acts Guarantor in connection with this Agreement or the other Note Documents (or the performance of its obligations hereunder or thereunder). </w:t>
      </w:r>
    </w:p>
    <w:p>
      <w:pPr>
        <w:pStyle w:val="TextBody"/>
        <w:bidi w:val="0"/>
        <w:spacing w:before="120" w:after="0"/>
        <w:jc w:val="both"/>
        <w:rPr>
          <w:rFonts w:ascii="Times New Roman" w:hAnsi="Times New Roman"/>
          <w:sz w:val="20"/>
        </w:rPr>
      </w:pPr>
      <w:r>
        <w:rPr>
          <w:rFonts w:ascii="Times New Roman" w:hAnsi="Times New Roman"/>
          <w:sz w:val="20"/>
        </w:rPr>
        <w:t xml:space="preserve">(o) (i) Any material portion of any Transaction Party’s assets is attached, seized or appropriated, levied on or condemned, or otherwise comes into possession or control of a temporary or permanent trustee or receiver or any other Governmental Authority or any Person acting or purporting to act under such authority; or (ii) any court order enjoins, restrains, or prevents Transaction Party from conducting any material part of its business, in each case, as to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which continues in existence and is not remedied, dismissed or stayed for thirty (30) days after the earlier of (A) a Senior Officer of a Transaction Party’s obtaining Knowledge of such occurrence or (B) written notice thereof from the Agent. </w:t>
      </w:r>
    </w:p>
    <w:p>
      <w:pPr>
        <w:pStyle w:val="TextBody"/>
        <w:bidi w:val="0"/>
        <w:spacing w:before="120" w:after="0"/>
        <w:jc w:val="both"/>
        <w:rPr>
          <w:rFonts w:ascii="Times New Roman" w:hAnsi="Times New Roman"/>
          <w:sz w:val="20"/>
        </w:rPr>
      </w:pPr>
      <w:r>
        <w:rPr>
          <w:rFonts w:ascii="Times New Roman" w:hAnsi="Times New Roman"/>
          <w:sz w:val="20"/>
        </w:rPr>
        <w:t xml:space="preserve">(p) Any Issuer shall fail to comply with its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(q) Any Note Party or any of their Subsidiaries (other than an Excluded Product Subsidiary) (A) fails to make any payment beyond the applicable grace period with respect thereto, if any (whether by scheduled maturity, required prepayment, acceleration, demand, or otherwise) in respect of any Indebtedness (other than Indebtedness hereunder) having an aggregate outstanding principal amount of not less than (i) $250,000 for the Issuers and their Subsidiaries or (ii) $1,000,000 for TBIL and TBUS, or (B) fails to observe or perform any other agreement or condition relating to any such Indebtedness, or any other event occurs that, with the giving of notice if required, results in all such Indebtedness to become due or to be repurchased, prepaid, defeased or redeemed (automatically or otherwise), or requires an offer to repurchase, prepay, defease or redeem all such Indebtedness made, prior to its stated maturity. </w:t>
      </w:r>
    </w:p>
    <w:p>
      <w:pPr>
        <w:pStyle w:val="TextBody"/>
        <w:bidi w:val="0"/>
        <w:spacing w:before="120" w:after="0"/>
        <w:jc w:val="both"/>
        <w:rPr>
          <w:rFonts w:ascii="Times New Roman" w:hAnsi="Times New Roman"/>
          <w:sz w:val="20"/>
        </w:rPr>
      </w:pPr>
      <w:r>
        <w:rPr>
          <w:rFonts w:ascii="Times New Roman" w:hAnsi="Times New Roman"/>
          <w:sz w:val="20"/>
        </w:rPr>
        <w:t xml:space="preserve">(r) Any Bad Acts Guarantor (A) fails to make any payment beyond the applicable grace period with respect thereto, if any (whether by scheduled maturity, required prepayment, acceleration, demand, or otherwise) in respect of any Indebtedness (other than Indebtedness hereunder) having an outstanding principal amount of not less than $10,000,000, or (B) fails to observe or perform any other agreement or condition relating to any such Indebtedness or the Bad Acts Guaranty, or any other event occurs to cause, with the giving of notice if required, all such Indebtedness to become due or to be repurchased, prepaid, defeased or redeemed (automatically or otherwise), or an offer to repurchase, prepay, defease or redeem all such Indebtedness to be made, prior to its stated maturity, or (C) any money judgment, writ or warrant of attachment or similar process involving an amount individually or in the aggregate in excess of $10,000,000 (to the extent not adequately covered by insurance as to which a solvent and unaffiliated insurance company has acknowledged coverage) shall be entered or filed against any Transaction Party that is a Bad Acts Guarantor or any of its assets and shall remain undischarged, unvacated, unbonded or unstayed for a period of forty-five (45) days of entry or filing thereof; </w:t>
      </w:r>
      <w:r>
        <w:rPr>
          <w:rFonts w:ascii="Times New Roman" w:hAnsi="Times New Roman"/>
          <w:sz w:val="20"/>
          <w:u w:val="single"/>
        </w:rPr>
        <w:t>provided</w:t>
      </w:r>
      <w:r>
        <w:rPr>
          <w:rFonts w:ascii="Times New Roman" w:hAnsi="Times New Roman"/>
          <w:sz w:val="20"/>
        </w:rPr>
        <w:t xml:space="preserve">, that if such Bad Acts Guarantor files an answer admitting the material allegations of a petition filed against it in any such proceeding prior to such date, such grace period will cease to apply. </w:t>
      </w:r>
    </w:p>
    <w:p>
      <w:pPr>
        <w:pStyle w:val="TextBody"/>
        <w:bidi w:val="0"/>
        <w:spacing w:before="120" w:after="0"/>
        <w:jc w:val="both"/>
        <w:rPr>
          <w:rFonts w:ascii="Times New Roman" w:hAnsi="Times New Roman"/>
          <w:sz w:val="20"/>
        </w:rPr>
      </w:pPr>
      <w:r>
        <w:rPr>
          <w:rFonts w:ascii="Times New Roman" w:hAnsi="Times New Roman"/>
          <w:sz w:val="20"/>
        </w:rPr>
        <w:t xml:space="preserve">(s) Any Material Adverse Effect shall have occurred. </w:t>
      </w:r>
    </w:p>
    <w:p>
      <w:pPr>
        <w:pStyle w:val="TextBody"/>
        <w:bidi w:val="0"/>
        <w:spacing w:before="120" w:after="0"/>
        <w:jc w:val="both"/>
        <w:rPr>
          <w:rFonts w:ascii="Times New Roman" w:hAnsi="Times New Roman"/>
          <w:sz w:val="20"/>
        </w:rPr>
      </w:pPr>
      <w:r>
        <w:rPr>
          <w:rFonts w:ascii="Times New Roman" w:hAnsi="Times New Roman"/>
          <w:sz w:val="20"/>
        </w:rPr>
        <w:t xml:space="preserve">(t) An ERISA Event occurs which has resulted or would reasonably be expected to result in liability of any Note Party or ERISA Affiliate in an aggregate amount which, individually or together with the occurrence of any other ERISA Event, would reasonably be expected to result in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THEN, </w:t>
      </w:r>
    </w:p>
    <w:p>
      <w:pPr>
        <w:pStyle w:val="TextBody"/>
        <w:bidi w:val="0"/>
        <w:spacing w:before="120" w:after="0"/>
        <w:jc w:val="both"/>
        <w:rPr>
          <w:rFonts w:ascii="Times New Roman" w:hAnsi="Times New Roman"/>
          <w:sz w:val="20"/>
        </w:rPr>
      </w:pPr>
      <w:r>
        <w:rPr>
          <w:rFonts w:ascii="Times New Roman" w:hAnsi="Times New Roman"/>
          <w:sz w:val="20"/>
        </w:rPr>
        <w:t xml:space="preserve">(1) </w:t>
      </w:r>
      <w:r>
        <w:rPr>
          <w:rFonts w:ascii="Times New Roman" w:hAnsi="Times New Roman"/>
          <w:b/>
          <w:sz w:val="20"/>
        </w:rPr>
        <w:t>Bankruptcy Defaults</w:t>
      </w:r>
      <w:r>
        <w:rPr>
          <w:rFonts w:ascii="Times New Roman" w:hAnsi="Times New Roman"/>
          <w:sz w:val="20"/>
        </w:rPr>
        <w:t xml:space="preserve">. In the case of an Event of Default described in </w:t>
      </w:r>
      <w:r>
        <w:rPr>
          <w:rFonts w:ascii="Times New Roman" w:hAnsi="Times New Roman"/>
          <w:sz w:val="20"/>
          <w:u w:val="single"/>
        </w:rPr>
        <w:t>Section 9.01(g)</w:t>
      </w:r>
      <w:r>
        <w:rPr>
          <w:rFonts w:ascii="Times New Roman" w:hAnsi="Times New Roman"/>
          <w:sz w:val="20"/>
        </w:rPr>
        <w:t xml:space="preserve"> automatically, the Principal Amount of the Notes then outstanding, together with the accrued interest thereon and all fees and other Obligations, including any Yield Maintenance Premium, and all other liabilities of the Issuers accrued hereunder and under any other Note Document, shall immediately and automatically become due and payable at the Prepayment Price therefor, without the need for any request by or consent of the Agent or the Requisite Purchasers or presentment, demand, protest or other notice of any kind to the Issuers, all of which are hereby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 </w:t>
      </w:r>
      <w:r>
        <w:rPr>
          <w:rFonts w:ascii="Times New Roman" w:hAnsi="Times New Roman"/>
          <w:b/>
          <w:sz w:val="20"/>
        </w:rPr>
        <w:t>Defaults Other Than Bankruptcy Defaults</w:t>
      </w:r>
      <w:r>
        <w:rPr>
          <w:rFonts w:ascii="Times New Roman" w:hAnsi="Times New Roman"/>
          <w:sz w:val="20"/>
        </w:rPr>
        <w:t xml:space="preserve">. Upon the occurrence of any Event of Default (other than an Event of Default described in </w:t>
      </w:r>
      <w:r>
        <w:rPr>
          <w:rFonts w:ascii="Times New Roman" w:hAnsi="Times New Roman"/>
          <w:sz w:val="20"/>
          <w:u w:val="single"/>
        </w:rPr>
        <w:t>Section 9.01(g)</w:t>
      </w:r>
      <w:r>
        <w:rPr>
          <w:rFonts w:ascii="Times New Roman" w:hAnsi="Times New Roman"/>
          <w:sz w:val="20"/>
        </w:rPr>
        <w:t xml:space="preserve">), then, and in every such event, and at any time thereafter during the continuance of such event, the Agent may (or at direction of the Requisite Purchasers, shall), by notice to the DST Issuer, declare the Notes and other Obligations, including any Yield Maintenance Premium, then outstanding to be due and payable in whole (or in part, in which case any principal not so declared to be due and payable may thereafter be declared to be due and payable), and thereupon the principal of the Notes so declared to be due and payable, together with accrued interest thereon and all fees and other Obligations, including any Yield Maintenance Premium, shall become due and payable immediately (in the case of the Notes, at the Prepayment Price therefor), without presentment, demand, protest or other notice of any kind, all of which are hereby waived by the Issuers. </w:t>
      </w:r>
    </w:p>
    <w:p>
      <w:pPr>
        <w:pStyle w:val="TextBody"/>
        <w:bidi w:val="0"/>
        <w:spacing w:before="120" w:after="0"/>
        <w:jc w:val="both"/>
        <w:rPr>
          <w:rFonts w:ascii="Times New Roman" w:hAnsi="Times New Roman"/>
          <w:sz w:val="20"/>
        </w:rPr>
      </w:pPr>
      <w:r>
        <w:rPr>
          <w:rFonts w:ascii="Times New Roman" w:hAnsi="Times New Roman"/>
          <w:sz w:val="20"/>
        </w:rPr>
        <w:t xml:space="preserve">(3) </w:t>
      </w:r>
      <w:r>
        <w:rPr>
          <w:rFonts w:ascii="Times New Roman" w:hAnsi="Times New Roman"/>
          <w:b/>
          <w:sz w:val="20"/>
        </w:rPr>
        <w:t>Additional Remedies.</w:t>
      </w:r>
      <w:r>
        <w:rPr>
          <w:rFonts w:ascii="Times New Roman" w:hAnsi="Times New Roman"/>
          <w:sz w:val="20"/>
        </w:rPr>
        <w:t xml:space="preserve"> If an Event of Default has occurred and is continuing, (A) the Requisite Purchasers may direct the Agent to enforce any and all Liens and security interests created pursuant to Collateral Documents and exercise on behalf of the Secured Parties all of its other rights and remedies under this Agreement, the other Note Documents, any Covered Agreement or other material contract constituting Collateral, including the Co-Promotion Agreement, and Law in order to satisfy the Obligations; (B) if any Note Party shall be in default or an event of default shall have occurred under the Co-Promotion Agreement or any other Covered Agreement or material contract constituting Collateral, the Agent (acting at the direction of the Requisite Purchasers) shall have the right (but not any obligation) to cause the default or defaults to be remedied or prevented (including paying any unpaid amount thereunder; </w:t>
      </w:r>
      <w:r>
        <w:rPr>
          <w:rFonts w:ascii="Times New Roman" w:hAnsi="Times New Roman"/>
          <w:sz w:val="20"/>
          <w:u w:val="single"/>
        </w:rPr>
        <w:t>provided</w:t>
      </w:r>
      <w:r>
        <w:rPr>
          <w:rFonts w:ascii="Times New Roman" w:hAnsi="Times New Roman"/>
          <w:sz w:val="20"/>
        </w:rPr>
        <w:t xml:space="preserve">, that the Agent shall have no obligation to pay any such amounts which, if they are to be paid, shall be paid by the Purchasers) and otherwise exercise any and all rights of the applicable Note Party thereunder as may be necessary to prevent and/or cure any such default or to protect, preserve or realize upon the Collateral; (C) the Agent (acting at the direction of the Requisite Purchasers) may apply any funds in its possession (including any and all collections and other amounts in the Collection Account or any other account or account balance subject to the control of the Agent or otherwise in its possession) to the Obligations, including any Yield Maintenance Premium, in such order as the Agent (acting at the direction of the Requisite Purchasers in their sole and exclusive discretion) shall determine, and any surplus shall be paid to the Note Parties or other Persons legally entitled thereto, </w:t>
      </w:r>
      <w:r>
        <w:rPr>
          <w:rFonts w:ascii="Times New Roman" w:hAnsi="Times New Roman"/>
          <w:sz w:val="20"/>
          <w:u w:val="single"/>
        </w:rPr>
        <w:t>provided</w:t>
      </w:r>
      <w:r>
        <w:rPr>
          <w:rFonts w:ascii="Times New Roman" w:hAnsi="Times New Roman"/>
          <w:sz w:val="20"/>
        </w:rPr>
        <w:t xml:space="preserve">, that the Issuers shall remain liable to the Secured Parties for any deficiency; (D) under </w:t>
      </w:r>
      <w:r>
        <w:rPr>
          <w:rFonts w:ascii="Times New Roman" w:hAnsi="Times New Roman"/>
          <w:sz w:val="20"/>
          <w:u w:val="single"/>
        </w:rPr>
        <w:t>Section 9.01(j)</w:t>
      </w:r>
      <w:r>
        <w:rPr>
          <w:rFonts w:ascii="Times New Roman" w:hAnsi="Times New Roman"/>
          <w:sz w:val="20"/>
        </w:rPr>
        <w:t xml:space="preserve">, the Agent (acting at the direction of the Requisite Purchasers) may select a new Servicer satisfactory to the Agent (acting at the direction of the Requisite Purchasers in their sole discretion) and effect an assignment of the Servicing Agreement to such new Servicer; and (E) in connection with an Event of Default described in </w:t>
      </w:r>
      <w:r>
        <w:rPr>
          <w:rFonts w:ascii="Times New Roman" w:hAnsi="Times New Roman"/>
          <w:sz w:val="20"/>
          <w:u w:val="single"/>
        </w:rPr>
        <w:t>Section 9.01(j)</w:t>
      </w:r>
      <w:r>
        <w:rPr>
          <w:rFonts w:ascii="Times New Roman" w:hAnsi="Times New Roman"/>
          <w:sz w:val="20"/>
        </w:rPr>
        <w:t xml:space="preserve">, the Agent (acting at the direction of the Requisite Purchasers) may direct the Note Parties to identify, pursue and consummate a New Arrangement in accordance with </w:t>
      </w:r>
      <w:r>
        <w:rPr>
          <w:rFonts w:ascii="Times New Roman" w:hAnsi="Times New Roman"/>
          <w:sz w:val="20"/>
          <w:u w:val="single"/>
        </w:rPr>
        <w:t>Section 7.13(c)</w:t>
      </w:r>
      <w:r>
        <w:rPr>
          <w:rFonts w:ascii="Times New Roman" w:hAnsi="Times New Roman"/>
          <w:sz w:val="20"/>
        </w:rPr>
        <w:t xml:space="preserve"> and may coordinate any such New Arrangement with the exercise of rights under the Co-Promotion Agreement and, where applicable, the replacement of the Servicer pursuant to </w:t>
      </w:r>
      <w:r>
        <w:rPr>
          <w:rFonts w:ascii="Times New Roman" w:hAnsi="Times New Roman"/>
          <w:sz w:val="20"/>
          <w:u w:val="single"/>
        </w:rPr>
        <w:t>clause (D)</w:t>
      </w:r>
      <w:r>
        <w:rPr>
          <w:rFonts w:ascii="Times New Roman" w:hAnsi="Times New Roman"/>
          <w:sz w:val="20"/>
        </w:rPr>
        <w:t xml:space="preserve"> above. If the Agent, in its good faith business judgment, directly or indirectly enters into a deferred payment or other credit transaction with any purchaser at any sale of Collateral, the Agent shall have the option, exercisable at any time, of either reducing the Obligations by the principal amount of the purchase price or deferring the reduction of the Obligations until the actual receipt by the Agent of cash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 </w:t>
      </w:r>
      <w:r>
        <w:rPr>
          <w:rFonts w:ascii="Times New Roman" w:hAnsi="Times New Roman"/>
          <w:b/>
          <w:sz w:val="20"/>
        </w:rPr>
        <w:t xml:space="preserve">Payment of Yield Maintenance Premium. </w:t>
      </w:r>
      <w:r>
        <w:rPr>
          <w:rFonts w:ascii="Times New Roman" w:hAnsi="Times New Roman"/>
          <w:sz w:val="20"/>
        </w:rPr>
        <w:t xml:space="preserve">Notwithstanding anything in this Agreement or any other Note Document to the contrary, the Yield Maintenance Premium shall automatically be due and payable at any time the Obligations become due and payable prior to the Scheduled Maturity Date in accordance with the terms hereof as though such Indebtedness were voluntarily prepaid at such time and shall constitute part of the Obligations, whether due to acceleration pursuant to the terms of this Agreement (in which case it shall be due immediately, upon the giving of notice to the Issuers in accordance with </w:t>
      </w:r>
      <w:r>
        <w:rPr>
          <w:rFonts w:ascii="Times New Roman" w:hAnsi="Times New Roman"/>
          <w:sz w:val="20"/>
          <w:u w:val="single"/>
        </w:rPr>
        <w:t>Section 9.01(2)</w:t>
      </w:r>
      <w:r>
        <w:rPr>
          <w:rFonts w:ascii="Times New Roman" w:hAnsi="Times New Roman"/>
          <w:sz w:val="20"/>
        </w:rPr>
        <w:t xml:space="preserve"> or automatically, in accordance with </w:t>
      </w:r>
      <w:r>
        <w:rPr>
          <w:rFonts w:ascii="Times New Roman" w:hAnsi="Times New Roman"/>
          <w:sz w:val="20"/>
          <w:u w:val="single"/>
        </w:rPr>
        <w:t>Section 9.01(1))</w:t>
      </w:r>
      <w:r>
        <w:rPr>
          <w:rFonts w:ascii="Times New Roman" w:hAnsi="Times New Roman"/>
          <w:sz w:val="20"/>
        </w:rPr>
        <w:t xml:space="preserve">, by operation of Law or otherwise (including, without limitation, on account of any bankruptcy filing or any other Triggering Event but excluding any repayment of principal under </w:t>
      </w:r>
      <w:r>
        <w:rPr>
          <w:rFonts w:ascii="Times New Roman" w:hAnsi="Times New Roman"/>
          <w:sz w:val="20"/>
          <w:u w:val="single"/>
        </w:rPr>
        <w:t>Section 3.04(i)</w:t>
      </w:r>
      <w:r>
        <w:rPr>
          <w:rFonts w:ascii="Times New Roman" w:hAnsi="Times New Roman"/>
          <w:sz w:val="20"/>
        </w:rPr>
        <w:t xml:space="preserve">), in view of the impracticability and extreme difficulty of ascertaining the actual amount of damages to the Purchasers or profits lost by the Purchasers as a result of such acceleration, and by mutual agreement of the Parties as to a reasonable estimation and calculation of the lost profits or damages of the Purchasers as a result thereof. Any Yield Maintenance Premium payable pursuant to the Note Documents shall be presumed to be the liquidated damages sustained by each Purchaser as the result of the applicable Triggering Event and each Issuer agrees that the Yield Maintenance Premium is reasonable under the circumstances currently existing. In the event the Obligations are reinstated in connection with or following any applicable Triggering Event, it is understood and agreed that the relevant terms of the reinstated Obligations shall include the Yield Maintenance Premium payable in accordance with the Note Documents. The Yield Maintenance Premium shall also be payable (i) in the event the Obligations (and/or this Agreement or the Notes evidencing the Obligations) are satisfied or released by foreclosure (whether by power of judicial proceeding or otherwise), deed in lieu of foreclosure or by any other means and/or (ii) upon the satisfaction, release, payment, restructuring, reorganization, replacement, reinstatement, defeasance or compromise of any of the Obligations (and/or this Agreement or the Notes evidencing the Obligations) in any Insolvency Proceeding or other proceeding pursuant to any Debtor Relief Laws, foreclosure (whether by power of judicial proceeding or otherwise), deed in lieu of foreclosure or by any other means or the making of a distribution of any kind in any Insolvency Proceeding or other proceeding pursuant to any Debtor Relief Laws to the Agent, for the account of the Purchasers, in full or partial satisfaction of the Obligations. If the Yield Maintenance Premium becomes due and payable pursuant to the Note Documents, the Yield Maintenance Premium shall be deemed to be principal of the Notes and Obligations under the Note Documents and interest shall accrue on the full Principal Amount of the Notes (including on the Yield Maintenance Premium) from and after the applicable date such Yield Maintenance Premium becomes due and payable. In the event that any Yield Maintenance Premium is determined not to be due and payable by order of any court of competent jurisdiction, including, without limitation, by operation of the Bankruptcy Code, despite such a Triggering Event having occurred, the Yield Maintenance Premium shall nonetheless constitute Obligations under this Agreement and the Note Documents for all purposes hereunder and thereunder. EACH ISSUER HEREBY WAIVES THE PROVISIONS OF ANY PRESENT OR FUTURE STATUTE OR LAW THAT PROHIBITS OR MAY PROHIBIT THE COLLECTION OF THE YIELD MAINTENANCE PREMIUM AND ANY DEFENSE TO PAYMENT, WHETHER SUCH DEFENSE MAY BE BASED IN PUBLIC POLICY, AMBIGUITY, OR OTHERWISE, INCLUDING WITHOUT LIMITATION IN CONNECTION WITH ANY VOLUNTARY OR INVOLUNTARY ACCELERATION OF THE OBLIGATIONS PURSUANT TO ANY INSOLVENCY PROCEEDING OR OTHER PROCEEDING PURSUANT TO ANY DEBTOR RELIEF LAWS OR PURSUANT TO A PLAN OF REORGANIZATION. Each of the Issuer, the Agent and the Secured Parties acknowledges and agrees that any Yield Maintenance Premium due and payable in accordance with the Note Documents does not and shall not be deemed to constitute unmatured interest, whether under Section 502(b)(2) of the U.S. Bankruptcy Code or otherwise. Each Issuer further acknowledges and agrees, and waives any argument to the contrary, that payment of such amount does not constitute a penalty or an otherwise unenforceable or invalid obligation. The Parties have agreed on the Yield Maintenance Premium because it captures the attractiveness of the investment and the opportunity cost to each Purchaser for its capital investment because each Purchaser is an investment fund with limited ability to recycle capital and the Yield Maintenance Premium reflects the Parties’ view on risk return. All Parties to this Agreement agree (and each person that accepts an interest in the Notes or Obligations from time to time by their acceptance of such Note or interest agrees) that the Yield Maintenance Premium is not to be construed as part of a headline interest rate, but instead compensation specifically reflecting the Purchasers’ agreement to forego receiving additional compensation, fees and pricing on the Closing Date in return for each Issuer agreeing to pay the Yield Maintenance Premium and that the payment of such amount reflects each Purchaser’s capital anticipated to be returned for the specific investment of the Purchaser’s capital after taking into account all of the circumstances, including the costs of funds, the opportunity cost of capital, the relative risk of the investment, and the operational benefits for each Issuer from continued use of funds as a result of the Purchasers’ agreement to receive cash payment of that portion of their compensation at a date later than the Closing Date in lieu of up-front fees. Each Issuer expressly acknowledges and agrees that, prior to executing this Agreement, it has had the opportunity to review, evaluate, and negotiate the Yield Maintenance Premium and the calculations thereof with its advisors, and that (i) the Yield Maintenance Premium is reasonable and is the product of an arm’s-length transaction between sophisticated business people, ably represented by counsel, (ii) the Yield Maintenance Premium shall be payable notwithstanding the then prevailing market rates at the time payment is made, (iii) there has been a course of conduct between the Purchasers and the Issuers giving specific consideration in this transaction for such agreement to pay the Yield Maintenance Premium, (iv) each Issuer shall be estopped hereafter from claiming differently than as agreed to in this </w:t>
      </w:r>
      <w:r>
        <w:rPr>
          <w:rFonts w:ascii="Times New Roman" w:hAnsi="Times New Roman"/>
          <w:sz w:val="20"/>
          <w:u w:val="single"/>
        </w:rPr>
        <w:t>Section 9.01(4)</w:t>
      </w:r>
      <w:r>
        <w:rPr>
          <w:rFonts w:ascii="Times New Roman" w:hAnsi="Times New Roman"/>
          <w:sz w:val="20"/>
        </w:rPr>
        <w:t xml:space="preserve">, (v) each Issuer’s agreement to pay the Yield Maintenance Premium is a material inducement to the Purchaser’s agreement to purchase the Notes, and (vi) the Yield Maintenance Premium represents a good faith, reasonable estimate and calculation of the lost profits, losses or other damages of the Purchasers and that it would be impractical and extremely difficult to ascertain the actual amount of damages to the Purchasers or profits lost by the Purchasers as a result of any such Triggering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 of Set-Off; Sharing of Set-Off</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If any amount payable hereunder is not paid as and when due, each Issuer irrevocably authorizes the Agent and each Purchaser (i) to proceed, to the fullest extent permitted by Law, without prior notice, by right of Set-Off, bankers’ lien, counterclaim or otherwise, against any assets of the Issuers in any currency that may at any time be in the possession of the Agent, any Purchaser or any of their respective Affiliates, to the full extent of all amounts payable to the Agent or any Purchaser hereunder or (ii) to charge to any Issuer’s account with the Agent, any Purchaser or any of their respective Affiliates the full extent of all amounts payable by the Issuers to the Agent or Purchasers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Agent or such Purchaser shall notify such Issuer of the exercise of such right promptly following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If any Purchaser shall, by exercising any right of Set-Off or counterclaim or otherwise, obtain payment in respect of any principal of or interest on the Notes or other obligations owed to such Purchaser resulting in such Purchaser’s receiving payment of a proportion of the aggregate amount of the principal on the Notes and accrued interest thereon or other obligations owed to such Purchaser greater than its pro rata share thereof as provided herein, then the Purchaser receiving such greater proportion shall (a) notify the Agent and the other Purchasers of such fact, and (b) purchase (for cash at face value) participations in the Notes and such other obligations of the other Purchasers, or make such other adjustments as shall be equitable, so that the benefit of all such payments shall be shared by Purchasers ratably in accordance with the aggregate amount of principal of and accrued interest on their respective Notes and other amounts owing them; </w:t>
      </w:r>
      <w:r>
        <w:rPr>
          <w:rFonts w:ascii="Times New Roman" w:hAnsi="Times New Roman"/>
          <w:sz w:val="20"/>
          <w:u w:val="single"/>
        </w:rPr>
        <w:t>provided</w:t>
      </w:r>
      <w:r>
        <w:rPr>
          <w:rFonts w:ascii="Times New Roman" w:hAnsi="Times New Roman"/>
          <w:sz w:val="20"/>
        </w:rPr>
        <w:t xml:space="preserve">, that the provisions of this </w:t>
      </w:r>
      <w:r>
        <w:rPr>
          <w:rFonts w:ascii="Times New Roman" w:hAnsi="Times New Roman"/>
          <w:sz w:val="20"/>
          <w:u w:val="single"/>
        </w:rPr>
        <w:t>Section 9.02(b)</w:t>
      </w:r>
      <w:r>
        <w:rPr>
          <w:rFonts w:ascii="Times New Roman" w:hAnsi="Times New Roman"/>
          <w:sz w:val="20"/>
        </w:rPr>
        <w:t xml:space="preserve"> shall (x) not be construed to apply to (A) any payment made by an Issuer pursuant to and in accordance with the express terms of this Agreement or (B) any payment obtained by a Purchaser as consideration for the assignment of or sale of a participation in the Notes to any assignee and (y) only be applicable if there is more than one Purchaser. </w:t>
      </w:r>
    </w:p>
    <w:p>
      <w:pPr>
        <w:pStyle w:val="TextBody"/>
        <w:bidi w:val="0"/>
        <w:spacing w:before="240" w:after="0"/>
        <w:jc w:val="both"/>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Control by Majority</w:t>
      </w:r>
      <w:r>
        <w:rPr>
          <w:rFonts w:ascii="Times New Roman" w:hAnsi="Times New Roman"/>
          <w:sz w:val="20"/>
        </w:rPr>
        <w:t xml:space="preserve">. The Requisite Purchasers may direct the time, method and place of conducting any proceeding for any remedy available to the Agent or exercising any power conferred on the Agent. However, the Agent may refuse to follow any direction that conflicts with Law, this Agreement or the other Note Documents, that may involve the Agent in personal liability, or that the Agent determines in good faith may be unduly prejudicial to the rights of Purchasers not joining in the giving of such direction (it being understood that the Agent shall have no duty to determine whether any direction is prejudicial to any Purchaser). In addition, the Agent may take any other action they deem necessary or proper that is not inconsistent with any such direction received from the Purchasers. The Agent shall not be obligated to take any action at the direction of Purchasers of Notes unless such Purchasers have offered, and if requested, provided to the Agent indemnity or security satisfactory to the Agent. </w:t>
      </w:r>
    </w:p>
    <w:p>
      <w:pPr>
        <w:pStyle w:val="TextBody"/>
        <w:bidi w:val="0"/>
        <w:spacing w:before="240" w:after="0"/>
        <w:jc w:val="both"/>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Limitation on Suits</w:t>
      </w:r>
      <w:r>
        <w:rPr>
          <w:rFonts w:ascii="Times New Roman" w:hAnsi="Times New Roman"/>
          <w:sz w:val="20"/>
        </w:rPr>
        <w:t xml:space="preserve">. A Purchaser that holds a Note may not institute any proceeding, judicial or otherwise, with respect to this Agreement, the Notes or the other Note Documents, or for the appointment of a receiver or trustee, or for any other remedy under this Agreement, the Notes or the other Note Documents, unless: (A) the Purchaser of a Note has previously given to the Agent written notice of a continuing Event of Default; (B) the Purchasers of the Notes have offered and, if requested, provided to the Agent an indemnity reasonably satisfactory to the Agent against any costs, liabilities or expenses to be incurred in compliance with such request and (C) the Agent, for sixty (60) days after their receipt of such notice, request and offer of indemnity has failed to institute any such proceeding. A Purchaser that holds a Note may not use this Agreement to prejudice the rights of another Purchaser that holds a Note or to obtain a preference or priority over another Purchaser that holds a Note. </w:t>
      </w:r>
    </w:p>
    <w:p>
      <w:pPr>
        <w:pStyle w:val="TextBody"/>
        <w:bidi w:val="0"/>
        <w:spacing w:before="240" w:after="0"/>
        <w:jc w:val="both"/>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Rights Not Exclusive</w:t>
      </w:r>
      <w:r>
        <w:rPr>
          <w:rFonts w:ascii="Times New Roman" w:hAnsi="Times New Roman"/>
          <w:sz w:val="20"/>
        </w:rPr>
        <w:t xml:space="preserve">. The rights provided for herein to the Agent and the Secured Parties are cumulative and are not exclusive of any other rights, powers, privileges or remedies provided to the Agent and the Secured Parties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EXPENSES </w:t>
      </w:r>
    </w:p>
    <w:p>
      <w:pPr>
        <w:pStyle w:val="TextBody"/>
        <w:bidi w:val="0"/>
        <w:spacing w:before="240" w:after="0"/>
        <w:jc w:val="both"/>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Losses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Issuer agrees to defend (subject to Indemnitees’ selection of counsel), indemnify, pay and hold harmless, each Indemnitee from and against any and all Indemnified Liabilities, in all cases, arising, in whole or in part, out of or relating to this Agreement or any Note Document or any agreement or instrument contemplated hereby or thereby or referred to herein or therein, the transactions contemplated hereby or thereby, the Notes or the use of the proceeds from the issuance thereof, any act or omission or event occurring in connection therewith, or any claim, demand, complaint, grievance, application, audit, assessment, notice, action, suit, litigation, arbitration, inquiry, investigation or proceeding commenced or threatened by any Person (including any Governmental Authority) with respect thereto in each case, within five (5) Business Days of receipt of an invoice therefor; </w:t>
      </w:r>
      <w:r>
        <w:rPr>
          <w:rFonts w:ascii="Times New Roman" w:hAnsi="Times New Roman"/>
          <w:sz w:val="20"/>
          <w:u w:val="single"/>
        </w:rPr>
        <w:t>provided</w:t>
      </w:r>
      <w:r>
        <w:rPr>
          <w:rFonts w:ascii="Times New Roman" w:hAnsi="Times New Roman"/>
          <w:sz w:val="20"/>
        </w:rPr>
        <w:t xml:space="preserve"> the Issuers shall not have any obligation to any Indemnitee hereunder with respect to any Indemnified Liabilities to the extent such Indemnified Liabilities are found by a final non-appealable judgment of a court of competent jurisdiction to have resulted solely from (x) the willful misconduct or gross negligence of such Indemnitee, (y) in the case of Indemnitees other than the Agent and Account Bank, the material breach by such Indemnitee of any Note Document or (z) any claim, action, suit, inquiry, litigation, investigation or proceeding that does not involve any alleged act, omission or involvement of a Note Party or Bad Acts Guarantor and that is brought by an Indemnitee against any other Indemnitee (excluding, in any event, claims against any such Person in its capacity or in fulfilling its role as a Purchaser, the Agent, the Account Bank or any other agent or similar role in respect of the Note Documents). The Issuers shall not be liable for any settlement of any proceeding effected without their prior written consent (such consent not to be unreasonably withheld, conditioned or delayed), but if settled with such consent or if there is a final non-appealable judgment of a court of competent jurisdiction against an Indemnitee in any such proceeding, the Issuers agree to indemnify and hold harmless each Indemnitee in the manner set forth in this </w:t>
      </w:r>
      <w:r>
        <w:rPr>
          <w:rFonts w:ascii="Times New Roman" w:hAnsi="Times New Roman"/>
          <w:sz w:val="20"/>
          <w:u w:val="single"/>
        </w:rPr>
        <w:t>Section 10.01</w:t>
      </w:r>
      <w:r>
        <w:rPr>
          <w:rFonts w:ascii="Times New Roman" w:hAnsi="Times New Roman"/>
          <w:sz w:val="20"/>
        </w:rPr>
        <w:t xml:space="preserve">. The Issuers shall not, without the prior written consent of the affected Indemnitee, effect any settlement of any pending or threatened proceeding against such Indemnitee in respect of which indemnification has been or could have been sought hereunder by such Indemnitee unless such settlement (i) includes an unconditional release of such Indemnitee from all liability or claims that are the subject matter of such proceeding and (ii) does not include any statement as to any admission of fault or culpability of such Indemnitee. </w:t>
      </w:r>
    </w:p>
    <w:p>
      <w:pPr>
        <w:pStyle w:val="TextBody"/>
        <w:bidi w:val="0"/>
        <w:spacing w:before="120" w:after="0"/>
        <w:jc w:val="both"/>
        <w:rPr>
          <w:rFonts w:ascii="Times New Roman" w:hAnsi="Times New Roman"/>
          <w:sz w:val="20"/>
        </w:rPr>
      </w:pPr>
      <w:r>
        <w:rPr>
          <w:rFonts w:ascii="Times New Roman" w:hAnsi="Times New Roman"/>
          <w:sz w:val="20"/>
        </w:rPr>
        <w:t xml:space="preserve">(b) To the extent that the undertakings to defend, indemnify, pay and hold harmless set forth in this </w:t>
      </w:r>
      <w:r>
        <w:rPr>
          <w:rFonts w:ascii="Times New Roman" w:hAnsi="Times New Roman"/>
          <w:sz w:val="20"/>
          <w:u w:val="single"/>
        </w:rPr>
        <w:t>Section 10.01</w:t>
      </w:r>
      <w:r>
        <w:rPr>
          <w:rFonts w:ascii="Times New Roman" w:hAnsi="Times New Roman"/>
          <w:sz w:val="20"/>
        </w:rPr>
        <w:t xml:space="preserve"> may be unenforceable in whole or in part because they violate any Law or public policy, each Issuer shall contribute the maximum portion that it is permitted to pay and satisfy under applicable Law to the payment and satisfaction of all Indemnified Liabilities incurred by any Indemnitee or any of them. </w:t>
      </w:r>
    </w:p>
    <w:p>
      <w:pPr>
        <w:pStyle w:val="TextBody"/>
        <w:bidi w:val="0"/>
        <w:spacing w:before="120" w:after="0"/>
        <w:jc w:val="both"/>
        <w:rPr>
          <w:rFonts w:ascii="Times New Roman" w:hAnsi="Times New Roman"/>
          <w:sz w:val="20"/>
        </w:rPr>
      </w:pPr>
      <w:r>
        <w:rPr>
          <w:rFonts w:ascii="Times New Roman" w:hAnsi="Times New Roman"/>
          <w:sz w:val="20"/>
        </w:rPr>
        <w:t xml:space="preserve">(c) To the extent permitted by Law, no Party shall assert, and each Party hereby waives, any claim against each other Party and such Party’s Affiliates and each of their respective directors, officers, employees, partners, shareholders, trustees, advisors, attorneys and controlling Persons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Note Document or any agreement or instrument contemplated hereby or thereby or referred to herein or therein, the transactions contemplated hereby or thereby, the Notes or the use of the proceeds from the issuance thereof or any act or omission or event occurring in connection therewith, and each Party hereby waives, releases and agrees not to sue upon any such claim or any such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10.01(c)</w:t>
      </w:r>
      <w:r>
        <w:rPr>
          <w:rFonts w:ascii="Times New Roman" w:hAnsi="Times New Roman"/>
          <w:sz w:val="20"/>
        </w:rPr>
        <w:t xml:space="preserve"> shall not limit the indemnification obligations set forth in </w:t>
      </w:r>
      <w:r>
        <w:rPr>
          <w:rFonts w:ascii="Times New Roman" w:hAnsi="Times New Roman"/>
          <w:sz w:val="20"/>
          <w:u w:val="single"/>
        </w:rPr>
        <w:t>Section 10.01(a)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Section 10.02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Expenses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With respect to costs and expenses incurred prior to or on the Closing Date, each Issuer agrees to pay and otherwise reimburse OMERS Life Sciences, the Agent, the Account Bank and their respective affiliates for all reasonable and documented or invoiced out-of-pocket fees and expenses incurred (a) solely with respect to OMERS Life Sciences and its affiliates, by OMERS Life Sciences and its affiliates in connection with the evaluation, negotiation and documentation of the Note Documents (including the Commitment Letter) prior to the Closing Date, in each case of this </w:t>
      </w:r>
      <w:r>
        <w:rPr>
          <w:rFonts w:ascii="Times New Roman" w:hAnsi="Times New Roman"/>
          <w:sz w:val="20"/>
          <w:u w:val="single"/>
        </w:rPr>
        <w:t>clause (a)</w:t>
      </w:r>
      <w:r>
        <w:rPr>
          <w:rFonts w:ascii="Times New Roman" w:hAnsi="Times New Roman"/>
          <w:sz w:val="20"/>
        </w:rPr>
        <w:t>, in accordance with the Expense Allocation (defined below), (b) solely with respect to the Agent and Account Bank and their respective affiliates, by the Agent and Account Bank and their respective affiliates in connection with the evaluation, negotiation and documentation of the Note Documents, or (c) with respect to each of the Purchasers, the Agent and Account Bank and their respective affiliates, in respect of the enforcement, administration, amendment, modification or waiver of any of the foregoing, in each case on the Closing Date, or if invoiced thereafter, within thirty (30) days of written demand (but limited, in the case of legal fees and expenses for OMERS Life Sciences, to (i) Sidley Austin LLP, as US counsel to OMERS Life Sciences, (ii) Maples and Calder (Ireland) LLP, as Irish counsel to OMERS Life Sciences, (iii) Davies Ward Phillips &amp; Vineberg LLP, as Canadian counsel to OMERS Life Sciences, (iv) one Delaware counsel to OMERS Life Sciences, and (v) one counsel in the jurisdiction where the Notes will be publicly listed). For purposes of this paragraph, “</w:t>
      </w:r>
      <w:r>
        <w:rPr>
          <w:rFonts w:ascii="Times New Roman" w:hAnsi="Times New Roman"/>
          <w:sz w:val="20"/>
          <w:u w:val="single"/>
        </w:rPr>
        <w:t>Expense Allocation</w:t>
      </w:r>
      <w:r>
        <w:rPr>
          <w:rFonts w:ascii="Times New Roman" w:hAnsi="Times New Roman"/>
          <w:sz w:val="20"/>
        </w:rPr>
        <w:t xml:space="preserve">” means, with respect to the documented fees and expenses of OMERS Life Sciences and its affiliates incurred in connection with the Transactions, the Issuers shall be responsible for (x) 100% of such fees and expenses up to an aggregate amount of $1,000,000 and (y) 50% of such fees and expenses in excess of $1,000,000; </w:t>
      </w:r>
      <w:r>
        <w:rPr>
          <w:rFonts w:ascii="Times New Roman" w:hAnsi="Times New Roman"/>
          <w:sz w:val="20"/>
          <w:u w:val="single"/>
        </w:rPr>
        <w:t>provided</w:t>
      </w:r>
      <w:r>
        <w:rPr>
          <w:rFonts w:ascii="Times New Roman" w:hAnsi="Times New Roman"/>
          <w:sz w:val="20"/>
        </w:rPr>
        <w:t xml:space="preserve">, that, notwithstanding the foregoing, the Issuers shall be responsible for 100% of all documented fees and expenses incurred prior to the Closing Date that are related to diligence by counsel to OMERS Life Sciences of TBPH and its Subsidiaries and the related acquisition contemplated by the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With respect to costs and expenses incurred after the Closing Date, each Issuer agrees to pay all of the Agent’s, the Account Bank’s and the Purchasers’, and their respective Affiliates’, reasonable costs and expenses incurred in connection with (i) the evaluation, negotiation, preparation and/or documentation of any consents, amendments, waivers or other modifications to any of the Note Documents, the Servicing Agreement, the Collaboration Agreement or the Co-Promotion Agreement (including reasonable and documented fees, charges and disbursements of counsel, accountants, consultants and other professionals for the Agent, the Account Bank, the Purchasers and their respective Affiliates), in each case, whether or not consummated, (ii) creating and perfecting Liens in favor of the Agent, for the benefit of the Secured Parties, or otherwise in connection with the maintenance, custody or preservation of any of the Collateral or the Collection Account (including reasonable and documented filing and recording fees, expenses and taxes, stamp or documentary taxes, search fees, title insurance premiums and fees, expenses and disbursements of counsel to the Secured Parties and their respective Affiliates and of counsel providing any opinions that the Agent or Purchasers may request in respect of the Collateral or the Liens created pursuant to the Collateral Documents), (iii) the evaluation, negotiation, preparation and documentation of any enforcement, collection or protection of the Agent’s, the Account Bank’s, the Purchasers’ or their respective Affiliates’ rights, in each case, under the Note Documents, the Servicing Agreement, the Collaboration Agreement or the Co-Promotion Agreement, including all such expenses incurred during any workout, restructuring or negotiations in respect of the Notes, the other Note Documents, the Servicing Agreement, the Collaboration Agreement, or the Co-Promotion Agreement (including reasonable and documented fees, charges and disbursements of counsel, accountants, consultants and other professionals for the Agent, the Account Bank, the Purchasers and their respective Affiliates) and (iv) after the occurrence of a Default or an Event of Default, all costs and expenses, including reasonable and documented attorneys’ fees, charges and disbursements and costs of settlement, incurred by the Agent, any other Secured Party or any of their respective Affiliates in enforcing any Obligations of or in collecting any payments due from the Issuers hereunder or under the other Note Documents by reason of such Default or Event of Default (including in connection with the sale of, collection from, or other realization upon any of the Collateral or the enforcement of the Bad Acts Guaranty or any other Note Document) or in connection with any refinancing or restructuring of the credit arrangements provided hereunder in the nature of a “work out” or pursuant to any insolvency or bankruptcy cases or proceedings; </w:t>
      </w:r>
      <w:r>
        <w:rPr>
          <w:rFonts w:ascii="Times New Roman" w:hAnsi="Times New Roman"/>
          <w:sz w:val="20"/>
          <w:u w:val="single"/>
        </w:rPr>
        <w:t>provided</w:t>
      </w:r>
      <w:r>
        <w:rPr>
          <w:rFonts w:ascii="Times New Roman" w:hAnsi="Times New Roman"/>
          <w:sz w:val="20"/>
        </w:rPr>
        <w:t xml:space="preserve">, that, in the case of legal fees and expenses, the amounts payable under this </w:t>
      </w:r>
      <w:r>
        <w:rPr>
          <w:rFonts w:ascii="Times New Roman" w:hAnsi="Times New Roman"/>
          <w:sz w:val="20"/>
          <w:u w:val="single"/>
        </w:rPr>
        <w:t>Section 10.03(b</w:t>
      </w:r>
      <w:r>
        <w:rPr>
          <w:rFonts w:ascii="Times New Roman" w:hAnsi="Times New Roman"/>
          <w:sz w:val="20"/>
        </w:rPr>
        <w:t xml:space="preserve">) shall include, and be limited to, the reasonable and documented fees, charges and disbursements of one counsel to the Purchasers (taken as a whole), one counsel to the Agent and one counsel to the Account Bank (and of one regulatory counsel to the Purchasers (taken as a whole), one regulatory counsel to the Agent and one regulatory counsel to the Account Bank, and of one local counsel in any material relevant jurisdiction to the Purchasers (taken as a whole), one local counsel in any material relevant jurisdiction to the Agent and one local counsel in any material relevant jurisdiction to the Account Bank, and, in the case of an actual or reasonably perceived conflict of interest among the Agent, the Account Bank and the Purchasers where the Person affected by such conflict informs the Issuers of such conflict and thereafter retains its own counsel, of one additional counsel to the affected Persons similarly situated, taken as a whole (and, if reasonably necessary, of one additional regulatory counsel and of one additional local counsel in any material relevant jurisdiction to such affected Persons)), in each case, within five (5) Business Days of receipt of an invoice therefor. For the avoidance of doubt, the Issuers shall also be responsible for all fees, costs and expenses (including legal fees and expenses) related to the formation and maintenance of the Issuers and the listing and maintenance of the Notes on the relevant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Assignments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Issuers shall not be permitted to assign this Agreement without the prior written consent of the Agent and each Purchaser and any purported assignment in violation of this </w:t>
      </w:r>
      <w:r>
        <w:rPr>
          <w:rFonts w:ascii="Times New Roman" w:hAnsi="Times New Roman"/>
          <w:sz w:val="20"/>
          <w:u w:val="single"/>
        </w:rPr>
        <w:t>Section 11.01</w:t>
      </w:r>
      <w:r>
        <w:rPr>
          <w:rFonts w:ascii="Times New Roman" w:hAnsi="Times New Roman"/>
          <w:sz w:val="20"/>
        </w:rPr>
        <w:t xml:space="preserve"> shall be null and void. </w:t>
      </w:r>
    </w:p>
    <w:p>
      <w:pPr>
        <w:pStyle w:val="TextBody"/>
        <w:bidi w:val="0"/>
        <w:spacing w:before="120" w:after="0"/>
        <w:jc w:val="both"/>
        <w:rPr>
          <w:rFonts w:ascii="Times New Roman" w:hAnsi="Times New Roman"/>
          <w:sz w:val="20"/>
        </w:rPr>
      </w:pPr>
      <w:r>
        <w:rPr>
          <w:rFonts w:ascii="Times New Roman" w:hAnsi="Times New Roman"/>
          <w:sz w:val="20"/>
        </w:rPr>
        <w:t xml:space="preserve">(b) Any Purchaser may at any time assign its rights and obligations under this Agreement and the other Note Documents, in whole or in part, to an Assignee and any Purchaser may at any time pledge or assign a security interest in all or any portion of its rights under the Note Documents and the Notes to secure obligations of such Purchaser, including any pledge or assignment to a Federal Reserve Bank or other financing source;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Purchaser from any of its obligations under the Note Documents or substitute any such pledgee or assignee for such Purchaser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Upon surrender of any Note to the Issuers at the address and to the attention of the designated officer,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promptly, but in any event not later than five (5) Business Days thereafter, each Issuer shall execute and deliver, at such Issuer’s expense, one or more new Notes (as requested by the holder thereof) of the same series (and of the same tranche if such series has separate tranches) in exchange therefor, in an aggregate principal amount equal to the unpaid Principal Amount of the surrendered Note. Upon issuance of any Note, the Issuer shall notify the Agent of any updates required to the Register, including without limitation the principal amount, name, address, and proportionate interests of any new or different Purchaser, along with such other information regarding the new or different Purchaser as the Agent shall request. In the absence of such notice from the Issuers, the Agent shall have no duty to make any change to the Register and shall treat the Purchasers referenced in the Register as the Purchasers hereunder for all purposes. Each such new Note shall be payable to such Person as such holder may request and shall be the Note of such series originally issued hereunder. Each such new Note shall be dated and shall bear interest from the date to which interest shall have been paid on the surrendered Note or if no interest shall have been paid thereon, from the date the surrendered Note was surrendered. Any transferee, by its acceptance of a Note registered in its name (or the name of its nominee), shall be deemed to have made each representation set forth in </w:t>
      </w:r>
      <w:r>
        <w:rPr>
          <w:rFonts w:ascii="Times New Roman" w:hAnsi="Times New Roman"/>
          <w:sz w:val="20"/>
          <w:u w:val="single"/>
        </w:rPr>
        <w:t>Section 2.06</w:t>
      </w:r>
      <w:r>
        <w:rPr>
          <w:rFonts w:ascii="Times New Roman" w:hAnsi="Times New Roman"/>
          <w:sz w:val="20"/>
        </w:rPr>
        <w:t xml:space="preserve"> and </w:t>
      </w:r>
      <w:r>
        <w:rPr>
          <w:rFonts w:ascii="Times New Roman" w:hAnsi="Times New Roman"/>
          <w:sz w:val="20"/>
          <w:u w:val="single"/>
        </w:rPr>
        <w:t>Section 12.06</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 In the event there are multiple Purchasers, all payments of principal, interest, fees and any other amounts payable pursuant to the Note Documents shall be allocated on a </w:t>
      </w:r>
      <w:r>
        <w:rPr>
          <w:rFonts w:ascii="Times New Roman" w:hAnsi="Times New Roman"/>
          <w:i/>
          <w:sz w:val="20"/>
        </w:rPr>
        <w:t>pro rata</w:t>
      </w:r>
      <w:r>
        <w:rPr>
          <w:rFonts w:ascii="Times New Roman" w:hAnsi="Times New Roman"/>
          <w:sz w:val="20"/>
        </w:rPr>
        <w:t xml:space="preserve"> basis among Purchasers according to their proportionate interests in the Notes. </w:t>
      </w:r>
    </w:p>
    <w:p>
      <w:pPr>
        <w:pStyle w:val="TextBody"/>
        <w:bidi w:val="0"/>
        <w:spacing w:before="120" w:after="0"/>
        <w:jc w:val="both"/>
        <w:rPr>
          <w:rFonts w:ascii="Times New Roman" w:hAnsi="Times New Roman"/>
          <w:sz w:val="20"/>
        </w:rPr>
      </w:pPr>
      <w:r>
        <w:rPr>
          <w:rFonts w:ascii="Times New Roman" w:hAnsi="Times New Roman"/>
          <w:sz w:val="20"/>
        </w:rPr>
        <w:t xml:space="preserve">(e) The Issuers, the Agent and each Purchaser shall, from time to time at the request of the other party hereto, execute and deliver any documents that are necessary to give full force and effect to an assignment permitted hereunder, including a new Note in exchange for the Note held by a Purchaser. </w:t>
      </w:r>
    </w:p>
    <w:p>
      <w:pPr>
        <w:pStyle w:val="TextBody"/>
        <w:bidi w:val="0"/>
        <w:spacing w:before="120" w:after="0"/>
        <w:jc w:val="both"/>
        <w:rPr>
          <w:rFonts w:ascii="Times New Roman" w:hAnsi="Times New Roman"/>
          <w:sz w:val="20"/>
        </w:rPr>
      </w:pPr>
      <w:r>
        <w:rPr>
          <w:rFonts w:ascii="Times New Roman" w:hAnsi="Times New Roman"/>
          <w:sz w:val="20"/>
        </w:rPr>
        <w:t>(f) Each Purchaser shall be permitted to sell participations in all or any portion of its interests in the Notes and the Note Documents to one or more Persons (each, a “</w:t>
      </w:r>
      <w:r>
        <w:rPr>
          <w:rFonts w:ascii="Times New Roman" w:hAnsi="Times New Roman"/>
          <w:sz w:val="20"/>
          <w:u w:val="single"/>
        </w:rPr>
        <w:t>Participant</w:t>
      </w:r>
      <w:r>
        <w:rPr>
          <w:rFonts w:ascii="Times New Roman" w:hAnsi="Times New Roman"/>
          <w:sz w:val="20"/>
        </w:rPr>
        <w:t xml:space="preserve">”). Any such Participant shall be entitled to the benefits of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Section 4.08</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to the same extent as if it were a Purchaser; </w:t>
      </w:r>
      <w:r>
        <w:rPr>
          <w:rFonts w:ascii="Times New Roman" w:hAnsi="Times New Roman"/>
          <w:sz w:val="20"/>
          <w:u w:val="single"/>
        </w:rPr>
        <w:t>provided</w:t>
      </w:r>
      <w:r>
        <w:rPr>
          <w:rFonts w:ascii="Times New Roman" w:hAnsi="Times New Roman"/>
          <w:sz w:val="20"/>
        </w:rPr>
        <w:t xml:space="preserve">, that no Participant shall be entitled to receive any greater payment under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Section 4.08</w:t>
      </w:r>
      <w:r>
        <w:rPr>
          <w:rFonts w:ascii="Times New Roman" w:hAnsi="Times New Roman"/>
          <w:sz w:val="20"/>
        </w:rPr>
        <w:t xml:space="preserve"> than the applicable Purchaser would have been entitled to receive with respect to the participation sold to such Participant (and a Participant shall be subject to the same requirements and limitations relating to Taxes as apply to Purchasers under </w:t>
      </w:r>
      <w:r>
        <w:rPr>
          <w:rFonts w:ascii="Times New Roman" w:hAnsi="Times New Roman"/>
          <w:sz w:val="20"/>
          <w:u w:val="single"/>
        </w:rPr>
        <w:t>Section 4.01(b)</w:t>
      </w:r>
      <w:r>
        <w:rPr>
          <w:rFonts w:ascii="Times New Roman" w:hAnsi="Times New Roman"/>
          <w:sz w:val="20"/>
        </w:rPr>
        <w:t xml:space="preserve">). No Participant shall have any voting rights under the Note Documents except with respect to (i) matters requiring the consent of each Purchaser directly and adversely affected thereby, including (x) reductions or waivers of principal, interest (other than a waiver of default interest) or fees, (y) extensions of scheduled maturities or payment dates and (z) releases of all or substantially all of the Collateral or the value of any Guarantee, and (ii) matters requiring the consent of all Purchasers pursuant to </w:t>
      </w:r>
      <w:r>
        <w:rPr>
          <w:rFonts w:ascii="Times New Roman" w:hAnsi="Times New Roman"/>
          <w:sz w:val="20"/>
          <w:u w:val="single"/>
        </w:rPr>
        <w:t>Section 11.05(c</w:t>
      </w:r>
      <w:r>
        <w:rPr>
          <w:rFonts w:ascii="Times New Roman" w:hAnsi="Times New Roman"/>
          <w:sz w:val="20"/>
        </w:rPr>
        <w:t>). Each Purchaser that sells a participation shall maintain a register on which it enters the name and address of each Participant and the principal amounts of such Participant’s interest in the Notes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Agent shall have no duty or obligation with respect to Participants or any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permitted assigns. </w:t>
      </w:r>
    </w:p>
    <w:p>
      <w:pPr>
        <w:pStyle w:val="TextBody"/>
        <w:bidi w:val="0"/>
        <w:spacing w:before="240" w:after="0"/>
        <w:jc w:val="both"/>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Notices</w:t>
      </w:r>
      <w:r>
        <w:rPr>
          <w:rFonts w:ascii="Times New Roman" w:hAnsi="Times New Roman"/>
          <w:sz w:val="20"/>
        </w:rPr>
        <w:t xml:space="preserve">. All notices authorized or required to be given pursuant to this Agreement shall be in writing and (a) personally delivered (including by overnight delivery service) to the Party to whom it is given or delivered by an established delivery service by which receipts are given, (b) mailed by registered or certified mail, postage prepaid, or (c) sent by electronic mail with a copy sent on the following Business Day by one of the other methods of giving notice described in this </w:t>
      </w:r>
      <w:r>
        <w:rPr>
          <w:rFonts w:ascii="Times New Roman" w:hAnsi="Times New Roman"/>
          <w:sz w:val="20"/>
          <w:u w:val="single"/>
        </w:rPr>
        <w:t>Section 11.03</w:t>
      </w:r>
      <w:r>
        <w:rPr>
          <w:rFonts w:ascii="Times New Roman" w:hAnsi="Times New Roman"/>
          <w:sz w:val="20"/>
        </w:rPr>
        <w:t xml:space="preserve">, in each case addressed to the Party at its address listed in </w:t>
      </w:r>
      <w:r>
        <w:rPr>
          <w:rFonts w:ascii="Times New Roman" w:hAnsi="Times New Roman"/>
          <w:sz w:val="20"/>
          <w:u w:val="single"/>
        </w:rPr>
        <w:t>Schedule 11.03</w:t>
      </w:r>
      <w:r>
        <w:rPr>
          <w:rFonts w:ascii="Times New Roman" w:hAnsi="Times New Roman"/>
          <w:sz w:val="20"/>
        </w:rPr>
        <w:t xml:space="preserve"> attached hereto; </w:t>
      </w:r>
      <w:r>
        <w:rPr>
          <w:rFonts w:ascii="Times New Roman" w:hAnsi="Times New Roman"/>
          <w:sz w:val="20"/>
          <w:u w:val="single"/>
        </w:rPr>
        <w:t>provided</w:t>
      </w:r>
      <w:r>
        <w:rPr>
          <w:rFonts w:ascii="Times New Roman" w:hAnsi="Times New Roman"/>
          <w:sz w:val="20"/>
        </w:rPr>
        <w:t xml:space="preserve">, that any party may specify another address in a notice given in the manner required under this </w:t>
      </w:r>
      <w:r>
        <w:rPr>
          <w:rFonts w:ascii="Times New Roman" w:hAnsi="Times New Roman"/>
          <w:sz w:val="20"/>
          <w:u w:val="single"/>
        </w:rPr>
        <w:t>Section 11.03</w:t>
      </w:r>
      <w:r>
        <w:rPr>
          <w:rFonts w:ascii="Times New Roman" w:hAnsi="Times New Roman"/>
          <w:sz w:val="20"/>
        </w:rPr>
        <w:t xml:space="preserve">. All such notices and correspondence shall be deemed given (a) if sent by certified or registered mail, three (3) Business Days after being postmarked, (b) if sent by overnight delivery service or by hand delivery, when received at the above stated addresses or when delivery is refused and (c) if sent by electronic mail, when such transmission is confirmed. </w:t>
      </w:r>
    </w:p>
    <w:p>
      <w:pPr>
        <w:pStyle w:val="TextBody"/>
        <w:bidi w:val="0"/>
        <w:spacing w:before="240" w:after="0"/>
        <w:jc w:val="both"/>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Entire Agreement</w:t>
      </w:r>
      <w:r>
        <w:rPr>
          <w:rFonts w:ascii="Times New Roman" w:hAnsi="Times New Roman"/>
          <w:sz w:val="20"/>
        </w:rPr>
        <w:t xml:space="preserve">. This Agreement, together with the Exhibits and Schedules hereto (which are incorporated herein by reference), and the other Note Documents constitute the entire agreement between the Parties with respect to the subject matter hereof and supersede all prior agreements, understandings and negotiations, both written and oral, between the Parties with respect to the subject matter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Requisite Purchasers’ Consent</w:t>
      </w:r>
      <w:r>
        <w:rPr>
          <w:rFonts w:ascii="Times New Roman" w:hAnsi="Times New Roman"/>
          <w:sz w:val="20"/>
        </w:rPr>
        <w:t xml:space="preserve">. Subject to </w:t>
      </w:r>
      <w:r>
        <w:rPr>
          <w:rFonts w:ascii="Times New Roman" w:hAnsi="Times New Roman"/>
          <w:sz w:val="20"/>
          <w:u w:val="single"/>
        </w:rPr>
        <w:t>Section 11.05(b), Section 11.05(c) and Section 11.05(d)</w:t>
      </w:r>
      <w:r>
        <w:rPr>
          <w:rFonts w:ascii="Times New Roman" w:hAnsi="Times New Roman"/>
          <w:sz w:val="20"/>
        </w:rPr>
        <w:t xml:space="preserve">, no amendment, modification, termination or waiver of any provision of the Note Documents, or consent to any departure by the Issuers therefrom, shall in any event be effective without the written concurrence of the Agent, the Requisite Purchasers and the Issuers (with a copy of all amendments provided to the Agent); </w:t>
      </w:r>
      <w:r>
        <w:rPr>
          <w:rFonts w:ascii="Times New Roman" w:hAnsi="Times New Roman"/>
          <w:sz w:val="20"/>
          <w:u w:val="single"/>
        </w:rPr>
        <w:t>provided</w:t>
      </w:r>
      <w:r>
        <w:rPr>
          <w:rFonts w:ascii="Times New Roman" w:hAnsi="Times New Roman"/>
          <w:sz w:val="20"/>
        </w:rPr>
        <w:t xml:space="preserve">, the Agent (acting at the direction of the Requisite Purchasers) may, with the consent of the Issuers only, amend, modify or supplement this Agreement or any other Note Document (and such amendment, modification or supplement shall become effective without any further action or consent of any other party to such Note Document) to cure any ambiguity, omission, defect or inconsistency, in each case, of a technical or immaterial nature.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Affected Purchasers’ Consent</w:t>
      </w:r>
      <w:r>
        <w:rPr>
          <w:rFonts w:ascii="Times New Roman" w:hAnsi="Times New Roman"/>
          <w:sz w:val="20"/>
        </w:rPr>
        <w:t xml:space="preserve">. Without the written consent of each Purchaser that would be affected thereby, no amendment, modification, termination, or consent shall be effective if the effect thereof would: </w:t>
      </w:r>
    </w:p>
    <w:p>
      <w:pPr>
        <w:pStyle w:val="TextBody"/>
        <w:bidi w:val="0"/>
        <w:spacing w:before="120" w:after="0"/>
        <w:jc w:val="both"/>
        <w:rPr>
          <w:rFonts w:ascii="Times New Roman" w:hAnsi="Times New Roman"/>
          <w:sz w:val="20"/>
        </w:rPr>
      </w:pPr>
      <w:r>
        <w:rPr>
          <w:rFonts w:ascii="Times New Roman" w:hAnsi="Times New Roman"/>
          <w:sz w:val="20"/>
        </w:rPr>
        <w:t xml:space="preserve">(i) extend the scheduled final maturity of any Note; </w:t>
      </w:r>
    </w:p>
    <w:p>
      <w:pPr>
        <w:pStyle w:val="TextBody"/>
        <w:bidi w:val="0"/>
        <w:spacing w:before="120" w:after="0"/>
        <w:jc w:val="both"/>
        <w:rPr>
          <w:rFonts w:ascii="Times New Roman" w:hAnsi="Times New Roman"/>
          <w:sz w:val="20"/>
        </w:rPr>
      </w:pPr>
      <w:r>
        <w:rPr>
          <w:rFonts w:ascii="Times New Roman" w:hAnsi="Times New Roman"/>
          <w:sz w:val="20"/>
        </w:rPr>
        <w:t xml:space="preserve">(ii) waive, reduce or postpone any scheduled repayment; </w:t>
      </w:r>
    </w:p>
    <w:p>
      <w:pPr>
        <w:pStyle w:val="TextBody"/>
        <w:bidi w:val="0"/>
        <w:spacing w:before="120" w:after="0"/>
        <w:jc w:val="both"/>
        <w:rPr>
          <w:rFonts w:ascii="Times New Roman" w:hAnsi="Times New Roman"/>
          <w:sz w:val="20"/>
        </w:rPr>
      </w:pPr>
      <w:r>
        <w:rPr>
          <w:rFonts w:ascii="Times New Roman" w:hAnsi="Times New Roman"/>
          <w:sz w:val="20"/>
        </w:rPr>
        <w:t xml:space="preserve">(iii) reduce the rate of interest in respect of any Note (other than any waiver of any increase in the interest rate applicable to any Note pursuant to </w:t>
      </w:r>
      <w:r>
        <w:rPr>
          <w:rFonts w:ascii="Times New Roman" w:hAnsi="Times New Roman"/>
          <w:sz w:val="20"/>
          <w:u w:val="single"/>
        </w:rPr>
        <w:t>Section 3.02(b)</w:t>
      </w:r>
      <w:r>
        <w:rPr>
          <w:rFonts w:ascii="Times New Roman" w:hAnsi="Times New Roman"/>
          <w:sz w:val="20"/>
        </w:rPr>
        <w:t xml:space="preserve">) or any fee (including the Yield Maintenance Premium) payable hereunder; </w:t>
      </w:r>
    </w:p>
    <w:p>
      <w:pPr>
        <w:pStyle w:val="TextBody"/>
        <w:bidi w:val="0"/>
        <w:spacing w:before="120" w:after="0"/>
        <w:jc w:val="both"/>
        <w:rPr>
          <w:rFonts w:ascii="Times New Roman" w:hAnsi="Times New Roman"/>
          <w:sz w:val="20"/>
        </w:rPr>
      </w:pPr>
      <w:r>
        <w:rPr>
          <w:rFonts w:ascii="Times New Roman" w:hAnsi="Times New Roman"/>
          <w:sz w:val="20"/>
        </w:rPr>
        <w:t xml:space="preserve">(iv) waive or reduce, or extend the time for payment of, any interest or fees; </w:t>
      </w:r>
    </w:p>
    <w:p>
      <w:pPr>
        <w:pStyle w:val="TextBody"/>
        <w:bidi w:val="0"/>
        <w:spacing w:before="120" w:after="0"/>
        <w:jc w:val="both"/>
        <w:rPr>
          <w:rFonts w:ascii="Times New Roman" w:hAnsi="Times New Roman"/>
          <w:sz w:val="20"/>
        </w:rPr>
      </w:pPr>
      <w:r>
        <w:rPr>
          <w:rFonts w:ascii="Times New Roman" w:hAnsi="Times New Roman"/>
          <w:sz w:val="20"/>
        </w:rPr>
        <w:t xml:space="preserve">(v) reduce the Principal Amount in respect of any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(vi) amend, modify, terminate or waive any provision of (i) this </w:t>
      </w:r>
      <w:r>
        <w:rPr>
          <w:rFonts w:ascii="Times New Roman" w:hAnsi="Times New Roman"/>
          <w:sz w:val="20"/>
          <w:u w:val="single"/>
        </w:rPr>
        <w:t>Section 11.05(b), Section 11.05(c) or Section 11.05(d)</w:t>
      </w:r>
      <w:r>
        <w:rPr>
          <w:rFonts w:ascii="Times New Roman" w:hAnsi="Times New Roman"/>
          <w:sz w:val="20"/>
        </w:rPr>
        <w:t xml:space="preserve"> or (ii)</w:t>
      </w:r>
      <w:r>
        <w:rPr>
          <w:rFonts w:ascii="Times New Roman" w:hAnsi="Times New Roman"/>
          <w:sz w:val="20"/>
          <w:u w:val="single"/>
        </w:rPr>
        <w:t> Article II,</w:t>
      </w:r>
      <w:r>
        <w:rPr>
          <w:rFonts w:ascii="Times New Roman" w:hAnsi="Times New Roman"/>
          <w:sz w:val="20"/>
        </w:rPr>
        <w:t xml:space="preserve"> </w:t>
      </w:r>
      <w:r>
        <w:rPr>
          <w:rFonts w:ascii="Times New Roman" w:hAnsi="Times New Roman"/>
          <w:sz w:val="20"/>
          <w:u w:val="single"/>
        </w:rPr>
        <w:t>Section 3.03</w:t>
      </w:r>
      <w:r>
        <w:rPr>
          <w:rFonts w:ascii="Times New Roman" w:hAnsi="Times New Roman"/>
          <w:sz w:val="20"/>
        </w:rPr>
        <w:t xml:space="preserve">,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Section 3.06</w:t>
      </w:r>
      <w:r>
        <w:rPr>
          <w:rFonts w:ascii="Times New Roman" w:hAnsi="Times New Roman"/>
          <w:sz w:val="20"/>
        </w:rPr>
        <w:t xml:space="preserve">, or </w:t>
      </w:r>
      <w:r>
        <w:rPr>
          <w:rFonts w:ascii="Times New Roman" w:hAnsi="Times New Roman"/>
          <w:sz w:val="20"/>
          <w:u w:val="single"/>
        </w:rPr>
        <w:t>Section 3.08</w:t>
      </w:r>
      <w:r>
        <w:rPr>
          <w:rFonts w:ascii="Times New Roman" w:hAnsi="Times New Roman"/>
          <w:sz w:val="20"/>
        </w:rPr>
        <w:t xml:space="preserve"> or </w:t>
      </w:r>
      <w:r>
        <w:rPr>
          <w:rFonts w:ascii="Times New Roman" w:hAnsi="Times New Roman"/>
          <w:sz w:val="20"/>
          <w:u w:val="single"/>
        </w:rPr>
        <w:t>Article IV;</w:t>
      </w:r>
      <w:r>
        <w:rPr>
          <w:rFonts w:ascii="Times New Roman" w:hAnsi="Times New Roman"/>
          <w:sz w:val="20"/>
        </w:rPr>
        <w:t xml:space="preserve"> or </w:t>
      </w:r>
    </w:p>
    <w:p>
      <w:pPr>
        <w:pStyle w:val="TextBody"/>
        <w:bidi w:val="0"/>
        <w:spacing w:before="120" w:after="0"/>
        <w:jc w:val="both"/>
        <w:rPr>
          <w:rFonts w:ascii="Times New Roman" w:hAnsi="Times New Roman"/>
          <w:sz w:val="20"/>
        </w:rPr>
      </w:pPr>
      <w:r>
        <w:rPr>
          <w:rFonts w:ascii="Times New Roman" w:hAnsi="Times New Roman"/>
          <w:sz w:val="20"/>
        </w:rPr>
        <w:t xml:space="preserve">(vii) contractually subordinate the Obligations (or any portion thereof) or the Liens on any of the Collateral securing the Obligations (or any portion thereof) to any other Indebtedness. </w:t>
      </w:r>
    </w:p>
    <w:p>
      <w:pPr>
        <w:pStyle w:val="TextBody"/>
        <w:bidi w:val="0"/>
        <w:spacing w:before="120" w:after="0"/>
        <w:jc w:val="both"/>
        <w:rPr>
          <w:rFonts w:ascii="Times New Roman" w:hAnsi="Times New Roman"/>
          <w:sz w:val="20"/>
        </w:rPr>
      </w:pPr>
      <w:r>
        <w:rPr>
          <w:rFonts w:ascii="Times New Roman" w:hAnsi="Times New Roman"/>
          <w:sz w:val="20"/>
        </w:rPr>
        <w:t xml:space="preserve">(c) All Purchasers’ Consent. Without the written consent of all Purchasers, no amendment, modification, termination, or consent shall be effective if the effect thereof would: </w:t>
      </w:r>
    </w:p>
    <w:p>
      <w:pPr>
        <w:pStyle w:val="TextBody"/>
        <w:bidi w:val="0"/>
        <w:spacing w:before="120" w:after="0"/>
        <w:jc w:val="both"/>
        <w:rPr>
          <w:rFonts w:ascii="Times New Roman" w:hAnsi="Times New Roman"/>
          <w:sz w:val="20"/>
        </w:rPr>
      </w:pPr>
      <w:r>
        <w:rPr>
          <w:rFonts w:ascii="Times New Roman" w:hAnsi="Times New Roman"/>
          <w:sz w:val="20"/>
        </w:rPr>
        <w:t xml:space="preserve">(i) amend the definition of “Requisite Purchasers” or any other voting percentage set forth herein; </w:t>
      </w:r>
    </w:p>
    <w:p>
      <w:pPr>
        <w:pStyle w:val="TextBody"/>
        <w:bidi w:val="0"/>
        <w:spacing w:before="120" w:after="0"/>
        <w:jc w:val="both"/>
        <w:rPr>
          <w:rFonts w:ascii="Times New Roman" w:hAnsi="Times New Roman"/>
          <w:sz w:val="20"/>
        </w:rPr>
      </w:pPr>
      <w:r>
        <w:rPr>
          <w:rFonts w:ascii="Times New Roman" w:hAnsi="Times New Roman"/>
          <w:sz w:val="20"/>
        </w:rPr>
        <w:t xml:space="preserve">(ii) release or subordinate all or substantially all of the Collateral (other than in accordance with the express provisions of this Agreement as in effect on the Closing Date); </w:t>
      </w:r>
      <w:r>
        <w:rPr>
          <w:rFonts w:ascii="Times New Roman" w:hAnsi="Times New Roman"/>
          <w:sz w:val="20"/>
          <w:u w:val="single"/>
        </w:rPr>
        <w:t>provided</w:t>
      </w:r>
      <w:r>
        <w:rPr>
          <w:rFonts w:ascii="Times New Roman" w:hAnsi="Times New Roman"/>
          <w:sz w:val="20"/>
        </w:rPr>
        <w:t xml:space="preserve">, in connection with a “credit bid” undertaken by the Agent at the direction of the Requisite Purchasers pursuant to section 363(k), section 1129(b)(2)(a)(ii) or otherwise of the U.S. Bankruptcy Code or other sale or Disposition of assets in connection with an enforcement action with respect to the Collateral permitted pursuant to the Note Documents, only the consent of the Requisite Purchasers will be needed for such release; </w:t>
      </w:r>
    </w:p>
    <w:p>
      <w:pPr>
        <w:pStyle w:val="TextBody"/>
        <w:bidi w:val="0"/>
        <w:spacing w:before="120" w:after="0"/>
        <w:jc w:val="both"/>
        <w:rPr>
          <w:rFonts w:ascii="Times New Roman" w:hAnsi="Times New Roman"/>
          <w:sz w:val="20"/>
        </w:rPr>
      </w:pPr>
      <w:r>
        <w:rPr>
          <w:rFonts w:ascii="Times New Roman" w:hAnsi="Times New Roman"/>
          <w:sz w:val="20"/>
        </w:rPr>
        <w:t xml:space="preserve">(iii) release all or substantially all of the value of any Guarantee in respect of the Obligations (including any Bad Acts Guaranty) (other than in accordance with the express provisions of this Agreement as in effect on the Closing Date); or </w:t>
      </w:r>
    </w:p>
    <w:p>
      <w:pPr>
        <w:pStyle w:val="TextBody"/>
        <w:bidi w:val="0"/>
        <w:spacing w:before="120" w:after="0"/>
        <w:jc w:val="both"/>
        <w:rPr>
          <w:rFonts w:ascii="Times New Roman" w:hAnsi="Times New Roman"/>
          <w:sz w:val="20"/>
        </w:rPr>
      </w:pPr>
      <w:r>
        <w:rPr>
          <w:rFonts w:ascii="Times New Roman" w:hAnsi="Times New Roman"/>
          <w:sz w:val="20"/>
        </w:rPr>
        <w:t xml:space="preserve">(iv) consent to the assignment or transfer by an Issuer of any of its rights and obligations under any Note Document.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Agent Consent</w:t>
      </w:r>
      <w:r>
        <w:rPr>
          <w:rFonts w:ascii="Times New Roman" w:hAnsi="Times New Roman"/>
          <w:sz w:val="20"/>
        </w:rPr>
        <w:t xml:space="preserve">. No amendment, modification, termination or waiver of any provision of the Note Documents, or consent to any departure by an Issuer therefrom, shall amend, modify, terminate or waive any provision of </w:t>
      </w:r>
      <w:r>
        <w:rPr>
          <w:rFonts w:ascii="Times New Roman" w:hAnsi="Times New Roman"/>
          <w:sz w:val="20"/>
          <w:u w:val="single"/>
        </w:rPr>
        <w:t>Article XII</w:t>
      </w:r>
      <w:r>
        <w:rPr>
          <w:rFonts w:ascii="Times New Roman" w:hAnsi="Times New Roman"/>
          <w:sz w:val="20"/>
        </w:rPr>
        <w:t xml:space="preserve"> as the same applies to the Agent, or any other provision hereof as the same applies to the rights or obligations of the Agent or Account Bank, in each case without the consent of the Agent or Account Bank, as applicable.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Execution of Amendments, etc.</w:t>
      </w:r>
      <w:r>
        <w:rPr>
          <w:rFonts w:ascii="Times New Roman" w:hAnsi="Times New Roman"/>
          <w:sz w:val="20"/>
        </w:rPr>
        <w:t xml:space="preserve"> The Agent may, but shall have no obligation to, with the concurrence of the applicable Purchaser, execute amendments, modifications, waivers or consents on behalf of such Purchaser. Any waiver or consent shall be effective only in the specific instance and for the specific purpose for which it was given. No notice to or demand on an Issuer in any case shall entitle an Issuer to any other or further notice or demand in similar or other circumstances. Any amendment, modification, termination, waiver or consent effected in accordance with this </w:t>
      </w:r>
      <w:r>
        <w:rPr>
          <w:rFonts w:ascii="Times New Roman" w:hAnsi="Times New Roman"/>
          <w:sz w:val="20"/>
          <w:u w:val="single"/>
        </w:rPr>
        <w:t>Section 11.05</w:t>
      </w:r>
      <w:r>
        <w:rPr>
          <w:rFonts w:ascii="Times New Roman" w:hAnsi="Times New Roman"/>
          <w:sz w:val="20"/>
        </w:rPr>
        <w:t xml:space="preserve"> shall be binding upon each Purchaser at the time outstanding, each future Purchaser and, if signed by the Issuers, on the Issuers.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Remuneration; No Waiver of Rights</w:t>
      </w:r>
      <w:r>
        <w:rPr>
          <w:rFonts w:ascii="Times New Roman" w:hAnsi="Times New Roman"/>
          <w:sz w:val="20"/>
        </w:rPr>
        <w:t xml:space="preserve">. The Issuers will not directly or indirectly pay or cause to be paid any remuneration, whether by way of supplemental or additional interest, fee or otherwise, or grant any security or provide other credit support, to any Purchaser as consideration for or as an inducement to the entering into by any Purchaser of any waiver or amendment of any of the terms and provisions hereof or any other Note Document unless such remuneration is concurrently paid, or security is concurrently granted or other credit support is concurrently provided, on the same terms, ratably to each Purchaser holding Notes then outstanding even if such Purchaser did not consent to such waiver or amendment. Any amendment or waiver consented to as provided in this </w:t>
      </w:r>
      <w:r>
        <w:rPr>
          <w:rFonts w:ascii="Times New Roman" w:hAnsi="Times New Roman"/>
          <w:sz w:val="20"/>
          <w:u w:val="single"/>
        </w:rPr>
        <w:t>Section 11.05</w:t>
      </w:r>
      <w:r>
        <w:rPr>
          <w:rFonts w:ascii="Times New Roman" w:hAnsi="Times New Roman"/>
          <w:sz w:val="20"/>
        </w:rPr>
        <w:t xml:space="preserve"> applies equally to all Purchasers and is binding upon them and upon each future Purchaser and upon the Issuers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Issuers and any Purchaser nor any delay of any Purchaser or the Agent in exercising any rights hereunder or under any Note shall operate as a waiver of any rights of any Purchaser. Upon such amendment or interpretation, the Notes shall be deemed modified in accordance therewith, such amendment or interpretation shall form a part of the Notes for all purposes, and every subsequent Purchaser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No Delay; Waivers; etc</w:t>
      </w:r>
      <w:r>
        <w:rPr>
          <w:rFonts w:ascii="Times New Roman" w:hAnsi="Times New Roman"/>
          <w:sz w:val="20"/>
        </w:rPr>
        <w:t xml:space="preserve">. No delay on the part of the Agent or any Purchaser in exercising any power or right hereunder shall operate as a waiver thereof nor shall any single or partial exercise of any power or right hereunder preclude other or further exercise thereof or the exercise of any other power or right. Neither the Agent nor any Purchaser shall be deemed to have waived any rights hereunder unless such waiver shall be in writing and signed by the Agent or such Purchaser, as applicable. </w:t>
      </w:r>
    </w:p>
    <w:p>
      <w:pPr>
        <w:pStyle w:val="TextBody"/>
        <w:bidi w:val="0"/>
        <w:spacing w:before="240" w:after="0"/>
        <w:jc w:val="both"/>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Severability</w:t>
      </w:r>
      <w:r>
        <w:rPr>
          <w:rFonts w:ascii="Times New Roman" w:hAnsi="Times New Roman"/>
          <w:sz w:val="20"/>
        </w:rPr>
        <w:t xml:space="preserve">. If any provision of this Agreement is held to be invalid or unenforceable, the remaining provisions shall nevertheless be given full force and effect. Any provision of this Agreement held invalid or unenforceable only in part or degree by a court of competent jurisdiction shall remain in full force and effect to the extent not held invalid or unenforceable. </w:t>
      </w:r>
    </w:p>
    <w:p>
      <w:pPr>
        <w:pStyle w:val="TextBody"/>
        <w:bidi w:val="0"/>
        <w:spacing w:before="240" w:after="0"/>
        <w:jc w:val="both"/>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Determinations</w:t>
      </w:r>
      <w:r>
        <w:rPr>
          <w:rFonts w:ascii="Times New Roman" w:hAnsi="Times New Roman"/>
          <w:sz w:val="20"/>
        </w:rPr>
        <w:t xml:space="preserve">. Each determination or calculation by the Agent and Purchasers hereunder shall, in the absence of manifest error, be conclusive and binding on the Parties. </w:t>
      </w:r>
    </w:p>
    <w:p>
      <w:pPr>
        <w:pStyle w:val="TextBody"/>
        <w:bidi w:val="0"/>
        <w:spacing w:before="240" w:after="0"/>
        <w:jc w:val="both"/>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Replacement of Note</w:t>
      </w:r>
      <w:r>
        <w:rPr>
          <w:rFonts w:ascii="Times New Roman" w:hAnsi="Times New Roman"/>
          <w:sz w:val="20"/>
        </w:rPr>
        <w:t xml:space="preserve">. Upon the loss, theft, destruction, or mutilation of any Note and (a) in the case of loss, theft or destruction, upon receipt by the Issuers of indemnity or security reasonably satisfactory to it (except that if the holder of such Note is a Purchaser or any other financial institution of recognized responsibility, the holder’s own agreement of indemnity shall be deemed to be satisfactory; </w:t>
      </w:r>
      <w:r>
        <w:rPr>
          <w:rFonts w:ascii="Times New Roman" w:hAnsi="Times New Roman"/>
          <w:sz w:val="20"/>
          <w:u w:val="single"/>
        </w:rPr>
        <w:t>provided</w:t>
      </w:r>
      <w:r>
        <w:rPr>
          <w:rFonts w:ascii="Times New Roman" w:hAnsi="Times New Roman"/>
          <w:sz w:val="20"/>
        </w:rPr>
        <w:t xml:space="preserve">, that the Agent, OMERS Life Sciences and each of their Affiliates shall be deemed to be a financial institution of recognized responsibility) or (b) in the case of mutilation, upon surrender to the Issuers of any mutilated Note, the Issuers shall execute and deliver in lieu thereof a new Note dated as of the Closing Date, in the same Principal Amount. </w:t>
      </w:r>
    </w:p>
    <w:p>
      <w:pPr>
        <w:pStyle w:val="TextBody"/>
        <w:bidi w:val="0"/>
        <w:spacing w:before="240" w:after="0"/>
        <w:jc w:val="both"/>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Governing Law</w:t>
      </w:r>
      <w:r>
        <w:rPr>
          <w:rFonts w:ascii="Times New Roman" w:hAnsi="Times New Roman"/>
          <w:sz w:val="20"/>
        </w:rPr>
        <w:t xml:space="preserve">. THIS AGREEMENT AND EACH NOTE SHALL BE EXCLUSIVELY GOVERNED BY AND CONSTRUED IN ACCORDANCE WITH THE LAWS OF THE STATE OF NEW YORK, INCLUDING GENERAL OBLIGATIONS LAW SECTIONS 5-1401 AND 5-1402 BUT OTHERWISE WITHOUT GIVING EFFECT TO LAWS CONCERNING CONFLICT OF LAWS OR CHOICE OF FORUM THAT WOULD REQUIRE APPLICATION OF THE LAWS OF ANOTHER JURISDICTION. </w:t>
      </w:r>
    </w:p>
    <w:p>
      <w:pPr>
        <w:pStyle w:val="TextBody"/>
        <w:bidi w:val="0"/>
        <w:spacing w:before="240" w:after="0"/>
        <w:jc w:val="both"/>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Jurisdiction; Venue; Service of Process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of the Issuers, the Agent and each Purchaser irrevocably submits to the jurisdiction of any of the State courts of the State of New York located in the City of New York, Borough of Manhattan and of the federal courts of the United States for the Southern District of New York, and in each case, any appellate court therefrom with respect to any and all proceedings arising out of or relating to this Agreement or any other Transaction Document. Each of the Issuers, the Agent and each Purchaser irrevocably waives, to the fullest extent permitted by law, any objection which it may now or hereafter have to the laying of venue of any such proceeding and any claim that any such proceeding has been brought in an inconvenient forum. Each Issuer agrees that final judgment in any such suit, action or proceeding brought in such a court shall be conclusive and binding upon such Issuer and may be enforced in the New York courts (or any other courts to the jurisdiction of which such Issuer or the Collateral is subject) by a suit upon such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Each Issuer (and, to the extent set forth in any other Note Document, the Parent and TBIL)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Note Document by any means permitted by Law, including by the mailing thereof (by registered or certified mail, postage prepaid) to the address of such Issuer specified in </w:t>
      </w:r>
      <w:r>
        <w:rPr>
          <w:rFonts w:ascii="Times New Roman" w:hAnsi="Times New Roman"/>
          <w:sz w:val="20"/>
          <w:u w:val="single"/>
        </w:rPr>
        <w:t>Schedule 11.03</w:t>
      </w:r>
      <w:r>
        <w:rPr>
          <w:rFonts w:ascii="Times New Roman" w:hAnsi="Times New Roman"/>
          <w:sz w:val="20"/>
        </w:rPr>
        <w:t xml:space="preserve"> (and shall be effective when such mailing shall be effective, as provided therein). Each Issuer (and, to the extent set forth in any other Note Document, any other Note Party or Bad Acts Guarantor) agrees that a final judgment in any such action or proceeding shall be conclusive and may be enforced in other jurisdictions by suit on the judgment or in any other manner provided by law. TBIL hereby irrevocably designates, appoints and empowers Corporation Service Corporation (the “</w:t>
      </w:r>
      <w:r>
        <w:rPr>
          <w:rFonts w:ascii="Times New Roman" w:hAnsi="Times New Roman"/>
          <w:sz w:val="20"/>
          <w:u w:val="single"/>
        </w:rPr>
        <w:t>Process Agent</w:t>
      </w:r>
      <w:r>
        <w:rPr>
          <w:rFonts w:ascii="Times New Roman" w:hAnsi="Times New Roman"/>
          <w:sz w:val="20"/>
        </w:rPr>
        <w:t xml:space="preserve">”), located at 19 West 44th Street, Suite 200, New York, NY 10036, in the case of any such proceeding brought in the United States of America as its designee, appointee and agent to receive, accept and acknowledge for and on its behalf, and in respect of its property, service of any and all legal process, summons, notices and documents that may be served in any proceeding arising out of or in connection with this Agreement or any other Note Document. Such service may be made (a) by mailing (by registered or certified mail, postage prepaid) or delivering a copy of such process to the applicable Note Party in care of the Process Agent at the Process Agent’s above address, and each Note Party hereby irrevocably authorizes and directs the Process Agent to accept such service on its behalf or (b) by the mailing (by registered or certified mail, postage prepaid) of copies of such process to the Process Agent or the applicable Note Party at its address specified in </w:t>
      </w:r>
      <w:r>
        <w:rPr>
          <w:rFonts w:ascii="Times New Roman" w:hAnsi="Times New Roman"/>
          <w:sz w:val="20"/>
          <w:u w:val="single"/>
        </w:rPr>
        <w:t>Section 11.03</w:t>
      </w:r>
      <w:r>
        <w:rPr>
          <w:rFonts w:ascii="Times New Roman" w:hAnsi="Times New Roman"/>
          <w:sz w:val="20"/>
        </w:rPr>
        <w:t xml:space="preserve">, and each Note Party irrevocably consents to the service of any and all process in any such proceeding. Such appointment of the Process Agent shall be for a period ending no earlier than the first anniversary of the Maturity Date. </w:t>
      </w:r>
    </w:p>
    <w:p>
      <w:pPr>
        <w:pStyle w:val="TextBody"/>
        <w:bidi w:val="0"/>
        <w:spacing w:before="120" w:after="0"/>
        <w:jc w:val="both"/>
        <w:rPr>
          <w:rFonts w:ascii="Times New Roman" w:hAnsi="Times New Roman"/>
          <w:sz w:val="20"/>
        </w:rPr>
      </w:pPr>
      <w:r>
        <w:rPr>
          <w:rFonts w:ascii="Times New Roman" w:hAnsi="Times New Roman"/>
          <w:sz w:val="20"/>
        </w:rPr>
        <w:t xml:space="preserve">(c) Nothing contained in this </w:t>
      </w:r>
      <w:r>
        <w:rPr>
          <w:rFonts w:ascii="Times New Roman" w:hAnsi="Times New Roman"/>
          <w:sz w:val="20"/>
          <w:u w:val="single"/>
        </w:rPr>
        <w:t>Section 11.11</w:t>
      </w:r>
      <w:r>
        <w:rPr>
          <w:rFonts w:ascii="Times New Roman" w:hAnsi="Times New Roman"/>
          <w:sz w:val="20"/>
        </w:rPr>
        <w:t xml:space="preserve"> shall affect the right of the Agent or any Purchaser to serve process in any other manner permitted by Law or commence legal proceedings or otherwise proceed against any Note Party or Bad Acts Guarantor in any other jurisdiction. </w:t>
      </w:r>
    </w:p>
    <w:p>
      <w:pPr>
        <w:pStyle w:val="TextBody"/>
        <w:bidi w:val="0"/>
        <w:spacing w:before="240" w:after="0"/>
        <w:jc w:val="both"/>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Waiver of Jury Trial</w:t>
      </w:r>
      <w:r>
        <w:rPr>
          <w:rFonts w:ascii="Times New Roman" w:hAnsi="Times New Roman"/>
          <w:sz w:val="20"/>
        </w:rPr>
        <w:t xml:space="preserve">. EACH PARTY HEREBY IRREVOCABLY WAIVES, TO THE FULLEST EXTENT PERMITTED BY LAW, ANY AND ALL RIGHT TO TRIAL BY JURY IN ANY ACTION, PROCEEDING, CLAIM OR COUNTERCLAIM ARISING OUT OF OR RELATING TO ANY TRANSACTION DOCUMENT OR THE TRANSACTIONS CONTEMPLATED UNDER ANY TRANSACTION DOCUMENT (WHETHER BASED ON CONTRACT, TORT OR ANY OTHER THEORY). THIS WAIVER SHALL APPLY TO ANY SUBSEQUENT AMENDMENTS, RENEWALS, SUPPLEMENTS OR MODIFICATIONS TO ANY TRANSACTION DOCUMENT.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AGREEMENT BY, AMONG OTHER THINGS, THE MUTUAL WAIVERS AND CERTIFICATIONS IN THIS </w:t>
      </w:r>
      <w:r>
        <w:rPr>
          <w:rFonts w:ascii="Times New Roman" w:hAnsi="Times New Roman"/>
          <w:sz w:val="20"/>
          <w:u w:val="single"/>
        </w:rPr>
        <w:t>Section 11.12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Waiver of Immunity</w:t>
      </w:r>
      <w:r>
        <w:rPr>
          <w:rFonts w:ascii="Times New Roman" w:hAnsi="Times New Roman"/>
          <w:sz w:val="20"/>
        </w:rPr>
        <w:t xml:space="preserve">. To the extent that an Issuer has or hereafter may be entitled to claim or may acquire, for itself or any of its assets, any immunity from suit, jurisdiction of any court or from any legal process (whether through service or notice, attachment prior to judgment, attachment in aid of execution, or otherwise) with respect to itself or any of its property, each Issuer hereby irrevocably waives such immunity in respect of its obligations hereunder and under the Notes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Counterparts; Electronic Execution</w:t>
      </w:r>
      <w:r>
        <w:rPr>
          <w:rFonts w:ascii="Times New Roman" w:hAnsi="Times New Roman"/>
          <w:sz w:val="20"/>
        </w:rPr>
        <w:t xml:space="preserve">. This Agreement may be executed in any number of counterparts, each of which shall be deemed an original, but all of which shall constitute one and the same instrument. Delivery of an executed counterpart of a signature page of this Agreement by facsimile or in electronic (e.g., “pdf” or “tif”) format shall be effective as delivery of a manually executed counterpart of this Agreement. The words “execution,” “signed,” “signature,” and words of like import in this Agreement and the other Note Documents shall be deemed to include electronic signatures or electronic records, each of which shall be of the same legal effect, validity and enforceability as a manually executed signature or the use of a paper-based recordkeeping system, as the case may be, to the extent and as provided for in any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both"/>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Limitation on Rights of Others</w:t>
      </w:r>
      <w:r>
        <w:rPr>
          <w:rFonts w:ascii="Times New Roman" w:hAnsi="Times New Roman"/>
          <w:sz w:val="20"/>
        </w:rPr>
        <w:t xml:space="preserve">. Except for the Indemnitees referred to in </w:t>
      </w:r>
      <w:r>
        <w:rPr>
          <w:rFonts w:ascii="Times New Roman" w:hAnsi="Times New Roman"/>
          <w:sz w:val="20"/>
          <w:u w:val="single"/>
        </w:rPr>
        <w:t>Section 10.01</w:t>
      </w:r>
      <w:r>
        <w:rPr>
          <w:rFonts w:ascii="Times New Roman" w:hAnsi="Times New Roman"/>
          <w:sz w:val="20"/>
        </w:rPr>
        <w:t xml:space="preserve"> and the Account Bank in </w:t>
      </w:r>
      <w:r>
        <w:rPr>
          <w:rFonts w:ascii="Times New Roman" w:hAnsi="Times New Roman"/>
          <w:sz w:val="20"/>
          <w:u w:val="single"/>
        </w:rPr>
        <w:t>Section 10.03</w:t>
      </w:r>
      <w:r>
        <w:rPr>
          <w:rFonts w:ascii="Times New Roman" w:hAnsi="Times New Roman"/>
          <w:sz w:val="20"/>
        </w:rPr>
        <w:t xml:space="preserve">, no Person other than a Party shall have any legal or equitable right, remedy or claim under or in respect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Survival</w:t>
      </w:r>
      <w:r>
        <w:rPr>
          <w:rFonts w:ascii="Times New Roman" w:hAnsi="Times New Roman"/>
          <w:sz w:val="20"/>
        </w:rPr>
        <w:t xml:space="preserve">. The obligations of the Issuers contained in </w:t>
      </w:r>
      <w:r>
        <w:rPr>
          <w:rFonts w:ascii="Times New Roman" w:hAnsi="Times New Roman"/>
          <w:sz w:val="20"/>
          <w:u w:val="single"/>
        </w:rPr>
        <w:t>Section 3.02(c),</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this </w:t>
      </w:r>
      <w:r>
        <w:rPr>
          <w:rFonts w:ascii="Times New Roman" w:hAnsi="Times New Roman"/>
          <w:sz w:val="20"/>
          <w:u w:val="single"/>
        </w:rPr>
        <w:t>Section 11.16</w:t>
      </w:r>
      <w:r>
        <w:rPr>
          <w:rFonts w:ascii="Times New Roman" w:hAnsi="Times New Roman"/>
          <w:sz w:val="20"/>
        </w:rPr>
        <w:t xml:space="preserve"> shall survive the repayment of the Obligations and the cancellation of any Note and the termination of the other obligations of the Issuers 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11.17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Until Payment in Full, and for a period of one (1) year thereafter, each Party agrees to keep confidential, and not disclose to any Person all non-public information provided to them by or on behalf of any other Party pursuant to this Agreement or any other Note Document that is designated as confidential in accordance with such Party’s customary procedures for handling its own Confidential Information;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11.17(b)</w:t>
      </w:r>
      <w:r>
        <w:rPr>
          <w:rFonts w:ascii="Times New Roman" w:hAnsi="Times New Roman"/>
          <w:sz w:val="20"/>
        </w:rPr>
        <w:t xml:space="preserve">, nothing herein shall prevent the Agent or any Purchaser from disclosing any such information (i) to the Agent, any other Purchaser or any Affiliate of a Purchaser, (ii) subject to an agreement to keep the Confidential Information confidential on terms that are at least as restrictive as this </w:t>
      </w:r>
      <w:r>
        <w:rPr>
          <w:rFonts w:ascii="Times New Roman" w:hAnsi="Times New Roman"/>
          <w:sz w:val="20"/>
          <w:u w:val="single"/>
        </w:rPr>
        <w:t>Section 11.17</w:t>
      </w:r>
      <w:r>
        <w:rPr>
          <w:rFonts w:ascii="Times New Roman" w:hAnsi="Times New Roman"/>
          <w:sz w:val="20"/>
        </w:rPr>
        <w:t xml:space="preserve">, to any actual or prospective Assignee permitted under </w:t>
      </w:r>
      <w:r>
        <w:rPr>
          <w:rFonts w:ascii="Times New Roman" w:hAnsi="Times New Roman"/>
          <w:sz w:val="20"/>
          <w:u w:val="single"/>
        </w:rPr>
        <w:t>Section 11.01</w:t>
      </w:r>
      <w:r>
        <w:rPr>
          <w:rFonts w:ascii="Times New Roman" w:hAnsi="Times New Roman"/>
          <w:sz w:val="20"/>
        </w:rPr>
        <w:t xml:space="preserve"> or to any actual or prospective participant, derivative counterparty or financing source or capital provider (or potential financing source or capital provider) of a Purchaser or its Affiliates and related funds, (iii) to its Related Parties, insurers, consultants, attorneys and accountants (</w:t>
      </w:r>
      <w:r>
        <w:rPr>
          <w:rFonts w:ascii="Times New Roman" w:hAnsi="Times New Roman"/>
          <w:sz w:val="20"/>
          <w:u w:val="single"/>
        </w:rPr>
        <w:t>provided</w:t>
      </w:r>
      <w:r>
        <w:rPr>
          <w:rFonts w:ascii="Times New Roman" w:hAnsi="Times New Roman"/>
          <w:sz w:val="20"/>
        </w:rPr>
        <w:t xml:space="preserve">, that in each case, such Persons were informed of the confidential nature of such Confidential Information and instructed to keep such information confidential or are otherwise subject to professional obligations to maintain the confidentiality of such Confidential Information), (iv) upon the requirement or demand of any Governmental Authority or any Regulatory Agency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Times New Roman" w:hAnsi="Times New Roman"/>
          <w:sz w:val="20"/>
          <w:u w:val="single"/>
        </w:rPr>
        <w:t>clause (a)</w:t>
      </w:r>
      <w:r>
        <w:rPr>
          <w:rFonts w:ascii="Times New Roman" w:hAnsi="Times New Roman"/>
          <w:sz w:val="20"/>
        </w:rPr>
        <w:t xml:space="preserve">), (viii) to the National Association of Insurance Commissioners or any similar organization or any nationally recognized rating agency that requires access to information about a Purchaser’s investment portfolio in connection with ratings issued with respect to such Purchaser, (ix) to the extent necessary in connection with the exercise of any remedy hereunder or under any other Note Document, (x) on a confidential basis to any rating agency in connection with rating the Issuers or the Notes or (xi) to any other Party; </w:t>
      </w:r>
      <w:r>
        <w:rPr>
          <w:rFonts w:ascii="Times New Roman" w:hAnsi="Times New Roman"/>
          <w:sz w:val="20"/>
          <w:u w:val="single"/>
        </w:rPr>
        <w:t>provided</w:t>
      </w:r>
      <w:r>
        <w:rPr>
          <w:rFonts w:ascii="Times New Roman" w:hAnsi="Times New Roman"/>
          <w:sz w:val="20"/>
        </w:rPr>
        <w:t xml:space="preserve">, that in the case of disclosure pursuant to </w:t>
      </w:r>
      <w:r>
        <w:rPr>
          <w:rFonts w:ascii="Times New Roman" w:hAnsi="Times New Roman"/>
          <w:sz w:val="20"/>
          <w:u w:val="single"/>
        </w:rPr>
        <w:t>clauses (iv)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above, the Agent or applicable Purchaser, as applicable, shall promptly provide notice to the Issuers to the extent reasonable and not prohibited by Law or any applicable Governmental Authority. Notwithstanding anything to the contrary in this </w:t>
      </w:r>
      <w:r>
        <w:rPr>
          <w:rFonts w:ascii="Times New Roman" w:hAnsi="Times New Roman"/>
          <w:sz w:val="20"/>
          <w:u w:val="single"/>
        </w:rPr>
        <w:t>clause (a)</w:t>
      </w:r>
      <w:r>
        <w:rPr>
          <w:rFonts w:ascii="Times New Roman" w:hAnsi="Times New Roman"/>
          <w:sz w:val="20"/>
        </w:rPr>
        <w:t xml:space="preserve">, nothing herein shall prohibit portfolio managers acting as financial advisors to the Agent or any Purchaser, or any of their respective Related Parties, from engaging in ordinary brokerage, investment, money management and other normal course business activities with respect to, or involving the acquisition of, any securities issued by Parent or its Affiliates. No Party hereto may disclose any Confidential Information to any of its portfolio companies; </w:t>
      </w:r>
      <w:r>
        <w:rPr>
          <w:rFonts w:ascii="Times New Roman" w:hAnsi="Times New Roman"/>
          <w:sz w:val="20"/>
          <w:u w:val="single"/>
        </w:rPr>
        <w:t>provided</w:t>
      </w:r>
      <w:r>
        <w:rPr>
          <w:rFonts w:ascii="Times New Roman" w:hAnsi="Times New Roman"/>
          <w:sz w:val="20"/>
        </w:rPr>
        <w:t xml:space="preserve">, that no Related Party of such Party shall be deemed to have disclosed Confidential Information by virtue of such Related Party’s service as a director, officer or employee of such portfolio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portfolio company or any Related Party shall be bound by the obligations of this </w:t>
      </w:r>
      <w:r>
        <w:rPr>
          <w:rFonts w:ascii="Times New Roman" w:hAnsi="Times New Roman"/>
          <w:sz w:val="20"/>
          <w:u w:val="single"/>
        </w:rPr>
        <w:t>clause (a)</w:t>
      </w:r>
      <w:r>
        <w:rPr>
          <w:rFonts w:ascii="Times New Roman" w:hAnsi="Times New Roman"/>
          <w:sz w:val="20"/>
        </w:rPr>
        <w:t> unless it has actually received Confidential Information. For the avoidance of doubt, nothing in the confidentiality provision shall prohibit any individual from voluntarily disclosing or providing any information within the scope of this confidentiality provision regarding suspected violations of laws, rules or regulations to any governmental, regulatory or self-regulatory organization (any such entity, a “</w:t>
      </w:r>
      <w:r>
        <w:rPr>
          <w:rFonts w:ascii="Times New Roman" w:hAnsi="Times New Roman"/>
          <w:sz w:val="20"/>
          <w:u w:val="single"/>
        </w:rPr>
        <w:t>Regulatory Authority</w:t>
      </w:r>
      <w:r>
        <w:rPr>
          <w:rFonts w:ascii="Times New Roman" w:hAnsi="Times New Roman"/>
          <w:sz w:val="20"/>
        </w:rPr>
        <w:t xml:space="preserve">”) to the extent that any such prohibition on disclosure set forth in this confidentiality provision shall be prohibited by the laws or regulations applicable to such Regulatory Authority. Notwithstanding anything to the contrary in this </w:t>
      </w:r>
      <w:r>
        <w:rPr>
          <w:rFonts w:ascii="Times New Roman" w:hAnsi="Times New Roman"/>
          <w:sz w:val="20"/>
          <w:u w:val="single"/>
        </w:rPr>
        <w:t>clause (a)</w:t>
      </w:r>
      <w:r>
        <w:rPr>
          <w:rFonts w:ascii="Times New Roman" w:hAnsi="Times New Roman"/>
          <w:sz w:val="20"/>
        </w:rPr>
        <w:t xml:space="preserve">, Collaboration Partner Confidential Information may be used and disclosed only to the extent permitted by Article 9 of the Collaboration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Agent, Purchasers and the Issuers agree that no Party hereto may make any public announcement or disclosure of this Agreement, the Note Documents, the Transactions or their role or services provided in connection with the foregoing (whether general or specific, and including customary advertisements in financial or other newspapers or periodicals, on a home page or similar place for dissemination of customary information on the Internet or worldwide web, similar promotional materials in the form of a “tombstone” or otherwise describing the names of the Issuers and their Affiliates (or any of them) or the amount, type or closing date of this Agreement, the Note Documents or the Transactions), in each case without the prior written consent of the Issuers and OMERS Life Sciences;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11.17</w:t>
      </w:r>
      <w:r>
        <w:rPr>
          <w:rFonts w:ascii="Times New Roman" w:hAnsi="Times New Roman"/>
          <w:sz w:val="20"/>
        </w:rPr>
        <w:t xml:space="preserve"> shall restrict (i) any disclosure required by Law, rule, regulation, compulsory legal process or the rules of any securities exchange (including any listing particulars, prospectus or similar offering document prepared in connection with the listing of the Notes contemplated by the Note Documents), (ii) any disclosure of the existence and terms of this Agreement and the other Note Documents in any offering memorandum, listing particulars, prospectus or similar marketing or offering materials prepared in connection with the Notes, or in any proxy statement or other public or regulatory filing, in each case, to the extent required or customary for transactions of this type or (iii) any disclosure of information that has become publicly available other than by reason of a breach of this </w:t>
      </w:r>
      <w:r>
        <w:rPr>
          <w:rFonts w:ascii="Times New Roman" w:hAnsi="Times New Roman"/>
          <w:sz w:val="20"/>
          <w:u w:val="single"/>
        </w:rPr>
        <w:t>Section 11.17</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11.18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Purchaser, by its acceptance of a Note, (x) represents and warrants, as of the date such Person became a Purchaser party hereto, to, and (y) covenants, from the date such Person became a Purchaser party hereto to the date such Person ceases being a Purchaser party hereto, that at least one of the following is and will be true: </w:t>
      </w:r>
    </w:p>
    <w:p>
      <w:pPr>
        <w:pStyle w:val="TextBody"/>
        <w:bidi w:val="0"/>
        <w:spacing w:before="120" w:after="0"/>
        <w:jc w:val="both"/>
        <w:rPr>
          <w:rFonts w:ascii="Times New Roman" w:hAnsi="Times New Roman"/>
          <w:sz w:val="20"/>
        </w:rPr>
      </w:pPr>
      <w:r>
        <w:rPr>
          <w:rFonts w:ascii="Times New Roman" w:hAnsi="Times New Roman"/>
          <w:sz w:val="20"/>
        </w:rPr>
        <w:t xml:space="preserve">(i) such Purchaser is not using “plan assets” (within the meaning of Section 3(42) of ERISA or otherwise) of one or more Benefit Plans with respect to such Purchaser’s entrance into, participation in, administration of and performance of the Notes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Purchaser’s entrance into, participation in, administration of and performance of the Notes and this Agreement and the conditions for exemptive relief thereunder are and will continue to be satisfied in connection therewith; </w:t>
      </w:r>
    </w:p>
    <w:p>
      <w:pPr>
        <w:pStyle w:val="TextBody"/>
        <w:bidi w:val="0"/>
        <w:spacing w:before="120" w:after="0"/>
        <w:jc w:val="both"/>
        <w:rPr>
          <w:rFonts w:ascii="Times New Roman" w:hAnsi="Times New Roman"/>
          <w:sz w:val="20"/>
        </w:rPr>
      </w:pPr>
      <w:r>
        <w:rPr>
          <w:rFonts w:ascii="Times New Roman" w:hAnsi="Times New Roman"/>
          <w:sz w:val="20"/>
        </w:rPr>
        <w:t xml:space="preserve">(iii) (A) such Purchaser is an investment fund managed by a “Qualified Professional Asset Manager” (within the meaning of Section VI of PTE 84-14), (B) such Qualified Professional Asset Manager made the investment decision on behalf of such Purchaser to enter into, participate in, administer and perform the Notes and this Agreement, (C) the entrance into, participation in, administration of and performance of the Notes and this Agreement satisfies the requirements of subsections (b) through (g) and (k) of Section I of PTE 84-14 and (D) to the best Knowledge of such Purchaser, the requirements of subsection (a) of Section I of PTE 84-14 are satisfied with respect to such Purchaser’s entrance into, participation in, administration of and performance of the Notes and this Agreement; or </w:t>
      </w:r>
    </w:p>
    <w:p>
      <w:pPr>
        <w:pStyle w:val="TextBody"/>
        <w:bidi w:val="0"/>
        <w:spacing w:before="120" w:after="0"/>
        <w:jc w:val="both"/>
        <w:rPr>
          <w:rFonts w:ascii="Times New Roman" w:hAnsi="Times New Roman"/>
          <w:sz w:val="20"/>
        </w:rPr>
      </w:pPr>
      <w:r>
        <w:rPr>
          <w:rFonts w:ascii="Times New Roman" w:hAnsi="Times New Roman"/>
          <w:sz w:val="20"/>
        </w:rPr>
        <w:t xml:space="preserve">(iv) such other representation, warranty and covenant as may be agreed in writing between the Agent, in its sole discretion, such Purchaser and the Issuers, </w:t>
      </w:r>
      <w:r>
        <w:rPr>
          <w:rFonts w:ascii="Times New Roman" w:hAnsi="Times New Roman"/>
          <w:sz w:val="20"/>
          <w:u w:val="single"/>
        </w:rPr>
        <w:t>provided</w:t>
      </w:r>
      <w:r>
        <w:rPr>
          <w:rFonts w:ascii="Times New Roman" w:hAnsi="Times New Roman"/>
          <w:sz w:val="20"/>
        </w:rPr>
        <w:t xml:space="preserve"> that the Issuers’ consent may not be unreasonably withheld. </w:t>
      </w:r>
    </w:p>
    <w:p>
      <w:pPr>
        <w:pStyle w:val="TextBody"/>
        <w:bidi w:val="0"/>
        <w:spacing w:before="120" w:after="0"/>
        <w:jc w:val="both"/>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Purchaser or (2) a Purchaser has provided another representation, warranty and covenant in accordance with </w:t>
      </w:r>
      <w:r>
        <w:rPr>
          <w:rFonts w:ascii="Times New Roman" w:hAnsi="Times New Roman"/>
          <w:sz w:val="20"/>
          <w:u w:val="single"/>
        </w:rPr>
        <w:t>subclause (iv)</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such Purchaser further (x) represents and warrants, as of the date such Person became a Purchaser party hereto, to, and (y) covenants, from the date such Person became a Purchaser party hereto to the date such Person ceases being a Purchaser party hereto, for the benefit of, the Agent and not, for the avoidance of doubt, to or for the benefit of the Issuers, that the Agent is not a fiduciary with respect to the assets of such Purchaser involved in such Purchaser’s entrance into, participation in, administration of and performance of the Notes and this Agreement (including in connection with the reservation or exercise of any rights by the Agent under this Agreement, any Note Document or any documents related hereto or thereto). </w:t>
      </w:r>
    </w:p>
    <w:p>
      <w:pPr>
        <w:pStyle w:val="TextBody"/>
        <w:bidi w:val="0"/>
        <w:spacing w:before="120" w:after="0"/>
        <w:jc w:val="both"/>
        <w:rPr>
          <w:rFonts w:ascii="Times New Roman" w:hAnsi="Times New Roman"/>
          <w:sz w:val="20"/>
        </w:rPr>
      </w:pPr>
      <w:r>
        <w:rPr>
          <w:rFonts w:ascii="Times New Roman" w:hAnsi="Times New Roman"/>
          <w:sz w:val="20"/>
        </w:rPr>
        <w:t xml:space="preserve">(c) Each of the Agent and its respective Affiliates hereby informs the Purchasers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Notes and this Agreement, (ii) may recognize a gain if it purchased the Notes for an amount less than the amount being paid for an interest on the Principal Amount of the Notes held by such Purchaser or (iii) may receive fees or other payments in connection with the transactions contemplated hereby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11.19 </w:t>
      </w:r>
      <w:r>
        <w:rPr>
          <w:rFonts w:ascii="Times New Roman" w:hAnsi="Times New Roman"/>
          <w:sz w:val="20"/>
          <w:u w:val="single"/>
        </w:rPr>
        <w:t>Patriot Act Notification</w:t>
      </w:r>
      <w:r>
        <w:rPr>
          <w:rFonts w:ascii="Times New Roman" w:hAnsi="Times New Roman"/>
          <w:sz w:val="20"/>
        </w:rPr>
        <w:t xml:space="preserve">. The Agent and each Purchaser hereby notify the Issuers that, consistent with the Patriot Act, regulations promulgated thereunder and under other Law, the Agent’s and such Purchaser’s procedures and customer due diligence standards may require it to obtain, verify and record information that identifies the Issuers, including among other things name, address, information regarding Persons with authority or control over the Issuers, and other information regarding the Issuers, its operations and transactions with the Agent and Purchasers. Each Issuer agrees to provide such information and take such actions as are reasonably requested by the Agent or any Purchaser in order to assist them in maintaining compliance with its procedures, the Patriot Act and any other Laws. </w:t>
      </w:r>
    </w:p>
    <w:p>
      <w:pPr>
        <w:pStyle w:val="TextBody"/>
        <w:bidi w:val="0"/>
        <w:spacing w:before="240" w:after="0"/>
        <w:jc w:val="both"/>
        <w:rPr>
          <w:rFonts w:ascii="Times New Roman" w:hAnsi="Times New Roman"/>
          <w:sz w:val="20"/>
        </w:rPr>
      </w:pPr>
      <w:r>
        <w:rPr>
          <w:rFonts w:ascii="Times New Roman" w:hAnsi="Times New Roman"/>
          <w:sz w:val="20"/>
        </w:rPr>
        <w:t xml:space="preserve">Section 11.20 </w:t>
      </w:r>
      <w:r>
        <w:rPr>
          <w:rFonts w:ascii="Times New Roman" w:hAnsi="Times New Roman"/>
          <w:sz w:val="20"/>
          <w:u w:val="single"/>
        </w:rPr>
        <w:t>Injunction Relief; Waiver of Stay, Extension or Usury Laws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Injunctive Relief.</w:t>
      </w:r>
      <w:r>
        <w:rPr>
          <w:rFonts w:ascii="Times New Roman" w:hAnsi="Times New Roman"/>
          <w:sz w:val="20"/>
        </w:rPr>
        <w:t xml:space="preserve"> Each Issuer recognizes that, in the event an Issuer fails to perform, observe or discharge any of its obligations or liabilities under this Agreement or the other Note Documents, any remedy of law may prove to be inadequate relief to the Purchasers. Therefore, each Issuer agrees that the Agent and Purchasers, at the Agent or Requisite Purchasers’ option, shall be entitled to temporary and permanent injunctive relief in any such case without the necessity of proving actual damages.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 of Stay, Extension or Usury Laws</w:t>
      </w:r>
      <w:r>
        <w:rPr>
          <w:rFonts w:ascii="Times New Roman" w:hAnsi="Times New Roman"/>
          <w:sz w:val="20"/>
        </w:rPr>
        <w:t xml:space="preserve">. Notwithstanding any other provision of this Agreement or the other Note Documents, if at any time the rate of interest payable by any Person under the Note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Law not limited the interest rate so payable. In no event shall the total interest received by Purchasers under this Agreement and the other Note Documents exceed the amount which such Purchaser could lawfully have received, had the interest due been calculated from the Closing Date at the Maximum Lawful Rate. In determining whether the interest contracted for, charged, or received by the Agent or a Purchaser exceeds the Maximum Lawful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Without limiting the foregoing, each Issuer will not at any time, to the extent that it may lawfully not do so, insist upon, or plead, or in any manner whatsoever claim or take the benefit or advantage of, any stay or extension law or other law that would prohibit or forgive an Issuer from paying all or any portion of the principal of or premium, if any, or interest on the Notes as contemplated herein, wherever enacted, now or at any time hereafter in force, or that may affect the covenants or the performance of this Agreement; and, to the extent that it may lawfully do so, each Issuer hereby expressly waives all benefit or advantage of any such law and expressly agrees that it will not hinder, delay or impede the execution of any power herein granted to the Agent or any Purchaser, but will suffer and permit the execution of every such power as though no such law had been enacted. </w:t>
      </w:r>
    </w:p>
    <w:p>
      <w:pPr>
        <w:pStyle w:val="TextBody"/>
        <w:bidi w:val="0"/>
        <w:spacing w:before="240" w:after="0"/>
        <w:jc w:val="both"/>
        <w:rPr>
          <w:rFonts w:ascii="Times New Roman" w:hAnsi="Times New Roman"/>
          <w:sz w:val="20"/>
        </w:rPr>
      </w:pPr>
      <w:r>
        <w:rPr>
          <w:rFonts w:ascii="Times New Roman" w:hAnsi="Times New Roman"/>
          <w:sz w:val="20"/>
        </w:rPr>
        <w:t xml:space="preserve">Section 11.21 </w:t>
      </w:r>
      <w:r>
        <w:rPr>
          <w:rFonts w:ascii="Times New Roman" w:hAnsi="Times New Roman"/>
          <w:sz w:val="20"/>
          <w:u w:val="single"/>
        </w:rPr>
        <w:t>Third Parties</w:t>
      </w:r>
      <w:r>
        <w:rPr>
          <w:rFonts w:ascii="Times New Roman" w:hAnsi="Times New Roman"/>
          <w:sz w:val="20"/>
        </w:rPr>
        <w:t xml:space="preserve">. Except as expressly set forth in </w:t>
      </w:r>
      <w:r>
        <w:rPr>
          <w:rFonts w:ascii="Times New Roman" w:hAnsi="Times New Roman"/>
          <w:sz w:val="20"/>
          <w:u w:val="single"/>
        </w:rPr>
        <w:t>Section 11.15</w:t>
      </w:r>
      <w:r>
        <w:rPr>
          <w:rFonts w:ascii="Times New Roman" w:hAnsi="Times New Roman"/>
          <w:sz w:val="20"/>
        </w:rPr>
        <w:t xml:space="preserve">, nothing in this Agreement or any other Note Document, whether express or implied (other than, for the avoidance of doubt, the Servicing Agreement, and solely to the extent stated therein for the benefit of the Agent and Purchasers),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11.22 </w:t>
      </w:r>
      <w:r>
        <w:rPr>
          <w:rFonts w:ascii="Times New Roman" w:hAnsi="Times New Roman"/>
          <w:sz w:val="20"/>
          <w:u w:val="single"/>
        </w:rPr>
        <w:t>Intent</w:t>
      </w:r>
      <w:r>
        <w:rPr>
          <w:rFonts w:ascii="Times New Roman" w:hAnsi="Times New Roman"/>
          <w:sz w:val="20"/>
        </w:rPr>
        <w:t xml:space="preserve">. The Agent and each Issuer hereby acknowledge and intend and, by accepting a Note, each Purchaser acknowledges and intends, that (i) the Notes are each a “security” as that term is used and defined in Section 101(49) of the U.S. Bankruptcy Code; (ii) this Agreement constitutes a “securities contract” as defined in Section 741(7)(A) of the U.S. Bankruptcy Code and a “master netting agreement” as defined in Section 101(38A)(A) of the U.S. Bankruptcy Code; (iii) each of the Note Documents, the Collateral Documents and any pledge or security interest granted therein or herein are related to this Agreement, and constitutes a security agreement or arrangement or other credit enhancement related to a “securities contract” as defined in Section 741(7)(A)(xi) of the U.S. Bankruptcy Code, a security agreement or arrangement or other credit enhancement related to a “master netting agreement” as defined in Section 101(38A)(A) of the U.S. Bankruptcy Code, and as such, each is also a “securities contract” and “master netting agreement”; (iv) payments and/or transfers under this Agreement, the Note Documents, the Collateral Documents and any pledge or security interest granted therein or herein each constitute transfers made by, to or for the benefit of a financial institution, financial participant or master netting agreement participant within the meaning of Section 546(e) or 546(j) of the U.S. Bankruptcy Code, and (v) each of the Purchasers, Secured Parties and/or the Agent qualify as a “financial institution,” “financial participant,” “master netting participant” or other entity listed in Section 555, 561, 362(b)(6) or 362(b)(27) of the U.S. Bankruptcy Code for the “safe harbor” benefits and protections afforded under the U.S. Bankruptcy Code with respect to a “securities contract” and a “master netting agreement,” including the rights under Sections 362(b)(6), 362(b)(27), 362(o), 546, 555 and 561 of the U.S. Bankruptcy Code. </w:t>
      </w:r>
    </w:p>
    <w:p>
      <w:pPr>
        <w:pStyle w:val="TextBody"/>
        <w:bidi w:val="0"/>
        <w:spacing w:before="240" w:after="0"/>
        <w:jc w:val="both"/>
        <w:rPr>
          <w:rFonts w:ascii="Times New Roman" w:hAnsi="Times New Roman"/>
          <w:sz w:val="20"/>
        </w:rPr>
      </w:pPr>
      <w:r>
        <w:rPr>
          <w:rFonts w:ascii="Times New Roman" w:hAnsi="Times New Roman"/>
          <w:sz w:val="20"/>
        </w:rPr>
        <w:t xml:space="preserve">Section 11.23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under any Note Document in one currency into another currency, the rate of exchange used shall be that at which in accordance with normal banking procedures the Agent could purchase the first currency with such other currency on the Business Day preceding that on which final judgment is given. The obligation of the Issuers in respect of any such sum due from it to the Agent or Purchaser under any Note Document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Agent or Purchaser, as the case may be, of any sum adjudged to be so due in the Judgment Currency, the Agent or Purchaser, as the case may be, may in accordance with normal banking procedures purchase the Agreement Currency with the Judgment Currency. If the amount of the Agreement Currency so purchased is less than the sum originally due to the Agent or Purchaser from the Issuers in the Agreement Currency, each Issuer agrees, as a separate obligation and notwithstanding any such judgment, to indemnify the Agent or Purchaser, as the case may be, against such loss. If the amount of the Agreement Currency so purchased is greater than the sum originally due to the Agent or Purchaser in such currency, the Agent or Purchaser, as the case may be, agrees to return the amount of any excess to the Issuers (or to any other Person who may be entitled thereto under Law). </w:t>
      </w:r>
    </w:p>
    <w:p>
      <w:pPr>
        <w:pStyle w:val="TextBody"/>
        <w:bidi w:val="0"/>
        <w:spacing w:before="240" w:after="0"/>
        <w:jc w:val="both"/>
        <w:rPr>
          <w:rFonts w:ascii="Times New Roman" w:hAnsi="Times New Roman"/>
          <w:sz w:val="20"/>
        </w:rPr>
      </w:pPr>
      <w:r>
        <w:rPr>
          <w:rFonts w:ascii="Times New Roman" w:hAnsi="Times New Roman"/>
          <w:sz w:val="20"/>
        </w:rPr>
        <w:t xml:space="preserve">Section 11.24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Note Document or in any other agreement, arrangement or understanding among any such parties, each Party hereto acknowledges that any liability of any Affected Financial Institution arising under any Note Document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both"/>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both"/>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both"/>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Note Document; or </w:t>
      </w:r>
    </w:p>
    <w:p>
      <w:pPr>
        <w:pStyle w:val="TextBody"/>
        <w:bidi w:val="0"/>
        <w:spacing w:before="120" w:after="0"/>
        <w:jc w:val="both"/>
        <w:rPr>
          <w:rFonts w:ascii="Times New Roman" w:hAnsi="Times New Roman"/>
          <w:sz w:val="20"/>
        </w:rPr>
      </w:pPr>
      <w:r>
        <w:rPr>
          <w:rFonts w:ascii="Times New Roman" w:hAnsi="Times New Roman"/>
          <w:sz w:val="20"/>
        </w:rPr>
        <w:t xml:space="preserve">(c) the variation of the terms of such liability in connection with the exercise of the Write-Down and Conversion Powers of any applicable Resolution Authority.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AGENCY </w:t>
      </w:r>
    </w:p>
    <w:p>
      <w:pPr>
        <w:pStyle w:val="TextBody"/>
        <w:bidi w:val="0"/>
        <w:spacing w:before="240" w:after="0"/>
        <w:jc w:val="both"/>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Appointment of the Agent</w:t>
      </w:r>
      <w:r>
        <w:rPr>
          <w:rFonts w:ascii="Times New Roman" w:hAnsi="Times New Roman"/>
          <w:sz w:val="20"/>
        </w:rPr>
        <w:t xml:space="preserve">. Each Purchaser hereby irrevocably designates and appoints the Agent as the administrative agent, the collateral agent and the security trustee, of such Purchaser under this Agreement and the other Note Documents, and each such Purchaser irrevocably authorizes the Agent, in such capacity, to execute and deliver each Note Document to which the Agent is a party, and to take such action on its behalf under the provisions of this Agreement and the other Note Documents and to exercise such powers and perform such duties as are expressly delegated to the Agent by the terms of this Agreement and the other Note Documents, together with such other powers as are incidental thereto. Notwithstanding any provision to the contrary elsewhere in this Agreement, the Agent shall not have any duties or responsibilities, except those expressly set forth herein, or any fiduciary relationship with any Purchaser, and no implied covenants, functions, responsibilities, duties, obligations or liabilities shall be read into this Agreement or any other Note Document or otherwise exist against the Agent. </w:t>
      </w:r>
    </w:p>
    <w:p>
      <w:pPr>
        <w:pStyle w:val="TextBody"/>
        <w:bidi w:val="0"/>
        <w:spacing w:before="240" w:after="0"/>
        <w:jc w:val="both"/>
        <w:rPr>
          <w:rFonts w:ascii="Times New Roman" w:hAnsi="Times New Roman"/>
          <w:sz w:val="20"/>
        </w:rPr>
      </w:pPr>
      <w:r>
        <w:rPr>
          <w:rFonts w:ascii="Times New Roman" w:hAnsi="Times New Roman"/>
          <w:sz w:val="20"/>
        </w:rPr>
        <w:t xml:space="preserve">The Agent represents and warrants on the date of this Agreement and on each date on which a payment is made under the Notes that it is a person who is not in Ireland and is not acting through a branch, agency or permanent establishment in Ireland for the purposes of section 64 of the Taxes Consolidation Act 1997. The Agent shall notify the Issuers and the Purchasers promptly if that representation ceases, or is reasonably expected to cease, to be correct. </w:t>
      </w:r>
    </w:p>
    <w:p>
      <w:pPr>
        <w:pStyle w:val="TextBody"/>
        <w:bidi w:val="0"/>
        <w:spacing w:before="240" w:after="0"/>
        <w:jc w:val="both"/>
        <w:rPr>
          <w:rFonts w:ascii="Times New Roman" w:hAnsi="Times New Roman"/>
          <w:sz w:val="20"/>
        </w:rPr>
      </w:pPr>
      <w:r>
        <w:rPr>
          <w:rFonts w:ascii="Times New Roman" w:hAnsi="Times New Roman"/>
          <w:sz w:val="20"/>
        </w:rPr>
        <w:t>Section 12.02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Exculpatory Provisions</w:t>
      </w:r>
      <w:r>
        <w:rPr>
          <w:rFonts w:ascii="Times New Roman" w:hAnsi="Times New Roman"/>
          <w:sz w:val="20"/>
        </w:rPr>
        <w:t xml:space="preserve">. The Agent shall not have any duties or obligations except those expressly set forth herein and in the other Note Documents. Without limiting the generality of the foregoing, the Agent: </w:t>
      </w:r>
    </w:p>
    <w:p>
      <w:pPr>
        <w:pStyle w:val="TextBody"/>
        <w:bidi w:val="0"/>
        <w:spacing w:before="120" w:after="0"/>
        <w:jc w:val="both"/>
        <w:rPr>
          <w:rFonts w:ascii="Times New Roman" w:hAnsi="Times New Roman"/>
          <w:sz w:val="20"/>
        </w:rPr>
      </w:pPr>
      <w:r>
        <w:rPr>
          <w:rFonts w:ascii="Times New Roman" w:hAnsi="Times New Roman"/>
          <w:sz w:val="20"/>
        </w:rPr>
        <w:t xml:space="preserve">(a) shall not be subject to any fiduciary or other implied (or express) duties, regardless of whether a Default or Event of Default has occurred and is continuing and without limiting the generality of the foregoing, the use of the term “agent” herein and in the other Note Documents with reference to any Agent is not intended to connote any fiduciary or other implied (or express) obligations arising under any agency doctrine of any Laws and instead, such term is used merely as a matter of market custom, and is intended to create or reflect only an administrative relationship between independent contracting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shall not have any duty to take any discretionary or permissive action or exercise any discretionary or permissive rights or powers, except discretionary or permissive actions, rights and powers expressly contemplated hereby or by the other Note Documents that the Agent is required to exercise as directed in writing by the Requisite Purchasers;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 xml:space="preserve">that the Agent shall not be required to take any action (or where so instructed, refrain from exercising) that, in its opinion or the opinion of its counsel, may expose the Agent to liability or that is contrary to any Note Document or Law; and </w:t>
      </w:r>
    </w:p>
    <w:p>
      <w:pPr>
        <w:pStyle w:val="TextBody"/>
        <w:bidi w:val="0"/>
        <w:spacing w:before="120" w:after="0"/>
        <w:jc w:val="both"/>
        <w:rPr>
          <w:rFonts w:ascii="Times New Roman" w:hAnsi="Times New Roman"/>
          <w:sz w:val="20"/>
        </w:rPr>
      </w:pPr>
      <w:r>
        <w:rPr>
          <w:rFonts w:ascii="Times New Roman" w:hAnsi="Times New Roman"/>
          <w:sz w:val="20"/>
        </w:rPr>
        <w:t xml:space="preserve">(c) shall not, except as expressly set forth herein and in the other Note Documents, have any duty to disclose, and shall not be liable for the failure to disclose, any information relating to the Issuers or any of their Affiliates that is communicated to or obtained by any Person serving as the Agent or any of its Affiliates in any capacity. </w:t>
      </w:r>
    </w:p>
    <w:p>
      <w:pPr>
        <w:pStyle w:val="TextBody"/>
        <w:bidi w:val="0"/>
        <w:spacing w:before="240" w:after="0"/>
        <w:jc w:val="both"/>
        <w:rPr>
          <w:rFonts w:ascii="Times New Roman" w:hAnsi="Times New Roman"/>
          <w:sz w:val="20"/>
        </w:rPr>
      </w:pPr>
      <w:r>
        <w:rPr>
          <w:rFonts w:ascii="Times New Roman" w:hAnsi="Times New Roman"/>
          <w:sz w:val="20"/>
        </w:rPr>
        <w:t xml:space="preserve">The Agent shall not be liable for any action taken or not taken by it (i) with the consent or at the direction of the Requisite Purchasers or (ii) in the absence of its own bad faith, gross negligence or willful misconduct as determined by the final, non-appealable judgment of a court of competent jurisdiction, in connection with its duties expressly set forth herein. The Agent shall be deemed not to have Knowledge of any Default or Event of Default unless and until written notice describing such Default or Event of Default is given to the Agent by the Issuers or a Purchaser. </w:t>
      </w:r>
    </w:p>
    <w:p>
      <w:pPr>
        <w:pStyle w:val="TextBody"/>
        <w:bidi w:val="0"/>
        <w:spacing w:before="240" w:after="0"/>
        <w:jc w:val="both"/>
        <w:rPr>
          <w:rFonts w:ascii="Times New Roman" w:hAnsi="Times New Roman"/>
          <w:sz w:val="20"/>
        </w:rPr>
      </w:pPr>
      <w:r>
        <w:rPr>
          <w:rFonts w:ascii="Times New Roman" w:hAnsi="Times New Roman"/>
          <w:sz w:val="20"/>
        </w:rPr>
        <w:t xml:space="preserve">The Agent shall be entitled to request and receive written instructions from the Requisite Purchasers, will not be liable for actions taken or omitted to be taken in accordance with their written direction, and may refrain from taking any action unless and until such written direction is received and shall incur no liability by so refraining. </w:t>
      </w:r>
    </w:p>
    <w:p>
      <w:pPr>
        <w:pStyle w:val="TextBody"/>
        <w:bidi w:val="0"/>
        <w:spacing w:before="240" w:after="0"/>
        <w:jc w:val="both"/>
        <w:rPr>
          <w:rFonts w:ascii="Times New Roman" w:hAnsi="Times New Roman"/>
          <w:sz w:val="20"/>
        </w:rPr>
      </w:pPr>
      <w:r>
        <w:rPr>
          <w:rFonts w:ascii="Times New Roman" w:hAnsi="Times New Roman"/>
          <w:sz w:val="20"/>
        </w:rPr>
        <w:t xml:space="preserve">The Agent shall not be responsible or liable for any failure or delay in the performance of its obligations under this Agreement arising out of or caused, directly or indirectly, by circumstances beyond its reasonable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it being understood that the Agent shall use reasonable efforts consistent with accepted practices in the banking industry to resume performance as soon as practicable under the circumstances. </w:t>
      </w:r>
    </w:p>
    <w:p>
      <w:pPr>
        <w:pStyle w:val="TextBody"/>
        <w:bidi w:val="0"/>
        <w:spacing w:before="240" w:after="0"/>
        <w:jc w:val="both"/>
        <w:rPr>
          <w:rFonts w:ascii="Times New Roman" w:hAnsi="Times New Roman"/>
          <w:sz w:val="20"/>
        </w:rPr>
      </w:pPr>
      <w:r>
        <w:rPr>
          <w:rFonts w:ascii="Times New Roman" w:hAnsi="Times New Roman"/>
          <w:sz w:val="20"/>
        </w:rPr>
        <w:t xml:space="preserve">Absent receipt of written notice to the contrary, the Agent may assume performance by all Persons of their respective obligations under the Note Documents. Except as expressly directed by the Requisite Purchasers in accordance with this Agreement, the Agent shall have no enforcement or notification obligations relating to breaches of representations or warranties of any other Person. </w:t>
      </w:r>
    </w:p>
    <w:p>
      <w:pPr>
        <w:pStyle w:val="TextBody"/>
        <w:bidi w:val="0"/>
        <w:spacing w:before="240" w:after="0"/>
        <w:jc w:val="both"/>
        <w:rPr>
          <w:rFonts w:ascii="Times New Roman" w:hAnsi="Times New Roman"/>
          <w:sz w:val="20"/>
        </w:rPr>
      </w:pPr>
      <w:r>
        <w:rPr>
          <w:rFonts w:ascii="Times New Roman" w:hAnsi="Times New Roman"/>
          <w:sz w:val="20"/>
        </w:rPr>
        <w:t xml:space="preserve">The Agent shall have no liability for any action taken, or errors in judgment made, in good faith by it or any of its officers, employees or agents, unless such action or error constitutes bad faith, gross negligence or willful misconduct, in each case as determined by the final, non-appealable judgment of a court of competent jurisdiction. </w:t>
      </w:r>
    </w:p>
    <w:p>
      <w:pPr>
        <w:pStyle w:val="TextBody"/>
        <w:bidi w:val="0"/>
        <w:spacing w:before="240" w:after="0"/>
        <w:jc w:val="both"/>
        <w:rPr>
          <w:rFonts w:ascii="Times New Roman" w:hAnsi="Times New Roman"/>
          <w:sz w:val="20"/>
        </w:rPr>
      </w:pPr>
      <w:r>
        <w:rPr>
          <w:rFonts w:ascii="Times New Roman" w:hAnsi="Times New Roman"/>
          <w:sz w:val="20"/>
        </w:rPr>
        <w:t xml:space="preserve">Nothing in this Agreement shall require the Agent to expend or risk its own funds or otherwise incur any financial liability in the performance of any of its duties or in the exercise of any of its rights or powers hereunder if it shall have reasonable grounds for believing that repayment of such funds or adequate indemnity against such risk or liability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Neither the Agent nor any of the Agent’s Affiliates shall be responsible for or have any duty to ascertain or inquire into (i) any recital, statement, warranty or representation made in or in connection with this Agreement or any other Note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Note Document or any other agreement, instrument or document, or the creation, perfection or priority of any Lien purported to be created by the Collateral Documents, (v) the value or the sufficiency of any Collateral, (vi) the satisfaction of any condition set forth in </w:t>
      </w:r>
      <w:r>
        <w:rPr>
          <w:rFonts w:ascii="Times New Roman" w:hAnsi="Times New Roman"/>
          <w:sz w:val="20"/>
          <w:u w:val="single"/>
        </w:rPr>
        <w:t>Article V</w:t>
      </w:r>
      <w:r>
        <w:rPr>
          <w:rFonts w:ascii="Times New Roman" w:hAnsi="Times New Roman"/>
          <w:sz w:val="20"/>
        </w:rPr>
        <w:t xml:space="preserve"> or elsewhere herein, other than to confirm receipt of items expressly required to be delivered to the Agent, or (vii) to inspect the properties, books or records of the Issuers or any Affiliate thereof. The Agent and Account Bank shall have no liability or responsibility for any delay or failure in payment caused by the failure of the Requisite Purchasers, the DST Issuer or the Servicer to provide any written instructions relating to a payment to be made hereunder, including without limitation any written instruction to be provided by any such party under </w:t>
      </w:r>
      <w:r>
        <w:rPr>
          <w:rFonts w:ascii="Times New Roman" w:hAnsi="Times New Roman"/>
          <w:sz w:val="20"/>
          <w:u w:val="single"/>
        </w:rPr>
        <w:t>Section 3.04</w:t>
      </w:r>
      <w:r>
        <w:rPr>
          <w:rFonts w:ascii="Times New Roman" w:hAnsi="Times New Roman"/>
          <w:sz w:val="20"/>
        </w:rPr>
        <w:t xml:space="preserve"> hereof. </w:t>
      </w:r>
    </w:p>
    <w:p>
      <w:pPr>
        <w:pStyle w:val="TextBody"/>
        <w:bidi w:val="0"/>
        <w:spacing w:before="240" w:after="0"/>
        <w:jc w:val="both"/>
        <w:rPr>
          <w:rFonts w:ascii="Times New Roman" w:hAnsi="Times New Roman"/>
          <w:sz w:val="20"/>
        </w:rPr>
      </w:pPr>
      <w:r>
        <w:rPr>
          <w:rFonts w:ascii="Times New Roman" w:hAnsi="Times New Roman"/>
          <w:sz w:val="20"/>
        </w:rPr>
        <w:t xml:space="preserve">Section 12.04 </w:t>
      </w:r>
      <w:r>
        <w:rPr>
          <w:rFonts w:ascii="Times New Roman" w:hAnsi="Times New Roman"/>
          <w:sz w:val="20"/>
          <w:u w:val="single"/>
        </w:rPr>
        <w:t>Agent Entitled to Act as Purchaser</w:t>
      </w:r>
      <w:r>
        <w:rPr>
          <w:rFonts w:ascii="Times New Roman" w:hAnsi="Times New Roman"/>
          <w:sz w:val="20"/>
        </w:rPr>
        <w:t xml:space="preserve">. The agency hereby created shall in no way impair or affect any of the rights and powers of, or impose any duties or obligations upon, the Agent in its individual capacity as a Purchaser, if applicable, hereunder. With respect to its participation in the Notes, the Agent shall have the same rights and powers hereunder as any other Purchaser and may exercise the same as if it were not performing the duties and functions delegated to it hereunder, and the term “Purchaser” shall, unless the context clearly otherwise indicates, include the Agent in its individual capacity. The Agent and its Affiliates may accept deposits from, lend money to, own securities of, and generally engage in any kind of banking, trust, financial advisory or other business with the Issuers or any of their Affiliates as if it were not performing the duties specified herein, and may accept fees and other consideration from the Issuers for services in connection herewith and otherwise without having to account for the same to the Purchasers. </w:t>
      </w:r>
    </w:p>
    <w:p>
      <w:pPr>
        <w:pStyle w:val="TextBody"/>
        <w:bidi w:val="0"/>
        <w:spacing w:before="240" w:after="0"/>
        <w:jc w:val="both"/>
        <w:rPr>
          <w:rFonts w:ascii="Times New Roman" w:hAnsi="Times New Roman"/>
          <w:sz w:val="20"/>
        </w:rPr>
      </w:pPr>
      <w:r>
        <w:rPr>
          <w:rFonts w:ascii="Times New Roman" w:hAnsi="Times New Roman"/>
          <w:sz w:val="20"/>
        </w:rPr>
        <w:t xml:space="preserve">Section 12.05 </w:t>
      </w:r>
      <w:r>
        <w:rPr>
          <w:rFonts w:ascii="Times New Roman" w:hAnsi="Times New Roman"/>
          <w:sz w:val="20"/>
          <w:u w:val="single"/>
        </w:rPr>
        <w:t>Delegation of Duties</w:t>
      </w:r>
      <w:r>
        <w:rPr>
          <w:rFonts w:ascii="Times New Roman" w:hAnsi="Times New Roman"/>
          <w:sz w:val="20"/>
        </w:rPr>
        <w:t xml:space="preserve">. The Agent may perform any and all of its duties and exercise its rights and powers hereunder or under any other Note Document by or through any one or more sub agents appointed by the Agent, </w:t>
      </w:r>
      <w:r>
        <w:rPr>
          <w:rFonts w:ascii="Times New Roman" w:hAnsi="Times New Roman"/>
          <w:sz w:val="20"/>
          <w:u w:val="single"/>
        </w:rPr>
        <w:t>provided</w:t>
      </w:r>
      <w:r>
        <w:rPr>
          <w:rFonts w:ascii="Times New Roman" w:hAnsi="Times New Roman"/>
          <w:sz w:val="20"/>
        </w:rPr>
        <w:t xml:space="preserve"> that where such power relates to payment of sums under the Notes, such person is a person who is not in Ireland and is not acting through a branch, agency or permanent establishment in Ireland for the purposes of section 64 of the Taxes Consolidation Act 1997. The Agent and any such sub agent may perform any and all of its duties and exercise its rights and powers by or through their respective Related Parties. The exculpatory provisions of this </w:t>
      </w:r>
      <w:r>
        <w:rPr>
          <w:rFonts w:ascii="Times New Roman" w:hAnsi="Times New Roman"/>
          <w:sz w:val="20"/>
          <w:u w:val="single"/>
        </w:rPr>
        <w:t>Article XII</w:t>
      </w:r>
      <w:r>
        <w:rPr>
          <w:rFonts w:ascii="Times New Roman" w:hAnsi="Times New Roman"/>
          <w:sz w:val="20"/>
        </w:rPr>
        <w:t xml:space="preserve"> shall apply to any such sub agent and to the Related Parties of the Agent and any such sub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 agents. </w:t>
      </w:r>
    </w:p>
    <w:p>
      <w:pPr>
        <w:pStyle w:val="TextBody"/>
        <w:bidi w:val="0"/>
        <w:spacing w:before="240" w:after="0"/>
        <w:jc w:val="both"/>
        <w:rPr>
          <w:rFonts w:ascii="Times New Roman" w:hAnsi="Times New Roman"/>
          <w:sz w:val="20"/>
        </w:rPr>
      </w:pPr>
      <w:r>
        <w:rPr>
          <w:rFonts w:ascii="Times New Roman" w:hAnsi="Times New Roman"/>
          <w:sz w:val="20"/>
        </w:rPr>
        <w:t xml:space="preserve">Section 12.06 </w:t>
      </w:r>
      <w:r>
        <w:rPr>
          <w:rFonts w:ascii="Times New Roman" w:hAnsi="Times New Roman"/>
          <w:sz w:val="20"/>
          <w:u w:val="single"/>
        </w:rPr>
        <w:t>Purchasers’ Representations, Warranties and Acknowledgment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Purchaser, by its acceptance of a Note, represents and warrants that it has made its own independent investigation of the financial condition and affairs of the Issuers in connection with the Notes Issuance hereunder and that it has made and shall continue to make its own appraisal of the creditworthiness of the Issuers. The Agent shall not have any duty or responsibility, either initially or on a continuing basis, to make any such investigation or any such appraisal on behalf of Purchasers or to provide any Purchaser with any credit or other information with respect thereto, whether coming into its possession before the purchasing of the Notes or at any time or times thereafter, and the Agent shall not have any responsibility with respect to the accuracy of or the completeness of any information provided to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Each Purchaser, by delivering its signature page to this Agreement and/or by accepting a Note, as the case may be, shall be deemed to have acknowledged receipt of, and consented to and approved, each Note Document and each other document required to be approved by the Agent, Requisite Purchasers or Purchasers, as applicable on the Closing Date or as of the date of funding its Allocated Share. </w:t>
      </w:r>
    </w:p>
    <w:p>
      <w:pPr>
        <w:pStyle w:val="TextBody"/>
        <w:bidi w:val="0"/>
        <w:spacing w:before="240" w:after="0"/>
        <w:jc w:val="both"/>
        <w:rPr>
          <w:rFonts w:ascii="Times New Roman" w:hAnsi="Times New Roman"/>
          <w:sz w:val="20"/>
        </w:rPr>
      </w:pPr>
      <w:r>
        <w:rPr>
          <w:rFonts w:ascii="Times New Roman" w:hAnsi="Times New Roman"/>
          <w:sz w:val="20"/>
        </w:rPr>
        <w:t xml:space="preserve">Section 12.07 </w:t>
      </w:r>
      <w:r>
        <w:rPr>
          <w:rFonts w:ascii="Times New Roman" w:hAnsi="Times New Roman"/>
          <w:sz w:val="20"/>
          <w:u w:val="single"/>
        </w:rPr>
        <w:t>Right to Indemnity</w:t>
      </w:r>
      <w:r>
        <w:rPr>
          <w:rFonts w:ascii="Times New Roman" w:hAnsi="Times New Roman"/>
          <w:sz w:val="20"/>
        </w:rPr>
        <w:t>. Each Purchaser, by its acceptance of a Note, in proportion to its pro rata share, severally agrees to indemnify the Agent and its respective Related Parties (each, an “</w:t>
      </w:r>
      <w:r>
        <w:rPr>
          <w:rFonts w:ascii="Times New Roman" w:hAnsi="Times New Roman"/>
          <w:sz w:val="20"/>
          <w:u w:val="single"/>
        </w:rPr>
        <w:t>Indemnitee Related Party</w:t>
      </w:r>
      <w:r>
        <w:rPr>
          <w:rFonts w:ascii="Times New Roman" w:hAnsi="Times New Roman"/>
          <w:sz w:val="20"/>
        </w:rPr>
        <w:t xml:space="preserve">”), to the extent that such Indemnitee Related Party shall not have been reimbursed by any Note Party, for and against any and all liabilities, obligations, losses, damages, penalties, actions, judgments, suits, costs, expenses (including counsel fees and disbursements) or disbursements of any kind or nature whatsoever which may (whether before or after the payment of the Notes) be imposed on, incurred by or asserted against such Indemnitee Related Party in exercising its powers, rights and remedies or performing its duties hereunder or in any way relating to or arising out the other Note Documents, the Transactions or otherwise in its capacity as such Indemnitee Related Party in any way relating to or arising out of this Agreement or the other Note Documents, IN ALL CASES, WHETHER OR NOT CAUSED BY OR ARISING, IN WHOLE OR IN PART, OUT OF THE COMPARATIVE, CONTRIBUTORY, OR SOLE NEGLIGENCE OF SUCH INDEMNITEE RELATED PARTY; </w:t>
      </w:r>
      <w:r>
        <w:rPr>
          <w:rFonts w:ascii="Times New Roman" w:hAnsi="Times New Roman"/>
          <w:sz w:val="20"/>
          <w:u w:val="single"/>
        </w:rPr>
        <w:t>provided</w:t>
      </w:r>
      <w:r>
        <w:rPr>
          <w:rFonts w:ascii="Times New Roman" w:hAnsi="Times New Roman"/>
          <w:sz w:val="20"/>
        </w:rPr>
        <w:t xml:space="preserve">, (x) no Purchaser shall be liable for any portion of such liabilities, obligations, losses, damages, penalties, actions, judgments, suits, costs, expenses or disbursements resulting from such Indemnitee Related Party’s gross negligence or willful misconduct, as determined by a court of competent jurisdiction in a final, non-appealable order and (y) the unreimbursed liabilities, obligations, losses, damages, penalties, actions, judgments, suits, costs, expenses or disbursements, as the case may be, was incurred by or asserted against the Agent (or any such sub-agent) in its capacity as such, or against any Indemnitee Related Party of any of the foregoing acting for the Agent (or any such sub-agent) in connection with such capacity. If any indemnity furnished to any Indemnitee Related Party for any purpose shall, in the opinion of such Indemnitee Related Party, be insufficient or become impaired, such Indemnitee Related Party may call for additional indemnity and cease, or not commence, to do the acts indemnified against until such additional indemnity is furnished; </w:t>
      </w:r>
      <w:r>
        <w:rPr>
          <w:rFonts w:ascii="Times New Roman" w:hAnsi="Times New Roman"/>
          <w:sz w:val="20"/>
          <w:u w:val="single"/>
        </w:rPr>
        <w:t>provided</w:t>
      </w:r>
      <w:r>
        <w:rPr>
          <w:rFonts w:ascii="Times New Roman" w:hAnsi="Times New Roman"/>
          <w:sz w:val="20"/>
        </w:rPr>
        <w:t xml:space="preserve">, this sentence shall not be deemed to require any Purchaser to indemnify any Indemnitee Related Party against any liability, obligation, loss, damage, penalty, action, judgment, suit, cost, expense or disbursement described in clause (x) of the immediately preceding sentence. The failure of any Purchaser to reimburse the Agent promptly upon demand for its pro rata share of any amount required to be paid by the Purchasers to the Agent as provided herein shall not relieve any other Purchaser of its obligation hereunder to reimburse the Agent for its ratable share of such amount, but no Purchaser shall be responsible for the failure of any other Purchaser to reimburse such other Purchaser’s ratable share of such amount. The agreements in this </w:t>
      </w:r>
      <w:r>
        <w:rPr>
          <w:rFonts w:ascii="Times New Roman" w:hAnsi="Times New Roman"/>
          <w:sz w:val="20"/>
          <w:u w:val="single"/>
        </w:rPr>
        <w:t>Section 12.07</w:t>
      </w:r>
      <w:r>
        <w:rPr>
          <w:rFonts w:ascii="Times New Roman" w:hAnsi="Times New Roman"/>
          <w:sz w:val="20"/>
        </w:rPr>
        <w:t xml:space="preserve"> shall survive the payment of the Obligations and all other amounts payable hereunder and the resignation or removal of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12.08 </w:t>
      </w:r>
      <w:r>
        <w:rPr>
          <w:rFonts w:ascii="Times New Roman" w:hAnsi="Times New Roman"/>
          <w:sz w:val="20"/>
          <w:u w:val="single"/>
        </w:rPr>
        <w:t>Successor Agent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The Agent may resign as the Agent upon thirty (30) days’ prior written notice thereof to the Purchasers and the Issuers. Upon any such notice of resignation, the Requisite Purchasers shall have the right, upon five (5) Business Days’ notice to the Issuers, to appoint a successor Agent (such Person, in its capacity as successor to the Agent, the “</w:t>
      </w:r>
      <w:r>
        <w:rPr>
          <w:rFonts w:ascii="Times New Roman" w:hAnsi="Times New Roman"/>
          <w:sz w:val="20"/>
          <w:u w:val="single"/>
        </w:rPr>
        <w:t>Successor Agent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Successor Agent must at the time of its appointment and at all times thereafter be a person who is not in Ireland (and not acting through a branch, agency or permanent establishment in Ireland) for the purposes of section 64 of the Taxes Consolidation Act 1997. Upon the acceptance of any appointment of a Successor Agent hereunder, such Successor Agent shall thereupon succeed to and become vested with all the rights, powers, privileges and duties of the retiring Agent and the retiring Agent shall promptly (subject to the payment of any Obligations owing to the retiring Agent) (i) transfer to such Successor Agent all sums and items of Collateral held under the Note Documents, together with all records and other documents necessary or appropriate in connection with the performance of the duties of the Successor Agent under the Note Documents, and (ii) execute and deliver to such Successor Agent such amendments to financing statements, and take such other actions, as may be reasonably requested in connection with the assignment to such Successor Agent of the security interests created under the Note Documents, whereupon such retiring Agent shall be discharged from its duties and obligations hereunder. If the Requisite Purchasers have failed to appoint a Successor Agent prior to the expiration of thirty (30) calendar days following the notice given above, the retiring Agent shall be entitled, at the sole cost and expense of the Issuers (including reasonable and documented attorneys’ fees and expenses), to apply to a court of competent jurisdiction to appoint a Successor Agent or for other appropriate relief, and any such resulting appointment or relief shall be binding upon all of the Parties; </w:t>
      </w:r>
      <w:r>
        <w:rPr>
          <w:rFonts w:ascii="Times New Roman" w:hAnsi="Times New Roman"/>
          <w:sz w:val="20"/>
          <w:u w:val="single"/>
        </w:rPr>
        <w:t>provided</w:t>
      </w:r>
      <w:r>
        <w:rPr>
          <w:rFonts w:ascii="Times New Roman" w:hAnsi="Times New Roman"/>
          <w:sz w:val="20"/>
        </w:rPr>
        <w:t xml:space="preserve">, that the retiring Agent shall continue to hold any Collateral then in its possession or control on behalf of the Secured Parties, and its resignation shall not become effective, until a Successor Agent has been appointed and has accepted such appointment. After the retiring Agent’s resignation hereunder as the Agent, the provisions of this </w:t>
      </w:r>
      <w:r>
        <w:rPr>
          <w:rFonts w:ascii="Times New Roman" w:hAnsi="Times New Roman"/>
          <w:sz w:val="20"/>
          <w:u w:val="single"/>
        </w:rPr>
        <w:t>Article XII</w:t>
      </w:r>
      <w:r>
        <w:rPr>
          <w:rFonts w:ascii="Times New Roman" w:hAnsi="Times New Roman"/>
          <w:sz w:val="20"/>
        </w:rPr>
        <w:t xml:space="preserve"> shall inure to its benefit as to any actions taken or omitted to be taken by it while it was the Agent hereunder. Each Issuer hereby agrees to pay any Agent Fees required to be paid to any Successor Agent in connection with the performance of its duties under the Note Documents. </w:t>
      </w:r>
    </w:p>
    <w:p>
      <w:pPr>
        <w:pStyle w:val="TextBody"/>
        <w:bidi w:val="0"/>
        <w:spacing w:before="120" w:after="0"/>
        <w:jc w:val="both"/>
        <w:rPr>
          <w:rFonts w:ascii="Times New Roman" w:hAnsi="Times New Roman"/>
          <w:sz w:val="20"/>
        </w:rPr>
      </w:pPr>
      <w:r>
        <w:rPr>
          <w:rFonts w:ascii="Times New Roman" w:hAnsi="Times New Roman"/>
          <w:sz w:val="20"/>
        </w:rPr>
        <w:t>(b) Notwithstanding anything herein to the contrary, the Agent may assign its rights and duties as the Agent hereunder and any other Note Document to an Affiliate of OMERS Life Sciences (</w:t>
      </w:r>
      <w:r>
        <w:rPr>
          <w:rFonts w:ascii="Times New Roman" w:hAnsi="Times New Roman"/>
          <w:sz w:val="20"/>
          <w:u w:val="single"/>
        </w:rPr>
        <w:t>provided</w:t>
      </w:r>
      <w:r>
        <w:rPr>
          <w:rFonts w:ascii="Times New Roman" w:hAnsi="Times New Roman"/>
          <w:sz w:val="20"/>
        </w:rPr>
        <w:t xml:space="preserve">, that any such Affiliate must at the time of such assignment and at all times thereafter be a person who is not in Ireland (and not acting through a branch, agency or permanent establishment in Ireland) for the purposes of section 64 of the Taxes Consolidation Act 1997) without the prior written consent of, or prior written notice to, the Issuers or the Purchasers; </w:t>
      </w:r>
      <w:r>
        <w:rPr>
          <w:rFonts w:ascii="Times New Roman" w:hAnsi="Times New Roman"/>
          <w:sz w:val="20"/>
          <w:u w:val="single"/>
        </w:rPr>
        <w:t>provided</w:t>
      </w:r>
      <w:r>
        <w:rPr>
          <w:rFonts w:ascii="Times New Roman" w:hAnsi="Times New Roman"/>
          <w:sz w:val="20"/>
        </w:rPr>
        <w:t xml:space="preserve">, that the Issuers and the Purchasers may deem and treat such assigning the Agent as Agent for all purposes hereof, unless and until such assigning the Agent provides written notice to the Issuers and the Purchasers of such assignment. Upon such assignment such Affiliate shall succeed to and become vested with all rights, powers, privileges and duties as the Agent hereunder and under the other Note Documents. </w:t>
      </w:r>
    </w:p>
    <w:p>
      <w:pPr>
        <w:pStyle w:val="TextBody"/>
        <w:bidi w:val="0"/>
        <w:spacing w:before="120" w:after="0"/>
        <w:jc w:val="both"/>
        <w:rPr>
          <w:rFonts w:ascii="Times New Roman" w:hAnsi="Times New Roman"/>
          <w:sz w:val="20"/>
        </w:rPr>
      </w:pPr>
      <w:r>
        <w:rPr>
          <w:rFonts w:ascii="Times New Roman" w:hAnsi="Times New Roman"/>
          <w:sz w:val="20"/>
        </w:rPr>
        <w:t xml:space="preserve">(c) Any corporation or association into which the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Agent is a party, will be and become the successor Agent under this Agreement and will have and succeed to the rights, powers, duties, immunities and privileges as its predecessor, without the execution or filing of any instrument or paper or the performance of any further act; </w:t>
      </w:r>
      <w:r>
        <w:rPr>
          <w:rFonts w:ascii="Times New Roman" w:hAnsi="Times New Roman"/>
          <w:sz w:val="20"/>
          <w:u w:val="single"/>
        </w:rPr>
        <w:t>provided</w:t>
      </w:r>
      <w:r>
        <w:rPr>
          <w:rFonts w:ascii="Times New Roman" w:hAnsi="Times New Roman"/>
          <w:sz w:val="20"/>
        </w:rPr>
        <w:t xml:space="preserve">, that such corporation or association shall otherwise be qualified and eligible to serve as a Successor Agent under clause (a) above, and if it is not, it shall be deemed to have resigned as the Agent effective upon such conversion, merger, consolidation, sale or transfer and clause (a) above shall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12.09 </w:t>
      </w:r>
      <w:r>
        <w:rPr>
          <w:rFonts w:ascii="Times New Roman" w:hAnsi="Times New Roman"/>
          <w:sz w:val="20"/>
          <w:u w:val="single"/>
        </w:rPr>
        <w:t>Collateral Documents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The Agent under Collateral Documents</w:t>
      </w:r>
      <w:r>
        <w:rPr>
          <w:rFonts w:ascii="Times New Roman" w:hAnsi="Times New Roman"/>
          <w:sz w:val="20"/>
        </w:rPr>
        <w:t xml:space="preserve">. Each Secured Party (other than the Agent) hereby, and by its acceptance of the benefits of the Collateral Documents, (i) appoints and authorizes the Agent to act as the collateral agent of such Secured Party for purposes of acquiring, holding and enforcing any and all Liens on Collateral granted by the Note Parties to secure any of the Obligations, together with such powers and discretion as are reasonably incidental thereto, (ii) authorizes and directs the Agent (whether or not by or through employees or agents) to exercise such rights, remedies, powers and discretions as are specifically delegated to or conferred upon the Agent under the Collateral Documents, together with such powers and discretions as are reasonably incidental thereto and to take such action on its behalf as may from time to time be authorized under or in accordance with the Collateral Documents, (iii) agrees that the Agent shall have the authority to act as the exclusive agent of such Secured Party with respect to the enforcement of any provision of any Collateral Document, the exercise of remedies hereunder or thereunder and the giving or withholding of any consent or approval hereunder or thereunder relating to any Collateral or any Note Party’s or any Bad Acts Guarantor’s obligations with respect thereto except as expressly provided in the Note Documents, (iv) agrees that it shall not take any action to enforce any provision of any Collateral Document against any Note Party or Bad Acts Guarantor or to exercise any remedy hereunder or thereunder or to give any consents or approvals hereunder or thereunder except as expressly provided in the Note Documents and (v) agrees to be bound by the Collateral Documents. In this connection, the Agent (and any subagents or delegates appointed by the Agent pursuant to </w:t>
      </w:r>
      <w:r>
        <w:rPr>
          <w:rFonts w:ascii="Times New Roman" w:hAnsi="Times New Roman"/>
          <w:sz w:val="20"/>
          <w:u w:val="single"/>
        </w:rPr>
        <w:t>Section 12.05</w:t>
      </w:r>
      <w:r>
        <w:rPr>
          <w:rFonts w:ascii="Times New Roman" w:hAnsi="Times New Roman"/>
          <w:sz w:val="20"/>
        </w:rPr>
        <w:t xml:space="preserve"> for purposes of holding or enforcing any Lien on the Collateral (or any portion thereof) granted under the Collateral Documents, or for exercising any rights or remedies thereunder at the direction of the Agent) shall be entitled to the benefits of this </w:t>
      </w:r>
      <w:r>
        <w:rPr>
          <w:rFonts w:ascii="Times New Roman" w:hAnsi="Times New Roman"/>
          <w:sz w:val="20"/>
          <w:u w:val="single"/>
        </w:rPr>
        <w:t>Article XII</w:t>
      </w:r>
      <w:r>
        <w:rPr>
          <w:rFonts w:ascii="Times New Roman" w:hAnsi="Times New Roman"/>
          <w:sz w:val="20"/>
        </w:rPr>
        <w:t xml:space="preserve"> (including, without limitation, </w:t>
      </w:r>
      <w:r>
        <w:rPr>
          <w:rFonts w:ascii="Times New Roman" w:hAnsi="Times New Roman"/>
          <w:sz w:val="20"/>
          <w:u w:val="single"/>
        </w:rPr>
        <w:t>Section 12.03</w:t>
      </w:r>
      <w:r>
        <w:rPr>
          <w:rFonts w:ascii="Times New Roman" w:hAnsi="Times New Roman"/>
          <w:sz w:val="20"/>
        </w:rPr>
        <w:t xml:space="preserve">) as though the Agent (and any such subagents or delegates) were the “Agent” under the Note Documents, as if set forth in full herein with respect thereto.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Realize on Collateral</w:t>
      </w:r>
      <w:r>
        <w:rPr>
          <w:rFonts w:ascii="Times New Roman" w:hAnsi="Times New Roman"/>
          <w:sz w:val="20"/>
        </w:rPr>
        <w:t xml:space="preserve">. Anything contained in any of the Note Documents to the contrary notwithstanding, the Issuers, the Agent, each Purchaser and each Secured Party hereby agree that (a) no Secured Party shall have any right individually to realize upon any of the Collateral or to enforce the Collateral Documents or Bad Acts Guaranty, it being understood and agreed that all powers, rights and remedies hereunder may be exercised solely by the Agent, on behalf of the Secured Parties in accordance with the terms hereof and all powers, rights and remedies under the Collateral Documents or Bad Acts Guaranty may be exercised solely by the Agent, and (b) in the event of a foreclosure by the Agent on any of the Collateral pursuant to a public or private sale or other Disposition, the Agent or any Purchaser may be, to the extent permitted by, and in accordance with, Law, the purchaser or licensor of any or all of such Collateral at any such sale or other Disposition and the Agent, as agent for and representative of the Secured Parties shall be entitled, to the extent permitted by, and in accordance with, Law, for the purpose of bidding and making settlement or payment of the purchase price for all or any portion of the Collateral sold at any such public sale, to use and apply any of the Obligations as a credit on account of the purchase price for any collateral payable by the Agent at such sale or other Disposition.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 Duty With Respect to Collateral</w:t>
      </w:r>
      <w:r>
        <w:rPr>
          <w:rFonts w:ascii="Times New Roman" w:hAnsi="Times New Roman"/>
          <w:sz w:val="20"/>
        </w:rPr>
        <w:t xml:space="preserve">. The Agent shall not be responsible for or have a duty to ascertain or inquire into any representation or warranty regarding the existence, value or collectability of the Collateral, the existence, priority or perfection of the Agent’s Lien thereon, or any certificate prepared by the Issuers in connection therewith, nor shall the Agent be responsible or liable to the Purchasers for any failure to monitor or maintain any portion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12.10 </w:t>
      </w:r>
      <w:r>
        <w:rPr>
          <w:rFonts w:ascii="Times New Roman" w:hAnsi="Times New Roman"/>
          <w:sz w:val="20"/>
          <w:u w:val="single"/>
        </w:rPr>
        <w:t>The Agent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a Note Party or Bad Acts Guarantor, (i) the Agent (irrespective of whether the principal of any Obligations shall then be due and payable as herein expressed or by declaration or otherwise and irrespective of whether the Agent shall have made any demand on any Note Party or Bad Acts Guarantor)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Purchasers and the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Purchaser to make such payments to the Agent and, if the Agent shall consent to the making of such payments directly to the Purchasers, to pay to the Agent any amount due for the reasonable compensation, expenses, disbursements and advances of the Agent and its agents and counsel, and any other amounts due the Agent under the Note Documents. </w:t>
      </w:r>
    </w:p>
    <w:p>
      <w:pPr>
        <w:pStyle w:val="TextBody"/>
        <w:bidi w:val="0"/>
        <w:spacing w:before="240" w:after="0"/>
        <w:jc w:val="both"/>
        <w:rPr>
          <w:rFonts w:ascii="Times New Roman" w:hAnsi="Times New Roman"/>
          <w:sz w:val="20"/>
        </w:rPr>
      </w:pPr>
      <w:r>
        <w:rPr>
          <w:rFonts w:ascii="Times New Roman" w:hAnsi="Times New Roman"/>
          <w:sz w:val="20"/>
        </w:rPr>
        <w:t xml:space="preserve">Section 12.11 </w:t>
      </w:r>
      <w:r>
        <w:rPr>
          <w:rFonts w:ascii="Times New Roman" w:hAnsi="Times New Roman"/>
          <w:sz w:val="20"/>
          <w:u w:val="single"/>
        </w:rPr>
        <w:t>Reliance by the Agent</w:t>
      </w:r>
      <w:r>
        <w:rPr>
          <w:rFonts w:ascii="Times New Roman" w:hAnsi="Times New Roman"/>
          <w:sz w:val="20"/>
        </w:rPr>
        <w:t xml:space="preserve">. The Agent shall be entitled to rely upon, and shall not incur any liability for relying upon, any notice, request, certificate, consent, statement, instrument, resolution, opinion, report, direction, order, judgment, bond, debenture, note, document or other writing (including any electronic message, internet or intranet website posting or other distribution) or conversation believed by it to be genuine and to have been signed, sent or otherwise authenticated by the proper person, not only as to due execution, validity and effectiveness, but also as to the truth and accuracy of any information contained therein. The Agent also may rely upon any statement made to it orally or by telephone and believed by it to have been made by the proper person and shall not incur any liability for relying thereon. In determining compliance with any condition hereunder to the Closing Date, that by its terms must be fulfilled to the satisfaction of Purchasers, the Agent may presume that such condition is satisfactory to such Purchaser unless the Agent shall have received notice to the contrary from such Purchaser prior to the Closing Date. The Agent may consult with legal counsel (including counsel to the Issuers), independent accountants and other experts selected by it, and shall not be liable for any action taken or not taken by it in accordance with the advice of any such counsel, accountants or experts. The Agent may deem and treat the Purchaser specified in the Register with respect to any amount owing hereunder as the owner thereof for all purposes unless a written notice of assignment, negotiation or transfer thereof shall have been filed with the Agent. The Agent shall be fully justified in failing or refusing to take any action under this Agreement or any other Note Document unless it shall first receive such advice or concurrence of the Requisite Purchasers (or, if so specified by this Agreement, any other requisite group of Purchasers) as it deems appropriate or it shall first be indemnified to its satisfaction by the Purchasers against any and all liability and expense that may be incurred by it by reason of taking or continuing to take any such action. The Agent shall in all cases be fully protected in acting, or in refraining from acting, under this Agreement and the other Note Documents in accordance with a request of the Requisite Purchasers (or, if so specified by this Agreement, any other requisite group of Purchasers), and such request and any action taken or failure to act pursuant thereto shall be binding upon all the Purchasers and all future holders of the Notes. </w:t>
      </w:r>
    </w:p>
    <w:p>
      <w:pPr>
        <w:pStyle w:val="TextBody"/>
        <w:bidi w:val="0"/>
        <w:spacing w:before="240" w:after="0"/>
        <w:jc w:val="both"/>
        <w:rPr>
          <w:rFonts w:ascii="Times New Roman" w:hAnsi="Times New Roman"/>
          <w:sz w:val="20"/>
        </w:rPr>
      </w:pPr>
      <w:r>
        <w:rPr>
          <w:rFonts w:ascii="Times New Roman" w:hAnsi="Times New Roman"/>
          <w:sz w:val="20"/>
        </w:rPr>
        <w:t xml:space="preserve">Section 12.12 </w:t>
      </w:r>
      <w:r>
        <w:rPr>
          <w:rFonts w:ascii="Times New Roman" w:hAnsi="Times New Roman"/>
          <w:sz w:val="20"/>
          <w:u w:val="single"/>
        </w:rPr>
        <w:t>All Powers Coupled With Interest</w:t>
      </w:r>
      <w:r>
        <w:rPr>
          <w:rFonts w:ascii="Times New Roman" w:hAnsi="Times New Roman"/>
          <w:sz w:val="20"/>
        </w:rPr>
        <w:t xml:space="preserve">. All powers of attorney and other authorizations granted to the Purchasers, the Agent and any Persons designated by the Agent or any Purchaser pursuant to any provisions of this Agreement or any of the other Note Documents shall be deemed coupled with an interest and shall be irrevocable so long as any of the Obligations remain unpaid or unsatisfied (other than contingent indemnification obligations not then due). </w:t>
      </w:r>
    </w:p>
    <w:p>
      <w:pPr>
        <w:pStyle w:val="TextBody"/>
        <w:bidi w:val="0"/>
        <w:spacing w:before="240" w:after="0"/>
        <w:jc w:val="both"/>
        <w:rPr>
          <w:rFonts w:ascii="Times New Roman" w:hAnsi="Times New Roman"/>
          <w:sz w:val="20"/>
        </w:rPr>
      </w:pPr>
      <w:r>
        <w:rPr>
          <w:rFonts w:ascii="Times New Roman" w:hAnsi="Times New Roman"/>
          <w:sz w:val="20"/>
        </w:rPr>
        <w:t xml:space="preserve">Section 12.13 </w:t>
      </w:r>
      <w:r>
        <w:rPr>
          <w:rFonts w:ascii="Times New Roman" w:hAnsi="Times New Roman"/>
          <w:sz w:val="20"/>
          <w:u w:val="single"/>
        </w:rPr>
        <w:t>Dissemination of Information</w:t>
      </w:r>
      <w:r>
        <w:rPr>
          <w:rFonts w:ascii="Times New Roman" w:hAnsi="Times New Roman"/>
          <w:sz w:val="20"/>
        </w:rPr>
        <w:t xml:space="preserve">. The Agent shall make the information received by it pursuant to </w:t>
      </w:r>
      <w:r>
        <w:rPr>
          <w:rFonts w:ascii="Times New Roman" w:hAnsi="Times New Roman"/>
          <w:sz w:val="20"/>
          <w:u w:val="single"/>
        </w:rPr>
        <w:t>Section 7.01</w:t>
      </w:r>
      <w:r>
        <w:rPr>
          <w:rFonts w:ascii="Times New Roman" w:hAnsi="Times New Roman"/>
          <w:sz w:val="20"/>
        </w:rPr>
        <w:t xml:space="preserve"> available via the Agent’s website (the “</w:t>
      </w:r>
      <w:r>
        <w:rPr>
          <w:rFonts w:ascii="Times New Roman" w:hAnsi="Times New Roman"/>
          <w:sz w:val="20"/>
          <w:u w:val="single"/>
        </w:rPr>
        <w:t>Agent Website</w:t>
      </w:r>
      <w:r>
        <w:rPr>
          <w:rFonts w:ascii="Times New Roman" w:hAnsi="Times New Roman"/>
          <w:sz w:val="20"/>
        </w:rPr>
        <w:t xml:space="preserve">”) to each Purchaser that provides the appropriate certification in the form furnished by the Agent (which form may be furnished and submitted electronically via the Agent Website). The Agent Website shall initially be located at “https://pivot.usbank.com.” and the Agent shall notify each Purchaser in writing of any change to such Agent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[Remainder of Page Intentionally Left Blank; Signature Pages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have duly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ISSUERS: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b/>
                <w:sz w:val="20"/>
              </w:rPr>
              <w:t>Clover Finance Trust</w:t>
            </w:r>
            <w:r>
              <w:rPr>
                <w:rFonts w:ascii="Times New Roman" w:hAnsi="Times New Roman"/>
                <w:sz w:val="20"/>
              </w:rPr>
              <w:t>,</w:t>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a Delaware statutory trust</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Clover Finance LLC, in its capacity as trustee</w:t>
            </w:r>
          </w:p>
        </w:tc>
      </w:tr>
      <w:tr>
        <w:trPr/>
        <w:tc>
          <w:tcPr>
            <w:tcW w:w="35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Theravance Biopharma US, LLC, its manager</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Scott Platshon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Name: Scott Platshon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b/>
                <w:sz w:val="20"/>
              </w:rPr>
              <w:t>Clover Finance LLC</w:t>
            </w:r>
            <w:r>
              <w:rPr>
                <w:rFonts w:ascii="Times New Roman" w:hAnsi="Times New Roman"/>
                <w:sz w:val="20"/>
              </w:rPr>
              <w:t>,</w:t>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a Delaware limited liability company</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Theravance Biopharma US, LLC, its manager</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Scott Platshon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Name: Scott Platshon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both"/>
              <w:rPr>
                <w:rFonts w:ascii="Times New Roman" w:hAnsi="Times New Roman"/>
                <w:sz w:val="20"/>
              </w:rPr>
            </w:pPr>
            <w:r>
              <w:rPr>
                <w:rFonts w:ascii="Times New Roman" w:hAnsi="Times New Roman"/>
                <w:sz w:val="20"/>
              </w:rPr>
              <w:t>Title: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Note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U.S. Bank Trust Company, National Association</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Piyusha Shirname</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Times New Roman" w:hAnsi="Times New Roman"/>
                <w:sz w:val="20"/>
              </w:rPr>
            </w:pPr>
            <w:r>
              <w:rPr>
                <w:rFonts w:ascii="Times New Roman" w:hAnsi="Times New Roman"/>
                <w:sz w:val="20"/>
              </w:rPr>
              <w:t>Name: Piyusha Shirname</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Times New Roman" w:hAnsi="Times New Roman"/>
                <w:sz w:val="20"/>
              </w:rPr>
            </w:pPr>
            <w:r>
              <w:rPr>
                <w:rFonts w:ascii="Times New Roman" w:hAnsi="Times New Roman"/>
                <w:sz w:val="20"/>
              </w:rPr>
              <w:t>Title: Assistant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Note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0"/>
        <w:gridCol w:w="3643"/>
      </w:tblGrid>
      <w:tr>
        <w:trPr/>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PURCHASER: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b/>
                <w:sz w:val="20"/>
              </w:rPr>
              <w:t>OCM IP HEALTHCARE PORTFOLIO LP</w:t>
            </w:r>
            <w:r>
              <w:rPr>
                <w:rFonts w:ascii="Times New Roman" w:hAnsi="Times New Roman"/>
                <w:sz w:val="20"/>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By: OCM IP HEALTHCARE PORTFOLIO G.P. INC., its general partner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Rob Missere</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both"/>
              <w:rPr>
                <w:rFonts w:ascii="Times New Roman" w:hAnsi="Times New Roman"/>
                <w:sz w:val="20"/>
              </w:rPr>
            </w:pPr>
            <w:r>
              <w:rPr>
                <w:rFonts w:ascii="Times New Roman" w:hAnsi="Times New Roman"/>
                <w:sz w:val="20"/>
              </w:rPr>
              <w:t>Name: Rob Missere</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both"/>
              <w:rPr>
                <w:rFonts w:ascii="Times New Roman" w:hAnsi="Times New Roman"/>
                <w:sz w:val="20"/>
              </w:rPr>
            </w:pPr>
            <w:r>
              <w:rPr>
                <w:rFonts w:ascii="Times New Roman" w:hAnsi="Times New Roman"/>
                <w:sz w:val="20"/>
              </w:rPr>
              <w:t>Title: President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Brendan Rowaan</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both"/>
              <w:rPr>
                <w:rFonts w:ascii="Times New Roman" w:hAnsi="Times New Roman"/>
                <w:sz w:val="20"/>
              </w:rPr>
            </w:pPr>
            <w:r>
              <w:rPr>
                <w:rFonts w:ascii="Times New Roman" w:hAnsi="Times New Roman"/>
                <w:sz w:val="20"/>
              </w:rPr>
              <w:t>Name: Brendan Rowaan</w:t>
            </w:r>
          </w:p>
        </w:tc>
      </w:tr>
      <w:tr>
        <w:trPr/>
        <w:tc>
          <w:tcPr>
            <w:tcW w:w="37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0"/>
              <w:jc w:val="both"/>
              <w:rPr>
                <w:rFonts w:ascii="Times New Roman" w:hAnsi="Times New Roman"/>
                <w:sz w:val="20"/>
              </w:rPr>
            </w:pPr>
            <w:r>
              <w:rPr>
                <w:rFonts w:ascii="Times New Roman" w:hAnsi="Times New Roman"/>
                <w:sz w:val="20"/>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Note Purchase Agreement] </w:t>
      </w:r>
    </w:p>
    <w:p>
      <w:pPr>
        <w:pStyle w:val="TextBody"/>
        <w:bidi w:val="0"/>
        <w:spacing w:before="0" w:after="0"/>
        <w:jc w:val="right"/>
        <w:rPr>
          <w:rFonts w:ascii="Times New Roman" w:hAnsi="Times New Roman"/>
          <w:b/>
          <w:sz w:val="20"/>
        </w:rPr>
      </w:pPr>
      <w:bookmarkStart w:id="6" w:name="d270232dex103.htm"/>
      <w:bookmarkStart w:id="7" w:name="ksd270232dex103"/>
      <w:bookmarkEnd w:id="6"/>
      <w:bookmarkEnd w:id="7"/>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GUARANTY AND SECURITY AGREEMENT </w:t>
      </w:r>
    </w:p>
    <w:p>
      <w:pPr>
        <w:pStyle w:val="TextBody"/>
        <w:bidi w:val="0"/>
        <w:spacing w:before="240" w:after="0"/>
        <w:jc w:val="both"/>
        <w:rPr>
          <w:rFonts w:ascii="Times New Roman" w:hAnsi="Times New Roman"/>
          <w:sz w:val="20"/>
        </w:rPr>
      </w:pPr>
      <w:r>
        <w:rPr>
          <w:rFonts w:ascii="Times New Roman" w:hAnsi="Times New Roman"/>
          <w:sz w:val="20"/>
        </w:rPr>
        <w:t>This GUARANTY AND SECURITY AGREEMENT (this “</w:t>
      </w:r>
      <w:r>
        <w:rPr>
          <w:rFonts w:ascii="Times New Roman" w:hAnsi="Times New Roman"/>
          <w:sz w:val="20"/>
          <w:u w:val="single"/>
        </w:rPr>
        <w:t>Agreement</w:t>
      </w:r>
      <w:r>
        <w:rPr>
          <w:rFonts w:ascii="Times New Roman" w:hAnsi="Times New Roman"/>
          <w:sz w:val="20"/>
        </w:rPr>
        <w:t>”) is entered into as of September 23, 2026 by and among CLOVER FINANCE TRUST, a Delaware statutory trust (the “</w:t>
      </w:r>
      <w:r>
        <w:rPr>
          <w:rFonts w:ascii="Times New Roman" w:hAnsi="Times New Roman"/>
          <w:sz w:val="20"/>
          <w:u w:val="single"/>
        </w:rPr>
        <w:t>DST Issuer</w:t>
      </w:r>
      <w:r>
        <w:rPr>
          <w:rFonts w:ascii="Times New Roman" w:hAnsi="Times New Roman"/>
          <w:sz w:val="20"/>
        </w:rPr>
        <w:t>”), CLOVER FINANCE LLC, a Delaware limited liability company (the “</w:t>
      </w:r>
      <w:r>
        <w:rPr>
          <w:rFonts w:ascii="Times New Roman" w:hAnsi="Times New Roman"/>
          <w:sz w:val="20"/>
          <w:u w:val="single"/>
        </w:rPr>
        <w:t>Trustee Co-Issuer</w:t>
      </w:r>
      <w:r>
        <w:rPr>
          <w:rFonts w:ascii="Times New Roman" w:hAnsi="Times New Roman"/>
          <w:sz w:val="20"/>
        </w:rPr>
        <w:t>” and, together with the DST Issuer, collectively, the “Issuers” and each, an “</w:t>
      </w:r>
      <w:r>
        <w:rPr>
          <w:rFonts w:ascii="Times New Roman" w:hAnsi="Times New Roman"/>
          <w:sz w:val="20"/>
          <w:u w:val="single"/>
        </w:rPr>
        <w:t>Issuer</w:t>
      </w:r>
      <w:r>
        <w:rPr>
          <w:rFonts w:ascii="Times New Roman" w:hAnsi="Times New Roman"/>
          <w:sz w:val="20"/>
        </w:rPr>
        <w:t>”), THERAVANCE BIOPHARMA IRELAND LIMITED, a private company limited by shares incorporated in Ireland (company registration number 560699) (“</w:t>
      </w:r>
      <w:r>
        <w:rPr>
          <w:rFonts w:ascii="Times New Roman" w:hAnsi="Times New Roman"/>
          <w:sz w:val="20"/>
          <w:u w:val="single"/>
        </w:rPr>
        <w:t>TBIL</w:t>
      </w:r>
      <w:r>
        <w:rPr>
          <w:rFonts w:ascii="Times New Roman" w:hAnsi="Times New Roman"/>
          <w:sz w:val="20"/>
        </w:rPr>
        <w:t>”), THERAVANCE BIOPHARMA US, LLC, a Delaware limited liability company (“</w:t>
      </w:r>
      <w:r>
        <w:rPr>
          <w:rFonts w:ascii="Times New Roman" w:hAnsi="Times New Roman"/>
          <w:sz w:val="20"/>
          <w:u w:val="single"/>
        </w:rPr>
        <w:t>TBUS</w:t>
      </w:r>
      <w:r>
        <w:rPr>
          <w:rFonts w:ascii="Times New Roman" w:hAnsi="Times New Roman"/>
          <w:sz w:val="20"/>
        </w:rPr>
        <w:t>”), THERAVANCE BIOPHARMA R&amp;D IP, LLC, a Delaware limited liability company (“</w:t>
      </w:r>
      <w:r>
        <w:rPr>
          <w:rFonts w:ascii="Times New Roman" w:hAnsi="Times New Roman"/>
          <w:sz w:val="20"/>
          <w:u w:val="single"/>
        </w:rPr>
        <w:t>RDIP</w:t>
      </w:r>
      <w:r>
        <w:rPr>
          <w:rFonts w:ascii="Times New Roman" w:hAnsi="Times New Roman"/>
          <w:sz w:val="20"/>
        </w:rPr>
        <w:t>”), THERAVANCE BIOPHARMA ANTIBIOTICS IP, LLC, a Delaware limited liability company (“</w:t>
      </w:r>
      <w:r>
        <w:rPr>
          <w:rFonts w:ascii="Times New Roman" w:hAnsi="Times New Roman"/>
          <w:sz w:val="20"/>
          <w:u w:val="single"/>
        </w:rPr>
        <w:t>TABI</w:t>
      </w:r>
      <w:r>
        <w:rPr>
          <w:rFonts w:ascii="Times New Roman" w:hAnsi="Times New Roman"/>
          <w:sz w:val="20"/>
        </w:rPr>
        <w:t>” and, together with TBIL, TBUS, RDIP, the Issuers and each other Person that becomes a party hereto, the “</w:t>
      </w:r>
      <w:r>
        <w:rPr>
          <w:rFonts w:ascii="Times New Roman" w:hAnsi="Times New Roman"/>
          <w:sz w:val="20"/>
          <w:u w:val="single"/>
        </w:rPr>
        <w:t>Grantors</w:t>
      </w:r>
      <w:r>
        <w:rPr>
          <w:rFonts w:ascii="Times New Roman" w:hAnsi="Times New Roman"/>
          <w:sz w:val="20"/>
        </w:rPr>
        <w:t>” and each, a “</w:t>
      </w:r>
      <w:r>
        <w:rPr>
          <w:rFonts w:ascii="Times New Roman" w:hAnsi="Times New Roman"/>
          <w:sz w:val="20"/>
          <w:u w:val="single"/>
        </w:rPr>
        <w:t>Grantor</w:t>
      </w:r>
      <w:r>
        <w:rPr>
          <w:rFonts w:ascii="Times New Roman" w:hAnsi="Times New Roman"/>
          <w:sz w:val="20"/>
        </w:rPr>
        <w:t>”), and U.S. BANK TRUST COMPANY, NATIONAL ASSOCIATION, in its capacity as the administrative agent, collateral agent and security trustee (in such capacities, together with its successors and assigns in such capacities, the “</w:t>
      </w:r>
      <w:r>
        <w:rPr>
          <w:rFonts w:ascii="Times New Roman" w:hAnsi="Times New Roman"/>
          <w:sz w:val="20"/>
          <w:u w:val="single"/>
        </w:rPr>
        <w:t>Agent</w:t>
      </w:r>
      <w:r>
        <w:rPr>
          <w:rFonts w:ascii="Times New Roman" w:hAnsi="Times New Roman"/>
          <w:sz w:val="20"/>
        </w:rPr>
        <w:t xml:space="preserve">”) for the Secured Parties (as defined in the Note Purchase Agreement referred to below). Capitalized terms used herein and not defined have the meanings set forth in the Note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sz w:val="20"/>
        </w:rPr>
        <w:t>WHEREAS, pursuant to that certain Note Purchase Agreement, dated as of the date hereof (as amended, restated, amended and restated, supplemented or otherwise modified from time to time, the “</w:t>
      </w:r>
      <w:r>
        <w:rPr>
          <w:rFonts w:ascii="Times New Roman" w:hAnsi="Times New Roman"/>
          <w:sz w:val="20"/>
          <w:u w:val="single"/>
        </w:rPr>
        <w:t>Note Purchase Agreement</w:t>
      </w:r>
      <w:r>
        <w:rPr>
          <w:rFonts w:ascii="Times New Roman" w:hAnsi="Times New Roman"/>
          <w:sz w:val="20"/>
        </w:rPr>
        <w:t xml:space="preserve">”), by and among the Issuers, the Purchasers from time to time party thereto and the Agent, on behalf of the Purchasers and the other Secured Parties, the Purchasers have agreed to purchase senior secured notes from the Issuers in an aggregate initial principal amount of up to three-hundred and fifty million Dollars ($350,000,000.00) upon the terms and subject to the conditions set forth therein; </w:t>
      </w:r>
    </w:p>
    <w:p>
      <w:pPr>
        <w:pStyle w:val="TextBody"/>
        <w:bidi w:val="0"/>
        <w:spacing w:before="240" w:after="0"/>
        <w:jc w:val="both"/>
        <w:rPr>
          <w:rFonts w:ascii="Times New Roman" w:hAnsi="Times New Roman"/>
          <w:sz w:val="20"/>
        </w:rPr>
      </w:pPr>
      <w:r>
        <w:rPr>
          <w:rFonts w:ascii="Times New Roman" w:hAnsi="Times New Roman"/>
          <w:sz w:val="20"/>
        </w:rPr>
        <w:t>WHEREAS, pursuant to that certain Contribution, Purchase and Sale Agreement, dated as of the Closing Date, by and between TBIL, as seller, and the DST Issuer, as purchaser (the “</w:t>
      </w:r>
      <w:r>
        <w:rPr>
          <w:rFonts w:ascii="Times New Roman" w:hAnsi="Times New Roman"/>
          <w:sz w:val="20"/>
          <w:u w:val="single"/>
        </w:rPr>
        <w:t>Contribution, Purchase and Sale Agreement</w:t>
      </w:r>
      <w:r>
        <w:rPr>
          <w:rFonts w:ascii="Times New Roman" w:hAnsi="Times New Roman"/>
          <w:sz w:val="20"/>
        </w:rPr>
        <w:t xml:space="preserve">”), TBIL has contributed, sold and conveyed to the DST Issuer, and the DST Issuer has purchased and received from TBIL, the Transferred Assets, including all of TBIL’s right, title and interest in, to and under the Collaboration Agreement and one hundred percent (100%) of the aggregate voting and economic interests of each of RDIP and TABI; </w:t>
      </w:r>
    </w:p>
    <w:p>
      <w:pPr>
        <w:pStyle w:val="TextBody"/>
        <w:bidi w:val="0"/>
        <w:spacing w:before="240" w:after="0"/>
        <w:jc w:val="both"/>
        <w:rPr>
          <w:rFonts w:ascii="Times New Roman" w:hAnsi="Times New Roman"/>
          <w:sz w:val="20"/>
        </w:rPr>
      </w:pPr>
      <w:r>
        <w:rPr>
          <w:rFonts w:ascii="Times New Roman" w:hAnsi="Times New Roman"/>
          <w:sz w:val="20"/>
        </w:rPr>
        <w:t>WHEREAS, substantially concurrently with the issuance and purchase of the Notes under the Note Purchase Agreement, Zymeworks Merger Sub 1, a wholly-owned subsidiary of Zymeworks Inc. (“</w:t>
      </w:r>
      <w:r>
        <w:rPr>
          <w:rFonts w:ascii="Times New Roman" w:hAnsi="Times New Roman"/>
          <w:sz w:val="20"/>
          <w:u w:val="single"/>
        </w:rPr>
        <w:t>Parent</w:t>
      </w:r>
      <w:r>
        <w:rPr>
          <w:rFonts w:ascii="Times New Roman" w:hAnsi="Times New Roman"/>
          <w:sz w:val="20"/>
        </w:rPr>
        <w:t>”), will merge with and into Theravance Biopharma, Inc. (“</w:t>
      </w:r>
      <w:r>
        <w:rPr>
          <w:rFonts w:ascii="Times New Roman" w:hAnsi="Times New Roman"/>
          <w:sz w:val="20"/>
          <w:u w:val="single"/>
        </w:rPr>
        <w:t>TBPH</w:t>
      </w:r>
      <w:r>
        <w:rPr>
          <w:rFonts w:ascii="Times New Roman" w:hAnsi="Times New Roman"/>
          <w:sz w:val="20"/>
        </w:rPr>
        <w:t xml:space="preserve">”), with TBPH surviving such merger as a wholly-owned subsidiary of Parent, and the Financing Reorganization shall have been consummated, in each case, as contemplated by the Acquisition Agreement; </w:t>
      </w:r>
    </w:p>
    <w:p>
      <w:pPr>
        <w:pStyle w:val="TextBody"/>
        <w:bidi w:val="0"/>
        <w:spacing w:before="240" w:after="0"/>
        <w:jc w:val="both"/>
        <w:rPr>
          <w:rFonts w:ascii="Times New Roman" w:hAnsi="Times New Roman"/>
          <w:sz w:val="20"/>
        </w:rPr>
      </w:pPr>
      <w:r>
        <w:rPr>
          <w:rFonts w:ascii="Times New Roman" w:hAnsi="Times New Roman"/>
          <w:sz w:val="20"/>
        </w:rPr>
        <w:t xml:space="preserve">WHEREAS, the Issuers intend to use all or a portion of the net proceeds from the issuance of the Notes under the Note Purchase Agreement to consummate the purchase and acquisition of the Transferred Assets under the Contribution, Purchase and Sale Agreement, and TBIL intends to use the proceeds received by it thereunder to repay intercompany indebtedness owing by TBIL to TBPH and to make a return of capital to TBPH, and otherwise to finance all or a portion of the other Transactions (including the payment of fees, taxes and other expenses incurred in connection therewith);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WHEREAS, each Grantor is a direct or indirect subsidiary of the Issuers or otherwise an Affiliate of the Issuers, will derive substantial direct and indirect benefits from the consummation of the Transactions and the purchase of the Notes by the Purchasers, and has determined that the benefits accruing to it therefrom exceed its anticipated liability under this Agreement; and </w:t>
      </w:r>
    </w:p>
    <w:p>
      <w:pPr>
        <w:pStyle w:val="TextBody"/>
        <w:bidi w:val="0"/>
        <w:spacing w:before="240" w:after="0"/>
        <w:jc w:val="both"/>
        <w:rPr>
          <w:rFonts w:ascii="Times New Roman" w:hAnsi="Times New Roman"/>
          <w:sz w:val="20"/>
        </w:rPr>
      </w:pPr>
      <w:r>
        <w:rPr>
          <w:rFonts w:ascii="Times New Roman" w:hAnsi="Times New Roman"/>
          <w:sz w:val="20"/>
        </w:rPr>
        <w:t xml:space="preserve">WHEREAS, it is a condition precedent to the obligation of the Purchasers to purchase the Notes under the Note Purchase Agreement that each Grantor shall have executed and delivered this Agreement, pursuant to which (a) each Guarantor guarantees the payment and performance in full of the Obligations and (b) each Grantor grants to the Agent, for the benefit of the Secured Parties, a security interest in the Collateral (as defined below) as security for the Obligations.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premises set forth herein and for other good and valuable consideration, the receipt and sufficiency of which are hereby acknowledged, and in order to induce the Purchasers to purchase the Notes, each Grantor agrees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Terms Defined in the UCC</w:t>
      </w:r>
      <w:r>
        <w:rPr>
          <w:rFonts w:ascii="Times New Roman" w:hAnsi="Times New Roman"/>
          <w:b/>
          <w:sz w:val="20"/>
        </w:rPr>
        <w:t>.</w:t>
      </w:r>
      <w:r>
        <w:rPr>
          <w:rFonts w:ascii="Times New Roman" w:hAnsi="Times New Roman"/>
          <w:sz w:val="20"/>
        </w:rPr>
        <w:t xml:space="preserve"> All capitalized terms used herein and not defined herein or in the Note Purchase Agreement that are defined in the UCC (as defined below) shall have the meanings assigned to such terms in the UCC.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Incorporation by Reference</w:t>
      </w:r>
      <w:r>
        <w:rPr>
          <w:rFonts w:ascii="Times New Roman" w:hAnsi="Times New Roman"/>
          <w:b/>
          <w:sz w:val="20"/>
        </w:rPr>
        <w:t>.</w:t>
      </w:r>
      <w:r>
        <w:rPr>
          <w:rFonts w:ascii="Times New Roman" w:hAnsi="Times New Roman"/>
          <w:sz w:val="20"/>
        </w:rPr>
        <w:t xml:space="preserve"> The provisions of Section 1.02 (other than Section 1.02(k)), Section 1.03 and Section 1.04 of the Note Purchase Agreement are incorporated herein by reference and made a part hereof,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Definitions of Certain Terms Used Herein</w:t>
      </w:r>
      <w:r>
        <w:rPr>
          <w:rFonts w:ascii="Times New Roman" w:hAnsi="Times New Roman"/>
          <w:b/>
          <w:sz w:val="20"/>
        </w:rPr>
        <w:t>.</w:t>
      </w:r>
      <w:r>
        <w:rPr>
          <w:rFonts w:ascii="Times New Roman" w:hAnsi="Times New Roman"/>
          <w:sz w:val="20"/>
        </w:rPr>
        <w:t xml:space="preserve"> As used in this Agreement the following terms shall have the following meanings: </w:t>
      </w:r>
    </w:p>
    <w:p>
      <w:pPr>
        <w:pStyle w:val="TextBody"/>
        <w:bidi w:val="0"/>
        <w:spacing w:before="120" w:after="0"/>
        <w:jc w:val="both"/>
        <w:rPr/>
      </w:pPr>
      <w:r>
        <w:rPr/>
        <w:t>“</w:t>
      </w:r>
      <w:r>
        <w:rPr>
          <w:rFonts w:ascii="Times New Roman" w:hAnsi="Times New Roman"/>
          <w:sz w:val="20"/>
          <w:u w:val="single"/>
        </w:rPr>
        <w:t>Accounts</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After-Arising Intellectual Property</w:t>
      </w:r>
      <w:r>
        <w:rPr>
          <w:rFonts w:ascii="Times New Roman" w:hAnsi="Times New Roman"/>
          <w:sz w:val="20"/>
        </w:rPr>
        <w:t xml:space="preserve">” has the meaning set forth in </w:t>
      </w:r>
      <w:r>
        <w:rPr>
          <w:rFonts w:ascii="Times New Roman" w:hAnsi="Times New Roman"/>
          <w:sz w:val="20"/>
          <w:u w:val="single"/>
        </w:rPr>
        <w:t>Section 5.10(b)</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Agent</w:t>
      </w:r>
      <w:r>
        <w:rPr>
          <w:rFonts w:ascii="Times New Roman" w:hAnsi="Times New Roman"/>
          <w:sz w:val="20"/>
        </w:rPr>
        <w:t xml:space="preserve">” has the meaning set forth in the preamble hereto. </w:t>
      </w:r>
    </w:p>
    <w:p>
      <w:pPr>
        <w:pStyle w:val="TextBody"/>
        <w:bidi w:val="0"/>
        <w:spacing w:before="240" w:after="0"/>
        <w:jc w:val="both"/>
        <w:rPr/>
      </w:pPr>
      <w:r>
        <w:rPr/>
        <w:t>“</w:t>
      </w:r>
      <w:r>
        <w:rPr>
          <w:rFonts w:ascii="Times New Roman" w:hAnsi="Times New Roman"/>
          <w:sz w:val="20"/>
          <w:u w:val="single"/>
        </w:rPr>
        <w:t>Ancillary IP Rights</w:t>
      </w:r>
      <w:r>
        <w:rPr>
          <w:rFonts w:ascii="Times New Roman" w:hAnsi="Times New Roman"/>
          <w:sz w:val="20"/>
        </w:rPr>
        <w:t xml:space="preserve">” means, with respect to any Copyrights, Trademarks, Patents, or other Intellectual Property (a) all income, royalties, damages and payments now or hereafter due or payable under any of the foregoing, including damages or payments for past, present or future infringements of any of the foregoing; (b) the right to sue for past, present and future infringements of any of the foregoing; and (c) all rights and privileges corresponding to any of the foregoing throughout the world.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Article</w:t>
      </w:r>
      <w:r>
        <w:rPr>
          <w:rFonts w:ascii="Times New Roman" w:hAnsi="Times New Roman"/>
          <w:sz w:val="20"/>
        </w:rPr>
        <w:t xml:space="preserve">” means a numbered article of this Agreement, unless another document is specifically referenced. </w:t>
      </w:r>
    </w:p>
    <w:p>
      <w:pPr>
        <w:pStyle w:val="TextBody"/>
        <w:bidi w:val="0"/>
        <w:spacing w:before="240" w:after="0"/>
        <w:jc w:val="both"/>
        <w:rPr/>
      </w:pPr>
      <w:r>
        <w:rPr/>
        <w:t>“</w:t>
      </w:r>
      <w:r>
        <w:rPr>
          <w:rFonts w:ascii="Times New Roman" w:hAnsi="Times New Roman"/>
          <w:sz w:val="20"/>
          <w:u w:val="single"/>
        </w:rPr>
        <w:t>Chattel Paper</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Collateral</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Commercial Tort Claims</w:t>
      </w:r>
      <w:r>
        <w:rPr>
          <w:rFonts w:ascii="Times New Roman" w:hAnsi="Times New Roman"/>
          <w:sz w:val="20"/>
        </w:rPr>
        <w:t xml:space="preserve">” has the meaning set forth in Article 9 of the UCC and includes each Commercial Tort Claim specifically described on </w:t>
      </w:r>
      <w:r>
        <w:rPr>
          <w:rFonts w:ascii="Times New Roman" w:hAnsi="Times New Roman"/>
          <w:sz w:val="20"/>
          <w:u w:val="single"/>
        </w:rPr>
        <w:t>Schedule 5.11</w:t>
      </w:r>
      <w:r>
        <w:rPr>
          <w:rFonts w:ascii="Times New Roman" w:hAnsi="Times New Roman"/>
          <w:sz w:val="20"/>
        </w:rPr>
        <w:t xml:space="preserve"> attached hereto. </w:t>
      </w:r>
    </w:p>
    <w:p>
      <w:pPr>
        <w:pStyle w:val="TextBody"/>
        <w:bidi w:val="0"/>
        <w:spacing w:before="240" w:after="0"/>
        <w:jc w:val="both"/>
        <w:rPr/>
      </w:pPr>
      <w:r>
        <w:rPr/>
        <w:t>“</w:t>
      </w:r>
      <w:r>
        <w:rPr>
          <w:rFonts w:ascii="Times New Roman" w:hAnsi="Times New Roman"/>
          <w:sz w:val="20"/>
          <w:u w:val="single"/>
        </w:rPr>
        <w:t>Confirmatory Grant of Security Interest in Copyrights</w:t>
      </w:r>
      <w:r>
        <w:rPr>
          <w:rFonts w:ascii="Times New Roman" w:hAnsi="Times New Roman"/>
          <w:sz w:val="20"/>
        </w:rPr>
        <w:t xml:space="preserve">” means a confirmatory grant of security interest in the form and substance attached hereto as </w:t>
      </w:r>
      <w:r>
        <w:rPr>
          <w:rFonts w:ascii="Times New Roman" w:hAnsi="Times New Roman"/>
          <w:sz w:val="20"/>
          <w:u w:val="single"/>
        </w:rPr>
        <w:t>Exhibit A</w:t>
      </w:r>
      <w:r>
        <w:rPr>
          <w:rFonts w:ascii="Times New Roman" w:hAnsi="Times New Roman"/>
          <w:sz w:val="20"/>
        </w:rPr>
        <w:t xml:space="preserve"> and appropriate for recording in the United States Copyright Office, confirming the Lien granted in favor of the Agent for the benefit of the Secured Parties hereunder in Copyrights, and which shall constitute an “IP Security Agreement” under (and as defined in) the Note Purchase Agreement. </w:t>
      </w:r>
    </w:p>
    <w:p>
      <w:pPr>
        <w:pStyle w:val="TextBody"/>
        <w:bidi w:val="0"/>
        <w:spacing w:before="240" w:after="0"/>
        <w:jc w:val="both"/>
        <w:rPr/>
      </w:pPr>
      <w:r>
        <w:rPr/>
        <w:t>“</w:t>
      </w:r>
      <w:r>
        <w:rPr>
          <w:rFonts w:ascii="Times New Roman" w:hAnsi="Times New Roman"/>
          <w:sz w:val="20"/>
          <w:u w:val="single"/>
        </w:rPr>
        <w:t>Confirmatory Grant of Security Interest in Patents</w:t>
      </w:r>
      <w:r>
        <w:rPr>
          <w:rFonts w:ascii="Times New Roman" w:hAnsi="Times New Roman"/>
          <w:sz w:val="20"/>
        </w:rPr>
        <w:t xml:space="preserve">” means a confirmatory grant of security interest in form and substance attached hereto as </w:t>
      </w:r>
      <w:r>
        <w:rPr>
          <w:rFonts w:ascii="Times New Roman" w:hAnsi="Times New Roman"/>
          <w:sz w:val="20"/>
          <w:u w:val="single"/>
        </w:rPr>
        <w:t>Exhibit B</w:t>
      </w:r>
      <w:r>
        <w:rPr>
          <w:rFonts w:ascii="Times New Roman" w:hAnsi="Times New Roman"/>
          <w:sz w:val="20"/>
        </w:rPr>
        <w:t xml:space="preserve"> and appropriate for recording in the United States Patent and Trademark Office, confirming the Lien granted in favor of the Agent for the benefit of the Secured Parties hereunder in Patents, and which shall constitute an “IP Security Agreement” under (and as defined in) the Note Purchase Agreement. </w:t>
      </w:r>
    </w:p>
    <w:p>
      <w:pPr>
        <w:pStyle w:val="TextBody"/>
        <w:bidi w:val="0"/>
        <w:spacing w:before="240" w:after="0"/>
        <w:jc w:val="both"/>
        <w:rPr/>
      </w:pPr>
      <w:r>
        <w:rPr/>
        <w:t>“</w:t>
      </w:r>
      <w:r>
        <w:rPr>
          <w:rFonts w:ascii="Times New Roman" w:hAnsi="Times New Roman"/>
          <w:sz w:val="20"/>
          <w:u w:val="single"/>
        </w:rPr>
        <w:t>Confirmatory Grant of Security Interest in Trademarks</w:t>
      </w:r>
      <w:r>
        <w:rPr>
          <w:rFonts w:ascii="Times New Roman" w:hAnsi="Times New Roman"/>
          <w:sz w:val="20"/>
        </w:rPr>
        <w:t xml:space="preserve">” means a confirmatory grant of security interest in form and substance attached hereto as </w:t>
      </w:r>
      <w:r>
        <w:rPr>
          <w:rFonts w:ascii="Times New Roman" w:hAnsi="Times New Roman"/>
          <w:sz w:val="20"/>
          <w:u w:val="single"/>
        </w:rPr>
        <w:t>Exhibit C</w:t>
      </w:r>
      <w:r>
        <w:rPr>
          <w:rFonts w:ascii="Times New Roman" w:hAnsi="Times New Roman"/>
          <w:sz w:val="20"/>
        </w:rPr>
        <w:t xml:space="preserve"> and appropriate for recording in the United States Patent and Trademark Office, confirming the Lien granted in favor of the Agent for the benefit of the Secured Parties hereunder in Trademarks, and which shall constitute an “IP Security Agreement” under (and as defined in) the Note Purchase Agreement. </w:t>
      </w:r>
    </w:p>
    <w:p>
      <w:pPr>
        <w:pStyle w:val="TextBody"/>
        <w:bidi w:val="0"/>
        <w:spacing w:before="240" w:after="0"/>
        <w:jc w:val="both"/>
        <w:rPr/>
      </w:pPr>
      <w:r>
        <w:rPr/>
        <w:t>“</w:t>
      </w:r>
      <w:r>
        <w:rPr>
          <w:rFonts w:ascii="Times New Roman" w:hAnsi="Times New Roman"/>
          <w:sz w:val="20"/>
          <w:u w:val="single"/>
        </w:rPr>
        <w:t>Contribution, Purchase and Sale Agreement</w:t>
      </w:r>
      <w:r>
        <w:rPr>
          <w:rFonts w:ascii="Times New Roman" w:hAnsi="Times New Roman"/>
          <w:sz w:val="20"/>
        </w:rPr>
        <w:t xml:space="preserve">” has the meaning set forth in the recitals hereto. </w:t>
      </w:r>
    </w:p>
    <w:p>
      <w:pPr>
        <w:pStyle w:val="TextBody"/>
        <w:bidi w:val="0"/>
        <w:spacing w:before="240" w:after="0"/>
        <w:jc w:val="both"/>
        <w:rPr/>
      </w:pPr>
      <w:r>
        <w:rPr/>
        <w:t>“</w:t>
      </w:r>
      <w:r>
        <w:rPr>
          <w:rFonts w:ascii="Times New Roman" w:hAnsi="Times New Roman"/>
          <w:sz w:val="20"/>
          <w:u w:val="single"/>
        </w:rPr>
        <w:t>Control</w:t>
      </w:r>
      <w:r>
        <w:rPr>
          <w:rFonts w:ascii="Times New Roman" w:hAnsi="Times New Roman"/>
          <w:sz w:val="20"/>
        </w:rPr>
        <w:t xml:space="preserve">” has the meaning set forth in Article 8 of the UCC or, if applicable, the meaning set forth in Section 9-104, 9-105, 9-106 or 9-107 of Article 9 of the UCC. </w:t>
      </w:r>
    </w:p>
    <w:p>
      <w:pPr>
        <w:pStyle w:val="TextBody"/>
        <w:bidi w:val="0"/>
        <w:spacing w:before="240" w:after="0"/>
        <w:jc w:val="both"/>
        <w:rPr/>
      </w:pPr>
      <w:r>
        <w:rPr/>
        <w:t>“</w:t>
      </w:r>
      <w:r>
        <w:rPr>
          <w:rFonts w:ascii="Times New Roman" w:hAnsi="Times New Roman"/>
          <w:sz w:val="20"/>
          <w:u w:val="single"/>
        </w:rPr>
        <w:t>Copyrights</w:t>
      </w:r>
      <w:r>
        <w:rPr>
          <w:rFonts w:ascii="Times New Roman" w:hAnsi="Times New Roman"/>
          <w:sz w:val="20"/>
        </w:rPr>
        <w:t xml:space="preserve">” means: (a) all copyrights and other rights afforded to works of authorship, including all moral rights, rights in mask works, copyrights and original designs, and all registrations thereof and all applications filed in connection therewith, in each case, under Title 17 of the United States Code or under the Laws of any foreign jurisdiction; and (b) all renewals and extensions of any of the foregoing. </w:t>
      </w:r>
    </w:p>
    <w:p>
      <w:pPr>
        <w:pStyle w:val="TextBody"/>
        <w:bidi w:val="0"/>
        <w:spacing w:before="240" w:after="0"/>
        <w:jc w:val="both"/>
        <w:rPr/>
      </w:pPr>
      <w:r>
        <w:rPr/>
        <w:t>“</w:t>
      </w:r>
      <w:r>
        <w:rPr>
          <w:rFonts w:ascii="Times New Roman" w:hAnsi="Times New Roman"/>
          <w:sz w:val="20"/>
          <w:u w:val="single"/>
        </w:rPr>
        <w:t>Deposit Accounts</w:t>
      </w:r>
      <w:r>
        <w:rPr>
          <w:rFonts w:ascii="Times New Roman" w:hAnsi="Times New Roman"/>
          <w:sz w:val="20"/>
        </w:rPr>
        <w:t xml:space="preserve">” has the meaning set forth in Article 9 of the UCC and in any event shall include all funds held therein and all certificates and instruments, if any, from time to time representing or evidencing a Deposit Account. </w:t>
      </w:r>
    </w:p>
    <w:p>
      <w:pPr>
        <w:pStyle w:val="TextBody"/>
        <w:bidi w:val="0"/>
        <w:spacing w:before="240" w:after="0"/>
        <w:jc w:val="both"/>
        <w:rPr/>
      </w:pPr>
      <w:r>
        <w:rPr/>
        <w:t>“</w:t>
      </w:r>
      <w:r>
        <w:rPr>
          <w:rFonts w:ascii="Times New Roman" w:hAnsi="Times New Roman"/>
          <w:sz w:val="20"/>
          <w:u w:val="single"/>
        </w:rPr>
        <w:t>Documents</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Electronic Chattel Paper</w:t>
      </w:r>
      <w:r>
        <w:rPr>
          <w:rFonts w:ascii="Times New Roman" w:hAnsi="Times New Roman"/>
          <w:sz w:val="20"/>
        </w:rPr>
        <w:t xml:space="preserve">” has the meaning set forth in Article 9 of the UCC.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Equipment</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Excluded Assets</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Exhibit</w:t>
      </w:r>
      <w:r>
        <w:rPr>
          <w:rFonts w:ascii="Times New Roman" w:hAnsi="Times New Roman"/>
          <w:sz w:val="20"/>
        </w:rPr>
        <w:t xml:space="preserve">” refers to a specific exhibit to this Agreement, unless another document is specifically referenced. </w:t>
      </w:r>
    </w:p>
    <w:p>
      <w:pPr>
        <w:pStyle w:val="TextBody"/>
        <w:bidi w:val="0"/>
        <w:spacing w:before="240" w:after="0"/>
        <w:jc w:val="both"/>
        <w:rPr/>
      </w:pPr>
      <w:r>
        <w:rPr/>
        <w:t>“</w:t>
      </w:r>
      <w:r>
        <w:rPr>
          <w:rFonts w:ascii="Times New Roman" w:hAnsi="Times New Roman"/>
          <w:sz w:val="20"/>
          <w:u w:val="single"/>
        </w:rPr>
        <w:t>Fixtures</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General Intangibles</w:t>
      </w:r>
      <w:r>
        <w:rPr>
          <w:rFonts w:ascii="Times New Roman" w:hAnsi="Times New Roman"/>
          <w:sz w:val="20"/>
        </w:rPr>
        <w:t xml:space="preserve">” has the meaning set forth in Article 9 of the UCC and, in any event, includes payment intangibles, contract rights, rights to payment, rights arising under common law, statutes, or regulations, choses or things in action, goodwill (including the goodwill associated with any Trademark), Patents, Patent Rights, Trademarks, Copyrights, IP Rights, domain names and URLs, other industrial or Intellectual Property or rights therein or applications therefor, programs, programming materials, blueprints, drawings, purchase orders, customer lists, monies due or recoverable from pension funds, route lists, rights to payment and other rights under any royalty or licensing agreements, including all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UCC, and any other personal property other than Commercial Tort Claims, money, Accounts, Chattel Paper, Deposit Accounts, Goods, Investment Property, negotiable Collateral, and oil, gas, or other minerals before extraction. </w:t>
      </w:r>
    </w:p>
    <w:p>
      <w:pPr>
        <w:pStyle w:val="TextBody"/>
        <w:bidi w:val="0"/>
        <w:spacing w:before="240" w:after="0"/>
        <w:jc w:val="both"/>
        <w:rPr/>
      </w:pPr>
      <w:r>
        <w:rPr/>
        <w:t>“</w:t>
      </w:r>
      <w:r>
        <w:rPr>
          <w:rFonts w:ascii="Times New Roman" w:hAnsi="Times New Roman"/>
          <w:sz w:val="20"/>
          <w:u w:val="single"/>
        </w:rPr>
        <w:t>Goods</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Grantor</w:t>
      </w:r>
      <w:r>
        <w:rPr>
          <w:rFonts w:ascii="Times New Roman" w:hAnsi="Times New Roman"/>
          <w:sz w:val="20"/>
        </w:rPr>
        <w:t>” and “</w:t>
      </w:r>
      <w:r>
        <w:rPr>
          <w:rFonts w:ascii="Times New Roman" w:hAnsi="Times New Roman"/>
          <w:sz w:val="20"/>
          <w:u w:val="single"/>
        </w:rPr>
        <w:t>Grantors</w:t>
      </w:r>
      <w:r>
        <w:rPr>
          <w:rFonts w:ascii="Times New Roman" w:hAnsi="Times New Roman"/>
          <w:sz w:val="20"/>
        </w:rPr>
        <w:t xml:space="preserve">” have the meanings set forth in the preamble hereto. </w:t>
      </w:r>
    </w:p>
    <w:p>
      <w:pPr>
        <w:pStyle w:val="TextBody"/>
        <w:bidi w:val="0"/>
        <w:spacing w:before="240" w:after="0"/>
        <w:jc w:val="both"/>
        <w:rPr/>
      </w:pPr>
      <w:r>
        <w:rPr/>
        <w:t>“</w:t>
      </w:r>
      <w:r>
        <w:rPr>
          <w:rFonts w:ascii="Times New Roman" w:hAnsi="Times New Roman"/>
          <w:sz w:val="20"/>
          <w:u w:val="single"/>
        </w:rPr>
        <w:t>Guarantor</w:t>
      </w:r>
      <w:r>
        <w:rPr>
          <w:rFonts w:ascii="Times New Roman" w:hAnsi="Times New Roman"/>
          <w:sz w:val="20"/>
        </w:rPr>
        <w:t xml:space="preserve">” means each Grantor other than an Issuer. </w:t>
      </w:r>
    </w:p>
    <w:p>
      <w:pPr>
        <w:pStyle w:val="TextBody"/>
        <w:bidi w:val="0"/>
        <w:spacing w:before="240" w:after="0"/>
        <w:jc w:val="both"/>
        <w:rPr/>
      </w:pPr>
      <w:r>
        <w:rPr/>
        <w:t>“</w:t>
      </w:r>
      <w:r>
        <w:rPr>
          <w:rFonts w:ascii="Times New Roman" w:hAnsi="Times New Roman"/>
          <w:sz w:val="20"/>
          <w:u w:val="single"/>
        </w:rPr>
        <w:t>Guaranty</w:t>
      </w:r>
      <w:r>
        <w:rPr>
          <w:rFonts w:ascii="Times New Roman" w:hAnsi="Times New Roman"/>
          <w:sz w:val="20"/>
        </w:rPr>
        <w:t xml:space="preserve">” means the guaranty of the Obligations made by the Guarantors pursuant to </w:t>
      </w:r>
      <w:r>
        <w:rPr>
          <w:rFonts w:ascii="Times New Roman" w:hAnsi="Times New Roman"/>
          <w:sz w:val="20"/>
          <w:u w:val="single"/>
        </w:rPr>
        <w:t>Article II</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Instruments</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Intellectual Property Collateral</w:t>
      </w:r>
      <w:r>
        <w:rPr>
          <w:rFonts w:ascii="Times New Roman" w:hAnsi="Times New Roman"/>
          <w:sz w:val="20"/>
        </w:rPr>
        <w:t xml:space="preserve">” means, with respect to any Person, all of such Person’s right, title and interest in and to any Intellectual Property (including all IP Rights, Product Rights and Copyrights) that is owned, co-owned or hereafter acquired by, or issued to, such Person. </w:t>
      </w:r>
    </w:p>
    <w:p>
      <w:pPr>
        <w:pStyle w:val="TextBody"/>
        <w:bidi w:val="0"/>
        <w:spacing w:before="240" w:after="0"/>
        <w:jc w:val="both"/>
        <w:rPr/>
      </w:pPr>
      <w:r>
        <w:rPr/>
        <w:t>“</w:t>
      </w:r>
      <w:r>
        <w:rPr>
          <w:rFonts w:ascii="Times New Roman" w:hAnsi="Times New Roman"/>
          <w:sz w:val="20"/>
          <w:u w:val="single"/>
        </w:rPr>
        <w:t>Inventory</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Investment Property</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Joinder</w:t>
      </w:r>
      <w:r>
        <w:rPr>
          <w:rFonts w:ascii="Times New Roman" w:hAnsi="Times New Roman"/>
          <w:sz w:val="20"/>
        </w:rPr>
        <w:t xml:space="preserve">” means a joinder to this Agreement, substantially in the form of </w:t>
      </w:r>
      <w:r>
        <w:rPr>
          <w:rFonts w:ascii="Times New Roman" w:hAnsi="Times New Roman"/>
          <w:sz w:val="20"/>
          <w:u w:val="single"/>
        </w:rPr>
        <w:t>Exhibit D</w:t>
      </w:r>
      <w:r>
        <w:rPr>
          <w:rFonts w:ascii="Times New Roman" w:hAnsi="Times New Roman"/>
          <w:sz w:val="20"/>
        </w:rPr>
        <w:t xml:space="preserve"> hereto, executed and delivered by a Person becoming a Grantor hereunder pursuant to </w:t>
      </w:r>
      <w:r>
        <w:rPr>
          <w:rFonts w:ascii="Times New Roman" w:hAnsi="Times New Roman"/>
          <w:sz w:val="20"/>
          <w:u w:val="single"/>
        </w:rPr>
        <w:t>Section 8.07</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u w:val="single"/>
        </w:rPr>
        <w:t>Letter-of-Credit Rights</w:t>
      </w:r>
      <w:r>
        <w:rPr>
          <w:rFonts w:ascii="Times New Roman" w:hAnsi="Times New Roman"/>
          <w:sz w:val="20"/>
        </w:rPr>
        <w:t xml:space="preserve">” has the meaning set forth in Article 9 of the UCC.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Licenses</w:t>
      </w:r>
      <w:r>
        <w:rPr>
          <w:rFonts w:ascii="Times New Roman" w:hAnsi="Times New Roman"/>
          <w:sz w:val="20"/>
        </w:rPr>
        <w:t xml:space="preserve">” means, with respect to any Person, all of such Person’s right, title, and interest in and to (a) any and all licensing agreements or similar arrangements (including all License Agreements), now in effect or entered into after the date hereof, in and to any Intellectual Property in favor of such Person, (b) all income, royalties, damages, claims, and payments now or hereafter due or payable under and with respect thereto, including damages and payments for past and future breaches thereof, and (c) all rights to sue for past, present, and future breaches thereof. </w:t>
      </w:r>
    </w:p>
    <w:p>
      <w:pPr>
        <w:pStyle w:val="TextBody"/>
        <w:bidi w:val="0"/>
        <w:spacing w:before="240" w:after="0"/>
        <w:jc w:val="both"/>
        <w:rPr/>
      </w:pPr>
      <w:r>
        <w:rPr/>
        <w:t>“</w:t>
      </w:r>
      <w:r>
        <w:rPr>
          <w:rFonts w:ascii="Times New Roman" w:hAnsi="Times New Roman"/>
          <w:sz w:val="20"/>
          <w:u w:val="single"/>
        </w:rPr>
        <w:t>Obligations</w:t>
      </w:r>
      <w:r>
        <w:rPr>
          <w:rFonts w:ascii="Times New Roman" w:hAnsi="Times New Roman"/>
          <w:sz w:val="20"/>
        </w:rPr>
        <w:t xml:space="preserve">” has the meaning set forth in the Note Purchase Agreement. </w:t>
      </w:r>
    </w:p>
    <w:p>
      <w:pPr>
        <w:pStyle w:val="TextBody"/>
        <w:bidi w:val="0"/>
        <w:spacing w:before="240" w:after="0"/>
        <w:jc w:val="both"/>
        <w:rPr/>
      </w:pPr>
      <w:r>
        <w:rPr/>
        <w:t>“</w:t>
      </w:r>
      <w:r>
        <w:rPr>
          <w:rFonts w:ascii="Times New Roman" w:hAnsi="Times New Roman"/>
          <w:sz w:val="20"/>
          <w:u w:val="single"/>
        </w:rPr>
        <w:t>Other Collateral</w:t>
      </w:r>
      <w:r>
        <w:rPr>
          <w:rFonts w:ascii="Times New Roman" w:hAnsi="Times New Roman"/>
          <w:sz w:val="20"/>
        </w:rPr>
        <w:t xml:space="preserve">” means any property of any Grantor not included within the defined terms Accounts, Chattel Paper, Collection Account, Commercial Tort Claims, Copyrights, Deposit Accounts, Documents, Electronic Chattel Paper, Equipment, Equity Interests, Fixtures, General Intangibles, Goods, Instruments, Intellectual Property, Inventory, Investment Property, IP Rights, Letters of Credit, Letter-of-Credit Rights, Licenses, Patents, Pledged Equity, Securities Accounts, Securities Entitlements, Specified Contract Rights, Supporting Obligations or Trademarks, including, without limitation, all cash on hand and all property of such Grantor now or hereafter in the possession, custody or control of, or in transit to, the Agent, any other Secured Party or the Account Bank (whether for safekeeping, custody, collection, pledge, transmission or any other purpose), it being intended that the Collateral include all personal property of each Grantor, including, without limitation, all of each Grantor’s right, title and interest in and to the Collaboration Agreement, the Co-Promotion Agreement, the Servicing Agreement, the Administration Agreement, the General Services Agreement, each other Covered Agreement and the Payment Auditor Agreement. </w:t>
      </w:r>
    </w:p>
    <w:p>
      <w:pPr>
        <w:pStyle w:val="TextBody"/>
        <w:bidi w:val="0"/>
        <w:spacing w:before="240" w:after="0"/>
        <w:jc w:val="both"/>
        <w:rPr/>
      </w:pPr>
      <w:r>
        <w:rPr/>
        <w:t>“</w:t>
      </w:r>
      <w:r>
        <w:rPr>
          <w:rFonts w:ascii="Times New Roman" w:hAnsi="Times New Roman"/>
          <w:sz w:val="20"/>
          <w:u w:val="single"/>
        </w:rPr>
        <w:t>Patents</w:t>
      </w:r>
      <w:r>
        <w:rPr>
          <w:rFonts w:ascii="Times New Roman" w:hAnsi="Times New Roman"/>
          <w:sz w:val="20"/>
        </w:rPr>
        <w:t xml:space="preserve">” means all “Patents” as defined in the Note Purchase Agreement. </w:t>
      </w:r>
    </w:p>
    <w:p>
      <w:pPr>
        <w:pStyle w:val="TextBody"/>
        <w:bidi w:val="0"/>
        <w:spacing w:before="240" w:after="0"/>
        <w:jc w:val="both"/>
        <w:rPr/>
      </w:pPr>
      <w:r>
        <w:rPr/>
        <w:t>“</w:t>
      </w:r>
      <w:r>
        <w:rPr>
          <w:rFonts w:ascii="Times New Roman" w:hAnsi="Times New Roman"/>
          <w:sz w:val="20"/>
          <w:u w:val="single"/>
        </w:rPr>
        <w:t>Pledged Collateral</w:t>
      </w:r>
      <w:r>
        <w:rPr>
          <w:rFonts w:ascii="Times New Roman" w:hAnsi="Times New Roman"/>
          <w:sz w:val="20"/>
        </w:rPr>
        <w:t xml:space="preserve">” means all Pledged Equity and Pledged Debt and other Investment Property of each Grantor constituting Collateral, in each case, whether or not physically delivered to the Agent pursuant to this Agreement. </w:t>
      </w:r>
    </w:p>
    <w:p>
      <w:pPr>
        <w:pStyle w:val="TextBody"/>
        <w:bidi w:val="0"/>
        <w:spacing w:before="240" w:after="0"/>
        <w:jc w:val="both"/>
        <w:rPr/>
      </w:pPr>
      <w:r>
        <w:rPr/>
        <w:t>“</w:t>
      </w:r>
      <w:r>
        <w:rPr>
          <w:rFonts w:ascii="Times New Roman" w:hAnsi="Times New Roman"/>
          <w:sz w:val="20"/>
          <w:u w:val="single"/>
        </w:rPr>
        <w:t>Pledged Debt</w:t>
      </w:r>
      <w:r>
        <w:rPr>
          <w:rFonts w:ascii="Times New Roman" w:hAnsi="Times New Roman"/>
          <w:sz w:val="20"/>
        </w:rPr>
        <w:t xml:space="preserve">” means all of each Grantor’s right, title and interest in, to and under all promissory notes and other Instruments evidencing any Indebtedness now held or obtained in the future by such Grantor (including any promissory note evidencing loans made by such Grantor to any other Note Party or any Affiliate thereof), including those set forth opposite the name of such Grantor on </w:t>
      </w:r>
      <w:r>
        <w:rPr>
          <w:rFonts w:ascii="Times New Roman" w:hAnsi="Times New Roman"/>
          <w:sz w:val="20"/>
          <w:u w:val="single"/>
        </w:rPr>
        <w:t>Schedule 4.09</w:t>
      </w:r>
      <w:r>
        <w:rPr>
          <w:rFonts w:ascii="Times New Roman" w:hAnsi="Times New Roman"/>
          <w:sz w:val="20"/>
        </w:rPr>
        <w:t xml:space="preserve"> attached hereto. </w:t>
      </w:r>
    </w:p>
    <w:p>
      <w:pPr>
        <w:pStyle w:val="TextBody"/>
        <w:bidi w:val="0"/>
        <w:spacing w:before="240" w:after="0"/>
        <w:jc w:val="both"/>
        <w:rPr/>
      </w:pPr>
      <w:r>
        <w:rPr/>
        <w:t>“</w:t>
      </w:r>
      <w:r>
        <w:rPr>
          <w:rFonts w:ascii="Times New Roman" w:hAnsi="Times New Roman"/>
          <w:sz w:val="20"/>
          <w:u w:val="single"/>
        </w:rPr>
        <w:t>Pledged Equity</w:t>
      </w:r>
      <w:r>
        <w:rPr>
          <w:rFonts w:ascii="Times New Roman" w:hAnsi="Times New Roman"/>
          <w:sz w:val="20"/>
        </w:rPr>
        <w:t xml:space="preserve">” means all of each Grantor’s right, title and interest in, to and under (a) the Equity Interests now owned or at any time hereafter acquired by such Grantor, including those set forth opposite the name of such Grantor on </w:t>
      </w:r>
      <w:r>
        <w:rPr>
          <w:rFonts w:ascii="Times New Roman" w:hAnsi="Times New Roman"/>
          <w:sz w:val="20"/>
          <w:u w:val="single"/>
        </w:rPr>
        <w:t>Schedule 4.09</w:t>
      </w:r>
      <w:r>
        <w:rPr>
          <w:rFonts w:ascii="Times New Roman" w:hAnsi="Times New Roman"/>
          <w:sz w:val="20"/>
        </w:rPr>
        <w:t xml:space="preserve"> attached hereto, and (b) all certificates, instruments or other writings representing or evidencing any of the foregoing, together with, in each case, all Stock Rights with respect thereto. </w:t>
      </w:r>
    </w:p>
    <w:p>
      <w:pPr>
        <w:pStyle w:val="TextBody"/>
        <w:bidi w:val="0"/>
        <w:spacing w:before="240" w:after="0"/>
        <w:jc w:val="both"/>
        <w:rPr/>
      </w:pPr>
      <w:r>
        <w:rPr/>
        <w:t>“</w:t>
      </w:r>
      <w:r>
        <w:rPr>
          <w:rFonts w:ascii="Times New Roman" w:hAnsi="Times New Roman"/>
          <w:sz w:val="20"/>
          <w:u w:val="single"/>
        </w:rPr>
        <w:t>Proceeds Account</w:t>
      </w:r>
      <w:r>
        <w:rPr>
          <w:rFonts w:ascii="Times New Roman" w:hAnsi="Times New Roman"/>
          <w:sz w:val="20"/>
        </w:rPr>
        <w:t xml:space="preserve">” has the meaning set forth in </w:t>
      </w:r>
      <w:r>
        <w:rPr>
          <w:rFonts w:ascii="Times New Roman" w:hAnsi="Times New Roman"/>
          <w:sz w:val="20"/>
          <w:u w:val="single"/>
        </w:rPr>
        <w:t>Section 6.04</w:t>
      </w:r>
      <w:r>
        <w:rPr>
          <w:rFonts w:ascii="Times New Roman" w:hAnsi="Times New Roman"/>
          <w:sz w:val="20"/>
        </w:rPr>
        <w:t xml:space="preserve"> of this Agreement. </w:t>
      </w:r>
    </w:p>
    <w:p>
      <w:pPr>
        <w:pStyle w:val="TextBody"/>
        <w:bidi w:val="0"/>
        <w:spacing w:before="240" w:after="0"/>
        <w:jc w:val="both"/>
        <w:rPr/>
      </w:pPr>
      <w:r>
        <w:rPr/>
        <w:t>“</w:t>
      </w:r>
      <w:r>
        <w:rPr>
          <w:rFonts w:ascii="Times New Roman" w:hAnsi="Times New Roman"/>
          <w:sz w:val="20"/>
          <w:u w:val="single"/>
        </w:rPr>
        <w:t>Rights to Payment</w:t>
      </w:r>
      <w:r>
        <w:rPr>
          <w:rFonts w:ascii="Times New Roman" w:hAnsi="Times New Roman"/>
          <w:sz w:val="20"/>
        </w:rPr>
        <w:t xml:space="preserve">” means Accounts, Chattel Paper, Documents, Investment Property or Instruments, and any other rights or claims to receive money which are General Intangibles or which are otherwise included as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sz w:val="20"/>
          <w:u w:val="single"/>
        </w:rPr>
        <w:t>Section</w:t>
      </w:r>
      <w:r>
        <w:rPr>
          <w:rFonts w:ascii="Times New Roman" w:hAnsi="Times New Roman"/>
          <w:sz w:val="20"/>
        </w:rPr>
        <w:t xml:space="preserve">” means a numbered section of this Agreement, unless another document is specifically referenced. </w:t>
      </w:r>
    </w:p>
    <w:p>
      <w:pPr>
        <w:pStyle w:val="TextBody"/>
        <w:bidi w:val="0"/>
        <w:spacing w:before="240" w:after="0"/>
        <w:jc w:val="both"/>
        <w:rPr/>
      </w:pPr>
      <w:r>
        <w:rPr/>
        <w:t>“</w:t>
      </w:r>
      <w:r>
        <w:rPr>
          <w:rFonts w:ascii="Times New Roman" w:hAnsi="Times New Roman"/>
          <w:sz w:val="20"/>
          <w:u w:val="single"/>
        </w:rPr>
        <w:t>Securities Account</w:t>
      </w:r>
      <w:r>
        <w:rPr>
          <w:rFonts w:ascii="Times New Roman" w:hAnsi="Times New Roman"/>
          <w:sz w:val="20"/>
        </w:rPr>
        <w:t xml:space="preserve">” has the meaning set forth in Article 8 of the UCC. </w:t>
      </w:r>
    </w:p>
    <w:p>
      <w:pPr>
        <w:pStyle w:val="TextBody"/>
        <w:bidi w:val="0"/>
        <w:spacing w:before="240" w:after="0"/>
        <w:jc w:val="both"/>
        <w:rPr/>
      </w:pPr>
      <w:r>
        <w:rPr/>
        <w:t>“</w:t>
      </w:r>
      <w:r>
        <w:rPr>
          <w:rFonts w:ascii="Times New Roman" w:hAnsi="Times New Roman"/>
          <w:sz w:val="20"/>
          <w:u w:val="single"/>
        </w:rPr>
        <w:t>Securities Entitlements</w:t>
      </w:r>
      <w:r>
        <w:rPr>
          <w:rFonts w:ascii="Times New Roman" w:hAnsi="Times New Roman"/>
          <w:sz w:val="20"/>
        </w:rPr>
        <w:t xml:space="preserve">” has the meaning set forth in Article 8 of the UCC. </w:t>
      </w:r>
    </w:p>
    <w:p>
      <w:pPr>
        <w:pStyle w:val="TextBody"/>
        <w:bidi w:val="0"/>
        <w:spacing w:before="240" w:after="0"/>
        <w:jc w:val="both"/>
        <w:rPr/>
      </w:pPr>
      <w:r>
        <w:rPr/>
        <w:t>“</w:t>
      </w:r>
      <w:r>
        <w:rPr>
          <w:rFonts w:ascii="Times New Roman" w:hAnsi="Times New Roman"/>
          <w:sz w:val="20"/>
          <w:u w:val="single"/>
        </w:rPr>
        <w:t>Security</w:t>
      </w:r>
      <w:r>
        <w:rPr>
          <w:rFonts w:ascii="Times New Roman" w:hAnsi="Times New Roman"/>
          <w:sz w:val="20"/>
        </w:rPr>
        <w:t xml:space="preserve">” has the meaning set forth in Article 8 of the UCC. </w:t>
      </w:r>
    </w:p>
    <w:p>
      <w:pPr>
        <w:pStyle w:val="TextBody"/>
        <w:bidi w:val="0"/>
        <w:spacing w:before="240" w:after="0"/>
        <w:jc w:val="both"/>
        <w:rPr/>
      </w:pPr>
      <w:r>
        <w:rPr/>
        <w:t>“</w:t>
      </w:r>
      <w:r>
        <w:rPr>
          <w:rFonts w:ascii="Times New Roman" w:hAnsi="Times New Roman"/>
          <w:sz w:val="20"/>
          <w:u w:val="single"/>
        </w:rPr>
        <w:t>Security Interests</w:t>
      </w:r>
      <w:r>
        <w:rPr>
          <w:rFonts w:ascii="Times New Roman" w:hAnsi="Times New Roman"/>
          <w:sz w:val="20"/>
        </w:rPr>
        <w:t xml:space="preserve">” means the security interests granted pursuant to this Agreement. </w:t>
      </w:r>
    </w:p>
    <w:p>
      <w:pPr>
        <w:pStyle w:val="TextBody"/>
        <w:bidi w:val="0"/>
        <w:spacing w:before="240" w:after="0"/>
        <w:jc w:val="both"/>
        <w:rPr/>
      </w:pPr>
      <w:r>
        <w:rPr/>
        <w:t>“</w:t>
      </w:r>
      <w:r>
        <w:rPr>
          <w:rFonts w:ascii="Times New Roman" w:hAnsi="Times New Roman"/>
          <w:sz w:val="20"/>
          <w:u w:val="single"/>
        </w:rPr>
        <w:t>Specified Contract Rights</w:t>
      </w:r>
      <w:r>
        <w:rPr>
          <w:rFonts w:ascii="Times New Roman" w:hAnsi="Times New Roman"/>
          <w:sz w:val="20"/>
        </w:rPr>
        <w:t xml:space="preserve">” means all of each Grantor’s rights, title and interest under and pursuant to the Collaboration Agreement, the Co-Promotion Agreement, the Servicing Agreement, the Contribution, Purchase and Sale Agreement, the Administration Agreement, each other Covered Agreement and the Payment Auditor Agreement. </w:t>
      </w:r>
    </w:p>
    <w:p>
      <w:pPr>
        <w:pStyle w:val="TextBody"/>
        <w:bidi w:val="0"/>
        <w:spacing w:before="240" w:after="0"/>
        <w:jc w:val="both"/>
        <w:rPr/>
      </w:pPr>
      <w:r>
        <w:rPr/>
        <w:t>“</w:t>
      </w:r>
      <w:r>
        <w:rPr>
          <w:rFonts w:ascii="Times New Roman" w:hAnsi="Times New Roman"/>
          <w:sz w:val="20"/>
          <w:u w:val="single"/>
        </w:rPr>
        <w:t>Stock Rights</w:t>
      </w:r>
      <w:r>
        <w:rPr>
          <w:rFonts w:ascii="Times New Roman" w:hAnsi="Times New Roman"/>
          <w:sz w:val="20"/>
        </w:rPr>
        <w:t xml:space="preserve">” means any Securities, dividends, instruments or other distributions and any other right or property which any Grantor shall receive or shall become entitled to receive for any reason whatsoever with respect to, in substitution for or in exchange for any Securities, beneficial interests or other ownership interests in a corporation, statutory trust, partnership, joint venture or limited liability company constituting Collateral and any Securities or other ownership interests, any right to receive Securities or other ownership interests and any right to receive earnings, in which any Grantor now has or hereafter acquires any right, issued by an issuer of such Securities or such other ownership interests. </w:t>
      </w:r>
    </w:p>
    <w:p>
      <w:pPr>
        <w:pStyle w:val="TextBody"/>
        <w:bidi w:val="0"/>
        <w:spacing w:before="240" w:after="0"/>
        <w:jc w:val="both"/>
        <w:rPr/>
      </w:pPr>
      <w:r>
        <w:rPr/>
        <w:t>“</w:t>
      </w:r>
      <w:r>
        <w:rPr>
          <w:rFonts w:ascii="Times New Roman" w:hAnsi="Times New Roman"/>
          <w:sz w:val="20"/>
          <w:u w:val="single"/>
        </w:rPr>
        <w:t>Supporting Obligation</w:t>
      </w:r>
      <w:r>
        <w:rPr>
          <w:rFonts w:ascii="Times New Roman" w:hAnsi="Times New Roman"/>
          <w:sz w:val="20"/>
        </w:rPr>
        <w:t xml:space="preserve">” has the meaning set forth in Article 9 of the UCC. </w:t>
      </w:r>
    </w:p>
    <w:p>
      <w:pPr>
        <w:pStyle w:val="TextBody"/>
        <w:bidi w:val="0"/>
        <w:spacing w:before="240" w:after="0"/>
        <w:jc w:val="both"/>
        <w:rPr/>
      </w:pPr>
      <w:r>
        <w:rPr/>
        <w:t>“</w:t>
      </w:r>
      <w:r>
        <w:rPr>
          <w:rFonts w:ascii="Times New Roman" w:hAnsi="Times New Roman"/>
          <w:sz w:val="20"/>
          <w:u w:val="single"/>
        </w:rPr>
        <w:t>TBIL Excluded Equity</w:t>
      </w:r>
      <w:r>
        <w:rPr>
          <w:rFonts w:ascii="Times New Roman" w:hAnsi="Times New Roman"/>
          <w:sz w:val="20"/>
        </w:rPr>
        <w:t xml:space="preserve">” means TBIL’s Equity Interest in any Excluded Product Subsidiary. </w:t>
      </w:r>
    </w:p>
    <w:p>
      <w:pPr>
        <w:pStyle w:val="TextBody"/>
        <w:bidi w:val="0"/>
        <w:spacing w:before="240" w:after="0"/>
        <w:jc w:val="both"/>
        <w:rPr/>
      </w:pPr>
      <w:r>
        <w:rPr/>
        <w:t>“</w:t>
      </w:r>
      <w:r>
        <w:rPr>
          <w:rFonts w:ascii="Times New Roman" w:hAnsi="Times New Roman"/>
          <w:sz w:val="20"/>
          <w:u w:val="single"/>
        </w:rPr>
        <w:t>Trademarks</w:t>
      </w:r>
      <w:r>
        <w:rPr>
          <w:rFonts w:ascii="Times New Roman" w:hAnsi="Times New Roman"/>
          <w:sz w:val="20"/>
        </w:rPr>
        <w:t xml:space="preserve">” has the meaning set forth in the Note Purchase Agreement. </w:t>
      </w:r>
    </w:p>
    <w:p>
      <w:pPr>
        <w:pStyle w:val="TextBody"/>
        <w:bidi w:val="0"/>
        <w:spacing w:before="240" w:after="0"/>
        <w:jc w:val="both"/>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New York; provided, however, that if by reason of mandatory provisions of law, any or all of the perfection or priority of the Agent’s Security Interests in any item or portion of the Collateral is governed by the Uniform Commercial Code as in effect in a jurisdiction other than the State of New York, the term “UCC” shall mean the Uniform Commercial Code as in effect on the date hereof in such other jurisdiction for purposes of the provisions hereof relating to such perfection or priority and for purposes of definitions relating to such provisions.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No Conflict with Note Purchase Agreement</w:t>
      </w:r>
      <w:r>
        <w:rPr>
          <w:rFonts w:ascii="Times New Roman" w:hAnsi="Times New Roman"/>
          <w:b/>
          <w:sz w:val="20"/>
        </w:rPr>
        <w:t>.</w:t>
      </w:r>
      <w:r>
        <w:rPr>
          <w:rFonts w:ascii="Times New Roman" w:hAnsi="Times New Roman"/>
          <w:sz w:val="20"/>
        </w:rPr>
        <w:t xml:space="preserve"> Notwithstanding that the Security Interest provided under </w:t>
      </w:r>
      <w:r>
        <w:rPr>
          <w:rFonts w:ascii="Times New Roman" w:hAnsi="Times New Roman"/>
          <w:sz w:val="20"/>
          <w:u w:val="single"/>
        </w:rPr>
        <w:t>Section 3.01</w:t>
      </w:r>
      <w:r>
        <w:rPr>
          <w:rFonts w:ascii="Times New Roman" w:hAnsi="Times New Roman"/>
          <w:sz w:val="20"/>
        </w:rPr>
        <w:t xml:space="preserve"> and certain representations, warranties and covenants provided for herein contemplate categories of assets otherwise not permitted to be maintained by the Grantors under the Note Purchase Agreement, each Grantor acknowledges and agrees that such provisions herein do not operate as a waiver of, or consent under, any term, condition or other provision of the Note Purchase Agreement or the rights and remedies available to the Agent and Secured Parties for any violation thereof. In the event of any conflict between the provisions of this Agreement and those of the Note Purchase Agreement, the provisions of the Note Purchase Agreement shall control; provided, that the inclusion of additional rights or remedies in favor of the Agent or the other Secured Parties herein or in any other Note Document shall not be deemed a conflict with the Note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GUARANTY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u w:val="single"/>
        </w:rPr>
        <w:t>Guaranty of Obligations</w:t>
      </w:r>
      <w:r>
        <w:rPr>
          <w:rFonts w:ascii="Times New Roman" w:hAnsi="Times New Roman"/>
          <w:sz w:val="20"/>
        </w:rPr>
        <w:t xml:space="preserve">. Each Guarantor hereby jointly and severally, irrevocably and unconditionally guarantees to the Agent, for the ratable benefit of the Secured Parties, the due and punctual payment in full and performance of all Obligations when the same shall become due, whether at stated maturity, by required prepayment, mandatory redemption, declaration, acceleration or otherwise (including amounts that would become due but for the operation of the automatic stay under Section 362(a) of the U.S. Bankruptcy Code, 11 U.S.C. § 362(a), or any comparable provision of any other Debtor Relief Law). The Guaranty made pursuant to this </w:t>
      </w:r>
      <w:r>
        <w:rPr>
          <w:rFonts w:ascii="Times New Roman" w:hAnsi="Times New Roman"/>
          <w:sz w:val="20"/>
          <w:u w:val="single"/>
        </w:rPr>
        <w:t>Article II</w:t>
      </w:r>
      <w:r>
        <w:rPr>
          <w:rFonts w:ascii="Times New Roman" w:hAnsi="Times New Roman"/>
          <w:sz w:val="20"/>
        </w:rPr>
        <w:t xml:space="preserve"> is a guaranty of the Obligations on a senior basis and constitutes a direct, unconditional and unsubordinated obligation of each Guarantor ranking at least </w:t>
      </w:r>
      <w:r>
        <w:rPr>
          <w:rFonts w:ascii="Times New Roman" w:hAnsi="Times New Roman"/>
          <w:i/>
          <w:sz w:val="20"/>
        </w:rPr>
        <w:t>pari passu</w:t>
      </w:r>
      <w:r>
        <w:rPr>
          <w:rFonts w:ascii="Times New Roman" w:hAnsi="Times New Roman"/>
          <w:sz w:val="20"/>
        </w:rPr>
        <w:t xml:space="preserve"> in right of payment with all other present and future senior obligations of such Guarantor.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u w:val="single"/>
        </w:rPr>
        <w:t>Payment by Guarantors</w:t>
      </w:r>
      <w:r>
        <w:rPr>
          <w:rFonts w:ascii="Times New Roman" w:hAnsi="Times New Roman"/>
          <w:sz w:val="20"/>
        </w:rPr>
        <w:t xml:space="preserve">. Each Guarantor hereby agrees, in furtherance of the foregoing and not in limitation of any other right which the Agent or any other Secured Party may have at Law or in equity against any Guarantor by virtue hereof, that upon the occurrence of the failure of the Issuers to pay any of the Obligations when and as the same shall become due, whether at stated maturity, by required prepayment, mandatory redemption, declaration, acceleration or otherwise (including amounts that would become due but for the operation of the automatic stay under Section 362(a) of the U.S. Bankruptcy Code, 11 U.S.C. § 362(a), or any comparable provision of any other Debtor Relief Law), such Guarantor will upon demand pay, or cause to be paid, in cash, to the Agent, for the ratable benefit of the Secured Parties, an amount equal to the sum of the unpaid principal amount of all Obligations then due as aforesaid, accrued and unpaid interest on such Obligations (including interest which, but for any Issuer’s becoming the subject of a case or proceeding under any Debtor Relief Law, would have accrued on such Obligations, whether or not a claim is allowed against such Issuer for such interest in the related case or proceeding) and all other Obligations then owed to the Secured Parties as aforesaid. All payments made by any Guarantor under this </w:t>
      </w:r>
      <w:r>
        <w:rPr>
          <w:rFonts w:ascii="Times New Roman" w:hAnsi="Times New Roman"/>
          <w:sz w:val="20"/>
          <w:u w:val="single"/>
        </w:rPr>
        <w:t>Article II</w:t>
      </w:r>
      <w:r>
        <w:rPr>
          <w:rFonts w:ascii="Times New Roman" w:hAnsi="Times New Roman"/>
          <w:sz w:val="20"/>
        </w:rPr>
        <w:t xml:space="preserve"> shall be made free and clear of, and without deduction or withholding for, any Taxes (except as required by Law) in accordance, and subject to the gross-up, indemnification and related provisions of, Sections 4.01 through 4.07 of the Note Purchase Agreement, which provisions are incorporated herein by reference and made a part hereof, </w:t>
      </w:r>
      <w:r>
        <w:rPr>
          <w:rFonts w:ascii="Times New Roman" w:hAnsi="Times New Roman"/>
          <w:i/>
          <w:sz w:val="20"/>
        </w:rPr>
        <w:t>mutatis mutandis</w:t>
      </w:r>
      <w:r>
        <w:rPr>
          <w:rFonts w:ascii="Times New Roman" w:hAnsi="Times New Roman"/>
          <w:sz w:val="20"/>
        </w:rPr>
        <w:t xml:space="preserve">, as if each reference therein to a Note Party or the Issuers were a reference to such Guarantor.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b/>
          <w:sz w:val="20"/>
          <w:u w:val="single"/>
        </w:rPr>
        <w:t>Liability of Guarantors Absolute</w:t>
      </w:r>
      <w:r>
        <w:rPr>
          <w:rFonts w:ascii="Times New Roman" w:hAnsi="Times New Roman"/>
          <w:b/>
          <w:sz w:val="20"/>
        </w:rPr>
        <w:t>.</w:t>
      </w:r>
      <w:r>
        <w:rPr>
          <w:rFonts w:ascii="Times New Roman" w:hAnsi="Times New Roman"/>
          <w:sz w:val="20"/>
        </w:rPr>
        <w:t xml:space="preserve"> Each Guarantor agrees that its obligations hereunder are irrevocable, absolute, independent and unconditional and shall not be affected by any circumstance which constitutes a legal or equitable discharge of a guarantor or surety other than Payment in Full. In furtherance of the foregoing and without limiting the generality thereof, each Guarantor agrees as follows: </w:t>
      </w:r>
    </w:p>
    <w:p>
      <w:pPr>
        <w:pStyle w:val="TextBody"/>
        <w:bidi w:val="0"/>
        <w:spacing w:before="120" w:after="0"/>
        <w:jc w:val="both"/>
        <w:rPr>
          <w:rFonts w:ascii="Times New Roman" w:hAnsi="Times New Roman"/>
          <w:sz w:val="20"/>
        </w:rPr>
      </w:pPr>
      <w:r>
        <w:rPr>
          <w:rFonts w:ascii="Times New Roman" w:hAnsi="Times New Roman"/>
          <w:sz w:val="20"/>
        </w:rPr>
        <w:t xml:space="preserve">(a) this Guaranty is a guaranty of payment when due and not of collectability; this Guaranty is a primary obligation of each Guarantor and not merely a contract of surety;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Agent may enforce this Guaranty upon the occurrence and during the continuance of an Event of Default notwithstanding the existence of any dispute between any Note Party and any Secured Party with respect to whether such Event of Default has occurred and is continuing; </w:t>
      </w:r>
    </w:p>
    <w:p>
      <w:pPr>
        <w:pStyle w:val="TextBody"/>
        <w:bidi w:val="0"/>
        <w:spacing w:before="120" w:after="0"/>
        <w:jc w:val="both"/>
        <w:rPr>
          <w:rFonts w:ascii="Times New Roman" w:hAnsi="Times New Roman"/>
          <w:sz w:val="20"/>
        </w:rPr>
      </w:pPr>
      <w:r>
        <w:rPr>
          <w:rFonts w:ascii="Times New Roman" w:hAnsi="Times New Roman"/>
          <w:sz w:val="20"/>
        </w:rPr>
        <w:t xml:space="preserve">(c) the obligations of each Guarantor hereunder are independent of the obligations of any other Note Party and the obligations of any other guarantor (including any other Guarantor) of the obligations of any other Note Party, and a separate action or actions may be brought and prosecuted against such Guarantor whether or not any action is brought against any Note Party or any of such other guarantors and whether or not the Note Parties are joined in any such action or actions; </w:t>
      </w:r>
    </w:p>
    <w:p>
      <w:pPr>
        <w:pStyle w:val="TextBody"/>
        <w:bidi w:val="0"/>
        <w:spacing w:before="120" w:after="0"/>
        <w:jc w:val="both"/>
        <w:rPr>
          <w:rFonts w:ascii="Times New Roman" w:hAnsi="Times New Roman"/>
          <w:sz w:val="20"/>
        </w:rPr>
      </w:pPr>
      <w:r>
        <w:rPr>
          <w:rFonts w:ascii="Times New Roman" w:hAnsi="Times New Roman"/>
          <w:sz w:val="20"/>
        </w:rPr>
        <w:t xml:space="preserve">(d) payment by any Guarantor of a portion, but not all, of the Obligations shall in no way limit, affect, modify or abridge any Guarantor’s liability for any portion of the Obligations which has not been paid; provided that, without limiting the generality of the foregoing, if the Agent or any other Secured Party is awarded a judgment in any suit brought to enforce any Guarantor’s covenant to pay a portion of the Obligations, such judgment shall not be deemed to release such Guarantor from its covenant to pay the portion of the Obligations that is not the subject of such suit, and such judgment shall not, except to the extent satisfied by such Guarantor, limit, affect, modify or abridge any other Guarantor’s liability hereunder in respect of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(e) the Agent and any other Secured Party,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Obligations in accordance with the terms of the documentation governing the Obligations; (ii) settle, compromise, release or discharge, or accept or refuse any offer of performance with respect to, or substitutions for, the Obligations or any agreement relating thereto and/or subordinate the payment of the same to the payment of any other obligations; (iii) request and accept other guaranties of the Obligations and take and hold security for the payment hereof or the Obligations; (iv) release, surrender, exchange, substitute, compromise, settle, rescind, waive, alter, subordinate or modify, with or without consideration, any security for payment of the Obligations, any other guaranties of the Obligations, or any other obligation of any Person (including any other Guarantor) with respect to the Obligations; (v) enforce and apply any security now or hereafter held by or for the benefit of any Secured Party in respect hereof or the Obligations and direct the order or manner of sale thereof, or exercise any other right or remedy that the Agent or such Secured Party may have against any such security, in each case, as the Agent or such Secured Party in its discretion may determine consistent herewith, with the Note Purchase Agreement and with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Note Party or any security for the Obligations; and (vi) exercise any other rights available to it under the Note Documents or at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this Guaranty and the obligations of each Guarantor hereunder shall be valid and enforceable and shall not be subject to any reduction, limitation, impairment, discharge or termination for any reason (other than Payment in Full), including the occurrence of any of the following, whether or not such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Note Documents, in equity or otherwise) with respect to the Obligations or any agreement relating thereto, or with respect to any other guaranty of or security for the payment of the Obligations; (ii) any rescission, waiver, amendment or modification of, or any consent to departure from, any of the terms or provisions (including provisions relating to events of default) hereof, any of the other Note Documents or any agreement or instrument executed pursuant thereto, or of any other guaranty or security for the Obligations, in each case, whether or not in accordance with the terms hereof or such Note Document or any agreement relating to such other guaranty or security; (iii) the Obligations, or any agreement relating thereto, at any time being found to be illegal, invalid or unenforceable in any respect; (iv) the application of payments received from any source (other than payments received pursuant to the other Note Documents or from the proceeds of any security for the Obligations, except to the extent such security also serves as collateral for indebtedness other than the Obligations, or any payment received from any other Grantor hereunder) to the payment of indebtedness other than the Obligations, even though the Agent or any other Secured Party might have elected to apply such payment to any part or all of the Obligations; (v) any Secured Party’s consent to the change, reorganization or termination of the corporate or other organizational structure or existence of any Note Party and to any corresponding restructuring of the Obligations; (vi) any failure to perfect or continue perfection of a security interest in any collateral which secures any of the Obligations; (vii) any defenses (other than the defense of Payment in Full), set-offs or counterclaims that any Note Party may allege or assert against the Agent or any other Secured Party in respect of the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Obligations.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b/>
          <w:sz w:val="20"/>
          <w:u w:val="single"/>
        </w:rPr>
        <w:t>Waivers by Guarantors</w:t>
      </w:r>
      <w:r>
        <w:rPr>
          <w:rFonts w:ascii="Times New Roman" w:hAnsi="Times New Roman"/>
          <w:sz w:val="20"/>
        </w:rPr>
        <w:t xml:space="preserve">. Each Guarantor hereby waives, to the fullest extent permitted by Law, for the benefit of the Agent and the other Secured Parties: (a) any right to require the Agent or any other Secured Party, as a condition of payment or performance by such Guarantor, to (i) proceed against any Note Party, any other guarantor or grantor (including any other Guarantor) of the Obligations or any other Person, (ii) proceed against or exhaust any security held from the Note Parties, any such other guarantor or any other Person, (iii) proceed against or have resort to any balance of any deposit account (including, without limitation, the Collection Account) or credit on the books of any Secured Party in favor of the Note Parties or any other Person, or (iv) pursue any other remedy in the power of the Agent or any other Secured Party whatsoever; (b) any defense arising by reason of the incapacity, lack of authority or any disability or other defense of any Note Party or any other Guarantor, including any defense based on or arising out of the lack of validity or the unenforceability of the Obligations or any agreement or instrument relating thereto or by reason of the cessation of the liability of any Note Party or any other Guarantor from any cause other than Payment in Full; (c) any defense based upon any statute or rule of Law which provides that the obligation of a surety must be neither larger in amount nor in other respects more burdensome than that of the principal; (d) any defense based upon the Agent’s or any other Secured Party’s errors or omissions in the administration of the Obligations, except behavior which amounts to bad faith or gross negligence;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the Agent or any other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or under any other Note Document, or any agreement or instrument related thereto, notices of any renewal, extension or modification of the Obligations or any agreement related thereto, notices of any issuance of or purchase of Notes and notices of any of the matters referred to in </w:t>
      </w:r>
      <w:r>
        <w:rPr>
          <w:rFonts w:ascii="Times New Roman" w:hAnsi="Times New Roman"/>
          <w:sz w:val="20"/>
          <w:u w:val="single"/>
        </w:rPr>
        <w:t>Section 2.03</w:t>
      </w:r>
      <w:r>
        <w:rPr>
          <w:rFonts w:ascii="Times New Roman" w:hAnsi="Times New Roman"/>
          <w:sz w:val="20"/>
        </w:rPr>
        <w:t xml:space="preserve"> and any right to consent to any thereof; and (g) any defenses or benefits that may be derived from or afforded by Law which limit the liability of or exonerate guarantors or sureties, or which may conflict with the terms hereof; and (h) any right to require the marshaling of assets of any Note Party, any other Grantor or any other Person, and any right to require that any security for the Obligations be applied or realized upon in any particular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xml:space="preserve"> </w:t>
      </w:r>
      <w:r>
        <w:rPr>
          <w:rFonts w:ascii="Times New Roman" w:hAnsi="Times New Roman"/>
          <w:b/>
          <w:sz w:val="20"/>
          <w:u w:val="single"/>
        </w:rPr>
        <w:t>Guarantors’ Rights of Subrogation, Contribution, etc</w:t>
      </w:r>
      <w:r>
        <w:rPr>
          <w:rFonts w:ascii="Times New Roman" w:hAnsi="Times New Roman"/>
          <w:sz w:val="20"/>
        </w:rPr>
        <w:t xml:space="preserve">. Until Payment in Full, each Guarantor hereby waives, to the fullest extent permitted by Law, any claim, right or remedy, direct or indirect, that such Guarantor now has or may hereafter have against any Note Party or any other Guarantor or any of their respective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any Note Party with respect to the Obligations, (b) any right to enforce, or to participate in, any claim, right or remedy that the Agent or any other Secured Party now has or may hereafter have against any Note Party, and (c) any benefit of, and any right to participate in, any collateral or security now or hereafter held by the Agent or any other Secured Party. In addition, until Payment in Full, each Guarantor shall withhold exercise of any right of contribution such Guarantor may have against any other guarantor (including any other Guarantor) of the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Note Party or against any collateral or security, and any rights of contribution such Guarantor may have against any such other guarantor, shall be junior and subordinate to any rights the Agent or any other Secured Party may have against any Note Party, to all right, title and interest the Agent or any other Secured Party may have in any such collateral or security, and to any right the Agent or any other Secured Party may have against such other guarantor. If any amount shall be paid to any Guarantor on account of any such subrogation, reimbursement, indemnification or contribution rights at any time prior to Payment in Full, such amount shall be held in trust for the Agent, on behalf of the Secured Parties, and shall forthwith be paid over to the Agent to be credited and applied against the Obligations, whether matured or unmatured, in accordance with </w:t>
      </w:r>
      <w:r>
        <w:rPr>
          <w:rFonts w:ascii="Times New Roman" w:hAnsi="Times New Roman"/>
          <w:sz w:val="20"/>
          <w:u w:val="single"/>
        </w:rPr>
        <w:t>Section 6.05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u w:val="single"/>
        </w:rPr>
        <w:t>Subordination of Other Obligations</w:t>
      </w:r>
      <w:r>
        <w:rPr>
          <w:rFonts w:ascii="Times New Roman" w:hAnsi="Times New Roman"/>
          <w:sz w:val="20"/>
        </w:rPr>
        <w:t>. Any Indebtedness of any Note Party or any Grantor now or hereafter held by any Grantor (such Grantor, an “</w:t>
      </w:r>
      <w:r>
        <w:rPr>
          <w:rFonts w:ascii="Times New Roman" w:hAnsi="Times New Roman"/>
          <w:sz w:val="20"/>
          <w:u w:val="single"/>
        </w:rPr>
        <w:t>Obligee Grantor</w:t>
      </w:r>
      <w:r>
        <w:rPr>
          <w:rFonts w:ascii="Times New Roman" w:hAnsi="Times New Roman"/>
          <w:sz w:val="20"/>
        </w:rPr>
        <w:t xml:space="preserve">”) is hereby subordinated in right of payment to the Obligations, and any such Indebtedness collected or received by the Obligee Grantor after an Event of Default has occurred and is continuing shall be held in trust for the Agent, on behalf of the Secured Parties, and shall promptly be paid over to the Agent to be credited and applied against the Obligations in accordance with </w:t>
      </w:r>
      <w:r>
        <w:rPr>
          <w:rFonts w:ascii="Times New Roman" w:hAnsi="Times New Roman"/>
          <w:sz w:val="20"/>
          <w:u w:val="single"/>
        </w:rPr>
        <w:t>Section 6.05</w:t>
      </w:r>
      <w:r>
        <w:rPr>
          <w:rFonts w:ascii="Times New Roman" w:hAnsi="Times New Roman"/>
          <w:sz w:val="20"/>
        </w:rPr>
        <w:t xml:space="preserve">, but without affecting, impairing or limiting in any manner the liability of the Obligee Grantor under any other provision hereof. Notwithstanding anything in this Agreement, unless an Event of Default shall then exist, such Obligee Grantor may receive payments on such Indebtedness to the extent not prohibited by the Note Purchase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w:t>
      </w:r>
      <w:r>
        <w:rPr>
          <w:rFonts w:ascii="Times New Roman" w:hAnsi="Times New Roman"/>
          <w:b/>
          <w:sz w:val="20"/>
          <w:u w:val="single"/>
        </w:rPr>
        <w:t>Continuing Guaranty</w:t>
      </w:r>
      <w:r>
        <w:rPr>
          <w:rFonts w:ascii="Times New Roman" w:hAnsi="Times New Roman"/>
          <w:sz w:val="20"/>
        </w:rPr>
        <w:t xml:space="preserve">. This Guaranty is a continuing guaranty and shall remain in effect until Payment in Full. Each Guarantor hereby irrevocably waives, to the fullest extent permitted by Law, any right to revoke this Guaranty as to future transactions giving rise to any Obligations.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w:t>
      </w:r>
      <w:r>
        <w:rPr>
          <w:rFonts w:ascii="Times New Roman" w:hAnsi="Times New Roman"/>
          <w:b/>
          <w:sz w:val="20"/>
          <w:u w:val="single"/>
        </w:rPr>
        <w:t>Authority of Guarantors or Note Parties</w:t>
      </w:r>
      <w:r>
        <w:rPr>
          <w:rFonts w:ascii="Times New Roman" w:hAnsi="Times New Roman"/>
          <w:sz w:val="20"/>
        </w:rPr>
        <w:t xml:space="preserve">. It is not necessary for the Agent or any other Secured Party to inquire into the capacity or powers of any Guarantor or any Note Party or the officers, directors, managers, trustees or agents acting or purporting to act on behalf of any of them.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b/>
          <w:sz w:val="20"/>
          <w:u w:val="single"/>
        </w:rPr>
        <w:t>Financial Condition of the Issuers</w:t>
      </w:r>
      <w:r>
        <w:rPr>
          <w:rFonts w:ascii="Times New Roman" w:hAnsi="Times New Roman"/>
          <w:sz w:val="20"/>
        </w:rPr>
        <w:t xml:space="preserve">. The Notes may be issued and sold by the Issuers, and the Indebtedness and other Obligations under the Notes and the other Note Documents may be continued from time to time, in each case, without notice to or authorization from any Guarantor regardless of the financial or other condition of the Issuers at the time of any such issuance or continuation. Neither the Agent nor any other Secured Party shall have any obligation to disclose or discuss with any Guarantor its assessment, or any Guarantor’s assessment, of the financial condition of the Issuers. Each Guarantor has adequate means to obtain information from the Issuers on a continuing basis concerning the financial condition of the Issuers and their ability to perform their obligations under the Note Documents, and each Guarantor assumes the responsibility for being and keeping informed of the financial condition of the Issuers and of all circumstances bearing upon the risk of nonpayment of the Obligations. Each Guarantor hereby waives, to the fullest extent permitted by Law, and relinquishes any duty on the part of the Agent or any other Secured Party to disclose any matter, fact or thing relating to the business, operations or conditions of the Issuers now known or hereafter known by the Agent or any other Secured Party.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Bankruptcy, etc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So long as any Obligations remain outstanding, no Guarantor shall, without the prior written consent of the Agent (acting at the direction of the Requisite Purchasers), institute, or join with any other Person in instituting, any Insolvency Proceeding against any Issuer or any other Grantor. The obligations of each Guarantor hereunder shall not be reduced, limited, impaired, discharged, deferred, suspended or terminated by any Insolvency Proceeding or Bankruptcy Event with respect to any Issuer or any other Guarantor or by any defense which any Issuer or any other Guarantor may have by reason of the order, decree or decision of any court or administrative body resulting from any such Insolvency Proceeding or Bankruptcy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Each Guarantor acknowledges and agrees that any interest on any portion of the Obligations which accrues after the commencement of any Insolvency Proceeding referred to in clause (a) above (or, if interest on any portion of the Obligations ceases to accrue by operation of Law by reason of the commencement of such Insolvency Proceeding, such interest as would have accrued on such portion of the Obligations if such case or proceeding had not been commenced) shall be included in the Obligations because it is the intention of the Guarantors and the Secured Parties that the Obligations which are guaranteed by the Guarantors pursuant hereto should be determined without regard to any rule of Law or order which may relieve the Issuers of any portion of such Obligations. Each Guarantor will permit any trustee in bankruptcy, receiver, examiner, process adviser, debtor in possession, assignee for the benefit of creditors or similar person to pay the Agent, for the ratable benefit of the Secured Parties, or allow the claim of the Agent and the other Secured Parties in respect of, any such interest accruing after the date on which such Insolvency Proceeding is commenced. </w:t>
      </w:r>
    </w:p>
    <w:p>
      <w:pPr>
        <w:pStyle w:val="TextBody"/>
        <w:bidi w:val="0"/>
        <w:spacing w:before="120" w:after="0"/>
        <w:jc w:val="both"/>
        <w:rPr>
          <w:rFonts w:ascii="Times New Roman" w:hAnsi="Times New Roman"/>
          <w:sz w:val="20"/>
        </w:rPr>
      </w:pPr>
      <w:r>
        <w:rPr>
          <w:rFonts w:ascii="Times New Roman" w:hAnsi="Times New Roman"/>
          <w:sz w:val="20"/>
        </w:rPr>
        <w:t xml:space="preserve">(c) In the event that all or any portion of the Obligations are paid by the Issuers, the obligations of each Guarantor hereunder shall continue and remain in full force and effect or be reinstated, as the case may be, in the event that all or any part of such payment(s) are rescinded or recovered directly or indirectly from the Agent or any other Secured Party as a preference, fraudulent transfer or otherwise, and any such payments which are so rescinded or recovered shall constitute Obligations for all purposes 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Limitation of Obligations</w:t>
      </w:r>
      <w:r>
        <w:rPr>
          <w:rFonts w:ascii="Times New Roman" w:hAnsi="Times New Roman"/>
          <w:sz w:val="20"/>
        </w:rPr>
        <w:t>. Anything contained in this Agreement to the contrary notwithstanding, the obligations of each Guarantor hereunder shall be limited to a maximum aggregate amount equal to the greatest amount that would not render such Guarantor’s obligations hereunder subject to avoidance as a fraudulent transfer or conveyance under Section 548 of the U.S. Bankruptcy Code or any provisions of applicable state law or other Law relating to fraudulent transfer or conveyance (collectively, the “</w:t>
      </w:r>
      <w:r>
        <w:rPr>
          <w:rFonts w:ascii="Times New Roman" w:hAnsi="Times New Roman"/>
          <w:sz w:val="20"/>
          <w:u w:val="single"/>
        </w:rPr>
        <w:t>Fraudulent Transfer Laws</w:t>
      </w:r>
      <w:r>
        <w:rPr>
          <w:rFonts w:ascii="Times New Roman" w:hAnsi="Times New Roman"/>
          <w:sz w:val="20"/>
        </w:rPr>
        <w:t xml:space="preserve">”), in each case after giving effect to all other liabilities of such Guarantor, contingent or otherwise, that are relevant under the Fraudulent Transfer Laws (specifically excluding, however, any liabilities of such Guarantor (a) in respect of intercompany indebtedness to any other Note Party or any Affiliate of a Note Party to the extent that such indebtedness would be discharged in an amount equal to the amount paid by such Guarantor hereunder and (b) under any guaranty of subordinated indebtedness which guaranty contains a limitation as to maximum amount similar to that set forth in this </w:t>
      </w:r>
      <w:r>
        <w:rPr>
          <w:rFonts w:ascii="Times New Roman" w:hAnsi="Times New Roman"/>
          <w:sz w:val="20"/>
          <w:u w:val="single"/>
        </w:rPr>
        <w:t>Section 2.11</w:t>
      </w:r>
      <w:r>
        <w:rPr>
          <w:rFonts w:ascii="Times New Roman" w:hAnsi="Times New Roman"/>
          <w:sz w:val="20"/>
        </w:rPr>
        <w:t xml:space="preserve">, pursuant to which the liability of such Guarantor hereunder is included in the liabilities taken into account in determining such maximum amount) and after giving effect as assets to the value (as determined under the applicable provisions of the Fraudulent Transfer Laws) of any rights to subrogation, reimbursement, indemnification or contribution of such Guarantor pursuant to Law or pursuant to the terms of any agreement. Any analysis of the provisions of this Guaranty for purposes of the Fraudulent Transfer Laws shall take into account the right of contribution established in Section 2.05 and, for purposes of such analysis, give effect to any discharge of intercompany Indebtedness as a result of any payment made under this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Limitations Applicable to TBIL</w:t>
      </w:r>
      <w:r>
        <w:rPr>
          <w:rFonts w:ascii="Times New Roman" w:hAnsi="Times New Roman"/>
          <w:sz w:val="20"/>
        </w:rPr>
        <w:t xml:space="preserve">. Notwithstanding anything to the contrary herein, (a) the obligations of TBIL under this Agreement (including the Guaranty and the Security Interests granted by TBIL) do not apply to any liability to the extent that they would result in this Agreement constituting unlawful financial assistance within the meaning of Section 82 of the Irish Companies Act; provided, that the Parties acknowledge that TBIL has, prior to or on the date hereof, completed the Summary Approval Procedure in accordance with Sections 82, 202 and 203 of the Irish Companies Act (including the declaration of the directors of TBIL in the form contemplated by Annex II to Exhibit C of the Commitment Letter and the passing of the required special resolution) in respect of the entry into, delivery and performance by TBIL of this Agreement and the other Note Documents to which it is a party.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Note Purchase Agreement Obligations</w:t>
      </w:r>
      <w:r>
        <w:rPr>
          <w:rFonts w:ascii="Times New Roman" w:hAnsi="Times New Roman"/>
          <w:sz w:val="20"/>
        </w:rPr>
        <w:t xml:space="preserve">. Each Guarantor hereby (a) acknowledges that it has received and reviewed a copy of the Note Purchase Agreement, (b) agrees to be bound by, and expressly assumes all obligations and liabilities of a Note Party in respect of, each of the representations, warranties, covenants and other agreements set forth in the Note Purchase Agreement that are applicable to it as a Note Party, a Guarantor or a Subsidiary of a Note Party (including the representations and warranties set forth in </w:t>
      </w:r>
      <w:r>
        <w:rPr>
          <w:rFonts w:ascii="Times New Roman" w:hAnsi="Times New Roman"/>
          <w:sz w:val="20"/>
          <w:u w:val="single"/>
        </w:rPr>
        <w:t>Article VI</w:t>
      </w:r>
      <w:r>
        <w:rPr>
          <w:rFonts w:ascii="Times New Roman" w:hAnsi="Times New Roman"/>
          <w:sz w:val="20"/>
        </w:rPr>
        <w:t xml:space="preserve"> thereof, affirmative covenants set forth in </w:t>
      </w:r>
      <w:r>
        <w:rPr>
          <w:rFonts w:ascii="Times New Roman" w:hAnsi="Times New Roman"/>
          <w:sz w:val="20"/>
          <w:u w:val="single"/>
        </w:rPr>
        <w:t>Article VII</w:t>
      </w:r>
      <w:r>
        <w:rPr>
          <w:rFonts w:ascii="Times New Roman" w:hAnsi="Times New Roman"/>
          <w:sz w:val="20"/>
        </w:rPr>
        <w:t xml:space="preserve"> thereof and the negative covenants set forth in </w:t>
      </w:r>
      <w:r>
        <w:rPr>
          <w:rFonts w:ascii="Times New Roman" w:hAnsi="Times New Roman"/>
          <w:sz w:val="20"/>
          <w:u w:val="single"/>
        </w:rPr>
        <w:t>Article VIII</w:t>
      </w:r>
      <w:r>
        <w:rPr>
          <w:rFonts w:ascii="Times New Roman" w:hAnsi="Times New Roman"/>
          <w:sz w:val="20"/>
        </w:rPr>
        <w:t xml:space="preserve"> thereof), in each case as if such Guarantor were a party thereto and with the same force and effect as though set forth herein in full, and (c) agrees that any failure by such Guarantor to observe or perform any such representation, warranty, covenant or agreement of such Note Party under any Note Document (subject to any express grace period set forth therein) shall constitute a failure of the Note Parties to comply therewith for all purposes of the Note Documents, including </w:t>
      </w:r>
      <w:r>
        <w:rPr>
          <w:rFonts w:ascii="Times New Roman" w:hAnsi="Times New Roman"/>
          <w:sz w:val="20"/>
          <w:u w:val="single"/>
        </w:rPr>
        <w:t>Section 9.01</w:t>
      </w:r>
      <w:r>
        <w:rPr>
          <w:rFonts w:ascii="Times New Roman" w:hAnsi="Times New Roman"/>
          <w:sz w:val="20"/>
        </w:rPr>
        <w:t xml:space="preserve"> of the Note Purchase Agreement. Nothing in this </w:t>
      </w:r>
      <w:r>
        <w:rPr>
          <w:rFonts w:ascii="Times New Roman" w:hAnsi="Times New Roman"/>
          <w:sz w:val="20"/>
          <w:u w:val="single"/>
        </w:rPr>
        <w:t>Section 2.13</w:t>
      </w:r>
      <w:r>
        <w:rPr>
          <w:rFonts w:ascii="Times New Roman" w:hAnsi="Times New Roman"/>
          <w:sz w:val="20"/>
        </w:rPr>
        <w:t xml:space="preserve"> shall (i) entitle any Guarantor to exercise any right of the Agent, any Purchaser or any other Secured Party under any Note Document, (ii) limit the obligation of the Issuers to cause each Note Party to comply with the Note Purchase Agreement or (iii) be construed as a consent to, or waiver of, any action otherwise prohibited by the Note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GRANT OF SECURITY INTEREST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u w:val="single"/>
        </w:rPr>
        <w:t>Security Interest</w:t>
      </w:r>
      <w:r>
        <w:rPr>
          <w:rFonts w:ascii="Times New Roman" w:hAnsi="Times New Roman"/>
          <w:sz w:val="20"/>
        </w:rPr>
        <w:t>. As security for the prompt and complete payment in full, in cash, and performance when due of the Obligations (whether at the stated maturity, by acceleration or otherwise), each Grantor hereby grants, pledges and hypothecates to the Agent, for the benefit of the Secured Parties, a Lien on and security interest in all of such Grantor’s right, title and interest in, to or under any and all of the following assets and properties, whether now owned or existing or at any time hereafter acquired or arising and wheresoever located, by such Grantor (collectively, the “</w:t>
      </w:r>
      <w:r>
        <w:rPr>
          <w:rFonts w:ascii="Times New Roman" w:hAnsi="Times New Roman"/>
          <w:sz w:val="20"/>
          <w:u w:val="single"/>
        </w:rPr>
        <w:t>Collateral</w:t>
      </w:r>
      <w:r>
        <w:rPr>
          <w:rFonts w:ascii="Times New Roman" w:hAnsi="Times New Roman"/>
          <w:sz w:val="20"/>
        </w:rPr>
        <w:t xml:space="preserve">”), provided that, with respect to TBIL, the Security Interests granted under this Section 3.01 are without prejudice to and in addition to any security granted under the Irish Security Agreement: </w:t>
      </w:r>
    </w:p>
    <w:p>
      <w:pPr>
        <w:pStyle w:val="TextBody"/>
        <w:bidi w:val="0"/>
        <w:spacing w:before="120" w:after="0"/>
        <w:jc w:val="both"/>
        <w:rPr>
          <w:rFonts w:ascii="Times New Roman" w:hAnsi="Times New Roman"/>
          <w:sz w:val="20"/>
        </w:rPr>
      </w:pPr>
      <w:r>
        <w:rPr>
          <w:rFonts w:ascii="Times New Roman" w:hAnsi="Times New Roman"/>
          <w:sz w:val="20"/>
        </w:rPr>
        <w:t xml:space="preserve">(a) Accounts; </w:t>
      </w:r>
    </w:p>
    <w:p>
      <w:pPr>
        <w:pStyle w:val="TextBody"/>
        <w:bidi w:val="0"/>
        <w:spacing w:before="120" w:after="0"/>
        <w:jc w:val="both"/>
        <w:rPr>
          <w:rFonts w:ascii="Times New Roman" w:hAnsi="Times New Roman"/>
          <w:sz w:val="20"/>
        </w:rPr>
      </w:pPr>
      <w:r>
        <w:rPr>
          <w:rFonts w:ascii="Times New Roman" w:hAnsi="Times New Roman"/>
          <w:sz w:val="20"/>
        </w:rPr>
        <w:t xml:space="preserve">(b) Chattel Paper and Electronic Chattel Paper; </w:t>
      </w:r>
    </w:p>
    <w:p>
      <w:pPr>
        <w:pStyle w:val="TextBody"/>
        <w:bidi w:val="0"/>
        <w:spacing w:before="120" w:after="0"/>
        <w:jc w:val="both"/>
        <w:rPr>
          <w:rFonts w:ascii="Times New Roman" w:hAnsi="Times New Roman"/>
          <w:sz w:val="20"/>
        </w:rPr>
      </w:pPr>
      <w:r>
        <w:rPr>
          <w:rFonts w:ascii="Times New Roman" w:hAnsi="Times New Roman"/>
          <w:sz w:val="20"/>
        </w:rPr>
        <w:t xml:space="preserve">(c) Commercial Tort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Deposit Accounts (including, without limitation, the Collection Account) and all cash, and all other property from time to time deposited therein or otherwise credited thereto to the extent such cash or other property is the property of such Grantor and the monies and property in the possession or under the control of any Secured Party or any affiliate, representative, agent, participant or correspondent of any Secured Party; </w:t>
      </w:r>
    </w:p>
    <w:p>
      <w:pPr>
        <w:pStyle w:val="TextBody"/>
        <w:bidi w:val="0"/>
        <w:spacing w:before="120" w:after="0"/>
        <w:jc w:val="both"/>
        <w:rPr>
          <w:rFonts w:ascii="Times New Roman" w:hAnsi="Times New Roman"/>
          <w:sz w:val="20"/>
        </w:rPr>
      </w:pPr>
      <w:r>
        <w:rPr>
          <w:rFonts w:ascii="Times New Roman" w:hAnsi="Times New Roman"/>
          <w:sz w:val="20"/>
        </w:rPr>
        <w:t xml:space="preserve">(e) Documents; </w:t>
      </w:r>
    </w:p>
    <w:p>
      <w:pPr>
        <w:pStyle w:val="TextBody"/>
        <w:bidi w:val="0"/>
        <w:spacing w:before="120" w:after="0"/>
        <w:jc w:val="both"/>
        <w:rPr>
          <w:rFonts w:ascii="Times New Roman" w:hAnsi="Times New Roman"/>
          <w:sz w:val="20"/>
        </w:rPr>
      </w:pPr>
      <w:r>
        <w:rPr>
          <w:rFonts w:ascii="Times New Roman" w:hAnsi="Times New Roman"/>
          <w:sz w:val="20"/>
        </w:rPr>
        <w:t xml:space="preserve">(f) Equipment; </w:t>
      </w:r>
    </w:p>
    <w:p>
      <w:pPr>
        <w:pStyle w:val="TextBody"/>
        <w:bidi w:val="0"/>
        <w:spacing w:before="120" w:after="0"/>
        <w:jc w:val="both"/>
        <w:rPr>
          <w:rFonts w:ascii="Times New Roman" w:hAnsi="Times New Roman"/>
          <w:sz w:val="20"/>
        </w:rPr>
      </w:pPr>
      <w:r>
        <w:rPr>
          <w:rFonts w:ascii="Times New Roman" w:hAnsi="Times New Roman"/>
          <w:sz w:val="20"/>
        </w:rPr>
        <w:t xml:space="preserve">(g) Equity Interests (including all Pledged Equity); </w:t>
      </w:r>
    </w:p>
    <w:p>
      <w:pPr>
        <w:pStyle w:val="TextBody"/>
        <w:bidi w:val="0"/>
        <w:spacing w:before="120" w:after="0"/>
        <w:jc w:val="both"/>
        <w:rPr>
          <w:rFonts w:ascii="Times New Roman" w:hAnsi="Times New Roman"/>
          <w:sz w:val="20"/>
        </w:rPr>
      </w:pPr>
      <w:r>
        <w:rPr>
          <w:rFonts w:ascii="Times New Roman" w:hAnsi="Times New Roman"/>
          <w:sz w:val="20"/>
        </w:rPr>
        <w:t xml:space="preserve">(h) Fixtures; </w:t>
      </w:r>
    </w:p>
    <w:p>
      <w:pPr>
        <w:pStyle w:val="TextBody"/>
        <w:bidi w:val="0"/>
        <w:spacing w:before="120" w:after="0"/>
        <w:jc w:val="both"/>
        <w:rPr>
          <w:rFonts w:ascii="Times New Roman" w:hAnsi="Times New Roman"/>
          <w:sz w:val="20"/>
        </w:rPr>
      </w:pPr>
      <w:r>
        <w:rPr>
          <w:rFonts w:ascii="Times New Roman" w:hAnsi="Times New Roman"/>
          <w:sz w:val="20"/>
        </w:rPr>
        <w:t xml:space="preserve">(i) General Intangibles (including all Rights to Payment, and, for the avoidance of doubt, all of DST Issuer’s rights, title and interest under the Contribution, Purchase and Sale Agreement, including all rights and remedies in respect of (A) the back-up security interest granted under </w:t>
      </w:r>
      <w:r>
        <w:rPr>
          <w:rFonts w:ascii="Times New Roman" w:hAnsi="Times New Roman"/>
          <w:sz w:val="20"/>
          <w:u w:val="single"/>
        </w:rPr>
        <w:t>Section 3</w:t>
      </w:r>
      <w:r>
        <w:rPr>
          <w:rFonts w:ascii="Times New Roman" w:hAnsi="Times New Roman"/>
          <w:sz w:val="20"/>
        </w:rPr>
        <w:t xml:space="preserve"> thereof and (B) any loan, financing transaction or borrowing arising from any characterization or treatment of the sale, transfer, assignment and conveyance of the Transferred Assets as other than a true sale); </w:t>
      </w:r>
    </w:p>
    <w:p>
      <w:pPr>
        <w:pStyle w:val="TextBody"/>
        <w:bidi w:val="0"/>
        <w:spacing w:before="120" w:after="0"/>
        <w:jc w:val="both"/>
        <w:rPr>
          <w:rFonts w:ascii="Times New Roman" w:hAnsi="Times New Roman"/>
          <w:sz w:val="20"/>
        </w:rPr>
      </w:pPr>
      <w:r>
        <w:rPr>
          <w:rFonts w:ascii="Times New Roman" w:hAnsi="Times New Roman"/>
          <w:sz w:val="20"/>
        </w:rPr>
        <w:t xml:space="preserve">(j) Goods; </w:t>
      </w:r>
    </w:p>
    <w:p>
      <w:pPr>
        <w:pStyle w:val="TextBody"/>
        <w:bidi w:val="0"/>
        <w:spacing w:before="120" w:after="0"/>
        <w:jc w:val="both"/>
        <w:rPr>
          <w:rFonts w:ascii="Times New Roman" w:hAnsi="Times New Roman"/>
          <w:sz w:val="20"/>
        </w:rPr>
      </w:pPr>
      <w:r>
        <w:rPr>
          <w:rFonts w:ascii="Times New Roman" w:hAnsi="Times New Roman"/>
          <w:sz w:val="20"/>
        </w:rPr>
        <w:t xml:space="preserve">(k) Instruments (including all other Pledged Debt); </w:t>
      </w:r>
    </w:p>
    <w:p>
      <w:pPr>
        <w:pStyle w:val="TextBody"/>
        <w:bidi w:val="0"/>
        <w:spacing w:before="120" w:after="0"/>
        <w:jc w:val="both"/>
        <w:rPr>
          <w:rFonts w:ascii="Times New Roman" w:hAnsi="Times New Roman"/>
          <w:sz w:val="20"/>
        </w:rPr>
      </w:pPr>
      <w:r>
        <w:rPr>
          <w:rFonts w:ascii="Times New Roman" w:hAnsi="Times New Roman"/>
          <w:sz w:val="20"/>
        </w:rPr>
        <w:t xml:space="preserve">(l) insurance, insurance proceeds and all condemnation, eminent domain and similar awards and the proceeds thereof; </w:t>
      </w:r>
    </w:p>
    <w:p>
      <w:pPr>
        <w:pStyle w:val="TextBody"/>
        <w:bidi w:val="0"/>
        <w:spacing w:before="120" w:after="0"/>
        <w:jc w:val="both"/>
        <w:rPr>
          <w:rFonts w:ascii="Times New Roman" w:hAnsi="Times New Roman"/>
          <w:sz w:val="20"/>
        </w:rPr>
      </w:pPr>
      <w:r>
        <w:rPr>
          <w:rFonts w:ascii="Times New Roman" w:hAnsi="Times New Roman"/>
          <w:sz w:val="20"/>
        </w:rPr>
        <w:t xml:space="preserve">(m) Intellectual Property (including Copyrights, Patents, Trademarks and any IP Rights); </w:t>
      </w:r>
    </w:p>
    <w:p>
      <w:pPr>
        <w:pStyle w:val="TextBody"/>
        <w:bidi w:val="0"/>
        <w:spacing w:before="120" w:after="0"/>
        <w:jc w:val="both"/>
        <w:rPr>
          <w:rFonts w:ascii="Times New Roman" w:hAnsi="Times New Roman"/>
          <w:sz w:val="20"/>
        </w:rPr>
      </w:pPr>
      <w:r>
        <w:rPr>
          <w:rFonts w:ascii="Times New Roman" w:hAnsi="Times New Roman"/>
          <w:sz w:val="20"/>
        </w:rPr>
        <w:t xml:space="preserve">(n) Inventory; </w:t>
      </w:r>
    </w:p>
    <w:p>
      <w:pPr>
        <w:pStyle w:val="TextBody"/>
        <w:bidi w:val="0"/>
        <w:spacing w:before="120" w:after="0"/>
        <w:jc w:val="both"/>
        <w:rPr>
          <w:rFonts w:ascii="Times New Roman" w:hAnsi="Times New Roman"/>
          <w:sz w:val="20"/>
        </w:rPr>
      </w:pPr>
      <w:r>
        <w:rPr>
          <w:rFonts w:ascii="Times New Roman" w:hAnsi="Times New Roman"/>
          <w:sz w:val="20"/>
        </w:rPr>
        <w:t xml:space="preserve">(o) Investment Property; </w:t>
      </w:r>
    </w:p>
    <w:p>
      <w:pPr>
        <w:pStyle w:val="TextBody"/>
        <w:bidi w:val="0"/>
        <w:spacing w:before="120" w:after="0"/>
        <w:jc w:val="both"/>
        <w:rPr>
          <w:rFonts w:ascii="Times New Roman" w:hAnsi="Times New Roman"/>
          <w:sz w:val="20"/>
        </w:rPr>
      </w:pPr>
      <w:r>
        <w:rPr>
          <w:rFonts w:ascii="Times New Roman" w:hAnsi="Times New Roman"/>
          <w:sz w:val="20"/>
        </w:rPr>
        <w:t xml:space="preserve">(p) Ancillary IP Rights; </w:t>
      </w:r>
    </w:p>
    <w:p>
      <w:pPr>
        <w:pStyle w:val="TextBody"/>
        <w:bidi w:val="0"/>
        <w:spacing w:before="120" w:after="0"/>
        <w:jc w:val="both"/>
        <w:rPr>
          <w:rFonts w:ascii="Times New Roman" w:hAnsi="Times New Roman"/>
          <w:sz w:val="20"/>
        </w:rPr>
      </w:pPr>
      <w:r>
        <w:rPr>
          <w:rFonts w:ascii="Times New Roman" w:hAnsi="Times New Roman"/>
          <w:sz w:val="20"/>
        </w:rPr>
        <w:t xml:space="preserve">(q) Letter-of-Credit Rights; </w:t>
      </w:r>
    </w:p>
    <w:p>
      <w:pPr>
        <w:pStyle w:val="TextBody"/>
        <w:bidi w:val="0"/>
        <w:spacing w:before="120" w:after="0"/>
        <w:jc w:val="both"/>
        <w:rPr>
          <w:rFonts w:ascii="Times New Roman" w:hAnsi="Times New Roman"/>
          <w:sz w:val="20"/>
        </w:rPr>
      </w:pPr>
      <w:r>
        <w:rPr>
          <w:rFonts w:ascii="Times New Roman" w:hAnsi="Times New Roman"/>
          <w:sz w:val="20"/>
        </w:rPr>
        <w:t xml:space="preserve">(r) Licenses; </w:t>
      </w:r>
    </w:p>
    <w:p>
      <w:pPr>
        <w:pStyle w:val="TextBody"/>
        <w:bidi w:val="0"/>
        <w:spacing w:before="120" w:after="0"/>
        <w:jc w:val="both"/>
        <w:rPr>
          <w:rFonts w:ascii="Times New Roman" w:hAnsi="Times New Roman"/>
          <w:sz w:val="20"/>
        </w:rPr>
      </w:pPr>
      <w:r>
        <w:rPr>
          <w:rFonts w:ascii="Times New Roman" w:hAnsi="Times New Roman"/>
          <w:sz w:val="20"/>
        </w:rPr>
        <w:t xml:space="preserve">(s) Securities Accounts; </w:t>
      </w:r>
    </w:p>
    <w:p>
      <w:pPr>
        <w:pStyle w:val="TextBody"/>
        <w:bidi w:val="0"/>
        <w:spacing w:before="120" w:after="0"/>
        <w:jc w:val="both"/>
        <w:rPr>
          <w:rFonts w:ascii="Times New Roman" w:hAnsi="Times New Roman"/>
          <w:sz w:val="20"/>
        </w:rPr>
      </w:pPr>
      <w:r>
        <w:rPr>
          <w:rFonts w:ascii="Times New Roman" w:hAnsi="Times New Roman"/>
          <w:sz w:val="20"/>
        </w:rPr>
        <w:t xml:space="preserve">(t) Securities Entitlements; </w:t>
      </w:r>
    </w:p>
    <w:p>
      <w:pPr>
        <w:pStyle w:val="TextBody"/>
        <w:bidi w:val="0"/>
        <w:spacing w:before="120" w:after="0"/>
        <w:jc w:val="both"/>
        <w:rPr>
          <w:rFonts w:ascii="Times New Roman" w:hAnsi="Times New Roman"/>
          <w:sz w:val="20"/>
        </w:rPr>
      </w:pPr>
      <w:r>
        <w:rPr>
          <w:rFonts w:ascii="Times New Roman" w:hAnsi="Times New Roman"/>
          <w:sz w:val="20"/>
        </w:rPr>
        <w:t xml:space="preserve">(u) Specified Contract Rights; </w:t>
      </w:r>
    </w:p>
    <w:p>
      <w:pPr>
        <w:pStyle w:val="TextBody"/>
        <w:bidi w:val="0"/>
        <w:spacing w:before="120" w:after="0"/>
        <w:jc w:val="both"/>
        <w:rPr>
          <w:rFonts w:ascii="Times New Roman" w:hAnsi="Times New Roman"/>
          <w:sz w:val="20"/>
        </w:rPr>
      </w:pPr>
      <w:r>
        <w:rPr>
          <w:rFonts w:ascii="Times New Roman" w:hAnsi="Times New Roman"/>
          <w:sz w:val="20"/>
        </w:rPr>
        <w:t xml:space="preserve">(v) Stock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 Supporting Obligations; </w:t>
      </w:r>
    </w:p>
    <w:p>
      <w:pPr>
        <w:pStyle w:val="TextBody"/>
        <w:bidi w:val="0"/>
        <w:spacing w:before="120" w:after="0"/>
        <w:jc w:val="both"/>
        <w:rPr>
          <w:rFonts w:ascii="Times New Roman" w:hAnsi="Times New Roman"/>
          <w:sz w:val="20"/>
        </w:rPr>
      </w:pPr>
      <w:r>
        <w:rPr>
          <w:rFonts w:ascii="Times New Roman" w:hAnsi="Times New Roman"/>
          <w:sz w:val="20"/>
        </w:rPr>
        <w:t xml:space="preserve">(x) Other Collateral; </w:t>
      </w:r>
    </w:p>
    <w:p>
      <w:pPr>
        <w:pStyle w:val="TextBody"/>
        <w:bidi w:val="0"/>
        <w:spacing w:before="120" w:after="0"/>
        <w:jc w:val="both"/>
        <w:rPr>
          <w:rFonts w:ascii="Times New Roman" w:hAnsi="Times New Roman"/>
          <w:sz w:val="20"/>
        </w:rPr>
      </w:pPr>
      <w:r>
        <w:rPr>
          <w:rFonts w:ascii="Times New Roman" w:hAnsi="Times New Roman"/>
          <w:sz w:val="20"/>
        </w:rPr>
        <w:t xml:space="preserve">(y) all books and records pertaining to any of the foregoing, including all customer lists, credit files, computer files, programs, printouts and other computer materials and records related thereto; and </w:t>
      </w:r>
    </w:p>
    <w:p>
      <w:pPr>
        <w:pStyle w:val="TextBody"/>
        <w:bidi w:val="0"/>
        <w:spacing w:before="120" w:after="0"/>
        <w:jc w:val="both"/>
        <w:rPr>
          <w:rFonts w:ascii="Times New Roman" w:hAnsi="Times New Roman"/>
          <w:sz w:val="20"/>
        </w:rPr>
      </w:pPr>
      <w:r>
        <w:rPr>
          <w:rFonts w:ascii="Times New Roman" w:hAnsi="Times New Roman"/>
          <w:sz w:val="20"/>
        </w:rPr>
        <w:t xml:space="preserve">(z) to the extent not otherwise included, all accessions thereto and all Proceeds and products of any of the foregoing and all collateral security and guarantees given by any Person with respect to any of the foregoing; </w:t>
      </w:r>
    </w:p>
    <w:p>
      <w:pPr>
        <w:pStyle w:val="TextBody"/>
        <w:bidi w:val="0"/>
        <w:spacing w:before="120" w:after="0"/>
        <w:jc w:val="both"/>
        <w:rPr>
          <w:rFonts w:ascii="Times New Roman" w:hAnsi="Times New Roman"/>
          <w:sz w:val="20"/>
        </w:rPr>
      </w:pPr>
      <w:r>
        <w:rPr>
          <w:rFonts w:ascii="Times New Roman" w:hAnsi="Times New Roman"/>
          <w:sz w:val="20"/>
          <w:u w:val="single"/>
        </w:rPr>
        <w:t>provided</w:t>
      </w:r>
      <w:r>
        <w:rPr>
          <w:rFonts w:ascii="Times New Roman" w:hAnsi="Times New Roman"/>
          <w:sz w:val="20"/>
        </w:rPr>
        <w:t>, that, notwithstanding anything to the contrary in this Agreement or any other Note Document, the Collateral shall not include any of the following assets or properties (collectively, the “</w:t>
      </w:r>
      <w:r>
        <w:rPr>
          <w:rFonts w:ascii="Times New Roman" w:hAnsi="Times New Roman"/>
          <w:sz w:val="20"/>
          <w:u w:val="single"/>
        </w:rPr>
        <w:t>Excluded Assets</w:t>
      </w:r>
      <w:r>
        <w:rPr>
          <w:rFonts w:ascii="Times New Roman" w:hAnsi="Times New Roman"/>
          <w:sz w:val="20"/>
        </w:rPr>
        <w:t xml:space="preserve">”): (i) any property or asset the grant or perfection of a security interest in which would (A) be prohibited under any Law (including, without limitation, any rule and/or regulation of any Governmental Authority or agency) or (B) require any governmental, regulatory or third party consent, approval, license or authorization existing on the date of the Commitment Letter and not created in contemplation thereof (in each case of clauses (A) and (B), after giving effect to Sections 9-406, 9-407, 9-408 and 9-409 of the UCC and any other applicable anti-assignment or similar provisions of the UCC and other Law), unless such consent, approval, license or authorization has been received (it being understood and agreed that no Grantor shall have any obligation to procure any such consent, approval, license or authorization), other than, in each case, Proceeds thereof to the extent the assignment of such Proceeds is effective under the UCC or other Law notwithstanding the lack of such consent, approval, license or authorization or such prohibition or restriction; (ii) any “intent-to-use” (or similar) Trademark applications prior to the filing and acceptance by the United States Patent and Trademark Office of a “Statement of Use,” “Amendment to Allege Use” or similar filing with respect thereto, solely to the extent, if any, that, and solely during the period, if any, in which, the grant or attachment of a security interest therein would impair the validity or enforceability of, or result in the cancellation or voiding of, such intent-to-use Trademark application or any registration issuing therefrom under Law; and (iii) solely with respect to TBIL, any Excluded Product Assets and any TBIL Excluded Equity; </w:t>
      </w:r>
      <w:r>
        <w:rPr>
          <w:rFonts w:ascii="Times New Roman" w:hAnsi="Times New Roman"/>
          <w:sz w:val="20"/>
          <w:u w:val="single"/>
        </w:rPr>
        <w:t>provided</w:t>
      </w:r>
      <w:r>
        <w:rPr>
          <w:rFonts w:ascii="Times New Roman" w:hAnsi="Times New Roman"/>
          <w:sz w:val="20"/>
        </w:rPr>
        <w:t xml:space="preserve">, that (x) “Excluded Assets” shall not include any Proceeds, products, substitutions or replacements of any Excluded Asset unless such Proceeds, products, substitutions or replacements would themselves independently constitute Excluded Assets and (y) if and when any property or asset shall cease to be an Excluded Asset, such property or asset shall automatically constitute Collateral and be subject to the Security Interests.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u w:val="single"/>
        </w:rPr>
        <w:t>Financing Statements</w:t>
      </w:r>
      <w:r>
        <w:rPr>
          <w:rFonts w:ascii="Times New Roman" w:hAnsi="Times New Roman"/>
          <w:b/>
          <w:sz w:val="20"/>
        </w:rPr>
        <w:t>.</w:t>
      </w:r>
      <w:r>
        <w:rPr>
          <w:rFonts w:ascii="Times New Roman" w:hAnsi="Times New Roman"/>
          <w:sz w:val="20"/>
        </w:rPr>
        <w:t xml:space="preserve"> Each Grantor hereby authorizes the filing of financing statements and continuation statements and amendments thereto and assignments thereof, describing the Collateral covered thereby (a) as “All assets of debtor whether now owned or existing or hereafter acquired or arising and wheresoever located, including all accessions thereto and products and proceeds thereof” or similar words to that effect, notwithstanding that such wording may be broader in scope than the collateral described in this </w:t>
      </w:r>
      <w:r>
        <w:rPr>
          <w:rFonts w:ascii="Times New Roman" w:hAnsi="Times New Roman"/>
          <w:sz w:val="20"/>
          <w:u w:val="single"/>
        </w:rPr>
        <w:t>Article III</w:t>
      </w:r>
      <w:r>
        <w:rPr>
          <w:rFonts w:ascii="Times New Roman" w:hAnsi="Times New Roman"/>
          <w:sz w:val="20"/>
        </w:rPr>
        <w:t xml:space="preserve"> and regardless of whether any particular asset comprised in the Collateral falls within the scope of Article 9 of the UCC of such jurisdiction or (b) as being of an equal or lesser scope or with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detail and containing any other information required by Article 9 of the UCC of the applicable jurisdiction, and any other filing, recording or registration (including any filing, recording or registration that may be necessary, appropriate or advisable under this </w:t>
      </w:r>
      <w:r>
        <w:rPr>
          <w:rFonts w:ascii="Times New Roman" w:hAnsi="Times New Roman"/>
          <w:sz w:val="20"/>
          <w:u w:val="single"/>
        </w:rPr>
        <w:t>Article III</w:t>
      </w:r>
      <w:r>
        <w:rPr>
          <w:rFonts w:ascii="Times New Roman" w:hAnsi="Times New Roman"/>
          <w:sz w:val="20"/>
        </w:rPr>
        <w:t xml:space="preserve">) that the Agent in its sole discretion may deem necessary or appropriate to further protect or maintain the perfection of the security interests in the Collateral. Each Grantor authorizes the Agent to file financing or continuation statements, and amendments thereto and assignments thereof, relating to the Collateral without the signature of such Grantor. A photocopy or other reproduction of this Agreement shall be sufficient as a financing statement where permitted by Law. This Agreement shall constitute a security agreement under the UCC and other Law.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u w:val="single"/>
        </w:rPr>
        <w:t>Grantors Remain Liable</w:t>
      </w:r>
      <w:r>
        <w:rPr>
          <w:rFonts w:ascii="Times New Roman" w:hAnsi="Times New Roman"/>
          <w:sz w:val="20"/>
        </w:rPr>
        <w:t xml:space="preserve">. Anything herein to the contrary notwithstanding: (a) each Grantor shall remain liable under the contracts and agreements included in the Collateral (including the Specified Contract Rights) to the extent set forth therein to perform all of its duties and obligations thereunder to the same extent as if this Agreement had not been executed; (b) the exercise by the Agent of any of its rights hereunder shall not release any Grantor from any of its duties or obligations under such contracts and agreements; and (c) no Secured Party shall have any obligation or liability under any such contracts and agreements by reason of this Agreement, nor shall any Secured Party be obligated to perform any of the obligations or duties of any Grantor thereunder or to take any action to collect or enforce any claim for payment assigned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both"/>
        <w:rPr>
          <w:rFonts w:ascii="Times New Roman" w:hAnsi="Times New Roman"/>
          <w:sz w:val="20"/>
        </w:rPr>
      </w:pPr>
      <w:r>
        <w:rPr>
          <w:rFonts w:ascii="Times New Roman" w:hAnsi="Times New Roman"/>
          <w:sz w:val="20"/>
        </w:rPr>
        <w:t xml:space="preserve">Each Grantor hereby represents and warrants to the Agent and the Purchasers, as to itself and its Collateral, that as of the date of this Agreement and, in the case of any Person that becomes a Grantor after the date hereof, as of the date of the applicable Joinder (in each case, except for any representations and warranties which speak as to a specific date, which representations and warranties shall be made as of the date specified) and, solely with respect to the representations and warranties set forth in </w:t>
      </w:r>
      <w:r>
        <w:rPr>
          <w:rFonts w:ascii="Times New Roman" w:hAnsi="Times New Roman"/>
          <w:sz w:val="20"/>
          <w:u w:val="single"/>
        </w:rPr>
        <w:t>Section 4.03</w:t>
      </w:r>
      <w:r>
        <w:rPr>
          <w:rFonts w:ascii="Times New Roman" w:hAnsi="Times New Roman"/>
          <w:sz w:val="20"/>
        </w:rPr>
        <w:t xml:space="preserve">, </w:t>
      </w:r>
      <w:r>
        <w:rPr>
          <w:rFonts w:ascii="Times New Roman" w:hAnsi="Times New Roman"/>
          <w:sz w:val="20"/>
          <w:u w:val="single"/>
        </w:rPr>
        <w:t>Section 4.04</w:t>
      </w:r>
      <w:r>
        <w:rPr>
          <w:rFonts w:ascii="Times New Roman" w:hAnsi="Times New Roman"/>
          <w:sz w:val="20"/>
        </w:rPr>
        <w:t xml:space="preserve">, </w:t>
      </w:r>
      <w:r>
        <w:rPr>
          <w:rFonts w:ascii="Times New Roman" w:hAnsi="Times New Roman"/>
          <w:sz w:val="20"/>
          <w:u w:val="single"/>
        </w:rPr>
        <w:t>Section 4.06</w:t>
      </w:r>
      <w:r>
        <w:rPr>
          <w:rFonts w:ascii="Times New Roman" w:hAnsi="Times New Roman"/>
          <w:sz w:val="20"/>
        </w:rPr>
        <w:t xml:space="preserve">, </w:t>
      </w:r>
      <w:r>
        <w:rPr>
          <w:rFonts w:ascii="Times New Roman" w:hAnsi="Times New Roman"/>
          <w:sz w:val="20"/>
          <w:u w:val="single"/>
        </w:rPr>
        <w:t>Section 4.07</w:t>
      </w:r>
      <w:r>
        <w:rPr>
          <w:rFonts w:ascii="Times New Roman" w:hAnsi="Times New Roman"/>
          <w:sz w:val="20"/>
        </w:rPr>
        <w:t xml:space="preserve">, </w:t>
      </w:r>
      <w:r>
        <w:rPr>
          <w:rFonts w:ascii="Times New Roman" w:hAnsi="Times New Roman"/>
          <w:sz w:val="20"/>
          <w:u w:val="single"/>
        </w:rPr>
        <w:t>Section 4.08</w:t>
      </w:r>
      <w:r>
        <w:rPr>
          <w:rFonts w:ascii="Times New Roman" w:hAnsi="Times New Roman"/>
          <w:sz w:val="20"/>
        </w:rPr>
        <w:t xml:space="preserve">, </w:t>
      </w:r>
      <w:r>
        <w:rPr>
          <w:rFonts w:ascii="Times New Roman" w:hAnsi="Times New Roman"/>
          <w:sz w:val="20"/>
          <w:u w:val="single"/>
        </w:rPr>
        <w:t>Section 4.09</w:t>
      </w:r>
      <w:r>
        <w:rPr>
          <w:rFonts w:ascii="Times New Roman" w:hAnsi="Times New Roman"/>
          <w:sz w:val="20"/>
        </w:rPr>
        <w:t xml:space="preserve">, </w:t>
      </w:r>
      <w:r>
        <w:rPr>
          <w:rFonts w:ascii="Times New Roman" w:hAnsi="Times New Roman"/>
          <w:sz w:val="20"/>
          <w:u w:val="single"/>
        </w:rPr>
        <w:t>Section 4.10</w:t>
      </w:r>
      <w:r>
        <w:rPr>
          <w:rFonts w:ascii="Times New Roman" w:hAnsi="Times New Roman"/>
          <w:sz w:val="20"/>
        </w:rPr>
        <w:t xml:space="preserve"> and </w:t>
      </w:r>
      <w:r>
        <w:rPr>
          <w:rFonts w:ascii="Times New Roman" w:hAnsi="Times New Roman"/>
          <w:sz w:val="20"/>
          <w:u w:val="single"/>
        </w:rPr>
        <w:t>Section 4.11</w:t>
      </w:r>
      <w:r>
        <w:rPr>
          <w:rFonts w:ascii="Times New Roman" w:hAnsi="Times New Roman"/>
          <w:sz w:val="20"/>
        </w:rPr>
        <w:t xml:space="preserve"> on each date the Waterfall Report is required to be delivered pursuant to Section 7.01(e) of the Note Purchase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u w:val="single"/>
        </w:rPr>
        <w:t>Title, Authorization, Validity and Enforceability</w:t>
      </w:r>
      <w:r>
        <w:rPr>
          <w:rFonts w:ascii="Times New Roman" w:hAnsi="Times New Roman"/>
          <w:sz w:val="20"/>
        </w:rPr>
        <w:t xml:space="preserve">. Such Grantor has good and valid rights in or the power and authority to transfer the Collateral owned by it and title to the Collateral with respect to which it has purported to grant the Security Interests, free and clear of all Liens, except for Permitted Liens, and has full corporate, limited liability company, statutory trust or other organizational power and authority to execute and deliver this Agreement, to grant to the Agent for the benefit of the Secured Parties the Security Interests, to guarantee the Obligations (in the case of each Guarantor) and to perform its obligations hereunder in accordance with the terms hereof, without the consent, approval, license, order, authorization or declaration from, notice to, action or registration by or filing with any Governmental Authority or any other Person, except for (a) the filings necessary to perfect Liens created hereby, (b) in the case of TBIL, the completion of the Summary Approval Procedure referred to in </w:t>
      </w:r>
      <w:r>
        <w:rPr>
          <w:rFonts w:ascii="Times New Roman" w:hAnsi="Times New Roman"/>
          <w:sz w:val="20"/>
          <w:u w:val="single"/>
        </w:rPr>
        <w:t>Section 2.12</w:t>
      </w:r>
      <w:r>
        <w:rPr>
          <w:rFonts w:ascii="Times New Roman" w:hAnsi="Times New Roman"/>
          <w:sz w:val="20"/>
        </w:rPr>
        <w:t xml:space="preserve"> and the registration of particulars of any charge created by TBIL with the Companies Registration Office of Ireland and (c) those previously obtained and in full force and effect. The execution and delivery by such Grantor of this Agreement, the creation and perfection of the Security Interests, the making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Guaranty (in the case of each Guarantor) and the performance by such Grantor of its obligations hereunder, in each case, have been duly authorized in accordance with such Grantor’s Organizational Documents, and this Agreement constitutes a legal, valid and binding obligation of such Grantor and creates a security interest securing the payment and performance of the Obligations which is enforceable against such Grantor in all Collateral it now owns or hereafter acquires, subject to applicable bankruptcy, insolvency, reorganization, moratorium or similar Laws affecting creditors’ rights generally, general equitable principles and principles of public policy.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u w:val="single"/>
        </w:rPr>
        <w:t>No Conflict</w:t>
      </w:r>
      <w:r>
        <w:rPr>
          <w:rFonts w:ascii="Times New Roman" w:hAnsi="Times New Roman"/>
          <w:sz w:val="20"/>
        </w:rPr>
        <w:t xml:space="preserve">. The execution and delivery by such Grantor of this Agreement, the creation and perfection of the Security Interests, the making of the Guaranty (in the case of each Guarantor) and the compliance with the terms and provisions hereof, in each case, will not: (a) contravene, conflict with, result in a breach, violation, cancellation or termination of, constitute a default (with or without notice or lapse of time, or both) under, require prepayment under, give any Person the right to exercise any remedy (including termination, cancellation or acceleration) or obtain any additional rights under, or accelerate the maturity or performance of or payment under, in any respect, (i) any Law or any judgment, order, writ, decree, permit or license of any Governmental Authority to which such Grantor or any of such Grantor’s assets or properties may be subject or bound, (ii) any term or provision of any contract, agreement, indenture, lease, license, mortgage, deed of trust, commitment, obligation or instrument to which such Grantor is a party or by which such Grantor or any of such Grantor’s assets or properties is bound or committed (in all cases, other than any Material Contract (as defined in the Acquisition Agreement) or Covered Agreement) or (iii) any term or provision of (A) any Grantor’s Organizational Documents, (B) any Material Contract or (C) any Covered Agreement, except in the case of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where any such event could not reasonably be expected to result in (x) a Material Adverse Effect or (y) an adverse effect, in any respect, on the timing, amount or duration of the payments (including Yupelri Adjusted Net Profit, Adjusted Operating Profit (Loss) and/or any component parts thereof) payable to any Grantor under the Collaboration Agreement, the Co-Promotion Agreement, or any other Covered Agreement between or among the Grantors, TBPH, the Parent or the Servicer, or the right of the Agent, for the ratable benefit of the Secured Parties, to receive payments based on such amounts; or (b) result in or require the creation or imposition of any Lien on any of its properties or assets, including the Product Rights or any Covered Agreements (or, in each case, amounts due and payable to any Grantor thereunder), other than the Security Interests and Permitted Liens.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u w:val="single"/>
        </w:rPr>
        <w:t>Principal Location</w:t>
      </w:r>
      <w:r>
        <w:rPr>
          <w:rFonts w:ascii="Times New Roman" w:hAnsi="Times New Roman"/>
          <w:sz w:val="20"/>
        </w:rPr>
        <w:t xml:space="preserve">. Such Grantor’s mailing address and the location of its place of business and its chief executive office and the office where such Grantor keeps all of its books and records (including in respect of any Rights to Payment) are correctly and completely disclosed on </w:t>
      </w:r>
      <w:r>
        <w:rPr>
          <w:rFonts w:ascii="Times New Roman" w:hAnsi="Times New Roman"/>
          <w:sz w:val="20"/>
          <w:u w:val="single"/>
        </w:rPr>
        <w:t>Schedule 4.03(i)</w:t>
      </w:r>
      <w:r>
        <w:rPr>
          <w:rFonts w:ascii="Times New Roman" w:hAnsi="Times New Roman"/>
          <w:sz w:val="20"/>
        </w:rPr>
        <w:t xml:space="preserve"> attached hereto; such Grantor has no other places of business except for those set forth in </w:t>
      </w:r>
      <w:r>
        <w:rPr>
          <w:rFonts w:ascii="Times New Roman" w:hAnsi="Times New Roman"/>
          <w:sz w:val="20"/>
          <w:u w:val="single"/>
        </w:rPr>
        <w:t>Schedule 4.03(ii)</w:t>
      </w:r>
      <w:r>
        <w:rPr>
          <w:rFonts w:ascii="Times New Roman" w:hAnsi="Times New Roman"/>
          <w:sz w:val="20"/>
        </w:rPr>
        <w:t xml:space="preserve"> attached hereto; and such Grantor owns no Collateral other than the Collateral located at the addresses disclosed on </w:t>
      </w:r>
      <w:r>
        <w:rPr>
          <w:rFonts w:ascii="Times New Roman" w:hAnsi="Times New Roman"/>
          <w:sz w:val="20"/>
          <w:u w:val="single"/>
        </w:rPr>
        <w:t>Schedule 4.03(iii)</w:t>
      </w:r>
      <w:r>
        <w:rPr>
          <w:rFonts w:ascii="Times New Roman" w:hAnsi="Times New Roman"/>
          <w:sz w:val="20"/>
        </w:rPr>
        <w:t xml:space="preserve"> attached hereto (other than Collateral in the custody of the Agent or the Account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u w:val="single"/>
        </w:rPr>
        <w:t>Jurisdiction of Organization and Names; Etc</w:t>
      </w:r>
      <w:r>
        <w:rPr>
          <w:rFonts w:ascii="Times New Roman" w:hAnsi="Times New Roman"/>
          <w:sz w:val="20"/>
        </w:rPr>
        <w:t xml:space="preserve">. Such Grantor has not changed its name, conducted business under any name other than its current name, changed its jurisdiction of formation or merged with or into or consolidated with any other Person, except, in each case, as disclosed on </w:t>
      </w:r>
      <w:r>
        <w:rPr>
          <w:rFonts w:ascii="Times New Roman" w:hAnsi="Times New Roman"/>
          <w:sz w:val="20"/>
          <w:u w:val="single"/>
        </w:rPr>
        <w:t>Schedule 4.04</w:t>
      </w:r>
      <w:r>
        <w:rPr>
          <w:rFonts w:ascii="Times New Roman" w:hAnsi="Times New Roman"/>
          <w:sz w:val="20"/>
        </w:rPr>
        <w:t xml:space="preserve"> attached hereto. The name in which such Grantor has executed this Agreement is the exact name as it appears in such Grantor’s Organizational Documents as filed with the Secretary of State of the State of Delaware or, in the case of TBIL, the Companies Registration Office of Ireland, as applicable. </w:t>
      </w:r>
      <w:r>
        <w:rPr>
          <w:rFonts w:ascii="Times New Roman" w:hAnsi="Times New Roman"/>
          <w:sz w:val="20"/>
          <w:u w:val="single"/>
        </w:rPr>
        <w:t>Schedule 4.04</w:t>
      </w:r>
      <w:r>
        <w:rPr>
          <w:rFonts w:ascii="Times New Roman" w:hAnsi="Times New Roman"/>
          <w:sz w:val="20"/>
        </w:rPr>
        <w:t xml:space="preserve"> attached hereto states such Grantor’s exact name as it appears in such Grantor’s Organizational Documents as so filed and its jurisdiction of organization.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4.05</w:t>
      </w:r>
      <w:r>
        <w:rPr>
          <w:rFonts w:ascii="Times New Roman" w:hAnsi="Times New Roman"/>
          <w:sz w:val="20"/>
        </w:rPr>
        <w:t xml:space="preserve"> </w:t>
      </w:r>
      <w:r>
        <w:rPr>
          <w:rFonts w:ascii="Times New Roman" w:hAnsi="Times New Roman"/>
          <w:b/>
          <w:sz w:val="20"/>
          <w:u w:val="single"/>
        </w:rPr>
        <w:t>Perfection and Priority</w:t>
      </w:r>
      <w:r>
        <w:rPr>
          <w:rFonts w:ascii="Times New Roman" w:hAnsi="Times New Roman"/>
          <w:sz w:val="20"/>
        </w:rPr>
        <w:t xml:space="preserve">. Upon the (a) filing of appropriate financing statements under the UCC at the offices specified on </w:t>
      </w:r>
      <w:r>
        <w:rPr>
          <w:rFonts w:ascii="Times New Roman" w:hAnsi="Times New Roman"/>
          <w:sz w:val="20"/>
          <w:u w:val="single"/>
        </w:rPr>
        <w:t>Schedule 4.05</w:t>
      </w:r>
      <w:r>
        <w:rPr>
          <w:rFonts w:ascii="Times New Roman" w:hAnsi="Times New Roman"/>
          <w:sz w:val="20"/>
        </w:rPr>
        <w:t xml:space="preserve"> attached hereto (which, in the case of all filings, have been delivered to the Agent in completed and duly authorized form), (b) recordation of the applicable IP Security Agreements (i.e., the Confirmatory Grant of Security Interest in Patents and the Confirmatory Grant of Security Interest in Trademarks with the United States Patent and Trademark Office and the recordation of the Confirmatory Grant of Security Interest in Copyrights with the United States Copyright Office, as applicable), (c) taking of possession or Control by the Agent of such Collateral with respect to which a security interest may be perfected only by possession or Control (including the execution and delivery of the Control Agreement with the Account Bank in respect of the Collection Account in accordance with the Note Purchase Agreement and the delivery to the Agent of the certificates (if any) representing the Pledged Equity, the Instruments evidencing the Pledged Debt in each case together with undated transfer powers, note powers or allonges executed in blank) and (d) in the case of TBIL, the completion of the filings and registrations referred to in </w:t>
      </w:r>
      <w:r>
        <w:rPr>
          <w:rFonts w:ascii="Times New Roman" w:hAnsi="Times New Roman"/>
          <w:sz w:val="20"/>
          <w:u w:val="single"/>
        </w:rPr>
        <w:t>Section 5.15</w:t>
      </w:r>
      <w:r>
        <w:rPr>
          <w:rFonts w:ascii="Times New Roman" w:hAnsi="Times New Roman"/>
          <w:sz w:val="20"/>
        </w:rPr>
        <w:t xml:space="preserve">, the Agent, for the benefit of the Secured Parties, will have a fully perfected first priority security interest in the Collateral owned by such Grantor (including the power to transfer rights in the Collection Account), subject only to Permitted Liens.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4.06</w:t>
      </w:r>
      <w:r>
        <w:rPr>
          <w:rFonts w:ascii="Times New Roman" w:hAnsi="Times New Roman"/>
          <w:sz w:val="20"/>
        </w:rPr>
        <w:t xml:space="preserve"> </w:t>
      </w:r>
      <w:r>
        <w:rPr>
          <w:rFonts w:ascii="Times New Roman" w:hAnsi="Times New Roman"/>
          <w:b/>
          <w:sz w:val="20"/>
          <w:u w:val="single"/>
        </w:rPr>
        <w:t>Intellectual Property Collateral</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Schedule 4.06</w:t>
      </w:r>
      <w:r>
        <w:rPr>
          <w:rFonts w:ascii="Times New Roman" w:hAnsi="Times New Roman"/>
          <w:sz w:val="20"/>
        </w:rPr>
        <w:t xml:space="preserve"> attached hereto correctly and completely includes (a) all Copyrights owned by such Grantor that are registered with the United States Copyright Office or any other applicable intellectual property office or registry or are the subject of pending applications with the United States Copyright Office or any other applicable intellectual property office or registry, and all Licenses granting such Grantor an exclusive right in any registered Copyright related thereto and (b) all Patents and Trademarks owned by such Grantor that are issued by the United States Patent and Trademark Office or any other applicable intellectual property office or registry are the subject of pending applications with the United States Patent and Trademark Office or any other applicable intellectual property office or registry in each case, that are owned by such Grantor. Except as otherwise indicated on </w:t>
      </w:r>
      <w:r>
        <w:rPr>
          <w:rFonts w:ascii="Times New Roman" w:hAnsi="Times New Roman"/>
          <w:sz w:val="20"/>
          <w:u w:val="single"/>
        </w:rPr>
        <w:t>Schedule 4.06</w:t>
      </w:r>
      <w:r>
        <w:rPr>
          <w:rFonts w:ascii="Times New Roman" w:hAnsi="Times New Roman"/>
          <w:sz w:val="20"/>
        </w:rPr>
        <w:t xml:space="preserve"> attached hereto, all filings, fees and other payments necessary for the maintenance thereof for which Grantor has a right to control prosecution and maintenance thereof, and, have been, as applicable, timely filed or paid with respect to all such Intellectual Property, and to the knowledge of such Grantor, other such Intellectual Property, except where the failure to pay such payments would not reasonably be expected to result in a loss of such Intellectual Property or of such Grantor’s rights therein, and all such Intellectual Property that is issued or registered and is material to the conduct of its business or the performance of the Note Documents and the Collaboration Agreement is subsisting, and, to the knowledge of such Grantor,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4.07</w:t>
      </w:r>
      <w:r>
        <w:rPr>
          <w:rFonts w:ascii="Times New Roman" w:hAnsi="Times New Roman"/>
          <w:sz w:val="20"/>
        </w:rPr>
        <w:t xml:space="preserve"> </w:t>
      </w:r>
      <w:r>
        <w:rPr>
          <w:rFonts w:ascii="Times New Roman" w:hAnsi="Times New Roman"/>
          <w:b/>
          <w:sz w:val="20"/>
          <w:u w:val="single"/>
        </w:rPr>
        <w:t>Security Agreements; No Financing Statements</w:t>
      </w:r>
      <w:r>
        <w:rPr>
          <w:rFonts w:ascii="Times New Roman" w:hAnsi="Times New Roman"/>
          <w:sz w:val="20"/>
        </w:rPr>
        <w:t xml:space="preserve">. Other than the Security Interests granted to the Agent for the benefit of the Secured Parties pursuant to this Agreement and other Permitted Liens, no Grantor has pledged, assigned, sold, granted a security interest in, or otherwise conveyed all or any portion of the Collateral, and no financing statement describing all or any portion of the Collateral naming any Grantor as debtor has been filed or is of record in any jurisdiction other than financing statements naming the Agent on behalf of the Secured Parties as the secured party and financing statements filed in respect of Permitted Liens.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4.08</w:t>
      </w:r>
      <w:r>
        <w:rPr>
          <w:rFonts w:ascii="Times New Roman" w:hAnsi="Times New Roman"/>
          <w:sz w:val="20"/>
        </w:rPr>
        <w:t xml:space="preserve"> </w:t>
      </w:r>
      <w:r>
        <w:rPr>
          <w:rFonts w:ascii="Times New Roman" w:hAnsi="Times New Roman"/>
          <w:b/>
          <w:sz w:val="20"/>
          <w:u w:val="single"/>
        </w:rPr>
        <w:t>Federal Employer Identification Number; State Organization Number</w:t>
      </w:r>
      <w:r>
        <w:rPr>
          <w:rFonts w:ascii="Times New Roman" w:hAnsi="Times New Roman"/>
          <w:sz w:val="20"/>
        </w:rPr>
        <w:t xml:space="preserve">. Each Grantor’s federal employer identification number (if any) and organizational identification number (if any) are correctly and completely listed on </w:t>
      </w:r>
      <w:r>
        <w:rPr>
          <w:rFonts w:ascii="Times New Roman" w:hAnsi="Times New Roman"/>
          <w:sz w:val="20"/>
          <w:u w:val="single"/>
        </w:rPr>
        <w:t>Schedule 4.08</w:t>
      </w:r>
      <w:r>
        <w:rPr>
          <w:rFonts w:ascii="Times New Roman" w:hAnsi="Times New Roman"/>
          <w:sz w:val="20"/>
        </w:rPr>
        <w:t xml:space="preserve"> attached hereto.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4.09</w:t>
      </w:r>
      <w:r>
        <w:rPr>
          <w:rFonts w:ascii="Times New Roman" w:hAnsi="Times New Roman"/>
          <w:sz w:val="20"/>
        </w:rPr>
        <w:t xml:space="preserve"> </w:t>
      </w:r>
      <w:r>
        <w:rPr>
          <w:rFonts w:ascii="Times New Roman" w:hAnsi="Times New Roman"/>
          <w:b/>
          <w:sz w:val="20"/>
          <w:u w:val="single"/>
        </w:rPr>
        <w:t>Pledged Equity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Such Grantor is the record and beneficial owner of the Pledged Equity set forth opposite such Grantor’s name on </w:t>
      </w:r>
      <w:r>
        <w:rPr>
          <w:rFonts w:ascii="Times New Roman" w:hAnsi="Times New Roman"/>
          <w:sz w:val="20"/>
          <w:u w:val="single"/>
        </w:rPr>
        <w:t>Schedule 4.09</w:t>
      </w:r>
      <w:r>
        <w:rPr>
          <w:rFonts w:ascii="Times New Roman" w:hAnsi="Times New Roman"/>
          <w:sz w:val="20"/>
        </w:rPr>
        <w:t xml:space="preserve"> attached hereto, free and clear of all Liens, except for the Security Interests and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(b) All Pledged Equity owned by such Grantor has been duly authorized and validly issued by the issuer thereof and, to the extent such concepts are applicable under the Organizational Documents of the issuer thereof and applicable Law, is fully paid and nonassessable. </w:t>
      </w:r>
    </w:p>
    <w:p>
      <w:pPr>
        <w:pStyle w:val="TextBody"/>
        <w:bidi w:val="0"/>
        <w:spacing w:before="120" w:after="0"/>
        <w:jc w:val="both"/>
        <w:rPr>
          <w:rFonts w:ascii="Times New Roman" w:hAnsi="Times New Roman"/>
          <w:sz w:val="20"/>
        </w:rPr>
      </w:pPr>
      <w:r>
        <w:rPr>
          <w:rFonts w:ascii="Times New Roman" w:hAnsi="Times New Roman"/>
          <w:sz w:val="20"/>
        </w:rPr>
        <w:t xml:space="preserve">(c) The Pledged Equity owned by such Grantor constitutes one hundred percent (100%) of the issued and outstanding Equity Interests, trust interests and other beneficial interests of every class of the related issuer thereof. Without limiting the generality of the foregoing, (i) one hundred percent (100%) of the outstanding Equity Interests in each of RDIP and TABI are directly owned (both beneficially and of record) by the DST Issuer, (ii) one hundred percent (100%) of the outstanding Equity Interests, trust interests and other beneficial interests in the Issuers are directly owned (both beneficially and of record) by TBIL and (iii) one hundred percent (100%) of the outstanding Equity Interests of TBIL are directly owned (both beneficially and of record) by TBPH. </w:t>
      </w:r>
    </w:p>
    <w:p>
      <w:pPr>
        <w:pStyle w:val="TextBody"/>
        <w:bidi w:val="0"/>
        <w:spacing w:before="120" w:after="0"/>
        <w:jc w:val="both"/>
        <w:rPr>
          <w:rFonts w:ascii="Times New Roman" w:hAnsi="Times New Roman"/>
          <w:sz w:val="20"/>
        </w:rPr>
      </w:pPr>
      <w:r>
        <w:rPr>
          <w:rFonts w:ascii="Times New Roman" w:hAnsi="Times New Roman"/>
          <w:sz w:val="20"/>
        </w:rPr>
        <w:t xml:space="preserve">(d) Except for (i) restrictions and limitations imposed by the Note Documents or securities laws generally, (ii) restrictions and limitations as otherwise permitted by the Note Purchase Agreement and (iii) customary restrictions, encumbrances and limitations in Organizational Documents, joint venture agreements and similar arrangements, the Pledged Equity is and will continue to be freely transferable and assignable, and none of the Pledged Equity is or will be subject to any option, right of first refusal, shareholders agreement, trust agreement, charter or by-law provisions, contractual restriction or Law of any nature that would prohibit, impair, delay or otherwise affect in any manner material and adverse to the Secured Parties the pledge of such Pledged Equity hereunder, the sale or disposition thereof pursuant hereto or the exercise by the Agent of rights and remedies hereunder. </w:t>
      </w:r>
    </w:p>
    <w:p>
      <w:pPr>
        <w:pStyle w:val="TextBody"/>
        <w:bidi w:val="0"/>
        <w:spacing w:before="120" w:after="0"/>
        <w:jc w:val="both"/>
        <w:rPr>
          <w:rFonts w:ascii="Times New Roman" w:hAnsi="Times New Roman"/>
          <w:sz w:val="20"/>
        </w:rPr>
      </w:pPr>
      <w:r>
        <w:rPr>
          <w:rFonts w:ascii="Times New Roman" w:hAnsi="Times New Roman"/>
          <w:sz w:val="20"/>
        </w:rPr>
        <w:t xml:space="preserve">(e) Upon delivery to the Agent of the certificates (if any) representing such Pledged Equity, together with undated stock powers, transfer powers or other instruments of transfer duly executed in blank, and, in the case of any uncertificated Pledged Equity that constitutes a “security” under Article 8 of the UCC, upon the registration of the Agent as the registered owner or the agreement by the issuer to comply with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from the Agent without further consent of the registered owner, the Lien granted pursuant to this Agreement will constitute a valid, perfected first priority Lien on such Pledged Equity and related Proceeds, enforceable as such against all creditors of such Grantor, subject only to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(f) There are no certificates, instruments or writings representing such Pledged Equity other than those (if any) delivered to the Agent in accordance with Section 5.04. To the extent that in the future there exist any such certificates, instruments or writings, such Grantor shall deliver all such certificates, instruments or writings to the Agent together with a stock power, transfer power or other instrument of transfer related thereto duly executed in blank in accordance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(g) With respect to any Pledged Equity that constitutes a Security: (i) such Pledged Equity will be a “financial asset” within the meaning of Section 8-102(a)(9) of the UCC; (ii) if certificated, such Pledged Equity will be a “certificated security” within the meaning of Section 8-102(a)(4) of the UCC; (iii) such Pledged Equity will not be credited to a “securities account” within the meaning of Section 8-501(a) of the UCC; and (iv) all certificates (if any) evidencing such Pledged Equity will constitute “securities” as such term is defined in Article 8 of the UCC. Each Grantor shall comply with the covenants set forth in Section 5.14 with respect to the Article 8 characterization and certificated status of the Pledged Equity. </w:t>
      </w:r>
    </w:p>
    <w:p>
      <w:pPr>
        <w:pStyle w:val="TextBody"/>
        <w:bidi w:val="0"/>
        <w:spacing w:before="120" w:after="0"/>
        <w:jc w:val="both"/>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4.09</w:t>
      </w:r>
      <w:r>
        <w:rPr>
          <w:rFonts w:ascii="Times New Roman" w:hAnsi="Times New Roman"/>
          <w:sz w:val="20"/>
        </w:rPr>
        <w:t xml:space="preserve">, to the extent any provision of this Agreement or the Note Purchase Agreement excludes any assets from the scope of the Pledged Equity or the Collateral, or from any requirement to take any action to perfect the Security Interests therein, the representations and warranties made by any relevant Grantor in this </w:t>
      </w:r>
      <w:r>
        <w:rPr>
          <w:rFonts w:ascii="Times New Roman" w:hAnsi="Times New Roman"/>
          <w:sz w:val="20"/>
          <w:u w:val="single"/>
        </w:rPr>
        <w:t>Section 4.09</w:t>
      </w:r>
      <w:r>
        <w:rPr>
          <w:rFonts w:ascii="Times New Roman" w:hAnsi="Times New Roman"/>
          <w:sz w:val="20"/>
        </w:rPr>
        <w:t xml:space="preserve"> shall be deemed not to apply to such excluded assets.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Pledged Debt</w:t>
      </w:r>
      <w:r>
        <w:rPr>
          <w:rFonts w:ascii="Times New Roman" w:hAnsi="Times New Roman"/>
          <w:sz w:val="20"/>
        </w:rPr>
        <w:t xml:space="preserve">. With respect to the Pledged Debt owned by such Grantor as of the date hereof, and if such Grantor hereafter acquires any Indebtedness or other property that is included in the definition of Pledged Debt, as of the date of such acquisition: </w:t>
      </w:r>
    </w:p>
    <w:p>
      <w:pPr>
        <w:pStyle w:val="TextBody"/>
        <w:bidi w:val="0"/>
        <w:spacing w:before="120" w:after="0"/>
        <w:jc w:val="both"/>
        <w:rPr>
          <w:rFonts w:ascii="Times New Roman" w:hAnsi="Times New Roman"/>
          <w:sz w:val="20"/>
        </w:rPr>
      </w:pPr>
      <w:r>
        <w:rPr>
          <w:rFonts w:ascii="Times New Roman" w:hAnsi="Times New Roman"/>
          <w:sz w:val="20"/>
        </w:rPr>
        <w:t xml:space="preserve">(a) Such Grantor is the direct and beneficial owner of all Pledged Debt set forth opposite such Grantor’s name on </w:t>
      </w:r>
      <w:r>
        <w:rPr>
          <w:rFonts w:ascii="Times New Roman" w:hAnsi="Times New Roman"/>
          <w:sz w:val="20"/>
          <w:u w:val="single"/>
        </w:rPr>
        <w:t>Schedule 4.09</w:t>
      </w:r>
      <w:r>
        <w:rPr>
          <w:rFonts w:ascii="Times New Roman" w:hAnsi="Times New Roman"/>
          <w:sz w:val="20"/>
        </w:rPr>
        <w:t xml:space="preserve"> attached hereto, free and clear of all Liens, except for the Security Interests and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4.09</w:t>
      </w:r>
      <w:r>
        <w:rPr>
          <w:rFonts w:ascii="Times New Roman" w:hAnsi="Times New Roman"/>
          <w:sz w:val="20"/>
        </w:rPr>
        <w:t xml:space="preserve"> attached hereto sets forth a complete and accurate list of all Pledged Debt owned by such Grantor as of the date hereof, in each case specifying the creditor and debtor thereunder and the type, outstanding principal amount and maturity date thereof; </w:t>
      </w:r>
    </w:p>
    <w:p>
      <w:pPr>
        <w:pStyle w:val="TextBody"/>
        <w:bidi w:val="0"/>
        <w:spacing w:before="120" w:after="0"/>
        <w:jc w:val="both"/>
        <w:rPr>
          <w:rFonts w:ascii="Times New Roman" w:hAnsi="Times New Roman"/>
          <w:sz w:val="20"/>
        </w:rPr>
      </w:pPr>
      <w:r>
        <w:rPr>
          <w:rFonts w:ascii="Times New Roman" w:hAnsi="Times New Roman"/>
          <w:sz w:val="20"/>
        </w:rPr>
        <w:t xml:space="preserve">(c) All Pledged Debt owned by such Grantor has been duly authorized, authenticated or issued, as applicable, and delivered by the obligor thereof, is the legal, valid and binding obligation of such obligor, enforceable against such obligor in accordance with its terms, subject to applicable bankruptcy, insolvency, reorganization, moratorium or similar Laws affecting creditors’ rights generally, general equitable principles and principles of public policy, and is not in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Upon delivery to the Agent of the original Instruments evidencing such Pledged Debt, together with undated note powers or allonges duly executed in blank, the Lien granted pursuant to this Agreement will constitute a valid, perfected first priority Lien on such Pledged Debt and related Proceeds, enforceable as such against all creditors of such Grantor, subject only to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(e) There will be no certificates, instruments or writings evidencing such Pledged Debt other than those (if any) delivered to the Agent, and to the extent that in the future there exist any such certificates, instruments or writings, such Grantor shall deliver all such certificates, instruments or writings to the Agent together with a note power, allonge or other instrument of transfer related thereto duly executed in blank; and </w:t>
      </w:r>
    </w:p>
    <w:p>
      <w:pPr>
        <w:pStyle w:val="TextBody"/>
        <w:bidi w:val="0"/>
        <w:spacing w:before="120" w:after="0"/>
        <w:jc w:val="both"/>
        <w:rPr>
          <w:rFonts w:ascii="Times New Roman" w:hAnsi="Times New Roman"/>
          <w:sz w:val="20"/>
        </w:rPr>
      </w:pPr>
      <w:r>
        <w:rPr>
          <w:rFonts w:ascii="Times New Roman" w:hAnsi="Times New Roman"/>
          <w:sz w:val="20"/>
        </w:rPr>
        <w:t xml:space="preserve">(f) With respect to any Pledged Debt that constitutes a Security: (i) such Pledged Debt will be a “financial asset” within the meaning of Section 8-102(a)(9) of the UCC; (ii) if certificated, such Pledged Debt will be a “certificated security” within the meaning of Section 8-102(a)(4) of the UCC; (iii) such Pledged Debt will not be credited to a “securities account” within the meaning of Section 8-501(a) of the UCC; and (iv) all certificates (if any) evidencing such Pledged Debt will constitute “securities” as such term is defined in Article 8 of the UCC. </w:t>
      </w:r>
    </w:p>
    <w:p>
      <w:pPr>
        <w:pStyle w:val="TextBody"/>
        <w:bidi w:val="0"/>
        <w:spacing w:before="120" w:after="0"/>
        <w:jc w:val="both"/>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4.10</w:t>
      </w:r>
      <w:r>
        <w:rPr>
          <w:rFonts w:ascii="Times New Roman" w:hAnsi="Times New Roman"/>
          <w:sz w:val="20"/>
        </w:rPr>
        <w:t xml:space="preserve">, to the extent any provision of this Agreement or the Note Purchase Agreement excludes any assets from the scope of the Pledged Debt or the Collateral, or from any requirement to take any action to perfect the Security Interests therein, the representations and warranties made by any relevant Grantor in this </w:t>
      </w:r>
      <w:r>
        <w:rPr>
          <w:rFonts w:ascii="Times New Roman" w:hAnsi="Times New Roman"/>
          <w:sz w:val="20"/>
          <w:u w:val="single"/>
        </w:rPr>
        <w:t>Section 4.10</w:t>
      </w:r>
      <w:r>
        <w:rPr>
          <w:rFonts w:ascii="Times New Roman" w:hAnsi="Times New Roman"/>
          <w:sz w:val="20"/>
        </w:rPr>
        <w:t xml:space="preserve"> shall be deemed not to apply to such excluded assets.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Deposit Accounts and Securities Accounts</w:t>
      </w:r>
      <w:r>
        <w:rPr>
          <w:rFonts w:ascii="Times New Roman" w:hAnsi="Times New Roman"/>
          <w:sz w:val="20"/>
        </w:rPr>
        <w:t xml:space="preserve">. All of such Grantor’s Deposit Accounts and Securities Accounts are correctly and completely listed on </w:t>
      </w:r>
      <w:r>
        <w:rPr>
          <w:rFonts w:ascii="Times New Roman" w:hAnsi="Times New Roman"/>
          <w:sz w:val="20"/>
          <w:u w:val="single"/>
        </w:rPr>
        <w:t>Schedule 4.11</w:t>
      </w:r>
      <w:r>
        <w:rPr>
          <w:rFonts w:ascii="Times New Roman" w:hAnsi="Times New Roman"/>
          <w:sz w:val="20"/>
        </w:rPr>
        <w:t xml:space="preserve"> attached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both"/>
        <w:rPr>
          <w:rFonts w:ascii="Times New Roman" w:hAnsi="Times New Roman"/>
          <w:sz w:val="20"/>
        </w:rPr>
      </w:pPr>
      <w:r>
        <w:rPr>
          <w:rFonts w:ascii="Times New Roman" w:hAnsi="Times New Roman"/>
          <w:sz w:val="20"/>
        </w:rPr>
        <w:t xml:space="preserve">Each Grantor covenants and agrees that, until Payment in Full: </w:t>
      </w:r>
    </w:p>
    <w:p>
      <w:pPr>
        <w:pStyle w:val="TextBody"/>
        <w:bidi w:val="0"/>
        <w:spacing w:before="12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u w:val="single"/>
        </w:rPr>
        <w:t>General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Financing Statements and Other Actions; Defense of Title</w:t>
      </w:r>
      <w:r>
        <w:rPr>
          <w:rFonts w:ascii="Times New Roman" w:hAnsi="Times New Roman"/>
          <w:sz w:val="20"/>
        </w:rPr>
        <w:t xml:space="preserve">. Each Grantor hereby authorizes the Agent, at the sole cost and expense of the Grantors, to file, and if requested will promptly execute (as applicable) and deliver, and have recorded, such further documents, including an authorization to file (or, as applicable, the filing) of any financing statement or amendment under the UCC (or other filings under similar Laws, including, in the case of TBIL, under the Laws of Ireland) in effect in any applicable jurisdiction with respect to the security interest created hereby, and take such other actions as may from time to time reasonably be requested by the Agent in order to maintain a first priority, perfected security interest in and, if applicable, Control of, the Collateral owned by such Grantor, subject in each case to Permitted Liens. Such financing statements may describe the Collateral in the same manner as described herein or may contain an indication or description of collateral that describes such property in any other manner as the Agent may determine, in its sole discretion, is necessary, appropriate or advisable to ensure the perfection of the security interest in the Collateral granted to the Agent herein, including, without limitation, describing such property as “All assets of the Debtor whether now owned or existing or hereafter acquired or arising and wheresoever located, including all accessions thereto and products and proceeds thereof” or words of similar meaning. Each Grantor will take any and all actions necessary to defend title to the Collateral owned by such Grantor against all Persons and to defend the security interest of the Agent in such Collateral and the priority thereof against all claims and demands of all Persons at any time claiming the same or any interest therein adverse to the Agent (other than Permitted Liens), and pay all out-of-pocket costs and expenses (including reasonable attorneys’ fees and expenses) in connection with such defense, which may, at the Agent’s discretion, be added to the Obligations, in any event as necessary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Financing Statements</w:t>
      </w:r>
      <w:r>
        <w:rPr>
          <w:rFonts w:ascii="Times New Roman" w:hAnsi="Times New Roman"/>
          <w:sz w:val="20"/>
        </w:rPr>
        <w:t xml:space="preserve">. No Grantor will suffer to exist or authorize the filing of any financing statement naming it as debtor covering all or any portion of the Collateral, except any financing statement authorized under </w:t>
      </w:r>
      <w:r>
        <w:rPr>
          <w:rFonts w:ascii="Times New Roman" w:hAnsi="Times New Roman"/>
          <w:sz w:val="20"/>
          <w:u w:val="single"/>
        </w:rPr>
        <w:t>Section 5.01(a)</w:t>
      </w:r>
      <w:r>
        <w:rPr>
          <w:rFonts w:ascii="Times New Roman" w:hAnsi="Times New Roman"/>
          <w:sz w:val="20"/>
        </w:rPr>
        <w:t xml:space="preserve"> and filings related to Permitted Liens. Each Grantor acknowledges that it is not authorized to file any financing statement or amendment or termination statement with respect to any financing statement filed in connection herewith without the prior written consent of the Agent, subject to such Grantor’s rights under Section 9-509(d)(2) of the UCC.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Corporate Existence, Type or Jurisdiction of Organization, Location, Name</w:t>
      </w:r>
      <w:r>
        <w:rPr>
          <w:rFonts w:ascii="Times New Roman" w:hAnsi="Times New Roman"/>
          <w:sz w:val="20"/>
        </w:rPr>
        <w:t xml:space="preserve">. No Grantor shall effect any change (i) in such Grantor’s legal name (or establish new or additional trade names), (ii) in the location of such Grantor’s chief executive office and/or the address where any portion of such Grantor’s books and records or Collateral is maintained, (iii) in such Grantor’s identity or organizational structure, (iv) in such Grantor’s organizational identification number or (v) in such Grantor’s jurisdiction of organization (in each case, including by merging with or into any other entity, reorganizing, dissolving, liquidating or organizing in any other jurisdiction). Without limiting the foregoing or Section 8.18 of the Note Purchase Agreement, in the event that any such change is permitted pursuant to the Note Purchase Agreement or consented to in writing by the Agent (acting at the direction of the Requisite Purchasers), no Grantor shall effect such change until (A) such Grantor shall have given the Agent not less than thirty (30) days’ prior written notice (in the form of a certificate of a duly authorized Senior Officer of such Grantor), or such lesser notice period agreed to by the Agent (acting at the direction of the Requisite Purchasers) in its sole discretion, of its intention so to do, clearly describing such change and providing such other information in connection therewith as the Agent may reasonably request, (B) such Grantor shall have taken all actions reasonably satisfactory to the Agent (acting at the direction of the Requisite Purchasers) to maintain the perfection and priority of the security interest of the Agent for the benefit of the Secured Parties in the Collateral, if applicable, and (C) in the case of any Issuer, such Grantor shall have given the Agent evidence reasonably satisfactory to the Agent (acting at the direction of the Requisite Purchasers) that any such change will not impact such Issuer’s status as a Special Purpose Entity; provided, that nothing in this </w:t>
      </w:r>
      <w:r>
        <w:rPr>
          <w:rFonts w:ascii="Times New Roman" w:hAnsi="Times New Roman"/>
          <w:sz w:val="20"/>
          <w:u w:val="single"/>
        </w:rPr>
        <w:t>Section 5.01(c)</w:t>
      </w:r>
      <w:r>
        <w:rPr>
          <w:rFonts w:ascii="Times New Roman" w:hAnsi="Times New Roman"/>
          <w:sz w:val="20"/>
        </w:rPr>
        <w:t xml:space="preserve"> shall be deemed to permit any action otherwise prohibited by the Note Purchase Agreement (including </w:t>
      </w:r>
      <w:r>
        <w:rPr>
          <w:rFonts w:ascii="Times New Roman" w:hAnsi="Times New Roman"/>
          <w:sz w:val="20"/>
          <w:u w:val="single"/>
        </w:rPr>
        <w:t>Article VIII</w:t>
      </w:r>
      <w:r>
        <w:rPr>
          <w:rFonts w:ascii="Times New Roman" w:hAnsi="Times New Roman"/>
          <w:sz w:val="20"/>
        </w:rPr>
        <w:t xml:space="preserv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u w:val="single"/>
        </w:rPr>
        <w:t>Rights to Payment</w:t>
      </w:r>
      <w:r>
        <w:rPr>
          <w:rFonts w:ascii="Times New Roman" w:hAnsi="Times New Roman"/>
          <w:sz w:val="20"/>
        </w:rPr>
        <w:t xml:space="preserve">. Without the prior written consent of the Agent (acting at the direction of the Requisite Purchasers in their sole discretion), no Grantor will acquire any Rights to Payment except (a) those arising under any Note Document to which such Grantor is a party, (b) amounts owed under the Collaboration Agreement (including any permitted sublicense thereunder), the Co-Promotion Agreement, any other Covered Agreement, or any other agreement, instrument, document or action related to the Exploitation of the Collateral or (c) as otherwise expressly permitted under the Note Purchase Agreement. Subject to the rights of the Agent under this Agreement, each Grantor will collect and enforce, at such Grantor’s sole expense, all amounts due or hereafter due to such Grantor under the Rights to Payment owned by such Grantor.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u w:val="single"/>
        </w:rPr>
        <w:t>Maintenance of Collateral</w:t>
      </w:r>
      <w:r>
        <w:rPr>
          <w:rFonts w:ascii="Times New Roman" w:hAnsi="Times New Roman"/>
          <w:sz w:val="20"/>
        </w:rPr>
        <w:t xml:space="preserve">. Each Grantor will do all things necessary, appropriate or advisable to maintain, preserve and protect the Collateral, except to the extent such failure to maintain, preserve or protect all or any portion of the Collateral is expressly permitted under the Note Purchase Agreement. Each Grantor agrees that, from time to time and at the expense of such Guarantor, it shall promptly execute such further documents and take such additional action from time to time to maintain the validity or perfection of the Liens and security interests granted hereunder and the other Note Documents.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u w:val="single"/>
        </w:rPr>
        <w:t>Instruments, Securities, Chattel Paper and Documents</w:t>
      </w:r>
      <w:r>
        <w:rPr>
          <w:rFonts w:ascii="Times New Roman" w:hAnsi="Times New Roman"/>
          <w:sz w:val="20"/>
        </w:rPr>
        <w:t xml:space="preserve">. Each Grantor will (a) deliver to the Agent promptly upon execution of this Agreement the originals of all Chattel Paper, Securities (to the extent certificated) and Instruments constituting Collateral (if any then exist), including, without limitation, the certificates (if any) representing the Pledged Equity, all Instruments evidencing the Pledged Debt, in each case, accompanied by undated instruments of transfer, stock or trust powers, note powers or allonges, as applicable, duly executed in blank, (b) hold in trust for the Agent upon receipt and promptly thereafter deliver to the Agent any Chattel Paper, Securities and Instruments constituting Collateral received after the date hereof and (c) upon the Agent’s request, after the occurrence and during the continuance of an Event of Default, deliver to the Agent (and thereafter hold in trust for the Agent upon receipt and promptly deliver to the Agent) any Document evidencing or constituting Collateral, together, in each of the foregoing cases, with such endorsements or instruments of transfer or assignment in blank or to order as the Agent may reasonably request.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w:t>
      </w:r>
      <w:r>
        <w:rPr>
          <w:rFonts w:ascii="Times New Roman" w:hAnsi="Times New Roman"/>
          <w:b/>
          <w:sz w:val="20"/>
          <w:u w:val="single"/>
        </w:rPr>
        <w:t>Uncertificated Securities and Certain Other Investment Property</w:t>
      </w:r>
      <w:r>
        <w:rPr>
          <w:rFonts w:ascii="Times New Roman" w:hAnsi="Times New Roman"/>
          <w:sz w:val="20"/>
        </w:rPr>
        <w:t xml:space="preserve">. Each Grantor from time to time shall permit the Agent, and cooperate with the Agent, to cause the appropriate issuers (and, if held with a securities intermediary or commodities intermediary, such intermediary) of uncertificated securities or other types of Investment Property not represented by certificates to mark their books and records with the numbers and face amounts of all such uncertificated securities or other types of Investment Property not represented by certificates and all rollovers and replacements therefor to reflect the Lien of the Agent granted pursuant to this Agreement. If any Grantor hereafter acquires any Investment Property held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securities intermediary or commodities intermediary, as of the date of such acquisition, such Grantor will cause such intermediary to enter into a Control Agreement with the Agent in form and substance reasonably satisfactory to the Agent (acting at the direction of the Requisite Purchasers) that provides the Agent with Control of such Collateral. In addition, each Grantor that is an issuer of Pledged Collateral constituting an “uncertificated security” as defined in Section 8-102(a)(18) of the UCC, or of any membership interest, trust interest or other beneficial interest included in the Pledged Equity that is not evidenced by a certificate, shall, during the continuance of an Event of Default and upon written notice from the Agent, comply with all instructions and entitlement orders originated by the Agent concerning such Pledged Collateral without further consent by the beneficial owner thereof or any other Grantor, and shall not comply with any instruction or entitlement order originated by any other Person.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5.06</w:t>
      </w:r>
      <w:r>
        <w:rPr>
          <w:rFonts w:ascii="Times New Roman" w:hAnsi="Times New Roman"/>
          <w:sz w:val="20"/>
        </w:rPr>
        <w:t xml:space="preserve"> </w:t>
      </w:r>
      <w:r>
        <w:rPr>
          <w:rFonts w:ascii="Times New Roman" w:hAnsi="Times New Roman"/>
          <w:b/>
          <w:sz w:val="20"/>
          <w:u w:val="single"/>
        </w:rPr>
        <w:t>Securities and Other Investment Property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of Pledged Instruments, Securities and Other Investment Property</w:t>
      </w:r>
      <w:r>
        <w:rPr>
          <w:rFonts w:ascii="Times New Roman" w:hAnsi="Times New Roman"/>
          <w:sz w:val="20"/>
        </w:rPr>
        <w:t xml:space="preserve">. Each Grantor will permit any registrable Collateral owned by such Grantor to be registered in the name of the Agent or its nominee at any time at the option of the Agent following the occurrence and during the continuance of an Event of Default and without any further consent of such Grantor.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of Rights in Pledged Instruments, Securities and Other Investment Property</w:t>
      </w:r>
      <w:r>
        <w:rPr>
          <w:rFonts w:ascii="Times New Roman" w:hAnsi="Times New Roman"/>
          <w:sz w:val="20"/>
        </w:rPr>
        <w:t xml:space="preserve">. Each Grantor will permit the Agent or its nominee at any time during the continuance of an Event of Default, without notice to any Person or consent of such Grantor, to exercise or refrain from exercising any and all voting and other consensual rights pertaining to the Collateral owned by such Grantor or any part thereof, and to receive all dividends, distributions and interest in respect of such Collateral.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r>
        <w:rPr>
          <w:rFonts w:ascii="Times New Roman" w:hAnsi="Times New Roman"/>
          <w:b/>
          <w:sz w:val="20"/>
          <w:u w:val="single"/>
        </w:rPr>
        <w:t>Deposit Accounts and Securities Accounts</w:t>
      </w:r>
      <w:r>
        <w:rPr>
          <w:rFonts w:ascii="Times New Roman" w:hAnsi="Times New Roman"/>
          <w:sz w:val="20"/>
        </w:rPr>
        <w:t xml:space="preserve">. Each Grantor (other than TBIL and TBUS) will cause each bank or other financial institution in which it maintains any Deposit Account, Securities Account, commodity account, securities entitlement or commodity contract to enter into a Control Agreement with the Agent in order to give the Agent Control of such accounts, in each case to the extent provided under the terms and provisions of the Note Purchase Agreement (including, without limitation, in respect of the Collection Account pursuant to Section 3.03 of the Note Purchase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r>
        <w:rPr>
          <w:rFonts w:ascii="Times New Roman" w:hAnsi="Times New Roman"/>
          <w:b/>
          <w:sz w:val="20"/>
          <w:u w:val="single"/>
        </w:rPr>
        <w:t>Letter-of-Credit Rights</w:t>
      </w:r>
      <w:r>
        <w:rPr>
          <w:rFonts w:ascii="Times New Roman" w:hAnsi="Times New Roman"/>
          <w:sz w:val="20"/>
        </w:rPr>
        <w:t xml:space="preserve">. Each Grantor will, upon the Agent’s written request, use commercially reasonable efforts to cause each issuer of a letter of credit constituting Collateral to consent to the assignment of proceeds of the letter of credit in order to give the Agent Control of the Letter-of-Credit Rights to such letter of credit.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r>
        <w:rPr>
          <w:rFonts w:ascii="Times New Roman" w:hAnsi="Times New Roman"/>
          <w:b/>
          <w:sz w:val="20"/>
          <w:u w:val="single"/>
        </w:rPr>
        <w:t>Federal, State or Municipal Claims</w:t>
      </w:r>
      <w:r>
        <w:rPr>
          <w:rFonts w:ascii="Times New Roman" w:hAnsi="Times New Roman"/>
          <w:sz w:val="20"/>
        </w:rPr>
        <w:t xml:space="preserve">. Each Grantor will notify the Agent of any Collateral owned by such Grantor which constitutes a claim against the United States government or any state or local government or any instrumentality or agency thereof, the assignment of which claim is restricted by federal, state or municipal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If after the date hereof, any Grantor acquires any interest in Patents, Trademarks or Copyrights or other Intellectual Property Collateral, in each case, constituting Collateral, such Grantor shall take, or cause to be taken, at its expense, all steps, including in the United States Patent and Trademark Office, the United States Copyright Office (if applicable) and any other applicable Governmental Authority, to (i) maintain the validity and enforceability of any such registered Intellectual Property Collateral (or applications therefor) and maintain such Intellectual Property Collateral in full force and effect, and (ii) pursue the registration and maintenance of each Patent, Trademark, Copyright or other Intellectual Property Collateral (if applicable) registration or application, now or hereafter included in such Intellectual Property Collateral of such Grantor, including the payment of required fees and taxes, the filing of responses to office actions issued by the United States Patent and Trademark Office, the United States Copyright Office (if applicable) or any other applicable Governmental Authority, the filing of applications for renewal or extension, the filing of affidavits under Sections 8 and 15 of the U.S. Trademark Act or any foreign counterpart thereof, the filing of renewal applications or extensions, the payment of maintenance fees and the participation in interference, reexamination, opposition, cancellation, infringement and misappropriation proceedings, in each case, (x) solely to the extent that such Grantor is permitted to take such actions in accordance with the Collaboration Agreement and (y) except to the extent expressly permitted or not otherwise prohibited under the Note Purchase Agreement. </w:t>
      </w:r>
    </w:p>
    <w:p>
      <w:pPr>
        <w:pStyle w:val="TextBody"/>
        <w:bidi w:val="0"/>
        <w:spacing w:before="120" w:after="0"/>
        <w:jc w:val="both"/>
        <w:rPr>
          <w:rFonts w:ascii="Times New Roman" w:hAnsi="Times New Roman"/>
          <w:sz w:val="20"/>
        </w:rPr>
      </w:pPr>
      <w:r>
        <w:rPr>
          <w:rFonts w:ascii="Times New Roman" w:hAnsi="Times New Roman"/>
          <w:sz w:val="20"/>
        </w:rPr>
        <w:t>(b) Each Grantor agrees that, should it obtain an ownership in any Intellectual Property Collateral after the date hereof (“</w:t>
      </w:r>
      <w:r>
        <w:rPr>
          <w:rFonts w:ascii="Times New Roman" w:hAnsi="Times New Roman"/>
          <w:sz w:val="20"/>
          <w:u w:val="single"/>
        </w:rPr>
        <w:t>After-Arising Intellectual Property</w:t>
      </w:r>
      <w:r>
        <w:rPr>
          <w:rFonts w:ascii="Times New Roman" w:hAnsi="Times New Roman"/>
          <w:sz w:val="20"/>
        </w:rPr>
        <w:t xml:space="preserve">”), (i) the provisions of this Agreement shall automatically apply thereto, and (ii) any such After-Arising Intellectual Property and, in the case of Trademarks, the goodwill symbolized thereby, shall automatically become part of the Intellectual Property Collateral subject to the terms and conditions of this Agreement with respect thereto. </w:t>
      </w:r>
    </w:p>
    <w:p>
      <w:pPr>
        <w:pStyle w:val="TextBody"/>
        <w:bidi w:val="0"/>
        <w:spacing w:before="120" w:after="0"/>
        <w:jc w:val="both"/>
        <w:rPr>
          <w:rFonts w:ascii="Times New Roman" w:hAnsi="Times New Roman"/>
          <w:sz w:val="20"/>
        </w:rPr>
      </w:pPr>
      <w:r>
        <w:rPr>
          <w:rFonts w:ascii="Times New Roman" w:hAnsi="Times New Roman"/>
          <w:sz w:val="20"/>
        </w:rPr>
        <w:t xml:space="preserve">(c) Within ten (10) Business Days after each calendar quarter, with respect to any newly issued or registered Copyrights, Trademarks or Patents (or applications therefor) of such Grantor, such Grantor shall sign and deliver to the Agent an appropriate Confirmatory Grant of Security Interest in Patents, Confirmatory Grant of Security Interest in Trademarks, Confirmatory Grant of Security Interest in Copyrights or other Intellectual Property security agreement with respect to all such registered or applied for Intellectual Property owned by it or exclusively licensed in the case of registered or applied for Copyrights as of such date of delivery, to the extent that such Intellectual Property is not covered by this Agreement or any other previous Confirmatory Grant of Security Interest in Patents, Confirmatory Grant of Security Interest in Trademarks, Confirmatory Grant of Security Interest in Copyrights or other Intellectual Property security agreement so signed and delivered by such Grantor to the Agent. In each case, such Grantor will promptly cooperate as reasonably necessary to enable the Agent or its designee to make any necessary or reasonably desirable recordations with the United States Patent and Trademark Office, the United States Copyright Office and any other applicable Governmental Authority,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Each Grantor agrees to promptly, upon request by the Agent, execute and deliver to the Agent any supplement to this Agreement or any other document reasonably requested by the Agent to evidence such security interest in a form appropriate for recording with any applicable Governmental Authority. Each Grantor also hereby authorizes the Agent to (i) to include any future Intellectual Property Collateral of which the Agent receives notification from such Grantor and (ii) by recording, in addition to and not in substitution for this Agreement any Confirmatory Grant of Security Interest in Patents, any Confirmatory Grant of Security Interest in Trademarks, any Confirmatory Grant of Security Interest in Copyrights or any other Intellectual Property security agreement with respect to all Intellectual Property Collateral executed by such Grantor, and to provide notice to such Grantor of such recordation. </w:t>
      </w:r>
    </w:p>
    <w:p>
      <w:pPr>
        <w:pStyle w:val="TextBody"/>
        <w:bidi w:val="0"/>
        <w:spacing w:before="120" w:after="0"/>
        <w:jc w:val="both"/>
        <w:rPr>
          <w:rFonts w:ascii="Times New Roman" w:hAnsi="Times New Roman"/>
          <w:sz w:val="20"/>
        </w:rPr>
      </w:pPr>
      <w:r>
        <w:rPr>
          <w:rFonts w:ascii="Times New Roman" w:hAnsi="Times New Roman"/>
          <w:sz w:val="20"/>
        </w:rPr>
        <w:t xml:space="preserve">(e) Each Grantor agrees to use commercially reasonable efforts to diligently prosecute all applications for Patents, Copyrights and Trademarks owned by such Grantor, and file and prosecute any and all such continuations, divisionals, continuations-in-part, applications for reissue, applications for certificate of correction and like matters as shall be reasonable and appropriate in accordance with prudent business practice, and promptly and timely pay any and all maintenance, application, registration and other fees, Taxes and expenses due or incurred in connection with any such Intellectual Property Collateral, in each case, except to the extent that prosecution and maintenance responsibility for the applicable Intellectual Property Collateral is allocated to the Collaboration Partner or another Person pursuant to the Collaboration Agreement or another Covered Agreement. </w:t>
      </w:r>
    </w:p>
    <w:p>
      <w:pPr>
        <w:pStyle w:val="TextBody"/>
        <w:bidi w:val="0"/>
        <w:spacing w:before="120" w:after="0"/>
        <w:jc w:val="both"/>
        <w:rPr>
          <w:rFonts w:ascii="Times New Roman" w:hAnsi="Times New Roman"/>
          <w:sz w:val="20"/>
        </w:rPr>
      </w:pPr>
      <w:r>
        <w:rPr>
          <w:rFonts w:ascii="Times New Roman" w:hAnsi="Times New Roman"/>
          <w:sz w:val="20"/>
        </w:rPr>
        <w:t xml:space="preserve">(f) Each Grantor agrees not to allow or suffer any Intellectual Property Collateral owned by such Grantor or Licenses to which such Grantor is a party to become abandoned, nor any registration thereof (if applicable) to be abandoned, terminated, lapsed, forfeited, expired or dedicated to the public, except as shall be reasonable and appropriate in accordance with prudent business practice and to the extent (i) expressly permitted by the Note Purchase Agreement and (ii) to the extent a Grantor controls or has the right to direct the prosecution of such Intellectual Property Collateral; provided that no Grantor shall permit any Intellectual Property Collateral that is material to the Collaboration Agreement or the Products to become abandoned, lapsed, forfeited or dedicated to the public.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b/>
          <w:sz w:val="20"/>
          <w:u w:val="single"/>
        </w:rPr>
        <w:t>Commercial Tort Claims</w:t>
      </w:r>
      <w:r>
        <w:rPr>
          <w:rFonts w:ascii="Times New Roman" w:hAnsi="Times New Roman"/>
          <w:sz w:val="20"/>
        </w:rPr>
        <w:t xml:space="preserve">. If, after the date hereof, any Grantor identifies the existence of a Commercial Tort Claim belonging to such Grantor in excess of $50,000 that has arisen in the course of such Grantor’s business in addition to the Commercial Tort Claims described on </w:t>
      </w:r>
      <w:r>
        <w:rPr>
          <w:rFonts w:ascii="Times New Roman" w:hAnsi="Times New Roman"/>
          <w:sz w:val="20"/>
          <w:u w:val="single"/>
        </w:rPr>
        <w:t>Schedule 5.11</w:t>
      </w:r>
      <w:r>
        <w:rPr>
          <w:rFonts w:ascii="Times New Roman" w:hAnsi="Times New Roman"/>
          <w:sz w:val="20"/>
        </w:rPr>
        <w:t xml:space="preserve"> attached hereto (which are all of the Grantors’ Commercial Tort Claims as of the Closing Date), then such Grantor shall give the Agent prompt notice thereof. Each Grantor agrees to promptly, upon request by the Agent, execute and deliver to the Agent, at the sole cost and expense of the Grantors, any supplement to this Agreement or any other document reasonably requested by the Agent to evidence the grant of a security interest therein in favor of the Agent. </w:t>
      </w:r>
      <w:r>
        <w:rPr>
          <w:rFonts w:ascii="Times New Roman" w:hAnsi="Times New Roman"/>
          <w:sz w:val="20"/>
          <w:u w:val="single"/>
        </w:rPr>
        <w:t>Section 3.01</w:t>
      </w:r>
      <w:r>
        <w:rPr>
          <w:rFonts w:ascii="Times New Roman" w:hAnsi="Times New Roman"/>
          <w:sz w:val="20"/>
        </w:rPr>
        <w:t xml:space="preserve"> shall apply to each such Commercial Tort Claim, and any such supplement shall, after receipt thereof by the Agent, become part of </w:t>
      </w:r>
      <w:r>
        <w:rPr>
          <w:rFonts w:ascii="Times New Roman" w:hAnsi="Times New Roman"/>
          <w:sz w:val="20"/>
          <w:u w:val="single"/>
        </w:rPr>
        <w:t>Schedule 5.11</w:t>
      </w:r>
      <w:r>
        <w:rPr>
          <w:rFonts w:ascii="Times New Roman" w:hAnsi="Times New Roman"/>
          <w:sz w:val="20"/>
        </w:rPr>
        <w:t xml:space="preserve"> for all purposes hereunder other than in respect of representations and warranties made prior to the date of such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b/>
          <w:sz w:val="20"/>
          <w:u w:val="single"/>
        </w:rPr>
        <w:t>Updating Information Set Forth on the Schedules Attached Hereto</w:t>
      </w:r>
      <w:r>
        <w:rPr>
          <w:rFonts w:ascii="Times New Roman" w:hAnsi="Times New Roman"/>
          <w:sz w:val="20"/>
        </w:rPr>
        <w:t xml:space="preserve">. Each Grantor will provide to the Agent, concurrently with the delivery of the Waterfall Report required to be delivered pursuant to Section 7.01(e) of the Note Purchase Agreement, an updated version of the schedules attached hereto (provided, that if there have been no changes to the information required to be disclosed in any schedule since the previous updating thereof required hereby, each Grantor shall indicate that there has been “no change” to the applicable schedule).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b/>
          <w:sz w:val="20"/>
          <w:u w:val="single"/>
        </w:rPr>
        <w:t>Permitted Liens</w:t>
      </w:r>
      <w:r>
        <w:rPr>
          <w:rFonts w:ascii="Times New Roman" w:hAnsi="Times New Roman"/>
          <w:sz w:val="20"/>
        </w:rPr>
        <w:t xml:space="preserve">. Notwithstanding anything contained herein, nothing herein shall be deemed to constitute an agreement to subordinate any of the Liens of the Agent under the Note Documents to any Permitted Liens.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b/>
          <w:sz w:val="20"/>
          <w:u w:val="single"/>
        </w:rPr>
        <w:t>Pledged Equity; Article</w:t>
      </w:r>
      <w:r>
        <w:rPr>
          <w:rFonts w:ascii="Times New Roman" w:hAnsi="Times New Roman"/>
          <w:sz w:val="20"/>
          <w:u w:val="single"/>
        </w:rPr>
        <w:t> </w:t>
      </w:r>
      <w:r>
        <w:rPr>
          <w:rFonts w:ascii="Times New Roman" w:hAnsi="Times New Roman"/>
          <w:b/>
          <w:sz w:val="20"/>
          <w:u w:val="single"/>
        </w:rPr>
        <w:t>8 Matters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Grantor acknowledges and agrees that, to the extent any Equity Interest in any limited liability company, statutory trust or limited partnership, other than the beneficial interest in the DST Issuer to the extent the governing instrument does not provide for certificated interests, that is owned by such Grantor and included in the Pledged Equity is a “security” within the meaning of Article 8 of the UCC, such interest shall be (and shall continue to be) represented by a certificate, and such certificate shall be delivered to the Agent, together with an undated stock power, transfer power or other instrument of transfer duly executed in blank, in accordance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With respect to any Equity Interest in any limited liability company, statutory trust or limited partnership that is owned by such Grantor and included in the Pledged Equity that is not a “security” within the meaning of Article 8 of the UCC, no Grantor shall at any time elect to treat any such interest as a “security” within the meaning of Article 8 of the UCC, nor shall such interest be represented by a certificate, unless (i) such election is made in compliance with the Note Purchase Agreement and (ii) such interest is thereafter represented by a certificate that is promptly delivered to the Agent, together with an undated stock power, transfer power or other instrument of transfer duly executed in blank, in accordance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(c) No Grantor shall, and no Grantor shall permit any issuer of Pledged Equity that is a Note Party to: </w:t>
      </w:r>
    </w:p>
    <w:p>
      <w:pPr>
        <w:pStyle w:val="TextBody"/>
        <w:bidi w:val="0"/>
        <w:spacing w:before="120" w:after="0"/>
        <w:jc w:val="both"/>
        <w:rPr>
          <w:rFonts w:ascii="Times New Roman" w:hAnsi="Times New Roman"/>
          <w:sz w:val="20"/>
        </w:rPr>
      </w:pPr>
      <w:r>
        <w:rPr>
          <w:rFonts w:ascii="Times New Roman" w:hAnsi="Times New Roman"/>
          <w:sz w:val="20"/>
        </w:rPr>
        <w:t xml:space="preserve">(i) take any action to cause any Pledged Equity constituting a certificated security to become uncertificated, or any membership interest, trust interest or other beneficial interest included in the Pledged Equity that is a “security” governed by Article 8 of the UCC to cease to be such a “security,” in each case, without the prior written consent of the Agent (acting at the direction of the Requisite Purchasers); </w:t>
      </w:r>
    </w:p>
    <w:p>
      <w:pPr>
        <w:pStyle w:val="TextBody"/>
        <w:bidi w:val="0"/>
        <w:spacing w:before="120" w:after="0"/>
        <w:jc w:val="both"/>
        <w:rPr>
          <w:rFonts w:ascii="Times New Roman" w:hAnsi="Times New Roman"/>
          <w:sz w:val="20"/>
        </w:rPr>
      </w:pPr>
      <w:r>
        <w:rPr>
          <w:rFonts w:ascii="Times New Roman" w:hAnsi="Times New Roman"/>
          <w:sz w:val="20"/>
        </w:rPr>
        <w:t xml:space="preserve">(ii) amend or modify the Organizational Documents of any issuer of Pledged Equity that is a Note Party in a manner adverse to the Secured Parties or in violation of the Note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issue any additional Equity Interests, trust interests or other beneficial interests of any issuer of Pledged Equity that is a Note Party, except, in each case, as expressly permitted under the Note Purchase Agreement; or </w:t>
      </w:r>
    </w:p>
    <w:p>
      <w:pPr>
        <w:pStyle w:val="TextBody"/>
        <w:bidi w:val="0"/>
        <w:spacing w:before="120" w:after="0"/>
        <w:jc w:val="both"/>
        <w:rPr>
          <w:rFonts w:ascii="Times New Roman" w:hAnsi="Times New Roman"/>
          <w:sz w:val="20"/>
        </w:rPr>
      </w:pPr>
      <w:r>
        <w:rPr>
          <w:rFonts w:ascii="Times New Roman" w:hAnsi="Times New Roman"/>
          <w:sz w:val="20"/>
        </w:rPr>
        <w:t xml:space="preserve">(iv) without limiting the requirements of </w:t>
      </w:r>
      <w:r>
        <w:rPr>
          <w:rFonts w:ascii="Times New Roman" w:hAnsi="Times New Roman"/>
          <w:sz w:val="20"/>
          <w:u w:val="single"/>
        </w:rPr>
        <w:t>Section 5.04</w:t>
      </w:r>
      <w:r>
        <w:rPr>
          <w:rFonts w:ascii="Times New Roman" w:hAnsi="Times New Roman"/>
          <w:sz w:val="20"/>
        </w:rPr>
        <w:t xml:space="preserve"> above, deliver (within the meaning of Section 8-301 of the UCC) any Pledged Equity that constitutes an uncertificated security to any Person other than the Agent, or consent to any agreement whereby the issuer of such Pledged Equity agrees to comply with instructions that are originated by any Person other than the Agent. </w:t>
      </w:r>
    </w:p>
    <w:p>
      <w:pPr>
        <w:pStyle w:val="TextBody"/>
        <w:bidi w:val="0"/>
        <w:spacing w:before="240" w:after="0"/>
        <w:jc w:val="both"/>
        <w:rPr>
          <w:rFonts w:ascii="Times New Roman" w:hAnsi="Times New Roman"/>
          <w:sz w:val="20"/>
        </w:rPr>
      </w:pPr>
      <w:r>
        <w:rPr>
          <w:rFonts w:ascii="Times New Roman" w:hAnsi="Times New Roman"/>
          <w:sz w:val="20"/>
        </w:rPr>
        <w:t xml:space="preserve">Each Grantor shall promptly deliver to the Agent any certificate or instrument evidencing any additional Equity Interests, trust interests or other beneficial interests issued pursuant to </w:t>
      </w:r>
      <w:r>
        <w:rPr>
          <w:rFonts w:ascii="Times New Roman" w:hAnsi="Times New Roman"/>
          <w:sz w:val="20"/>
          <w:u w:val="single"/>
        </w:rPr>
        <w:t>clause (c)(iii)</w:t>
      </w:r>
      <w:r>
        <w:rPr>
          <w:rFonts w:ascii="Times New Roman" w:hAnsi="Times New Roman"/>
          <w:sz w:val="20"/>
        </w:rPr>
        <w:t xml:space="preserve"> above, together with instruments of transfer duly executed in blank, in accordance with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5.15</w:t>
      </w:r>
      <w:r>
        <w:rPr>
          <w:rFonts w:ascii="Times New Roman" w:hAnsi="Times New Roman"/>
          <w:sz w:val="20"/>
        </w:rPr>
        <w:t xml:space="preserve"> </w:t>
      </w:r>
      <w:r>
        <w:rPr>
          <w:rFonts w:ascii="Times New Roman" w:hAnsi="Times New Roman"/>
          <w:b/>
          <w:sz w:val="20"/>
          <w:u w:val="single"/>
        </w:rPr>
        <w:t>Irish Security; Registration of Charges</w:t>
      </w:r>
      <w:r>
        <w:rPr>
          <w:rFonts w:ascii="Times New Roman" w:hAnsi="Times New Roman"/>
          <w:sz w:val="20"/>
        </w:rPr>
        <w:t xml:space="preserve">. TBIL shall, at its own expense, (a) procure that particulars of each charge created or evidenced by this Agreement or any other Note Document by TBIL are delivered to the Companies Registration Office of Ireland in the prescribed form within twenty-one (21) days after the date of creation of such charge, (b) promptly following such delivery, deliver to the Agent the certificate of registration of charge issued by the Companies Registration Office of Ireland evidencing that such registration has been effected, and (c) promptly upon the reasonable request of the Agent (acting at the direction of the Requisite Purchasers), execute and deliver such security documents governed by the laws of Ireland, and take such other action, as the Agent may reasonably request in order to create, perfect and maintain a first-priority security interest under the laws of Ireland in any Collateral owned by TBIL that is situated in, or the transfer of which is governed by the laws of, Ireland. TBIL hereby irrevocably authorizes and appoints the Agent (or its solicitors on its behalf) to file (or procure the filing of) a Form C1 and any other documents required to register the charges created by TBIL under this Agreement or any other Note Document at the Companies Registration Office of Ireland pursuant to Section 409(3) of the Irish Companies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REMEDIES UPON EVENT OF DEFAULT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u w:val="single"/>
        </w:rPr>
        <w:t>Acceleration and Remedies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Upon the occurrence and during the continuation of an Event of Default, the Agent may exercise any or all of the following rights and remedies, in each case subject to the provisions of the Note Purchase Agreement: </w:t>
      </w:r>
    </w:p>
    <w:p>
      <w:pPr>
        <w:pStyle w:val="TextBody"/>
        <w:bidi w:val="0"/>
        <w:spacing w:before="120" w:after="0"/>
        <w:jc w:val="both"/>
        <w:rPr>
          <w:rFonts w:ascii="Times New Roman" w:hAnsi="Times New Roman"/>
          <w:sz w:val="20"/>
        </w:rPr>
      </w:pPr>
      <w:r>
        <w:rPr>
          <w:rFonts w:ascii="Times New Roman" w:hAnsi="Times New Roman"/>
          <w:sz w:val="20"/>
        </w:rPr>
        <w:t xml:space="preserve">(i) those rights and remedies provided in this Agreement, the Note Purchase Agreement, or any other Note Document; provided, that this clause (i) shall not be construed to limit any rights or remedies available to the Agent and the other Secured Parties prior to an Event of Default; </w:t>
      </w:r>
    </w:p>
    <w:p>
      <w:pPr>
        <w:pStyle w:val="TextBody"/>
        <w:bidi w:val="0"/>
        <w:spacing w:before="120" w:after="0"/>
        <w:jc w:val="both"/>
        <w:rPr>
          <w:rFonts w:ascii="Times New Roman" w:hAnsi="Times New Roman"/>
          <w:sz w:val="20"/>
        </w:rPr>
      </w:pPr>
      <w:r>
        <w:rPr>
          <w:rFonts w:ascii="Times New Roman" w:hAnsi="Times New Roman"/>
          <w:sz w:val="20"/>
        </w:rPr>
        <w:t xml:space="preserve">(ii) those rights and remedies available to a secured party under the UCC (whether or not the UCC applies to the affected Collateral) or under any other Law (including, without limitation, any law governing the exercise of a bank’s right of setoff or bankers’ lien) when a debtor is in default under a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give any applicable notice or other instruction under any Control Agreement (including in respect of the Collection Account), withdraw (or cause to be withdrawn) any and all funds from the Collection Account or any other account constituting Collateral and take any action otherwise provided under such Control Agreements with respect to such Collateral; </w:t>
      </w:r>
    </w:p>
    <w:p>
      <w:pPr>
        <w:pStyle w:val="TextBody"/>
        <w:bidi w:val="0"/>
        <w:spacing w:before="120" w:after="0"/>
        <w:jc w:val="both"/>
        <w:rPr>
          <w:rFonts w:ascii="Times New Roman" w:hAnsi="Times New Roman"/>
          <w:sz w:val="20"/>
        </w:rPr>
      </w:pPr>
      <w:r>
        <w:rPr>
          <w:rFonts w:ascii="Times New Roman" w:hAnsi="Times New Roman"/>
          <w:sz w:val="20"/>
        </w:rPr>
        <w:t xml:space="preserve">(iv) without notice except as specifically provided in </w:t>
      </w:r>
      <w:r>
        <w:rPr>
          <w:rFonts w:ascii="Times New Roman" w:hAnsi="Times New Roman"/>
          <w:sz w:val="20"/>
          <w:u w:val="single"/>
        </w:rPr>
        <w:t>Section 8.01</w:t>
      </w:r>
      <w:r>
        <w:rPr>
          <w:rFonts w:ascii="Times New Roman" w:hAnsi="Times New Roman"/>
          <w:sz w:val="20"/>
        </w:rPr>
        <w:t xml:space="preserve"> hereof or elsewhere herein, and to the extent permitted by Law, sell, lease, license,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Agent may deem commercially reasonable; </w:t>
      </w:r>
    </w:p>
    <w:p>
      <w:pPr>
        <w:pStyle w:val="TextBody"/>
        <w:bidi w:val="0"/>
        <w:spacing w:before="120" w:after="0"/>
        <w:jc w:val="both"/>
        <w:rPr>
          <w:rFonts w:ascii="Times New Roman" w:hAnsi="Times New Roman"/>
          <w:sz w:val="20"/>
        </w:rPr>
      </w:pPr>
      <w:r>
        <w:rPr>
          <w:rFonts w:ascii="Times New Roman" w:hAnsi="Times New Roman"/>
          <w:sz w:val="20"/>
        </w:rPr>
        <w:t xml:space="preserve">(v) concurrently with written notice to the applicable Grantor, transfer and register in its name or in the name of its nominee the whole or any part of the Pledged Collateral, to exchange certificates or instruments representing or evidencing Pledged Collateral for certificates or instruments of smaller or larger denominations, to exercise the voting and all other rights as a holder with respect thereto, to collect and receive all cash dividends, distributions, interest, principal and other distributions made thereon and to otherwise act with respect to the Pledged Collateral as though the Agent were the outright owner thereof; and </w:t>
      </w:r>
    </w:p>
    <w:p>
      <w:pPr>
        <w:pStyle w:val="TextBody"/>
        <w:bidi w:val="0"/>
        <w:spacing w:before="120" w:after="0"/>
        <w:jc w:val="both"/>
        <w:rPr>
          <w:rFonts w:ascii="Times New Roman" w:hAnsi="Times New Roman"/>
          <w:sz w:val="20"/>
        </w:rPr>
      </w:pPr>
      <w:r>
        <w:rPr>
          <w:rFonts w:ascii="Times New Roman" w:hAnsi="Times New Roman"/>
          <w:sz w:val="20"/>
        </w:rPr>
        <w:t xml:space="preserve">(vi) transfer, sell, convey, assign, lease, sublease, license, sublicense, use or otherwise Exploit or dispose of any Grantor’s rights, title and interests in any Intellectual Property Collateral on such conditions and in such manner as the Agent may determine. </w:t>
      </w:r>
    </w:p>
    <w:p>
      <w:pPr>
        <w:pStyle w:val="TextBody"/>
        <w:bidi w:val="0"/>
        <w:spacing w:before="120" w:after="0"/>
        <w:jc w:val="both"/>
        <w:rPr>
          <w:rFonts w:ascii="Times New Roman" w:hAnsi="Times New Roman"/>
          <w:sz w:val="20"/>
        </w:rPr>
      </w:pPr>
      <w:r>
        <w:rPr>
          <w:rFonts w:ascii="Times New Roman" w:hAnsi="Times New Roman"/>
          <w:sz w:val="20"/>
        </w:rPr>
        <w:t xml:space="preserve">(b) The Agent, on behalf of the Secured Parties, may comply with any Law requirements in connection with a disposition of the Collateral, and such compliance will not be considered to adversely affect the commercial reasonableness of any sale of the Collateral. </w:t>
      </w:r>
    </w:p>
    <w:p>
      <w:pPr>
        <w:pStyle w:val="TextBody"/>
        <w:bidi w:val="0"/>
        <w:spacing w:before="120" w:after="0"/>
        <w:jc w:val="both"/>
        <w:rPr>
          <w:rFonts w:ascii="Times New Roman" w:hAnsi="Times New Roman"/>
          <w:sz w:val="20"/>
        </w:rPr>
      </w:pPr>
      <w:r>
        <w:rPr>
          <w:rFonts w:ascii="Times New Roman" w:hAnsi="Times New Roman"/>
          <w:sz w:val="20"/>
        </w:rPr>
        <w:t xml:space="preserve">(c) The Agent shall have the right upon any such public sale or sales and, to the extent permitted by Law, upon any such private sale or sales, to purchase for the benefit of the Secured Parties, the whole or any part of the Collateral so sold, free of any right of equity redemption, which equity redemption each Grantor hereby expressly releases. </w:t>
      </w:r>
    </w:p>
    <w:p>
      <w:pPr>
        <w:pStyle w:val="TextBody"/>
        <w:bidi w:val="0"/>
        <w:spacing w:before="120" w:after="0"/>
        <w:jc w:val="both"/>
        <w:rPr>
          <w:rFonts w:ascii="Times New Roman" w:hAnsi="Times New Roman"/>
          <w:sz w:val="20"/>
        </w:rPr>
      </w:pPr>
      <w:r>
        <w:rPr>
          <w:rFonts w:ascii="Times New Roman" w:hAnsi="Times New Roman"/>
          <w:sz w:val="20"/>
        </w:rPr>
        <w:t xml:space="preserve">(d) Until the Agent is able to effect a sale, lease, or other disposition of Collateral, the Agent shall have the right to hold or use Collateral, or any part thereof, to the extent that it deems appropriate for the purpose of preserving Collateral or its value or for any other purpose deemed appropriate by the Agent. The Agent may, if it so elects, seek the appointment of a receiver or keeper to take possession of Collateral and to enforce any of the Agent’s remedies (for the benefit of the Agent and the other Secured Parties), with respect to such appointment without prior notice or hearing as to such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Notwithstanding the foregoing, neither the Agent nor any other Secured Party shall be required to (i) make any demand upon, or pursue or exhaust any of their rights or remedies against, any Grantor, any other obligor, guarantor, pledgor or any other Person with respect to the payment of the Obligations or to pursue or exhaust any of their rights or remedies with respect to any Collateral therefor, any other collateral therefor or any direct or indirect guarantee thereof, (ii) marshal the Collateral, any such other collateral or any guarantee of the Obligations or to resort to the Collateral, any such other collateral or any such guarantee in any particular order or (iii) effect a public sale of any Collateral. </w:t>
      </w:r>
    </w:p>
    <w:p>
      <w:pPr>
        <w:pStyle w:val="TextBody"/>
        <w:bidi w:val="0"/>
        <w:spacing w:before="120" w:after="0"/>
        <w:jc w:val="both"/>
        <w:rPr>
          <w:rFonts w:ascii="Times New Roman" w:hAnsi="Times New Roman"/>
          <w:sz w:val="20"/>
        </w:rPr>
      </w:pPr>
      <w:r>
        <w:rPr>
          <w:rFonts w:ascii="Times New Roman" w:hAnsi="Times New Roman"/>
          <w:sz w:val="20"/>
        </w:rPr>
        <w:t xml:space="preserve">(f) If, at any time when the Agent shall determine to exercise any right it may then have pursuant to </w:t>
      </w:r>
      <w:r>
        <w:rPr>
          <w:rFonts w:ascii="Times New Roman" w:hAnsi="Times New Roman"/>
          <w:sz w:val="20"/>
          <w:u w:val="single"/>
        </w:rPr>
        <w:t>Section 6.01(a)</w:t>
      </w:r>
      <w:r>
        <w:rPr>
          <w:rFonts w:ascii="Times New Roman" w:hAnsi="Times New Roman"/>
          <w:sz w:val="20"/>
        </w:rPr>
        <w:t xml:space="preserve"> to sell the whole or any part of the Pledged Collateral hereunder and the Pledged Collateral or the part thereof to be sold shall not, for any reason whatsoever, be effectively registered under the Securities Act, the Agent is hereby expressly authorized to sell such Pledged Collateral or such part thereof by private sale in such manner and under such circumstances as the Agent may deem necessary or advisable in order that such sale may legally be effected without such registration; provided, that any such private sale shall be conducted in a commercially reasonable manner and in compliance with applicable Law. Without limiting the generality of the foregoing, in any such event the Agent, in compliance with applicable securities laws, may (i) in accordance with applicable securities laws, proceed to make such private sale notwithstanding that a registration statement for the purpose of registering such Pledged Collateral or part thereof could be or shall have been filed under the Securities Act (or similar statute), (ii) approach and negotiate with a restricted number of potential purchasers to effect such sale and (iii) restrict such sale to purchasers as to their number, nature of business and investment intention, including, without limitation, to purchasers each of whom will represent and agree to the satisfaction of the Agent that such purchaser is purchasing for its own account, for investment, and not with a view to the distribution or sale of such Pledged Collateral, or any part thereof; it being understood that the Agent may cause or require each Grantor, and each Grantor hereby agrees upon the written request of the Agent, to cause (x) a legend or legends to be placed on the certificates to be delivered to such purchasers, if any, to the effect that the Pledged Collateral represented thereby has not been registered under the Securities Act and setting forth or referring to restrictions on the transferability of such securities and (y) the issuance of stop transfer instructions to such issuer’s transfer agent, if any, with respect to the Pledged Collateral, or, if such issuer transfers its own securities, a notation in the appropriate records of such issuer. Each Grantor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No Grantor shall have any obligation to register any Pledged Collateral that constitutes a Security under the Securities Act or any applicable state securities laws, or to cause any issuer of such Pledged Collateral to do so. Each Grantor hereby waives, to the fullest extent permitted by applicable Laws, any claims against the Agent and the Secured Parties arising by reason of the fact that the price at which any of the Collateral may have been sold at such a private sale was less than the price which might have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at a public sale or was less than the aggregate amount of the Obligations, even if the Agent or the Secured Parties accept the first offer received and do not offer any Collateral to more than one offeree. The Agent shall be under no obligation to delay a sale of any of the Pledged Collateral for the period of time necessary to permit any Grantor or the issuer of the Pledged Collateral to register such securities for public sale under the Securities Act, or under applicable state securities laws, even if such Grantor and the issuer of the Pledged Collateral would agree to do so. Each Grantor understands that a sale under the circumstances described above may yield a lower price for the Pledged Collateral than if the Pledged Collateral were registered and qualified pursuant to federal and state securities laws and sold on the open market. Each Grantor, therefore, agrees that: (i) if the Agent shall, pursuant to the terms of this Agreement, sell or cause the Pledged Collateral or any portion thereof to be sold at a private sale, the Agent and each other Secured Party shall have the right to rely upon the advice and opinion of any nationally recognized brokerage or investment firm (but shall not be obligated to seek such advice and the failure to do so shall not be considered in determining the commercial reasonableness of such action) as to the best manner in which to offer the Pledged Collateral or any portion thereof for sale and as to the best price reasonably obtainable at the private sale thereof; and (ii) such reliance shall be conclusive evidence that the Agent and each other applicable Secured Party has handled the disposition in a commercially reasonable manner.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u w:val="single"/>
        </w:rPr>
        <w:t>Grantors’ Obligations Upon an Event of Default</w:t>
      </w:r>
      <w:r>
        <w:rPr>
          <w:rFonts w:ascii="Times New Roman" w:hAnsi="Times New Roman"/>
          <w:sz w:val="20"/>
        </w:rPr>
        <w:t xml:space="preserve">. Upon the request of the Agent after the occurrence and during the continuance of an Event of Default, each Grantor will: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Assembly of Collateral</w:t>
      </w:r>
      <w:r>
        <w:rPr>
          <w:rFonts w:ascii="Times New Roman" w:hAnsi="Times New Roman"/>
          <w:sz w:val="20"/>
        </w:rPr>
        <w:t xml:space="preserve">. Assemble and make available to the Agent the Collateral and all books, records, electronic data or information and other pertinent information relating thereto at any place or places specified by the Agent.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Agent Access</w:t>
      </w:r>
      <w:r>
        <w:rPr>
          <w:rFonts w:ascii="Times New Roman" w:hAnsi="Times New Roman"/>
          <w:sz w:val="20"/>
        </w:rPr>
        <w:t xml:space="preserve">. Permit the Agent, by the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such Grantor for such use and occupancy.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Information</w:t>
      </w:r>
      <w:r>
        <w:rPr>
          <w:rFonts w:ascii="Times New Roman" w:hAnsi="Times New Roman"/>
          <w:sz w:val="20"/>
        </w:rPr>
        <w:t xml:space="preserve">. Furnish to the Agent, or cause an issuer of Pledged Collateral to furnish to the Agent, any information regarding the Pledged Collateral in such detail as the Agent may reasonably require.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Actions</w:t>
      </w:r>
      <w:r>
        <w:rPr>
          <w:rFonts w:ascii="Times New Roman" w:hAnsi="Times New Roman"/>
          <w:sz w:val="20"/>
        </w:rPr>
        <w:t xml:space="preserve">. Take, or cause an issuer of Pledged Collateral to take, any and all actions necessary to enable the Agent to consummate a public sale or other disposition of the Pledged Collateral; </w:t>
      </w:r>
      <w:r>
        <w:rPr>
          <w:rFonts w:ascii="Times New Roman" w:hAnsi="Times New Roman"/>
          <w:sz w:val="20"/>
          <w:u w:val="single"/>
        </w:rPr>
        <w:t>provided</w:t>
      </w:r>
      <w:r>
        <w:rPr>
          <w:rFonts w:ascii="Times New Roman" w:hAnsi="Times New Roman"/>
          <w:sz w:val="20"/>
        </w:rPr>
        <w:t xml:space="preserve">, that no Grantor shall be required to register or qualify any Pledged Collateral that constitutes a Security under the Securities Act or any applicable state securities laws, or to cause any issuer of Pledged Collateral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u w:val="single"/>
        </w:rPr>
        <w:t>License</w:t>
      </w:r>
      <w:r>
        <w:rPr>
          <w:rFonts w:ascii="Times New Roman" w:hAnsi="Times New Roman"/>
          <w:sz w:val="20"/>
        </w:rPr>
        <w:t xml:space="preserve">. Solely for the purpose of enabling the Agent to exercise its rights and remedies under this </w:t>
      </w:r>
      <w:r>
        <w:rPr>
          <w:rFonts w:ascii="Times New Roman" w:hAnsi="Times New Roman"/>
          <w:sz w:val="20"/>
          <w:u w:val="single"/>
        </w:rPr>
        <w:t>Article VI</w:t>
      </w:r>
      <w:r>
        <w:rPr>
          <w:rFonts w:ascii="Times New Roman" w:hAnsi="Times New Roman"/>
          <w:sz w:val="20"/>
        </w:rPr>
        <w:t xml:space="preserve"> or otherwise in connection with this Agreement or the other Note Documents, and solely during the continuance of an Event of Default, each Grantor hereby grants to the Agent an irrevocable, worldwide, non-exclusive, sublicensable (through multiple tiers), fully paid-up, royalty-free license or sublicense (exercisable without payment of royalty or other compensation to such Grantor) under the Intellectual Property Collateral and related Ancillary IP Rights, for any purpose in connection with the Agent’s exercise of such rights and remedies, including to Exploit, license or sublicense, or grant a covenant not to assert, release or other right or immunity under any Intellectual Property Collateral and to access and provide access to all media in which any of the licensed items may be recorded or stored and to all computer software, programs, hardware and other information technology assets used in connection therewith; provided, however, that nothing in this </w:t>
      </w:r>
      <w:r>
        <w:rPr>
          <w:rFonts w:ascii="Times New Roman" w:hAnsi="Times New Roman"/>
          <w:sz w:val="20"/>
          <w:u w:val="single"/>
        </w:rPr>
        <w:t>Section 6.03</w:t>
      </w:r>
      <w:r>
        <w:rPr>
          <w:rFonts w:ascii="Times New Roman" w:hAnsi="Times New Roman"/>
          <w:sz w:val="20"/>
        </w:rPr>
        <w:t xml:space="preserve"> shall require a Grantor to grant any license that (a) gives any Person any right of acceleration, modification, termination or cancellation under any License, in each case, subject to such Grantor’s use of commercially reasonable efforts to obtain all requisite consents or approvals from such Person, (b) is prohibited by any Law, or (c) does not include reasonable quality controls with respect to any Trademarks or reasonable confidentiality obligations with respect to any confidential Intellectual Property Collateral.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u w:val="single"/>
        </w:rPr>
        <w:t>Proceeds Account</w:t>
      </w:r>
      <w:r>
        <w:rPr>
          <w:rFonts w:ascii="Times New Roman" w:hAnsi="Times New Roman"/>
          <w:sz w:val="20"/>
        </w:rPr>
        <w:t>. To the extent that any of the Obligations may be contingent, unmatured or unliquidated at such time as an Event of Default has occurred and is continuing, the Agent may, at its election, (a) retain the proceeds of any sale, collection, disposition or other realization upon the Collateral (or any portion thereof) in a special purpose non-interest-bearing restricted deposit account (the “</w:t>
      </w:r>
      <w:r>
        <w:rPr>
          <w:rFonts w:ascii="Times New Roman" w:hAnsi="Times New Roman"/>
          <w:sz w:val="20"/>
          <w:u w:val="single"/>
        </w:rPr>
        <w:t>Proceeds Account</w:t>
      </w:r>
      <w:r>
        <w:rPr>
          <w:rFonts w:ascii="Times New Roman" w:hAnsi="Times New Roman"/>
          <w:sz w:val="20"/>
        </w:rPr>
        <w:t xml:space="preserve">”) created and maintained by the Agent for such purpose (which shall constitute a Deposit Account included within the Collateral hereunder) until such time as the Agent has applied such proceeds in accordance with the Note Purchase Agreement, and each Grantor agrees that such retention of such proceeds by the Agent shall not be deemed strict foreclosure with respect thereto; (b) in any manner elected by the Agent, estimate the liquidated amount of any such contingent, unmatured or unliquidated claims against the applicable Collateral and apply the proceeds of the Collateral against such amount; or (c) otherwise proceed in any manner permitted by Law. Each Grantor agrees that the Proceeds Account shall be subject to a Control Agreement that is subject to the full dominion and “control” of the Agent within the meaning of Section 9-104 of the UCC and that upon the irrevocable deposit of funds into the Proceeds Account, no Grantor shall have any right of withdrawal with respect to such funds. Accordingly, each Grantor irrevocably waives until the termination of this Agreement the right to make any withdrawal from the Proceeds Account and the right to instruct the Agent to honor drafts against the Proceeds Account.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u w:val="single"/>
        </w:rPr>
        <w:t>Application of Proceeds</w:t>
      </w:r>
      <w:r>
        <w:rPr>
          <w:rFonts w:ascii="Times New Roman" w:hAnsi="Times New Roman"/>
          <w:sz w:val="20"/>
        </w:rPr>
        <w:t xml:space="preserve">. The cash proceeds actually received from the sale or other disposition or collection of any Grantor’s Collateral, from payments made by any Guarantor under the Guaranty, and any other amounts received in respect of the Collateral the application of which is not otherwise provided for herein, shall be applied (x) at any time no Event of Default has occurred and is continuing, as provided in Section 3.04 of the Note Purchase Agreement and (y) upon and after the occurrence and during the continuance of an Event of Default, as provided in Section 9.01 of the Note Purchase Agreement. Any surplus thereof which exists after Payment in Full shall be promptly paid over to the applicable Grantor or otherwise disposed of in accordance with the UCC or other Law. Each Grantor shall remain liable to the Agent and the other Secured Parties for any deficiency which exists after any sale or other disposition or collection of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 xml:space="preserve">Section 6.06 </w:t>
      </w:r>
      <w:r>
        <w:rPr>
          <w:rFonts w:ascii="Times New Roman" w:hAnsi="Times New Roman"/>
          <w:b/>
          <w:sz w:val="20"/>
          <w:u w:val="single"/>
        </w:rPr>
        <w:t>Specified Contract Rights; Attorney in Fact; Proxy</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Grantor acknowledges that, after the occurrence and during the continuance of an Event of Default, upon providing written notice to such Grantor of its intent to do so, the Agent may in its own name, or in the name of such Grantor, communicate with the Collaboration Partner in connection with the Collaboration Agreement and the Co-Promotion Agreement, the Servicer in connection with the Servicing Agreement, any Covered Agreement Counterparty in connection with any other Covered Agreement (including the General Services Agreement), to negotiate the terms thereof and to verify with such Persons the existence, amount and terms of, and any other matter reasonably relating to, the Accounts or other amounts owing by such Person to such Grantor. </w:t>
      </w:r>
    </w:p>
    <w:p>
      <w:pPr>
        <w:pStyle w:val="TextBody"/>
        <w:bidi w:val="0"/>
        <w:spacing w:before="120" w:after="0"/>
        <w:jc w:val="both"/>
        <w:rPr>
          <w:rFonts w:ascii="Times New Roman" w:hAnsi="Times New Roman"/>
          <w:sz w:val="20"/>
        </w:rPr>
      </w:pPr>
      <w:r>
        <w:rPr>
          <w:rFonts w:ascii="Times New Roman" w:hAnsi="Times New Roman"/>
          <w:sz w:val="20"/>
        </w:rPr>
        <w:t xml:space="preserve">(b) Each Grantor hereby appoints, which appointment is </w:t>
      </w:r>
      <w:r>
        <w:rPr>
          <w:rFonts w:ascii="Times New Roman" w:hAnsi="Times New Roman"/>
          <w:b/>
          <w:sz w:val="20"/>
        </w:rPr>
        <w:t>IRREVOCABLE</w:t>
      </w:r>
      <w:r>
        <w:rPr>
          <w:rFonts w:ascii="Times New Roman" w:hAnsi="Times New Roman"/>
          <w:sz w:val="20"/>
        </w:rPr>
        <w:t xml:space="preserve"> and coupled with an interest, and shall automatically terminate upon Payment in Full, the Agent as its attorney in fact with full authority in the place and stead of such Grantor and in the name of such Grantor or otherwise, to take any action and to execute any instrument that the Agent may deem reasonably necessary or advisable to accomplish the purposes of this Agreement, including, without limitation, (i) to discharge past due taxes, assessments, charges, fees or Liens on the Collateral, (ii) to endorse and collect any cash proceeds of the Collateral and to apply the proceeds of any Collateral received by the Agent to the Obligations as provided herein or in the Note Purchase Agreement or any other Note Document, (iii) to demand payment or enforce payment of any amounts owed to such Grantor under the Collaboration Agreement, the Co-Promotion Agreement, the Servicing Agreement, the General Services Agreement, any other Covered Agreement, (iv) to exercise all of such Grantor’s rights and remedies with respect to the Collaboration Agreement, the Co-Promotion Agreement, the Servicing Agreement, the General Services Agreement, any other Covered Agreement, any Payment Auditor Agreement and any other Collateral, (v) to settle, adjust, compromise, extend or renew amounts payable under the Collaboration Agreement, the Co-Promotion Agreement, the Servicing Agreement, the General Services Agreement, any other Covered Agreement, (vi) to settle, adjust or compromise any legal proceedings brought to collect amounts payable under the Collaboration Agreement, the Co-Promotion Agreement, the Servicing Agreement, the General Services Agreement, any other Covered Agreement, (vii) to prepare, file and sign such Grantor’s name on a proof of claim in bankruptcy or similar document against the Collaboration Partner in connection with the Collaboration Agreement, the Servicer in connection with the Servicing Agreement, or any other Covered Agreement Counterparty in connection with a Covered Agreement, (viii) to prepare, file and sign such Grantor’s name on any notice of Lien, assignment or satisfaction of Lien or similar document in connection with amounts payable under the Collaboration Agreement, the Co-Promotion Agreement, the Servicing Agreement, the General Services Agreement, any other Covered Agreement, and (ix) to use information contained in any data processing, electronic or information systems relating to Collateral; and each Grantor agrees to reimburse the Agent for any payment made or any reasonable expense incurred by the Agent in connection with any of the foregoing; provided, that this authorization shall not relieve any Grantor of any of its obligations under this Agreement or under any other Note Document. The powers described in clauses (ii) through (ix) of this </w:t>
      </w:r>
      <w:r>
        <w:rPr>
          <w:rFonts w:ascii="Times New Roman" w:hAnsi="Times New Roman"/>
          <w:sz w:val="20"/>
          <w:u w:val="single"/>
        </w:rPr>
        <w:t>Section 6.06(b)</w:t>
      </w:r>
      <w:r>
        <w:rPr>
          <w:rFonts w:ascii="Times New Roman" w:hAnsi="Times New Roman"/>
          <w:sz w:val="20"/>
        </w:rPr>
        <w:t xml:space="preserve"> shall be exercisable only after the occurrence and during the continuance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All acts of said attorney or designee are hereby ratified and approved by each Grantor. The powers conferred on the Agent, for the benefit of the Secured Parties, under this </w:t>
      </w:r>
      <w:r>
        <w:rPr>
          <w:rFonts w:ascii="Times New Roman" w:hAnsi="Times New Roman"/>
          <w:sz w:val="20"/>
          <w:u w:val="single"/>
        </w:rPr>
        <w:t>Section 6.06</w:t>
      </w:r>
      <w:r>
        <w:rPr>
          <w:rFonts w:ascii="Times New Roman" w:hAnsi="Times New Roman"/>
          <w:sz w:val="20"/>
        </w:rPr>
        <w:t xml:space="preserve"> are solely to protect the Agent’s interests in the Collateral and shall not impose any duty upon the Agent or any Secured Party to exercise any such powers. </w:t>
      </w:r>
    </w:p>
    <w:p>
      <w:pPr>
        <w:pStyle w:val="TextBody"/>
        <w:bidi w:val="0"/>
        <w:spacing w:before="120" w:after="0"/>
        <w:jc w:val="both"/>
        <w:rPr>
          <w:rFonts w:ascii="Times New Roman" w:hAnsi="Times New Roman"/>
          <w:sz w:val="20"/>
        </w:rPr>
      </w:pPr>
      <w:r>
        <w:rPr>
          <w:rFonts w:ascii="Times New Roman" w:hAnsi="Times New Roman"/>
          <w:sz w:val="20"/>
        </w:rPr>
        <w:t xml:space="preserve">(d) THE APPOINTMENT OF THE AGENT AS ATTORNEY-IN-FACT IN THIS </w:t>
      </w:r>
      <w:r>
        <w:rPr>
          <w:rFonts w:ascii="Times New Roman" w:hAnsi="Times New Roman"/>
          <w:sz w:val="20"/>
          <w:u w:val="single"/>
        </w:rPr>
        <w:t>SECTION 6.06</w:t>
      </w:r>
      <w:r>
        <w:rPr>
          <w:rFonts w:ascii="Times New Roman" w:hAnsi="Times New Roman"/>
          <w:sz w:val="20"/>
        </w:rPr>
        <w:t xml:space="preserve"> IS COUPLED WITH AN INTEREST AND SHALL BE IRREVOCABLE UNTIL THE DATE ON WHICH PAYMENT IN FULL SHALL HAVE OCCURRED. NOTWITHSTANDING ANYTHING CONTAINED HEREIN, NEITHER THE AGENT, NOR ANY SECURED PARTY, NOR ANY OF THEIR RESPECTIVE AFFILIATES, OFFICERS, DIRECTORS, EMPLOYEES, AGENTS OR REPRESENTATIVES SHALL HAVE ANY DUTY TO EXERCISE ANY RIGHT OR POWER GRANTED HEREUNDER OR OTHERWISE OR TO PRESERVE THE SAME AND SHALL NOT BE LIABLE FOR ANY FAILURE TO DO SO OR FOR ANY DELAY IN DOING SO, EXCEPT TO THE EXTENT SUCH DAMAGES ARE ATTRIBUTABLE TO THEIR OWN GROSS NEGLIGENCE, BAD FAITH OR WILLFUL MISCONDUCT AS FINALLY DETERMINED BY A COURT OF COMPETENT JURISDICTION IN A FINAL NON-APPEALABLE JUDGMENT; PROVIDED THAT, IN NO EVENT SHALL THEY BE LIABLE FOR ANY PUNITIVE, EXEMPLARY, INDIRECT OR CONSEQUENTIAL DAMAGES.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u w:val="single"/>
        </w:rPr>
        <w:t>Accounts and Rights to Payment; Proceeds to be Turned Over</w:t>
      </w:r>
      <w:r>
        <w:rPr>
          <w:rFonts w:ascii="Times New Roman" w:hAnsi="Times New Roman"/>
          <w:sz w:val="20"/>
        </w:rPr>
        <w:t xml:space="preserve">. In addition to, and not in substitution for, any similar requirement in the Note Purchase Agreement: (a) if required by the Agent at any time during the continuance of an Event of Default, any payment of Accounts or payment in respect of General Intangibles or other Rights to Payment that constitute Collateral, when collected by any Grantor, shall be promptly (and in any event within three (3) Business Days) deposited by such Grantor in the exact form received, duly indorsed by such Grantor to the Agent, in the Collection Account or such other account as the Agent may specify, subject to withdrawal by the Agent as provided in the Note Purchase Agreement and </w:t>
      </w:r>
      <w:r>
        <w:rPr>
          <w:rFonts w:ascii="Times New Roman" w:hAnsi="Times New Roman"/>
          <w:sz w:val="20"/>
          <w:u w:val="single"/>
        </w:rPr>
        <w:t>Section 6.05</w:t>
      </w:r>
      <w:r>
        <w:rPr>
          <w:rFonts w:ascii="Times New Roman" w:hAnsi="Times New Roman"/>
          <w:sz w:val="20"/>
        </w:rPr>
        <w:t xml:space="preserve">; until so turned over, such payment shall be held by such Grantor in trust for the Agent (for the benefit of the Secured Parties), segregated from other funds of such Grantor; and each such deposit shall be accompanied by a report identifying in reasonable detail the nature and source of the payments included therein; (b) at any time during the continuance of an Event of Default, (i) each Grantor shall, upon the Agent’s reasonable written request, deliver to the Agent all original and other documents in its control evidencing, and relating to, the Contractual Obligations and transactions that gave rise to any Account or other Right to Payment, including all original orders, invoices and shipping receipts, and shall notify the applicable Account Debtors that such Accounts and Rights to Payment have been collaterally assigned to the Agent and that payments in respect thereof shall be made directly to the Agent or to the Collection Account, as the Agent shall specify, and (ii) the Agent may, without notice, in its own name or in the name of any Grantor, communicate with Account Debtors to verify with them, to the Agent’s reasonable satisfaction, the existence, amount and terms of any Account or amounts due under any other Right to Payment, and may at any time enforce such Grantor’s rights against such Account Debtors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obligors; and (c) during the continuance of an Event of Default, all Proceeds of any Collateral received by any Grantor in cash or cash equivalents shall be held by such Grantor in trust for the Agent and the other Secured Parties and shall, promptly upon receipt of notice from the Agent, be turned over to the Agent in the exact form received (with any necessary endorsement). All such Proceeds held by the Agent or by any Grantor in trust for the Agent shall continue to be held as collateral security for the Obligations and shall not constitute payment thereof until applied as provided in Section 6.05.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WAIVERS, AMENDMENTS AND REMEDIES </w:t>
      </w:r>
    </w:p>
    <w:p>
      <w:pPr>
        <w:pStyle w:val="TextBody"/>
        <w:bidi w:val="0"/>
        <w:spacing w:before="240" w:after="0"/>
        <w:jc w:val="both"/>
        <w:rPr>
          <w:rFonts w:ascii="Times New Roman" w:hAnsi="Times New Roman"/>
          <w:sz w:val="20"/>
        </w:rPr>
      </w:pPr>
      <w:r>
        <w:rPr>
          <w:rFonts w:ascii="Times New Roman" w:hAnsi="Times New Roman"/>
          <w:sz w:val="20"/>
        </w:rPr>
        <w:t xml:space="preserve">No delay or omission of the Agent or any other Secured Party to exercise any right or remedy granted under this Agreement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Subject to Section 11.05 of the Note Purchase Agreement, no waiver, amendment or other variation of the terms, conditions or provisions of this Agreement whatsoever shall be valid unless in writing signed by the Agent and each Grantor party hereto, and then only to the extent in such writing specifically set forth. All rights and remedies contained in this Agreement or afforded by law shall be cumulative and all shall be available to the Agent and the other Secured Parties until this Agreement shall have terminated pursuant to </w:t>
      </w:r>
      <w:r>
        <w:rPr>
          <w:rFonts w:ascii="Times New Roman" w:hAnsi="Times New Roman"/>
          <w:sz w:val="20"/>
          <w:u w:val="single"/>
        </w:rPr>
        <w:t>Section 8.14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u w:val="single"/>
        </w:rPr>
        <w:t>Notice of Disposition of Collateral; Condition of Collateral</w:t>
      </w:r>
      <w:r>
        <w:rPr>
          <w:rFonts w:ascii="Times New Roman" w:hAnsi="Times New Roman"/>
          <w:sz w:val="20"/>
        </w:rPr>
        <w:t xml:space="preserve">. To the extent permitted by Law, each Grantor hereby waives notice of the time and place of any public sale or the time after which any private sale or other disposition of all or any part of the Collateral may be made. To the extent such notice may not be waived under Law, any notice made shall be deemed reasonable if sent to the applicable Grantor, addressed as set forth in the Note Purchase Agreement, at least ten (10) days prior to (a) the date of any such public sale or (b) the time after which any such private sale or other disposition may be made. To the maximum extent permitted by Law, each Grantor waives all claims, damages, and demands against the Agent or any other Secured Party arising out of the repossession, retention or sale of the Collateral, except to the extent any such claims, damages or demands have resulted solely from the gross negligence or willful misconduct of the Agent or such other Secured Party as finally determined by a final non-appealable judgment of a court of competent jurisdiction. To the extent it may lawfully do so, each Grantor absolutely and irrevocably waives and relinquishes the benefit and advantage of, and covenants not to assert against the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Agreement, or otherwise. Except as otherwise specifically provided herein, and to the extent permitted by Law, each Grantor hereby waives presentment, demand, protest or any notice (to the maximum extent permitted by Law) of any kind in connection with this Agreement or any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u w:val="single"/>
        </w:rPr>
        <w:t>Limitation on Agent’s and Other Secured Parties’ Duties with Respect to the Collateral</w:t>
      </w:r>
      <w:r>
        <w:rPr>
          <w:rFonts w:ascii="Times New Roman" w:hAnsi="Times New Roman"/>
          <w:sz w:val="20"/>
        </w:rPr>
        <w:t xml:space="preserve">. The Agent shall have no obligation to clean up or otherwise prepare the Collateral for sale. The Agent and each other Secured Party shall use reasonable care with respect to any Collateral in its possession or under its control. The Agent shall be deemed to have used reasonable care if it affords such Collateral substantially the same treatment as it affords to similar property held by it. Neither the Agent nor any other Secured Party shall have any other duty as to any Collateral in its possession or control or in the possession or control of any agent or nominee of the Agent or such other Secured Party, or any income thereon or as to the preservation of rights against prior parties or any other rights pertaining thereto, other than as required by Law. To the extent that Law imposes duties on the Agent to exercise remedies in a commercially reasonable manner, each Grantor, to the extent permitted to do so by Law, acknowledges and agrees that it is commercially reasonable for the Agent to (a) not incur expenses deemed significant by the Agent to prepare Collateral for disposition or otherwise to transform raw material or work in process into finished goods or other finished products for disposition, (b) not obtain third party consents for access to Collateral to be disposed of, or to obtain or, if not required by other law, to fail to obtain governmental or third party consents for the collection or disposition of Collateral to be collected or disposed of, (c) not exercise collection remedies against account debtors or other Persons obligated on Collateral or to remove Liens on or any adverse claims against Collateral, (d) exercise collection remedies against account debtors and other Persons obligated on Collateral directly or through the use of collection agencies and other collection specialists, (e) advertise dispositions of Collateral through publications or media of general circulation, whether or not the Collateral is of a specialized nature, (f) contact other Persons, whether or not in the same business as the Grantors, for expressions of interest in acquiring all or any portion of such Collateral, (g) hire one or more professional auctioneers to assist in the disposition of Collateral, whether or not the Collateral is of a specialized nature, (h) dispose of Collateral by utilizing internet sites that provide for the auction of assets of the types included in the Collateral or that have the reasonable capacity of doing so, or that match buyers and sellers of assets, (i) dispose of assets in wholesale rather than retail markets, (j) disclaim disposition warranties, such as title, possession or quiet enjoyment, (k) purchase insurance or credit enhancements to insure the Agent against risks of loss, collection or disposition of Collateral or to provide to the Agent a guaranteed return from the collection or disposition of Collateral or (l) to the extent deemed appropriate by the Agent, obtain the services of other brokers, investment bankers, consultants and other professionals to assist the Agent in the collection or disposition of any of the Collateral. Each Grantor acknowledges that the purpose of this </w:t>
      </w:r>
      <w:r>
        <w:rPr>
          <w:rFonts w:ascii="Times New Roman" w:hAnsi="Times New Roman"/>
          <w:sz w:val="20"/>
          <w:u w:val="single"/>
        </w:rPr>
        <w:t>Section 8.02</w:t>
      </w:r>
      <w:r>
        <w:rPr>
          <w:rFonts w:ascii="Times New Roman" w:hAnsi="Times New Roman"/>
          <w:sz w:val="20"/>
        </w:rPr>
        <w:t xml:space="preserve"> is to provide non-exhaustive indications of what actions or omissions by the Agent would be commercially reasonable in the Agent’s exercise of remedies against the Collateral and that other actions or omissions by the Agent shall not be deemed commercially unreasonable solely on account of not being indicated in this </w:t>
      </w:r>
      <w:r>
        <w:rPr>
          <w:rFonts w:ascii="Times New Roman" w:hAnsi="Times New Roman"/>
          <w:sz w:val="20"/>
          <w:u w:val="single"/>
        </w:rPr>
        <w:t>Section 8.02</w:t>
      </w:r>
      <w:r>
        <w:rPr>
          <w:rFonts w:ascii="Times New Roman" w:hAnsi="Times New Roman"/>
          <w:sz w:val="20"/>
        </w:rPr>
        <w:t xml:space="preserve">. Without limitation upon the foregoing, nothing contained in this </w:t>
      </w:r>
      <w:r>
        <w:rPr>
          <w:rFonts w:ascii="Times New Roman" w:hAnsi="Times New Roman"/>
          <w:sz w:val="20"/>
          <w:u w:val="single"/>
        </w:rPr>
        <w:t>Section 8.02</w:t>
      </w:r>
      <w:r>
        <w:rPr>
          <w:rFonts w:ascii="Times New Roman" w:hAnsi="Times New Roman"/>
          <w:sz w:val="20"/>
        </w:rPr>
        <w:t xml:space="preserve"> shall be construed to grant any rights to any Grantor or to impose any duties on the Agent that would not have been granted or imposed by this Agreement or by Law in the absence of this </w:t>
      </w:r>
      <w:r>
        <w:rPr>
          <w:rFonts w:ascii="Times New Roman" w:hAnsi="Times New Roman"/>
          <w:sz w:val="20"/>
          <w:u w:val="single"/>
        </w:rPr>
        <w:t>Section 8.02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u w:val="single"/>
        </w:rPr>
        <w:t>Compromises and Collection of Collateral</w:t>
      </w:r>
      <w:r>
        <w:rPr>
          <w:rFonts w:ascii="Times New Roman" w:hAnsi="Times New Roman"/>
          <w:sz w:val="20"/>
        </w:rPr>
        <w:t xml:space="preserve">. The Grantors and the Agent recognize that setoffs, counterclaims, defenses and other claims may be asserted by obligors with respect to certain of the Rights to Payment, that certain of the Rights to Payment may be or become uncollectible in whole or in part and that the expense and probability of success in litigating a disputed Right to Payment may exceed the amount that reasonably may be expected to be recovered with respect to a Right to Payment. In view of the foregoing, each Grantor agrees that the Agent may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time and from time to time, if an Event of Default has occurred and is continuing, compromise with the obligor on any Right to Payment, accept in full payment of any Right to Payment constituting Collateral such amount as the Agent in its sole discretion shall determine or abandon any Right to Payment constituting Collateral, and any such action by the Agent shall be commercially reasonable so long as the Agent acts in good faith based on information known to it at the time it takes any such action.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xml:space="preserve"> </w:t>
      </w:r>
      <w:r>
        <w:rPr>
          <w:rFonts w:ascii="Times New Roman" w:hAnsi="Times New Roman"/>
          <w:b/>
          <w:sz w:val="20"/>
          <w:u w:val="single"/>
        </w:rPr>
        <w:t>Agent Performance of Grantor Obligations</w:t>
      </w:r>
      <w:r>
        <w:rPr>
          <w:rFonts w:ascii="Times New Roman" w:hAnsi="Times New Roman"/>
          <w:sz w:val="20"/>
        </w:rPr>
        <w:t xml:space="preserve">. Without having any obligation to do so, after the occurrence and during the continuance of (a) a Default, if the Agent reasonably determines it to be necessary or advisable to preserve or protect the Collateral, upon three (3) days’ notice to the applicable Grantor, or (b) an Event of Default, the Agent may perform or pay any obligation which any Grantor has agreed to perform or pay in this Agreement, and the Grantors shall reimburse the Agent for any reasonable amounts paid by the Agent pursuant to this </w:t>
      </w:r>
      <w:r>
        <w:rPr>
          <w:rFonts w:ascii="Times New Roman" w:hAnsi="Times New Roman"/>
          <w:sz w:val="20"/>
          <w:u w:val="single"/>
        </w:rPr>
        <w:t>Section 8.04</w:t>
      </w:r>
      <w:r>
        <w:rPr>
          <w:rFonts w:ascii="Times New Roman" w:hAnsi="Times New Roman"/>
          <w:sz w:val="20"/>
        </w:rPr>
        <w:t xml:space="preserve">. The Grantors’ obligation to reimburse the Agent pursuant to the preceding sentence shall be an Obligation payable on demand.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t>
      </w:r>
      <w:r>
        <w:rPr>
          <w:rFonts w:ascii="Times New Roman" w:hAnsi="Times New Roman"/>
          <w:b/>
          <w:sz w:val="20"/>
          <w:u w:val="single"/>
        </w:rPr>
        <w:t>Authorization for Agent to Take Certain Action</w:t>
      </w:r>
      <w:r>
        <w:rPr>
          <w:rFonts w:ascii="Times New Roman" w:hAnsi="Times New Roman"/>
          <w:sz w:val="20"/>
        </w:rPr>
        <w:t xml:space="preserve">. Each Grantor irrevocably authorizes the Agent at any time and from time to time in the sole discretion of the Agent and appoints the Agent as its attorney in fact (a) to execute on behalf of such Grantor as debtor and to file financing statements necessary or desirable in the Agent’s sole discretion to perfect and to maintain the perfection and priority of the Agent’s security interest in the Collateral, (b) to indorse and collect any cash proceeds of the Collateral, (c) to file a carbon, photographic or other reproduction of this Agreement or any financing statement with respect to the Collateral as a financing statement and to file any other financing statement or amendment of a financing statement (which does not add new collateral or add a debtor) in such offices as the Agent in its sole discretion deems necessary or desirable to perfect and to maintain the perfection and priority of the Agent’s security interest in the Collateral, (d) to contact and enter into one or more agreements with the issuers of uncertificated securities which are Collateral owned by any Grantor and which are Securities or with securities or commodity intermediaries holding other Investment Property as may be necessary or advisable to give the Agent Control over such Securities or other Investment Property, (e) to enforce payment of the Instruments, Accounts and Rights to Payment in the name of the Agent or such Grantor, (f) to apply the proceeds of any Collateral received by the Agent to the Obligations as provided in </w:t>
      </w:r>
      <w:r>
        <w:rPr>
          <w:rFonts w:ascii="Times New Roman" w:hAnsi="Times New Roman"/>
          <w:sz w:val="20"/>
          <w:u w:val="single"/>
        </w:rPr>
        <w:t>Article VI</w:t>
      </w:r>
      <w:r>
        <w:rPr>
          <w:rFonts w:ascii="Times New Roman" w:hAnsi="Times New Roman"/>
          <w:sz w:val="20"/>
        </w:rPr>
        <w:t xml:space="preserve"> and (g) to discharge past due taxes, assessments, charges, fees or Liens on the Collateral (except for such Liens as are specifically permitted hereunder or under any other Note Document); provided, that this authorization shall not relieve any Grantor of any of its obligations under this Agreement, the Note Purchase Agreement or under any of the other Note Documents. The Agent agrees not to exercise the power of attorney granted under clauses (b), (e), (f) or (g) of this </w:t>
      </w:r>
      <w:r>
        <w:rPr>
          <w:rFonts w:ascii="Times New Roman" w:hAnsi="Times New Roman"/>
          <w:sz w:val="20"/>
          <w:u w:val="single"/>
        </w:rPr>
        <w:t>Section 8.05</w:t>
      </w:r>
      <w:r>
        <w:rPr>
          <w:rFonts w:ascii="Times New Roman" w:hAnsi="Times New Roman"/>
          <w:sz w:val="20"/>
        </w:rPr>
        <w:t xml:space="preserve"> except after the occurrence and during the continuance of an Event of Default.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8.06</w:t>
      </w:r>
      <w:r>
        <w:rPr>
          <w:rFonts w:ascii="Times New Roman" w:hAnsi="Times New Roman"/>
          <w:sz w:val="20"/>
        </w:rPr>
        <w:t xml:space="preserve"> </w:t>
      </w:r>
      <w:r>
        <w:rPr>
          <w:rFonts w:ascii="Times New Roman" w:hAnsi="Times New Roman"/>
          <w:b/>
          <w:sz w:val="20"/>
          <w:u w:val="single"/>
        </w:rPr>
        <w:t>Specific Performance of Certain Covenants</w:t>
      </w:r>
      <w:r>
        <w:rPr>
          <w:rFonts w:ascii="Times New Roman" w:hAnsi="Times New Roman"/>
          <w:sz w:val="20"/>
        </w:rPr>
        <w:t xml:space="preserve">. Each Grantor acknowledges and agrees that a breach of any of the covenants contained in </w:t>
      </w:r>
      <w:r>
        <w:rPr>
          <w:rFonts w:ascii="Times New Roman" w:hAnsi="Times New Roman"/>
          <w:sz w:val="20"/>
          <w:u w:val="single"/>
        </w:rPr>
        <w:t>Sections 2.05</w:t>
      </w:r>
      <w:r>
        <w:rPr>
          <w:rFonts w:ascii="Times New Roman" w:hAnsi="Times New Roman"/>
          <w:sz w:val="20"/>
        </w:rPr>
        <w:t xml:space="preserve">, </w:t>
      </w:r>
      <w:r>
        <w:rPr>
          <w:rFonts w:ascii="Times New Roman" w:hAnsi="Times New Roman"/>
          <w:sz w:val="20"/>
          <w:u w:val="single"/>
        </w:rPr>
        <w:t>2.06</w:t>
      </w:r>
      <w:r>
        <w:rPr>
          <w:rFonts w:ascii="Times New Roman" w:hAnsi="Times New Roman"/>
          <w:sz w:val="20"/>
        </w:rPr>
        <w:t xml:space="preserve">, </w:t>
      </w:r>
      <w:r>
        <w:rPr>
          <w:rFonts w:ascii="Times New Roman" w:hAnsi="Times New Roman"/>
          <w:sz w:val="20"/>
          <w:u w:val="single"/>
        </w:rPr>
        <w:t>5.04</w:t>
      </w:r>
      <w:r>
        <w:rPr>
          <w:rFonts w:ascii="Times New Roman" w:hAnsi="Times New Roman"/>
          <w:sz w:val="20"/>
        </w:rPr>
        <w:t xml:space="preserve">, </w:t>
      </w:r>
      <w:r>
        <w:rPr>
          <w:rFonts w:ascii="Times New Roman" w:hAnsi="Times New Roman"/>
          <w:sz w:val="20"/>
          <w:u w:val="single"/>
        </w:rPr>
        <w:t>5.05</w:t>
      </w:r>
      <w:r>
        <w:rPr>
          <w:rFonts w:ascii="Times New Roman" w:hAnsi="Times New Roman"/>
          <w:sz w:val="20"/>
        </w:rPr>
        <w:t xml:space="preserve">, </w:t>
      </w:r>
      <w:r>
        <w:rPr>
          <w:rFonts w:ascii="Times New Roman" w:hAnsi="Times New Roman"/>
          <w:sz w:val="20"/>
          <w:u w:val="single"/>
        </w:rPr>
        <w:t>5.10</w:t>
      </w:r>
      <w:r>
        <w:rPr>
          <w:rFonts w:ascii="Times New Roman" w:hAnsi="Times New Roman"/>
          <w:sz w:val="20"/>
        </w:rPr>
        <w:t xml:space="preserve"> or </w:t>
      </w:r>
      <w:r>
        <w:rPr>
          <w:rFonts w:ascii="Times New Roman" w:hAnsi="Times New Roman"/>
          <w:sz w:val="20"/>
          <w:u w:val="single"/>
        </w:rPr>
        <w:t>6.02</w:t>
      </w:r>
      <w:r>
        <w:rPr>
          <w:rFonts w:ascii="Times New Roman" w:hAnsi="Times New Roman"/>
          <w:sz w:val="20"/>
        </w:rPr>
        <w:t xml:space="preserve"> or in </w:t>
      </w:r>
      <w:r>
        <w:rPr>
          <w:rFonts w:ascii="Times New Roman" w:hAnsi="Times New Roman"/>
          <w:sz w:val="20"/>
          <w:u w:val="single"/>
        </w:rPr>
        <w:t>Article VIII</w:t>
      </w:r>
      <w:r>
        <w:rPr>
          <w:rFonts w:ascii="Times New Roman" w:hAnsi="Times New Roman"/>
          <w:sz w:val="20"/>
        </w:rPr>
        <w:t xml:space="preserve"> hereof will cause irreparable injury to the Agent and the other Secured Parties, that the Agent and the other Secured Parties have no adequate remedy at law in respect of such breaches and therefore agrees, without limiting the right of the Agent or the other Secured Parties to seek and obtain specific performance of other obligations of the Grantors contained in this Agreement, that the covenants of the Grantors contained in the Sections referred to in this </w:t>
      </w:r>
      <w:r>
        <w:rPr>
          <w:rFonts w:ascii="Times New Roman" w:hAnsi="Times New Roman"/>
          <w:sz w:val="20"/>
          <w:u w:val="single"/>
        </w:rPr>
        <w:t>Section 8.06</w:t>
      </w:r>
      <w:r>
        <w:rPr>
          <w:rFonts w:ascii="Times New Roman" w:hAnsi="Times New Roman"/>
          <w:sz w:val="20"/>
        </w:rPr>
        <w:t xml:space="preserve"> shall be specifically enforceable against each Grantor.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8.07</w:t>
      </w:r>
      <w:r>
        <w:rPr>
          <w:rFonts w:ascii="Times New Roman" w:hAnsi="Times New Roman"/>
          <w:sz w:val="20"/>
        </w:rPr>
        <w:t xml:space="preserve"> </w:t>
      </w:r>
      <w:r>
        <w:rPr>
          <w:rFonts w:ascii="Times New Roman" w:hAnsi="Times New Roman"/>
          <w:b/>
          <w:sz w:val="20"/>
          <w:u w:val="single"/>
        </w:rPr>
        <w:t>Additional Grantors</w:t>
      </w:r>
      <w:r>
        <w:rPr>
          <w:rFonts w:ascii="Times New Roman" w:hAnsi="Times New Roman"/>
          <w:sz w:val="20"/>
        </w:rPr>
        <w:t xml:space="preserve">. Pursuant to </w:t>
      </w:r>
      <w:r>
        <w:rPr>
          <w:rFonts w:ascii="Times New Roman" w:hAnsi="Times New Roman"/>
          <w:sz w:val="20"/>
          <w:u w:val="single"/>
        </w:rPr>
        <w:t>Section 7.13(a)</w:t>
      </w:r>
      <w:r>
        <w:rPr>
          <w:rFonts w:ascii="Times New Roman" w:hAnsi="Times New Roman"/>
          <w:sz w:val="20"/>
        </w:rPr>
        <w:t xml:space="preserve"> of the Note Purchase Agreement, the Note Parties are required to cause each Subsidiary of any Issuer, TBIL or TBUS (other than any Excluded Product Subsidiary) that is formed or acquired after the Closing Date, promptly and in any event within thirty (30) days following such formation or acquisition (or such longer period as the Agent (acting at the direction of the Requisite Purchasers) may agree in writing), to become a Grantor and a Guarantor hereunder. Upon the execution and delivery by any such Person of a Joinder, together with the Organizational Documents, resolutions, certificates, opinions, financing statements and other instruments required by Section 7.13(a) of the Note Purchase Agreement or as the Agent may otherwise reasonably request thereunder, such Person shall become a Grantor and a Guarantor hereunder with the same force and effect as if originally named as a Grantor and a Guarantor herein, shall thereupon grant to the Agent, for the benefit of the Secured Parties, a first priority perfected Lien (subject to Permitted Liens) on substantially all of its tangible and intangible assets pursuant to </w:t>
      </w:r>
      <w:r>
        <w:rPr>
          <w:rFonts w:ascii="Times New Roman" w:hAnsi="Times New Roman"/>
          <w:sz w:val="20"/>
          <w:u w:val="single"/>
        </w:rPr>
        <w:t>Article III</w:t>
      </w:r>
      <w:r>
        <w:rPr>
          <w:rFonts w:ascii="Times New Roman" w:hAnsi="Times New Roman"/>
          <w:sz w:val="20"/>
        </w:rPr>
        <w:t xml:space="preserve"> hereof (subject to the exclusions for Excluded Assets), shall cause one hundred percent (100%) of its Equity Interests to be pledged to the Agent, for the benefit of the Secured Parties, and shall be deemed to have made, as of the date of such Joinder, the representations and warranties set forth in </w:t>
      </w:r>
      <w:r>
        <w:rPr>
          <w:rFonts w:ascii="Times New Roman" w:hAnsi="Times New Roman"/>
          <w:sz w:val="20"/>
          <w:u w:val="single"/>
        </w:rPr>
        <w:t>Article IV</w:t>
      </w:r>
      <w:r>
        <w:rPr>
          <w:rFonts w:ascii="Times New Roman" w:hAnsi="Times New Roman"/>
          <w:sz w:val="20"/>
        </w:rPr>
        <w:t xml:space="preserve"> hereof. The execution and delivery of any Joinder shall not require the consent of any other Grantor, and the rights and obligations of each Grantor hereunder shall remain in full force and effect notwithstanding the addition of any new Grantor.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8.08</w:t>
      </w:r>
      <w:r>
        <w:rPr>
          <w:rFonts w:ascii="Times New Roman" w:hAnsi="Times New Roman"/>
          <w:sz w:val="20"/>
        </w:rPr>
        <w:t xml:space="preserve"> </w:t>
      </w:r>
      <w:r>
        <w:rPr>
          <w:rFonts w:ascii="Times New Roman" w:hAnsi="Times New Roman"/>
          <w:b/>
          <w:sz w:val="20"/>
          <w:u w:val="single"/>
        </w:rPr>
        <w:t>Reinstatement</w:t>
      </w:r>
      <w:r>
        <w:rPr>
          <w:rFonts w:ascii="Times New Roman" w:hAnsi="Times New Roman"/>
          <w:sz w:val="20"/>
        </w:rPr>
        <w:t xml:space="preserve">. This Agreement shall remain in full force and effect and continue to be effective should any petition be filed by or against any Grantor or any issuer of any Pledged Collateral for liquidation, examinership, a rescue process, or reorganization, should any Grantor or any such issuer become insolvent or make an assignment for the benefit of creditors or should an examiner, process adviser, receiver or trustee be appointed for all or any significant part of any Grantor’s or any such issuer’s assets, and shall continue to be effective or be reinstated, as the case may be, if at any time payment and performance of the Obligations, or any part thereof, is, pursuant to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8.09</w:t>
      </w:r>
      <w:r>
        <w:rPr>
          <w:rFonts w:ascii="Times New Roman" w:hAnsi="Times New Roman"/>
          <w:sz w:val="20"/>
        </w:rPr>
        <w:t xml:space="preserve"> </w:t>
      </w:r>
      <w:r>
        <w:rPr>
          <w:rFonts w:ascii="Times New Roman" w:hAnsi="Times New Roman"/>
          <w:b/>
          <w:sz w:val="20"/>
          <w:u w:val="single"/>
        </w:rPr>
        <w:t>Benefit of Agreement</w:t>
      </w:r>
      <w:r>
        <w:rPr>
          <w:rFonts w:ascii="Times New Roman" w:hAnsi="Times New Roman"/>
          <w:sz w:val="20"/>
        </w:rPr>
        <w:t xml:space="preserve">. The terms and provisions of this Agreement shall be binding upon and inure to the benefit of the Grantors, the Agent and the other Secured Parties and their respective successors and permitted assigns, except that no Grantor shall have the right to assign its rights or delegate its obligations under this Agreement or any interest herein, without the prior written consent of the Agent. No sales of participations, assignments, transfers, or other dispositions of any agreement governing the Obligations or any portion thereof or interest therein shall in any manner impair the Guaranty or the Security Interests or Lien granted to the Agent, for the benefit of the Secured Parties,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8.10</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Without prejudice to the survival of any other agreement of the Grantors under this Agreement or any other Note Document, the agreements and obligations of the Grantors contained in</w:t>
      </w:r>
      <w:r>
        <w:rPr>
          <w:rFonts w:ascii="Times New Roman" w:hAnsi="Times New Roman"/>
          <w:sz w:val="20"/>
          <w:u w:val="single"/>
        </w:rPr>
        <w:t xml:space="preserve"> Section 2.05</w:t>
      </w:r>
      <w:r>
        <w:rPr>
          <w:rFonts w:ascii="Times New Roman" w:hAnsi="Times New Roman"/>
          <w:sz w:val="20"/>
        </w:rPr>
        <w:t xml:space="preserve">, </w:t>
      </w:r>
      <w:r>
        <w:rPr>
          <w:rFonts w:ascii="Times New Roman" w:hAnsi="Times New Roman"/>
          <w:sz w:val="20"/>
          <w:u w:val="single"/>
        </w:rPr>
        <w:t>Section 2.06</w:t>
      </w:r>
      <w:r>
        <w:rPr>
          <w:rFonts w:ascii="Times New Roman" w:hAnsi="Times New Roman"/>
          <w:sz w:val="20"/>
        </w:rPr>
        <w:t xml:space="preserve">, </w:t>
      </w:r>
      <w:r>
        <w:rPr>
          <w:rFonts w:ascii="Times New Roman" w:hAnsi="Times New Roman"/>
          <w:sz w:val="20"/>
          <w:u w:val="single"/>
        </w:rPr>
        <w:t>Section 2.07</w:t>
      </w:r>
      <w:r>
        <w:rPr>
          <w:rFonts w:ascii="Times New Roman" w:hAnsi="Times New Roman"/>
          <w:sz w:val="20"/>
        </w:rPr>
        <w:t xml:space="preserve">, </w:t>
      </w:r>
      <w:r>
        <w:rPr>
          <w:rFonts w:ascii="Times New Roman" w:hAnsi="Times New Roman"/>
          <w:sz w:val="20"/>
          <w:u w:val="single"/>
        </w:rPr>
        <w:t>Section 2.10</w:t>
      </w:r>
      <w:r>
        <w:rPr>
          <w:rFonts w:ascii="Times New Roman" w:hAnsi="Times New Roman"/>
          <w:sz w:val="20"/>
        </w:rPr>
        <w:t xml:space="preserve">, </w:t>
      </w:r>
      <w:r>
        <w:rPr>
          <w:rFonts w:ascii="Times New Roman" w:hAnsi="Times New Roman"/>
          <w:sz w:val="20"/>
          <w:u w:val="single"/>
        </w:rPr>
        <w:t>Section 2.11, Section 3.01</w:t>
      </w:r>
      <w:r>
        <w:rPr>
          <w:rFonts w:ascii="Times New Roman" w:hAnsi="Times New Roman"/>
          <w:sz w:val="20"/>
        </w:rPr>
        <w:t xml:space="preserve"> (to the extent set forth herein), </w:t>
      </w:r>
      <w:r>
        <w:rPr>
          <w:rFonts w:ascii="Times New Roman" w:hAnsi="Times New Roman"/>
          <w:sz w:val="20"/>
          <w:u w:val="single"/>
        </w:rPr>
        <w:t>Section 6.05</w:t>
      </w:r>
      <w:r>
        <w:rPr>
          <w:rFonts w:ascii="Times New Roman" w:hAnsi="Times New Roman"/>
          <w:sz w:val="20"/>
        </w:rPr>
        <w:t xml:space="preserve">, </w:t>
      </w:r>
      <w:r>
        <w:rPr>
          <w:rFonts w:ascii="Times New Roman" w:hAnsi="Times New Roman"/>
          <w:sz w:val="20"/>
          <w:u w:val="single"/>
        </w:rPr>
        <w:t>Section 8.08</w:t>
      </w:r>
      <w:r>
        <w:rPr>
          <w:rFonts w:ascii="Times New Roman" w:hAnsi="Times New Roman"/>
          <w:sz w:val="20"/>
        </w:rPr>
        <w:t xml:space="preserve">, </w:t>
      </w:r>
      <w:r>
        <w:rPr>
          <w:rFonts w:ascii="Times New Roman" w:hAnsi="Times New Roman"/>
          <w:sz w:val="20"/>
          <w:u w:val="single"/>
        </w:rPr>
        <w:t>Section 8.11</w:t>
      </w:r>
      <w:r>
        <w:rPr>
          <w:rFonts w:ascii="Times New Roman" w:hAnsi="Times New Roman"/>
          <w:sz w:val="20"/>
        </w:rPr>
        <w:t xml:space="preserve"> and</w:t>
      </w:r>
      <w:r>
        <w:rPr>
          <w:rFonts w:ascii="Times New Roman" w:hAnsi="Times New Roman"/>
          <w:sz w:val="20"/>
          <w:u w:val="single"/>
        </w:rPr>
        <w:t xml:space="preserve"> Section 8.20</w:t>
      </w:r>
      <w:r>
        <w:rPr>
          <w:rFonts w:ascii="Times New Roman" w:hAnsi="Times New Roman"/>
          <w:sz w:val="20"/>
        </w:rPr>
        <w:t xml:space="preserve">, and the representations and warranties of the Grantors contained in this Agreement, shall survive the execution and delivery of this Agreement, the termination of this Agreement and the other Note Documents and the occurrence of the Maturity Date.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8.11</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The provisions of Sections 4.01, 4.02, 4.03, 4.04, 4.05, 4.06 and 4.07 of the Note Purchase Agreement shall be applicable to all payments made under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8.12</w:t>
      </w:r>
      <w:r>
        <w:rPr>
          <w:rFonts w:ascii="Times New Roman" w:hAnsi="Times New Roman"/>
          <w:sz w:val="20"/>
        </w:rPr>
        <w:t xml:space="preserve"> </w:t>
      </w:r>
      <w:r>
        <w:rPr>
          <w:rFonts w:ascii="Times New Roman" w:hAnsi="Times New Roman"/>
          <w:b/>
          <w:sz w:val="20"/>
          <w:u w:val="single"/>
        </w:rPr>
        <w:t>Use and Possession of Certain Premises</w:t>
      </w:r>
      <w:r>
        <w:rPr>
          <w:rFonts w:ascii="Times New Roman" w:hAnsi="Times New Roman"/>
          <w:b/>
          <w:sz w:val="20"/>
        </w:rPr>
        <w:t>.</w:t>
      </w:r>
      <w:r>
        <w:rPr>
          <w:rFonts w:ascii="Times New Roman" w:hAnsi="Times New Roman"/>
          <w:sz w:val="20"/>
        </w:rPr>
        <w:t xml:space="preserve"> Upon the occurrence and during the continuance of an Event of Default, subject to the rights of tenants under leases, the Agent shall be entitled to occupy and use any premises owned or leased by any Grantor where any of the Collateral or any records relating to the Collateral are located until Payment in Full or the Collateral is removed therefrom, whichever occurs first, without any obligation to pay such Grantor for such use and occupancy.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8.13</w:t>
      </w:r>
      <w:r>
        <w:rPr>
          <w:rFonts w:ascii="Times New Roman" w:hAnsi="Times New Roman"/>
          <w:sz w:val="20"/>
        </w:rPr>
        <w:t xml:space="preserve"> </w:t>
      </w:r>
      <w:r>
        <w:rPr>
          <w:rFonts w:ascii="Times New Roman" w:hAnsi="Times New Roman"/>
          <w:b/>
          <w:sz w:val="20"/>
          <w:u w:val="single"/>
        </w:rPr>
        <w:t>Headings</w:t>
      </w:r>
      <w:r>
        <w:rPr>
          <w:rFonts w:ascii="Times New Roman" w:hAnsi="Times New Roman"/>
          <w:b/>
          <w:sz w:val="20"/>
        </w:rPr>
        <w:t>.</w:t>
      </w:r>
      <w:r>
        <w:rPr>
          <w:rFonts w:ascii="Times New Roman" w:hAnsi="Times New Roman"/>
          <w:sz w:val="20"/>
        </w:rPr>
        <w:t xml:space="preserve"> The title of and section headings in this Agreement are for convenience of reference only, and shall not govern the interpretation of any of the terms and provisions of this Agreement.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8.14</w:t>
      </w:r>
      <w:r>
        <w:rPr>
          <w:rFonts w:ascii="Times New Roman" w:hAnsi="Times New Roman"/>
          <w:sz w:val="20"/>
        </w:rPr>
        <w:t xml:space="preserve"> </w:t>
      </w:r>
      <w:r>
        <w:rPr>
          <w:rFonts w:ascii="Times New Roman" w:hAnsi="Times New Roman"/>
          <w:b/>
          <w:sz w:val="20"/>
          <w:u w:val="single"/>
        </w:rPr>
        <w:t>Termination and Release</w:t>
      </w:r>
      <w:r>
        <w:rPr>
          <w:rFonts w:ascii="Times New Roman" w:hAnsi="Times New Roman"/>
          <w:sz w:val="20"/>
        </w:rPr>
        <w:t xml:space="preserve">. This Agreement, the Guaranty and the security interests granted herein shall continue in full force and effect until Payment in Full (subject to reinstatement pursuant to </w:t>
      </w:r>
      <w:r>
        <w:rPr>
          <w:rFonts w:ascii="Times New Roman" w:hAnsi="Times New Roman"/>
          <w:sz w:val="20"/>
          <w:u w:val="single"/>
        </w:rPr>
        <w:t>Section 2.10(c)</w:t>
      </w:r>
      <w:r>
        <w:rPr>
          <w:rFonts w:ascii="Times New Roman" w:hAnsi="Times New Roman"/>
          <w:sz w:val="20"/>
        </w:rPr>
        <w:t xml:space="preserve"> and </w:t>
      </w:r>
      <w:r>
        <w:rPr>
          <w:rFonts w:ascii="Times New Roman" w:hAnsi="Times New Roman"/>
          <w:sz w:val="20"/>
          <w:u w:val="single"/>
        </w:rPr>
        <w:t>Section 8.08</w:t>
      </w:r>
      <w:r>
        <w:rPr>
          <w:rFonts w:ascii="Times New Roman" w:hAnsi="Times New Roman"/>
          <w:sz w:val="20"/>
        </w:rPr>
        <w:t xml:space="preserve">). In connection with any termination pursuant to this </w:t>
      </w:r>
      <w:r>
        <w:rPr>
          <w:rFonts w:ascii="Times New Roman" w:hAnsi="Times New Roman"/>
          <w:sz w:val="20"/>
          <w:u w:val="single"/>
        </w:rPr>
        <w:t>Section 8.14</w:t>
      </w:r>
      <w:r>
        <w:rPr>
          <w:rFonts w:ascii="Times New Roman" w:hAnsi="Times New Roman"/>
          <w:sz w:val="20"/>
        </w:rPr>
        <w:t xml:space="preserve">, the Agent shall execute and deliver to the Grantors, at the Grantors’ sole expense, all documents that the Grantors shall reasonably request to evidence such termination or release and shall perform such other actions reasonably requested by the Grantors to effect such release, including delivery of certificates, securities and instruments. Any execution and delivery of documents pursuant to this </w:t>
      </w:r>
      <w:r>
        <w:rPr>
          <w:rFonts w:ascii="Times New Roman" w:hAnsi="Times New Roman"/>
          <w:sz w:val="20"/>
          <w:u w:val="single"/>
        </w:rPr>
        <w:t>Section 8.14</w:t>
      </w:r>
      <w:r>
        <w:rPr>
          <w:rFonts w:ascii="Times New Roman" w:hAnsi="Times New Roman"/>
          <w:sz w:val="20"/>
        </w:rPr>
        <w:t xml:space="preserve"> shall be without recourse to or warranty by the Agent or any other Secured Party. In connection with any release under this </w:t>
      </w:r>
      <w:r>
        <w:rPr>
          <w:rFonts w:ascii="Times New Roman" w:hAnsi="Times New Roman"/>
          <w:sz w:val="20"/>
          <w:u w:val="single"/>
        </w:rPr>
        <w:t>Section 8.14</w:t>
      </w:r>
      <w:r>
        <w:rPr>
          <w:rFonts w:ascii="Times New Roman" w:hAnsi="Times New Roman"/>
          <w:sz w:val="20"/>
        </w:rPr>
        <w:t xml:space="preserve">, the Agent, at the written request and sole expense of the applicable Grantor, shall execute and deliver to such Grantor such documents as such Grantor shall reasonably request to evidence or effectuate such release, in each case without recourse to or warranty by the Agent or any other Secured Party.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8.15</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embodies the entire agreement and understanding between the Grantors and the Agent relating to the Collateral and the Guaranty and supersedes all prior agreements and understandings among the Grantors and the Agent relating to the Collateral and the Guaranty.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8.16</w:t>
      </w:r>
      <w:r>
        <w:rPr>
          <w:rFonts w:ascii="Times New Roman" w:hAnsi="Times New Roman"/>
          <w:sz w:val="20"/>
        </w:rPr>
        <w:t xml:space="preserve"> </w:t>
      </w:r>
      <w:r>
        <w:rPr>
          <w:rFonts w:ascii="Times New Roman" w:hAnsi="Times New Roman"/>
          <w:b/>
          <w:sz w:val="20"/>
          <w:u w:val="single"/>
        </w:rPr>
        <w:t>Governing Law; Jurisdiction; Waiver of Jury Trial; Service of Process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GOVERNING LAW. THIS AGREEMENT SHALL BE EXCLUSIVELY GOVERNED BY AND CONSTRUED IN ACCORDANCE WITH THE LAWS OF THE STATE OF NEW YORK, INCLUDING GENERAL OBLIGATIONS LAW SECTIONS 5-1401 AND 5-1402 BUT OTHERWISE WITHOUT GIVING EFFECT TO LAWS CONCERNING CONFLICT OF LAWS OR CHOICE OF FORUM THAT WOULD REQUIRE APPLICATION OF THE LAWS OF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JURISDICTION; VENUE. EACH OF THE GRANTORS AND THE AGENT IRREVOCABLY SUBMITS TO THE JURISDICTION OF ANY OF THE STATE COURTS OF THE STATE OF NEW YORK LOCATED IN THE CITY OF NEW YORK, BOROUGH OF MANHATTAN AND OF THE FEDERAL COURTS OF THE UNITED STATES FOR THE SOUTHERN DISTRICT OF NEW YORK, AND IN EACH CASE, ANY APPELLATE COURT THEREFROM WITH RESPECT TO ANY AND ALL PROCEEDINGS ARISING OUT OF OR RELATING TO THIS AGREEMENT OR ANY OTHER TRANSACTION DOCUMENT. EACH OF THE GRANTORS AND THE AGENT IRREVOCABLY WAIVES, TO THE FULLEST EXTENT PERMITTED BY LAW, ANY OBJECTION WHICH IT MAY NOW OR HEREAFTER HAVE TO THE LAYING OF VENUE OF ANY PROCEEDING AND ANY CLAIM THAT ANY PROCEEDING HAS BEEN BROUGHT IN AN INCONVENIENT FORUM. EACH GRANTOR AGREES THAT FINAL JUDGMENT IN ANY SUCH SUIT, ACTION OR PROCEEDING BROUGHT IN SUCH A COURT SHALL BE CONCLUSIVE AND BINDING UPON SUCH GRANTOR AND MAY BE ENFORCED IN THE NEW YORK COURTS (OR ANY OTHER COURTS TO THE JURISDICTION OF WHICH SUCH GRANTOR OR THE COLLATERAL IS SUBJECT) BY A SUIT UPON SUCH JUDGMENT. </w:t>
      </w:r>
    </w:p>
    <w:p>
      <w:pPr>
        <w:pStyle w:val="TextBody"/>
        <w:bidi w:val="0"/>
        <w:spacing w:before="120" w:after="0"/>
        <w:jc w:val="both"/>
        <w:rPr>
          <w:rFonts w:ascii="Times New Roman" w:hAnsi="Times New Roman"/>
          <w:sz w:val="20"/>
        </w:rPr>
      </w:pPr>
      <w:r>
        <w:rPr>
          <w:rFonts w:ascii="Times New Roman" w:hAnsi="Times New Roman"/>
          <w:sz w:val="20"/>
        </w:rPr>
        <w:t xml:space="preserve">(c) WAIVER OF JURY TRIAL. EACH PARTY HEREBY IRREVOCABLY WAIVES, TO THE FULLEST EXTENT PERMITTED BY LAW, ANY AND ALL RIGHT TO TRIAL BY JURY IN ANY ACTION, PROCEEDING, CLAIM OR COUNTERCLAIM ARISING OUT OF OR RELATING TO ANY TRANSACTION DOCUMENT OR THE TRANSACTIONS CONTEMPLATED UNDER ANY TRANSACTION DOCUMENT (WHETHER BASED ON CONTRACT, TORT OR ANY OTHER THEORY). THIS WAIVER SHALL APPLY TO ANY SUBSEQUENT AMENDMENTS, RENEWALS, SUPPLEMENTS OR MODIFICATIONS TO ANY TRANSACTION DOCUMENT. EACH PARTY HERETO (I) CERTIFIES THAT NO REPRESENTATIVE, AGENT OR ATTORNEY OF THE OTHER PARTY HERETO HAS REPRESENTED, EXPRESSLY OR OTHERWISE, THAT THE OTHER PARTY HERETO WOULD NOT, IN THE EVENT OF LITIGATION, SEEK TO ENFORCE THE FOREGOING WAIVER AND (II) ACKNOWLEDGES THAT IT AND THE OTHER PARTY HERETO HAVE BEEN INDUCED TO ENTER INTO THIS AGREEMENT BY, AMONG OTHER THINGS, THE MUTUAL WAIVERS AND CERTIFICATIONS IN THIS </w:t>
      </w:r>
      <w:r>
        <w:rPr>
          <w:rFonts w:ascii="Times New Roman" w:hAnsi="Times New Roman"/>
          <w:sz w:val="20"/>
          <w:u w:val="single"/>
        </w:rPr>
        <w:t>SECTION 8.16</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(d) SERVICE OF PROCESS. EACH GRANTOR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NOTE DOCUMENT BY ANY MEANS PERMITTED BY LAW, INCLUDING BY THE MAILING THEREOF (BY REGISTERED OR CERTIFIED MAIL, POSTAGE PREPAID)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ACCORDANCE WITH </w:t>
      </w:r>
      <w:r>
        <w:rPr>
          <w:rFonts w:ascii="Times New Roman" w:hAnsi="Times New Roman"/>
          <w:sz w:val="20"/>
          <w:u w:val="single"/>
        </w:rPr>
        <w:t>SECTION 8.21</w:t>
      </w:r>
      <w:r>
        <w:rPr>
          <w:rFonts w:ascii="Times New Roman" w:hAnsi="Times New Roman"/>
          <w:sz w:val="20"/>
        </w:rPr>
        <w:t xml:space="preserve">. EACH GRANTOR AGREES THAT A FINAL JUDGMENT IN ANY SUCH ACTION OR PROCEEDING SHALL BE CONCLUSIVE AND MAY BE ENFORCED IN OTHER JURISDICTIONS BY SUIT ON THE JUDGMENT OR IN ANY OTHER MANNER PROVIDED BY LAW. NOTHING CONTAINED IN THIS </w:t>
      </w:r>
      <w:r>
        <w:rPr>
          <w:rFonts w:ascii="Times New Roman" w:hAnsi="Times New Roman"/>
          <w:sz w:val="20"/>
          <w:u w:val="single"/>
        </w:rPr>
        <w:t>SECTION 8.16</w:t>
      </w:r>
      <w:r>
        <w:rPr>
          <w:rFonts w:ascii="Times New Roman" w:hAnsi="Times New Roman"/>
          <w:sz w:val="20"/>
        </w:rPr>
        <w:t xml:space="preserve"> SHALL AFFECT THE RIGHT OF THE AGENT OR ANY OTHER SECURED PARTY TO SERVE PROCESS IN ANY OTHER MANNER PERMITTED BY LAW OR COMMENCE LEGAL PROCEEDINGS OR OTHERWISE PROCEED AGAINST ANY GRANTOR IN ANY OTHER JURISDICTION. TBIL SHALL, ON OR PRIOR TO THE CLOSING DATE, APPOINT A SERVICE OF PROCESS AGENT IN THE UNITED STATES, REASONABLY ACCEPTABLE TO THE AGENT, TO ACT AS ITS AUTHORIZED AGENT TO ACCEPT AND ACKNOWLEDGE SERVICE OF ANY AND ALL PROCESS WHICH MAY BE SERVED IN ANY SUIT, ACTION OR PROCEEDING IN RESPECT OF THIS AGREEMENT AND THE OTHER NOTE DOCUMENTS.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8.17</w:t>
      </w:r>
      <w:r>
        <w:rPr>
          <w:rFonts w:ascii="Times New Roman" w:hAnsi="Times New Roman"/>
          <w:sz w:val="20"/>
        </w:rPr>
        <w:t xml:space="preserve"> </w:t>
      </w:r>
      <w:r>
        <w:rPr>
          <w:rFonts w:ascii="Times New Roman" w:hAnsi="Times New Roman"/>
          <w:b/>
          <w:sz w:val="20"/>
          <w:u w:val="single"/>
        </w:rPr>
        <w:t>Amendments</w:t>
      </w:r>
      <w:r>
        <w:rPr>
          <w:rFonts w:ascii="Times New Roman" w:hAnsi="Times New Roman"/>
          <w:sz w:val="20"/>
        </w:rPr>
        <w:t xml:space="preserve">. None of the terms or provisions of this Agreement may be waived, amended, supplemented or otherwise modified except in accordance with Section 11.05 of the Note Purchase Agreement; provided, that no such waiver, amendment, supplement or modification shall release any Grantor from its obligations under </w:t>
      </w:r>
      <w:r>
        <w:rPr>
          <w:rFonts w:ascii="Times New Roman" w:hAnsi="Times New Roman"/>
          <w:sz w:val="20"/>
          <w:u w:val="single"/>
        </w:rPr>
        <w:t>Article II</w:t>
      </w:r>
      <w:r>
        <w:rPr>
          <w:rFonts w:ascii="Times New Roman" w:hAnsi="Times New Roman"/>
          <w:sz w:val="20"/>
        </w:rPr>
        <w:t xml:space="preserve"> hereof, or release all or substantially all of the Collateral or all or substantially all of the value of the Guaranty, in each case, without the consent of each Purchaser to the extent required by Section 11.05 of the Note Purchase Agreement. Notwithstanding the foregoing, the schedules attached hereto may be updated, supplemented or replaced pursuant to </w:t>
      </w:r>
      <w:r>
        <w:rPr>
          <w:rFonts w:ascii="Times New Roman" w:hAnsi="Times New Roman"/>
          <w:sz w:val="20"/>
          <w:u w:val="single"/>
        </w:rPr>
        <w:t>Section 5.11</w:t>
      </w:r>
      <w:r>
        <w:rPr>
          <w:rFonts w:ascii="Times New Roman" w:hAnsi="Times New Roman"/>
          <w:sz w:val="20"/>
        </w:rPr>
        <w:t xml:space="preserve">, </w:t>
      </w:r>
      <w:r>
        <w:rPr>
          <w:rFonts w:ascii="Times New Roman" w:hAnsi="Times New Roman"/>
          <w:sz w:val="20"/>
          <w:u w:val="single"/>
        </w:rPr>
        <w:t>Section 5.12</w:t>
      </w:r>
      <w:r>
        <w:rPr>
          <w:rFonts w:ascii="Times New Roman" w:hAnsi="Times New Roman"/>
          <w:sz w:val="20"/>
        </w:rPr>
        <w:t xml:space="preserve"> or </w:t>
      </w:r>
      <w:r>
        <w:rPr>
          <w:rFonts w:ascii="Times New Roman" w:hAnsi="Times New Roman"/>
          <w:sz w:val="20"/>
          <w:u w:val="single"/>
        </w:rPr>
        <w:t>Section 8.07</w:t>
      </w:r>
      <w:r>
        <w:rPr>
          <w:rFonts w:ascii="Times New Roman" w:hAnsi="Times New Roman"/>
          <w:sz w:val="20"/>
        </w:rPr>
        <w:t xml:space="preserve"> (or by any Joinder) without constituting a waiver, amendment, supplement or modification of this Agreement for purposes of this </w:t>
      </w:r>
      <w:r>
        <w:rPr>
          <w:rFonts w:ascii="Times New Roman" w:hAnsi="Times New Roman"/>
          <w:sz w:val="20"/>
          <w:u w:val="single"/>
        </w:rPr>
        <w:t>Section 8.17</w:t>
      </w:r>
      <w:r>
        <w:rPr>
          <w:rFonts w:ascii="Times New Roman" w:hAnsi="Times New Roman"/>
          <w:sz w:val="20"/>
        </w:rPr>
        <w:t xml:space="preserve"> or Section 11.05 of the Note Purchase Agreement; provided, that no such update, supplement or replacement shall modify any provision hereof or release any Collateral.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8.18</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Any provision in this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Agreement are declared to be severable.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8.19</w:t>
      </w:r>
      <w:r>
        <w:rPr>
          <w:rFonts w:ascii="Times New Roman" w:hAnsi="Times New Roman"/>
          <w:sz w:val="20"/>
        </w:rPr>
        <w:t xml:space="preserve"> </w:t>
      </w:r>
      <w:r>
        <w:rPr>
          <w:rFonts w:ascii="Times New Roman" w:hAnsi="Times New Roman"/>
          <w:b/>
          <w:sz w:val="20"/>
          <w:u w:val="single"/>
        </w:rPr>
        <w:t>Counterparts; Electronic Execution</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e-mail or other electronic means shall be effective as delivery of a manually executed counterpart of this Agreement.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use of a paper-based record-keeping system to the fullest extent permitted by Law, including the Federal Electronic Signatures in Global and National Commerce Act, the New York State Electronic Signatures and Records Act and any other Law, including, without limitation, any state law based on the Uniform Electronic Transactions Act or the Uniform Commercial Code.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8.20</w:t>
      </w:r>
      <w:r>
        <w:rPr>
          <w:rFonts w:ascii="Times New Roman" w:hAnsi="Times New Roman"/>
          <w:sz w:val="20"/>
        </w:rPr>
        <w:t xml:space="preserve"> </w:t>
      </w:r>
      <w:r>
        <w:rPr>
          <w:rFonts w:ascii="Times New Roman" w:hAnsi="Times New Roman"/>
          <w:b/>
          <w:sz w:val="20"/>
          <w:u w:val="single"/>
        </w:rPr>
        <w:t>Indemnification; Expenses</w:t>
      </w:r>
      <w:r>
        <w:rPr>
          <w:rFonts w:ascii="Times New Roman" w:hAnsi="Times New Roman"/>
          <w:sz w:val="20"/>
        </w:rPr>
        <w:t xml:space="preserve">. The provisions of Article X of the Note Purchase Agreement are incorporated herein by reference and made a part hereof, mutatis mutandis, and shall apply to each Grantor as if such Grantor were an Issuer thereunder.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8.21</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The provisions of Section 11.03 of the Note Purchase Agreement are incorporated herein by reference and made a part hereof, </w:t>
      </w:r>
      <w:r>
        <w:rPr>
          <w:rFonts w:ascii="Times New Roman" w:hAnsi="Times New Roman"/>
          <w:i/>
          <w:sz w:val="20"/>
        </w:rPr>
        <w:t>mutatis mutandis</w:t>
      </w:r>
      <w:r>
        <w:rPr>
          <w:rFonts w:ascii="Times New Roman" w:hAnsi="Times New Roman"/>
          <w:sz w:val="20"/>
        </w:rPr>
        <w:t xml:space="preserve">. Notices to any Grantor other than the Issuers shall be delivered to such Grantor in care of the Issuers at the address for the Issuers set forth in Schedule 11.03 to the Note Purchase Agreement, and each such Grantor hereby appoints the Issuers as its agent for receipt of notices hereunder.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8.22</w:t>
      </w:r>
      <w:r>
        <w:rPr>
          <w:rFonts w:ascii="Times New Roman" w:hAnsi="Times New Roman"/>
          <w:sz w:val="20"/>
        </w:rPr>
        <w:t xml:space="preserve"> </w:t>
      </w:r>
      <w:r>
        <w:rPr>
          <w:rFonts w:ascii="Times New Roman" w:hAnsi="Times New Roman"/>
          <w:b/>
          <w:sz w:val="20"/>
          <w:u w:val="single"/>
        </w:rPr>
        <w:t>The Agent</w:t>
      </w:r>
      <w:r>
        <w:rPr>
          <w:rFonts w:ascii="Times New Roman" w:hAnsi="Times New Roman"/>
          <w:sz w:val="20"/>
        </w:rPr>
        <w:t xml:space="preserve">. U.S. Bank Trust Company, National Association has been appointed Agent for the Purchasers and the Secured Parties pursuant to the Note Purchase Agreement. It is expressly understood and agreed by the parties to this Agreement that any authority conferred upon the Agent hereunder is subject to the terms of the delegation of authority made by the Purchasers and the Secured Parties to the Agent pursuant to the Note Purchase Agreement, and that the Agent has agreed to act (and any successor Agent shall act) as such hereunder only on the express conditions contained in the Note Purchase Agreement (including, without limitation, Article XII thereof). Any successor Agent appointed pursuant to Article XII of the Note Purchase Agreement shall be entitled to all the rights, interests and benefits of the Agent hereunder. As between the Agent and the Grantors, the Agent shall be conclusively presumed to be acting as agent for the Secured Parties with full and valid authority to take, or refrain from taking, any action hereunder (including any action stated herein to be taken at the direction of the Requisite Purchasers), and no Grantor shall be under any obligation, or have any right, to make any inquiry respecting such authority or to require evidence thereof as a condition to the effectiveness of any such action. Notwithstanding anything to the contrary set forth herein, whenever reference is made herein to any discretionary action by, consent, designation, specification, requirement or approval of, notice, request or other communication from, or other direction given or action to be undertaken (or not to be) suffered or omitted by the Agent to any election, decision, opinion, acceptance, use of judgment, expression of satisfaction or other exercise of discretion, rights or remedies to be made (or not to be made) by the Agent, (i) such provision shall refer to the Agent exercising each of the foregoing at the instruction of the Requisite Purchasers, and (ii) it is understood that in all cases, the Agent shall be fully justified in failing or refusing to take any such action if it shall not have received written instruction, advice or concurrence from the Requisite Purchasers in respect of such action. In acting under this Agreement, the Agent shall enjoy all of the rights, benefits, protections, immunities and indemnities granted to it under the Note Purchase Agreement and any other Note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8.23</w:t>
      </w:r>
      <w:r>
        <w:rPr>
          <w:rFonts w:ascii="Times New Roman" w:hAnsi="Times New Roman"/>
          <w:sz w:val="20"/>
        </w:rPr>
        <w:t xml:space="preserve"> </w:t>
      </w:r>
      <w:r>
        <w:rPr>
          <w:rFonts w:ascii="Times New Roman" w:hAnsi="Times New Roman"/>
          <w:b/>
          <w:sz w:val="20"/>
          <w:u w:val="single"/>
        </w:rPr>
        <w:t>Joint and Several Liability</w:t>
      </w:r>
      <w:r>
        <w:rPr>
          <w:rFonts w:ascii="Times New Roman" w:hAnsi="Times New Roman"/>
          <w:sz w:val="20"/>
        </w:rPr>
        <w:t xml:space="preserve">. Each Grantor acknowledges and agrees that, whether or not specifically indicated as such herein, all Obligations of the Grantors under this Agreement shall be joint and several obligations of each Grantor (subject to </w:t>
      </w:r>
      <w:r>
        <w:rPr>
          <w:rFonts w:ascii="Times New Roman" w:hAnsi="Times New Roman"/>
          <w:sz w:val="20"/>
          <w:u w:val="single"/>
        </w:rPr>
        <w:t>Section 2.11</w:t>
      </w:r>
      <w:r>
        <w:rPr>
          <w:rFonts w:ascii="Times New Roman" w:hAnsi="Times New Roman"/>
          <w:sz w:val="20"/>
        </w:rPr>
        <w:t xml:space="preserve"> and </w:t>
      </w:r>
      <w:r>
        <w:rPr>
          <w:rFonts w:ascii="Times New Roman" w:hAnsi="Times New Roman"/>
          <w:sz w:val="20"/>
          <w:u w:val="single"/>
        </w:rPr>
        <w:t>Section 2.12</w:t>
      </w:r>
      <w:r>
        <w:rPr>
          <w:rFonts w:ascii="Times New Roman" w:hAnsi="Times New Roman"/>
          <w:sz w:val="20"/>
        </w:rPr>
        <w:t xml:space="preserve">), and each Grantor shall make payment upon the maturity of such Obligations by acceleration or otherwise. </w:t>
      </w:r>
    </w:p>
    <w:p>
      <w:pPr>
        <w:pStyle w:val="TextBody"/>
        <w:bidi w:val="0"/>
        <w:spacing w:before="240" w:after="0"/>
        <w:jc w:val="both"/>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8.24</w:t>
      </w:r>
      <w:r>
        <w:rPr>
          <w:rFonts w:ascii="Times New Roman" w:hAnsi="Times New Roman"/>
          <w:sz w:val="20"/>
        </w:rPr>
        <w:t xml:space="preserve"> </w:t>
      </w:r>
      <w:r>
        <w:rPr>
          <w:rFonts w:ascii="Times New Roman" w:hAnsi="Times New Roman"/>
          <w:b/>
          <w:sz w:val="20"/>
          <w:u w:val="single"/>
        </w:rPr>
        <w:t>Right of Set-Off</w:t>
      </w:r>
      <w:r>
        <w:rPr>
          <w:rFonts w:ascii="Times New Roman" w:hAnsi="Times New Roman"/>
          <w:sz w:val="20"/>
        </w:rPr>
        <w:t xml:space="preserve">. The provisions of Section 9.02 of the Note Purchase Agreement are incorporated herein by reference and made a part hereof, </w:t>
      </w:r>
      <w:r>
        <w:rPr>
          <w:rFonts w:ascii="Times New Roman" w:hAnsi="Times New Roman"/>
          <w:i/>
          <w:sz w:val="20"/>
        </w:rPr>
        <w:t>mutatis mutandis</w:t>
      </w:r>
      <w:r>
        <w:rPr>
          <w:rFonts w:ascii="Times New Roman" w:hAnsi="Times New Roman"/>
          <w:sz w:val="20"/>
        </w:rPr>
        <w:t xml:space="preserve">, as if each reference therein to an Issuer were a reference to each Grantor, so that the rights of Set-Off, bankers’ lien, counterclaim and sharing provided for therein are exercisable against the assets and accounts of each Grantor in respect of the Obligations. The rights of the Agent and each other Secured Party under this Section 8.24 are in addition to, and not in limitation of, any other rights and remedies (including other rights of Set-Off) that the Agent or such Secured Party may have.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each Grantor and the Agent has caused this Agreement to be executed and delivered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CLOVER FINANCE TRUST, a Delaware statutory trust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Clover Finance LLC, not in its individual capacity but solely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Theravance Biopharma US, LLC, its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CLOVER FINANCE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Theravance Biopharma US, LLC, its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THERAVANCE BIOPHARMA IRELAND LIMITED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THERAVANCE BIOPHARMA US,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Scott Platshon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Guaranty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THERAVANCE BIOPHARMA R&amp;D IP,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283"/>
              <w:jc w:val="left"/>
              <w:rPr/>
            </w:pPr>
            <w:r>
              <w:rPr/>
              <w:t>Name: Scott Platshon</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THERAVANCE BIOPHARMA ANTIBIOTICS IP,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Scott Platshon</w:t>
            </w:r>
          </w:p>
        </w:tc>
      </w:tr>
      <w:tr>
        <w:trPr/>
        <w:tc>
          <w:tcPr>
            <w:tcW w:w="4082" w:type="dxa"/>
            <w:gridSpan w:val="3"/>
            <w:tcBorders/>
          </w:tcPr>
          <w:p>
            <w:pPr>
              <w:pStyle w:val="TableContents"/>
              <w:bidi w:val="0"/>
              <w:spacing w:before="0" w:after="283"/>
              <w:jc w:val="left"/>
              <w:rPr/>
            </w:pPr>
            <w:r>
              <w:rPr/>
              <w:t>Name: Scott Platshon</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Guaranty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AGENT: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U.S. BANK TRUST COMPANY, NATIONAL</w:t>
            </w:r>
          </w:p>
          <w:p>
            <w:pPr>
              <w:pStyle w:val="TableContents"/>
              <w:bidi w:val="0"/>
              <w:spacing w:before="0" w:after="20"/>
              <w:jc w:val="both"/>
              <w:rPr>
                <w:rFonts w:ascii="Times New Roman" w:hAnsi="Times New Roman"/>
                <w:b/>
                <w:sz w:val="20"/>
              </w:rPr>
            </w:pPr>
            <w:r>
              <w:rPr>
                <w:rFonts w:ascii="Times New Roman" w:hAnsi="Times New Roman"/>
                <w:b/>
                <w:sz w:val="20"/>
              </w:rPr>
              <w:t>ASSOCIATION, as Agent</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Piyusha Shirname</w:t>
            </w:r>
          </w:p>
        </w:tc>
      </w:tr>
      <w:tr>
        <w:trPr/>
        <w:tc>
          <w:tcPr>
            <w:tcW w:w="4082" w:type="dxa"/>
            <w:gridSpan w:val="3"/>
            <w:tcBorders/>
          </w:tcPr>
          <w:p>
            <w:pPr>
              <w:pStyle w:val="TableContents"/>
              <w:bidi w:val="0"/>
              <w:spacing w:before="0" w:after="283"/>
              <w:jc w:val="left"/>
              <w:rPr/>
            </w:pPr>
            <w:r>
              <w:rPr/>
              <w:t>Name: Piyusha Shirname</w:t>
            </w:r>
          </w:p>
        </w:tc>
      </w:tr>
      <w:tr>
        <w:trPr/>
        <w:tc>
          <w:tcPr>
            <w:tcW w:w="4082" w:type="dxa"/>
            <w:gridSpan w:val="3"/>
            <w:tcBorders/>
          </w:tcPr>
          <w:p>
            <w:pPr>
              <w:pStyle w:val="TableContents"/>
              <w:bidi w:val="0"/>
              <w:spacing w:before="0" w:after="283"/>
              <w:jc w:val="left"/>
              <w:rPr/>
            </w:pPr>
            <w:r>
              <w:rPr/>
              <w:t>Title: Assistant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Guaranty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to the Guaranty and Security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CONFIRMATORY GRANT OF SECURITY INTEREST IN COPYRIGHTS </w:t>
      </w:r>
    </w:p>
    <w:p>
      <w:pPr>
        <w:pStyle w:val="TextBody"/>
        <w:bidi w:val="0"/>
        <w:spacing w:before="240" w:after="0"/>
        <w:jc w:val="both"/>
        <w:rPr>
          <w:rFonts w:ascii="Times New Roman" w:hAnsi="Times New Roman"/>
          <w:sz w:val="20"/>
        </w:rPr>
      </w:pPr>
      <w:r>
        <w:rPr>
          <w:rFonts w:ascii="Times New Roman" w:hAnsi="Times New Roman"/>
          <w:sz w:val="20"/>
        </w:rPr>
        <w:t>This COPYRIGHT SECURITY AGREEMENT, dated as of [</w:t>
      </w:r>
      <w:r>
        <w:rPr>
          <w:rFonts w:ascii="Times New Roman" w:hAnsi="Times New Roman"/>
          <w:sz w:val="20"/>
          <w:u w:val="single"/>
        </w:rPr>
        <w:t> ], 20[ </w:t>
      </w:r>
      <w:r>
        <w:rPr>
          <w:rFonts w:ascii="Times New Roman" w:hAnsi="Times New Roman"/>
          <w:sz w:val="20"/>
        </w:rPr>
        <w:t>] (this “</w:t>
      </w:r>
      <w:r>
        <w:rPr>
          <w:rFonts w:ascii="Times New Roman" w:hAnsi="Times New Roman"/>
          <w:sz w:val="20"/>
          <w:u w:val="single"/>
        </w:rPr>
        <w:t>Copyright Security Agreement</w:t>
      </w:r>
      <w:r>
        <w:rPr>
          <w:rFonts w:ascii="Times New Roman" w:hAnsi="Times New Roman"/>
          <w:sz w:val="20"/>
        </w:rPr>
        <w:t>”), is made by the signatory hereto (the “</w:t>
      </w:r>
      <w:r>
        <w:rPr>
          <w:rFonts w:ascii="Times New Roman" w:hAnsi="Times New Roman"/>
          <w:sz w:val="20"/>
          <w:u w:val="single"/>
        </w:rPr>
        <w:t>Copyright Grantor</w:t>
      </w:r>
      <w:r>
        <w:rPr>
          <w:rFonts w:ascii="Times New Roman" w:hAnsi="Times New Roman"/>
          <w:sz w:val="20"/>
        </w:rPr>
        <w:t>”) pursuant to that certain Guaranty and Security Agreement, dated as of [] [], 2026 (as amended, restated, supplemented or otherwise modified from time to time, the “</w:t>
      </w:r>
      <w:r>
        <w:rPr>
          <w:rFonts w:ascii="Times New Roman" w:hAnsi="Times New Roman"/>
          <w:sz w:val="20"/>
          <w:u w:val="single"/>
        </w:rPr>
        <w:t>Security Agreement</w:t>
      </w:r>
      <w:r>
        <w:rPr>
          <w:rFonts w:ascii="Times New Roman" w:hAnsi="Times New Roman"/>
          <w:sz w:val="20"/>
        </w:rPr>
        <w:t xml:space="preserve">”; capitalized terms used but not otherwise defined herein shall have the meanings given to them in the Security Agreement), in favor of </w:t>
      </w:r>
      <w:r>
        <w:rPr>
          <w:rFonts w:ascii="Times New Roman" w:hAnsi="Times New Roman"/>
          <w:b/>
          <w:sz w:val="20"/>
        </w:rPr>
        <w:t>[]</w:t>
      </w:r>
      <w:r>
        <w:rPr>
          <w:rFonts w:ascii="Times New Roman" w:hAnsi="Times New Roman"/>
          <w:sz w:val="20"/>
        </w:rPr>
        <w:t>, in its capacity as the administrative agent, collateral agent and security trustee (in such capacities, together with its successors and assigns in such capacities, the “</w:t>
      </w:r>
      <w:r>
        <w:rPr>
          <w:rFonts w:ascii="Times New Roman" w:hAnsi="Times New Roman"/>
          <w:sz w:val="20"/>
          <w:u w:val="single"/>
        </w:rPr>
        <w:t>Agent</w:t>
      </w:r>
      <w:r>
        <w:rPr>
          <w:rFonts w:ascii="Times New Roman" w:hAnsi="Times New Roman"/>
          <w:sz w:val="20"/>
        </w:rPr>
        <w:t xml:space="preserve">”) for the Secured Parties. </w:t>
      </w:r>
    </w:p>
    <w:p>
      <w:pPr>
        <w:pStyle w:val="TextBody"/>
        <w:bidi w:val="0"/>
        <w:spacing w:before="240" w:after="0"/>
        <w:jc w:val="both"/>
        <w:rPr>
          <w:rFonts w:ascii="Times New Roman" w:hAnsi="Times New Roman"/>
          <w:sz w:val="20"/>
        </w:rPr>
      </w:pPr>
      <w:r>
        <w:rPr>
          <w:rFonts w:ascii="Times New Roman" w:hAnsi="Times New Roman"/>
          <w:sz w:val="20"/>
        </w:rPr>
        <w:t xml:space="preserve">WHEREAS, pursuant to the Security Agreement, the Copyright Grantor is required to execute and deliver this Copyright Security Agreement; and </w:t>
      </w:r>
    </w:p>
    <w:p>
      <w:pPr>
        <w:pStyle w:val="TextBody"/>
        <w:bidi w:val="0"/>
        <w:spacing w:before="240" w:after="0"/>
        <w:jc w:val="both"/>
        <w:rPr>
          <w:rFonts w:ascii="Times New Roman" w:hAnsi="Times New Roman"/>
          <w:sz w:val="20"/>
        </w:rPr>
      </w:pPr>
      <w:r>
        <w:rPr>
          <w:rFonts w:ascii="Times New Roman" w:hAnsi="Times New Roman"/>
          <w:sz w:val="20"/>
        </w:rPr>
        <w:t xml:space="preserve">WHEREAS, pursuant to the terms of the Security Agreement, the Copyright Grantor has created in favor of the Agent for the benefit of the Secured Parties a security interest in, and the Agent has become a secured creditor with respect to, the Copyright Collateral (as defined below); </w:t>
      </w:r>
    </w:p>
    <w:p>
      <w:pPr>
        <w:pStyle w:val="TextBody"/>
        <w:bidi w:val="0"/>
        <w:spacing w:before="240" w:after="0"/>
        <w:jc w:val="both"/>
        <w:rPr>
          <w:rFonts w:ascii="Times New Roman" w:hAnsi="Times New Roman"/>
          <w:sz w:val="20"/>
        </w:rPr>
      </w:pPr>
      <w:r>
        <w:rPr>
          <w:rFonts w:ascii="Times New Roman" w:hAnsi="Times New Roman"/>
          <w:sz w:val="20"/>
        </w:rPr>
        <w:t>NOW, THEREFORE, in consideration of the premises and to induce the Agent and the Purchasers to enter into the Note Purchase Agreement and to induce the Purchasers to purchase the Notes issued thereunder, the Copyright Grantor hereby grants to the Agent, for itself and on behalf of and for the ratable benefit of the other Secured Parties, a security interest in all of the following property now owned or at any time hereafter acquired by the Copyright Grantor or in which the Copyright Grantor now has or at any time in the future may acquire any right, title or interest (collectively, the “</w:t>
      </w:r>
      <w:r>
        <w:rPr>
          <w:rFonts w:ascii="Times New Roman" w:hAnsi="Times New Roman"/>
          <w:sz w:val="20"/>
          <w:u w:val="single"/>
        </w:rPr>
        <w:t>Copyright Collateral</w:t>
      </w:r>
      <w:r>
        <w:rPr>
          <w:rFonts w:ascii="Times New Roman" w:hAnsi="Times New Roman"/>
          <w:sz w:val="20"/>
        </w:rPr>
        <w:t xml:space="preserve">”), as collateral security for the complete payment and performance when due (whether at the stated maturity, by acceleration or otherwise) of all Obligations: </w:t>
      </w:r>
    </w:p>
    <w:p>
      <w:pPr>
        <w:pStyle w:val="TextBody"/>
        <w:bidi w:val="0"/>
        <w:spacing w:before="120" w:after="0"/>
        <w:jc w:val="left"/>
        <w:rPr>
          <w:rFonts w:ascii="Times New Roman" w:hAnsi="Times New Roman"/>
          <w:sz w:val="20"/>
        </w:rPr>
      </w:pPr>
      <w:r>
        <w:rPr>
          <w:rFonts w:ascii="Times New Roman" w:hAnsi="Times New Roman"/>
          <w:sz w:val="20"/>
        </w:rPr>
        <w:t xml:space="preserve">(a) all Copyrights of the Copyright Grantor, including, the Copyright registrations and applications of the Copyright Grantor listed on </w:t>
      </w:r>
      <w:r>
        <w:rPr>
          <w:rFonts w:ascii="Times New Roman" w:hAnsi="Times New Roman"/>
          <w:sz w:val="20"/>
          <w:u w:val="single"/>
        </w:rPr>
        <w:t>Schedule 1</w:t>
      </w:r>
      <w:r>
        <w:rPr>
          <w:rFonts w:ascii="Times New Roman" w:hAnsi="Times New Roman"/>
          <w:sz w:val="20"/>
        </w:rPr>
        <w:t xml:space="preserve"> attached hereto and all renewals and extensions of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all Ancillary IP Rights with respect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(c) all exclusive Licenses pursuant to which the Copyright Grantor receives rights in, to or under any registered Copyrights, including, the Licenses listed on </w:t>
      </w:r>
      <w:r>
        <w:rPr>
          <w:rFonts w:ascii="Times New Roman" w:hAnsi="Times New Roman"/>
          <w:sz w:val="20"/>
          <w:u w:val="single"/>
        </w:rPr>
        <w:t>Schedule 1</w:t>
      </w:r>
      <w:r>
        <w:rPr>
          <w:rFonts w:ascii="Times New Roman" w:hAnsi="Times New Roman"/>
          <w:sz w:val="20"/>
        </w:rPr>
        <w:t xml:space="preserve"> attached hereto. </w:t>
      </w:r>
    </w:p>
    <w:p>
      <w:pPr>
        <w:pStyle w:val="TextBody"/>
        <w:bidi w:val="0"/>
        <w:spacing w:before="240" w:after="0"/>
        <w:jc w:val="both"/>
        <w:rPr>
          <w:rFonts w:ascii="Times New Roman" w:hAnsi="Times New Roman"/>
          <w:sz w:val="20"/>
        </w:rPr>
      </w:pPr>
      <w:r>
        <w:rPr>
          <w:rFonts w:ascii="Times New Roman" w:hAnsi="Times New Roman"/>
          <w:sz w:val="20"/>
        </w:rPr>
        <w:t xml:space="preserve">This Copyright Security Agreement constitutes an “IP Security Agreement” under (and as defined in) the Note Purchase Agreement. The security interest granted pursuant to this Copyright Security Agreement is granted in conjunction with the security interest granted to the Agent for the benefit of the Secured Parties pursuant to the Security Agreement and can only be terminated in accordance with the Security Agreement. The Copyright Grantor hereby acknowledges and affirms that the rights and remedies of the Agent with respect to the security interest in the Copyrights made and granted hereby are more fully set forth in the Security Agreement. In the event that any provision of this Copyright Security Agreement is deemed to conflict with the Security Agreement, the provisions of the Security Agreement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Copyright Grantor hereby authorizes and requests that the Register of Copyrights of the United States Copyright Office record this Copyright Security Agreement. </w:t>
      </w:r>
    </w:p>
    <w:p>
      <w:pPr>
        <w:pStyle w:val="TextBody"/>
        <w:bidi w:val="0"/>
        <w:spacing w:before="240" w:after="0"/>
        <w:jc w:val="both"/>
        <w:rPr>
          <w:rFonts w:ascii="Times New Roman" w:hAnsi="Times New Roman"/>
          <w:sz w:val="20"/>
        </w:rPr>
      </w:pPr>
      <w:r>
        <w:rPr>
          <w:rFonts w:ascii="Times New Roman" w:hAnsi="Times New Roman"/>
          <w:sz w:val="20"/>
        </w:rPr>
        <w:t xml:space="preserve">THIS COPYRIGHT SECURITY AGREEMENT AND THE RIGHTS AND OBLIGATIONS OF THE PARTIES UNDER THIS COPYRIGHT SECURITY AGREEMENT SHALL BE GOVERNED BY, AND CONSTRUED AND INTERPRETED IN ACCORDANCE WITH, THE LAW OF THE STATE OF NEW YORK. </w:t>
      </w:r>
    </w:p>
    <w:p>
      <w:pPr>
        <w:pStyle w:val="TextBody"/>
        <w:bidi w:val="0"/>
        <w:spacing w:before="240" w:after="0"/>
        <w:jc w:val="both"/>
        <w:rPr>
          <w:rFonts w:ascii="Times New Roman" w:hAnsi="Times New Roman"/>
          <w:sz w:val="20"/>
        </w:rPr>
      </w:pPr>
      <w:r>
        <w:rPr>
          <w:rFonts w:ascii="Times New Roman" w:hAnsi="Times New Roman"/>
          <w:sz w:val="20"/>
        </w:rPr>
        <w:t xml:space="preserve">This Copyright Security Agreement may be executed by one or more of the parties to this Copyright Security Agreement on any number of separate counterparts, and all of said counterparts taken together shall be deemed to constitute one and the same instrument. Delivery of an executed signature page of this Copyright Security Agreement by facsimile transmission or electronic transmission (in PDF format) shall be effective as delivery of a manually executed counterpart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and Schedule</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(Copyright Registrations and Applications; Exclusive Copyright Licenses)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0" w:after="0"/>
        <w:jc w:val="center"/>
        <w:rPr>
          <w:rFonts w:ascii="Times New Roman" w:hAnsi="Times New Roman"/>
          <w:b/>
          <w:sz w:val="20"/>
        </w:rPr>
      </w:pPr>
      <w:r>
        <w:rPr>
          <w:rFonts w:ascii="Times New Roman" w:hAnsi="Times New Roman"/>
          <w:b/>
          <w:sz w:val="20"/>
        </w:rPr>
        <w:t xml:space="preserve">to the Guaranty and Security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CONFIRMATORY GRANT OF SECURITY INTEREST IN PATENTS </w:t>
      </w:r>
    </w:p>
    <w:p>
      <w:pPr>
        <w:pStyle w:val="TextBody"/>
        <w:bidi w:val="0"/>
        <w:spacing w:before="240" w:after="0"/>
        <w:jc w:val="both"/>
        <w:rPr>
          <w:rFonts w:ascii="Times New Roman" w:hAnsi="Times New Roman"/>
          <w:sz w:val="20"/>
        </w:rPr>
      </w:pPr>
      <w:r>
        <w:rPr>
          <w:rFonts w:ascii="Times New Roman" w:hAnsi="Times New Roman"/>
          <w:sz w:val="20"/>
        </w:rPr>
        <w:t>This PATENT SECURITY AGREEMENT, dated as of [</w:t>
      </w:r>
      <w:r>
        <w:rPr>
          <w:rFonts w:ascii="Times New Roman" w:hAnsi="Times New Roman"/>
          <w:sz w:val="20"/>
          <w:u w:val="single"/>
        </w:rPr>
        <w:t> ], 20[ </w:t>
      </w:r>
      <w:r>
        <w:rPr>
          <w:rFonts w:ascii="Times New Roman" w:hAnsi="Times New Roman"/>
          <w:sz w:val="20"/>
        </w:rPr>
        <w:t>] (this “</w:t>
      </w:r>
      <w:r>
        <w:rPr>
          <w:rFonts w:ascii="Times New Roman" w:hAnsi="Times New Roman"/>
          <w:sz w:val="20"/>
          <w:u w:val="single"/>
        </w:rPr>
        <w:t>Patent Security Agreement</w:t>
      </w:r>
      <w:r>
        <w:rPr>
          <w:rFonts w:ascii="Times New Roman" w:hAnsi="Times New Roman"/>
          <w:sz w:val="20"/>
        </w:rPr>
        <w:t>”), is made by the signatory hereto (the “</w:t>
      </w:r>
      <w:r>
        <w:rPr>
          <w:rFonts w:ascii="Times New Roman" w:hAnsi="Times New Roman"/>
          <w:sz w:val="20"/>
          <w:u w:val="single"/>
        </w:rPr>
        <w:t>Patent Grantor</w:t>
      </w:r>
      <w:r>
        <w:rPr>
          <w:rFonts w:ascii="Times New Roman" w:hAnsi="Times New Roman"/>
          <w:sz w:val="20"/>
        </w:rPr>
        <w:t>”) pursuant to that certain Guaranty and Security Agreement, dated as of [] [], 2026 (as amended, restated, supplemented or otherwise modified from time to time, the “</w:t>
      </w:r>
      <w:r>
        <w:rPr>
          <w:rFonts w:ascii="Times New Roman" w:hAnsi="Times New Roman"/>
          <w:sz w:val="20"/>
          <w:u w:val="single"/>
        </w:rPr>
        <w:t>Security Agreement</w:t>
      </w:r>
      <w:r>
        <w:rPr>
          <w:rFonts w:ascii="Times New Roman" w:hAnsi="Times New Roman"/>
          <w:sz w:val="20"/>
        </w:rPr>
        <w:t xml:space="preserve">”; capitalized terms used but not otherwise defined herein shall have the meanings given to them in the Security Agreement), in favor of </w:t>
      </w:r>
      <w:r>
        <w:rPr>
          <w:rFonts w:ascii="Times New Roman" w:hAnsi="Times New Roman"/>
          <w:b/>
          <w:sz w:val="20"/>
        </w:rPr>
        <w:t>[]</w:t>
      </w:r>
      <w:r>
        <w:rPr>
          <w:rFonts w:ascii="Times New Roman" w:hAnsi="Times New Roman"/>
          <w:sz w:val="20"/>
        </w:rPr>
        <w:t>, in its capacity as the administrative agent, collateral agent and security trustee (in such capacities, together with its successors and assigns in such capacities, the “</w:t>
      </w:r>
      <w:r>
        <w:rPr>
          <w:rFonts w:ascii="Times New Roman" w:hAnsi="Times New Roman"/>
          <w:sz w:val="20"/>
          <w:u w:val="single"/>
        </w:rPr>
        <w:t>Agent</w:t>
      </w:r>
      <w:r>
        <w:rPr>
          <w:rFonts w:ascii="Times New Roman" w:hAnsi="Times New Roman"/>
          <w:sz w:val="20"/>
        </w:rPr>
        <w:t xml:space="preserve">”) for the Secured Parties. </w:t>
      </w:r>
    </w:p>
    <w:p>
      <w:pPr>
        <w:pStyle w:val="TextBody"/>
        <w:bidi w:val="0"/>
        <w:spacing w:before="240" w:after="0"/>
        <w:jc w:val="both"/>
        <w:rPr>
          <w:rFonts w:ascii="Times New Roman" w:hAnsi="Times New Roman"/>
          <w:sz w:val="20"/>
        </w:rPr>
      </w:pPr>
      <w:r>
        <w:rPr>
          <w:rFonts w:ascii="Times New Roman" w:hAnsi="Times New Roman"/>
          <w:sz w:val="20"/>
        </w:rPr>
        <w:t>NOW, THEREFORE, in consideration of the premises and to induce the Agent and the Purchasers to enter into the Note Purchase Agreement and to induce the Purchasers to purchase the Notes issued thereunder, the Patent Grantor hereby grants to the Agent, for itself and on behalf of and for the ratable benefit of the other Secured Parties, a security interest in all of the following property now owned or at any time hereafter acquired by the Patent Grantor or in which the Patent Grantor now has or at any time in the future may acquire any right, title or interest (collectively, the “</w:t>
      </w:r>
      <w:r>
        <w:rPr>
          <w:rFonts w:ascii="Times New Roman" w:hAnsi="Times New Roman"/>
          <w:sz w:val="20"/>
          <w:u w:val="single"/>
        </w:rPr>
        <w:t>Patent Collateral</w:t>
      </w:r>
      <w:r>
        <w:rPr>
          <w:rFonts w:ascii="Times New Roman" w:hAnsi="Times New Roman"/>
          <w:sz w:val="20"/>
        </w:rPr>
        <w:t xml:space="preserve">”), as collateral security for the complete payment and performance when due (whether at the stated maturity, by acceleration or otherwise) of all Obligations: </w:t>
      </w:r>
    </w:p>
    <w:p>
      <w:pPr>
        <w:pStyle w:val="TextBody"/>
        <w:bidi w:val="0"/>
        <w:spacing w:before="120" w:after="0"/>
        <w:jc w:val="both"/>
        <w:rPr>
          <w:rFonts w:ascii="Times New Roman" w:hAnsi="Times New Roman"/>
          <w:sz w:val="20"/>
        </w:rPr>
      </w:pPr>
      <w:r>
        <w:rPr>
          <w:rFonts w:ascii="Times New Roman" w:hAnsi="Times New Roman"/>
          <w:sz w:val="20"/>
        </w:rPr>
        <w:t xml:space="preserve">(a) all Patents and Patent Rights of the Patent Grantor, including, the Patents and Patent applications of the Patent Grantor listed on </w:t>
      </w:r>
      <w:r>
        <w:rPr>
          <w:rFonts w:ascii="Times New Roman" w:hAnsi="Times New Roman"/>
          <w:sz w:val="20"/>
          <w:u w:val="single"/>
        </w:rPr>
        <w:t>Schedule 1</w:t>
      </w:r>
      <w:r>
        <w:rPr>
          <w:rFonts w:ascii="Times New Roman" w:hAnsi="Times New Roman"/>
          <w:sz w:val="20"/>
        </w:rPr>
        <w:t xml:space="preserve"> attached hereto and all reissues, reexaminations, divisions, continuations, continuations-in-part, renewals and extensions of any of the foregoing; and </w:t>
      </w:r>
    </w:p>
    <w:p>
      <w:pPr>
        <w:pStyle w:val="TextBody"/>
        <w:bidi w:val="0"/>
        <w:spacing w:before="120" w:after="0"/>
        <w:jc w:val="both"/>
        <w:rPr>
          <w:rFonts w:ascii="Times New Roman" w:hAnsi="Times New Roman"/>
          <w:sz w:val="20"/>
        </w:rPr>
      </w:pPr>
      <w:r>
        <w:rPr>
          <w:rFonts w:ascii="Times New Roman" w:hAnsi="Times New Roman"/>
          <w:sz w:val="20"/>
        </w:rPr>
        <w:t xml:space="preserve">(b) all Ancillary IP Rights with respect thereto. </w:t>
      </w:r>
    </w:p>
    <w:p>
      <w:pPr>
        <w:pStyle w:val="TextBody"/>
        <w:bidi w:val="0"/>
        <w:spacing w:before="240" w:after="0"/>
        <w:jc w:val="both"/>
        <w:rPr>
          <w:rFonts w:ascii="Times New Roman" w:hAnsi="Times New Roman"/>
          <w:sz w:val="20"/>
        </w:rPr>
      </w:pPr>
      <w:r>
        <w:rPr>
          <w:rFonts w:ascii="Times New Roman" w:hAnsi="Times New Roman"/>
          <w:sz w:val="20"/>
        </w:rPr>
        <w:t xml:space="preserve">This Patent Security Agreement constitutes an “IP Security Agreement” under (and as defined in) the Note Purchase Agreement. The security interest granted pursuant to this Patent Security Agreement is granted in conjunction with the security interest granted to the Agent for the benefit of the Secured Parties pursuant to the Security Agreement and can only be terminated in accordance with the Security Agreement. The Patent Grantor hereby acknowledges and affirms that the rights and remedies of the Agent with respect to the security interest in the Patents made and granted hereby are more fully set forth in the Security Agreement. In the event that any provision of this Patent Security Agreement is deemed to conflict with the Security Agreement, the provisions of the Security Agreement shall govern. </w:t>
      </w:r>
    </w:p>
    <w:p>
      <w:pPr>
        <w:pStyle w:val="TextBody"/>
        <w:bidi w:val="0"/>
        <w:spacing w:before="240" w:after="0"/>
        <w:jc w:val="both"/>
        <w:rPr>
          <w:rFonts w:ascii="Times New Roman" w:hAnsi="Times New Roman"/>
          <w:sz w:val="20"/>
        </w:rPr>
      </w:pPr>
      <w:r>
        <w:rPr>
          <w:rFonts w:ascii="Times New Roman" w:hAnsi="Times New Roman"/>
          <w:sz w:val="20"/>
        </w:rPr>
        <w:t xml:space="preserve">The Patent Grantor hereby authorizes and requests that the Commissioner for Patents of the United States Patent and Trademark Office record this Patent Security Agreement. </w:t>
      </w:r>
    </w:p>
    <w:p>
      <w:pPr>
        <w:pStyle w:val="TextBody"/>
        <w:bidi w:val="0"/>
        <w:spacing w:before="240" w:after="0"/>
        <w:jc w:val="both"/>
        <w:rPr>
          <w:rFonts w:ascii="Times New Roman" w:hAnsi="Times New Roman"/>
          <w:sz w:val="20"/>
        </w:rPr>
      </w:pPr>
      <w:r>
        <w:rPr>
          <w:rFonts w:ascii="Times New Roman" w:hAnsi="Times New Roman"/>
          <w:sz w:val="20"/>
        </w:rPr>
        <w:t xml:space="preserve">THIS PATENT SECURITY AGREEMENT AND THE RIGHTS AND OBLIGATIONS OF THE PARTIES UNDER THIS PATENT SECURITY AGREEMENT SHALL BE GOVERNED BY, AND CONSTRUED AND INTERPRETED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This Patent Security Agreement may be executed in any number of separate counterparts, and all of said counterparts taken together shall be deemed to constitute one and the same instrument. Delivery of an executed signature page by facsimile or electronic transmission (in PDF format) shall be effective as delivery of a manually executed counterpart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and Schedule</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0" w:after="0"/>
        <w:jc w:val="center"/>
        <w:rPr>
          <w:rFonts w:ascii="Times New Roman" w:hAnsi="Times New Roman"/>
          <w:b/>
          <w:sz w:val="20"/>
        </w:rPr>
      </w:pPr>
      <w:r>
        <w:rPr>
          <w:rFonts w:ascii="Times New Roman" w:hAnsi="Times New Roman"/>
          <w:b/>
          <w:sz w:val="20"/>
        </w:rPr>
        <w:t xml:space="preserve">to the Guaranty and Security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CONFIRMATORY GRANT OF SECURITY INTEREST IN TRADEMARKS </w:t>
      </w:r>
    </w:p>
    <w:p>
      <w:pPr>
        <w:pStyle w:val="TextBody"/>
        <w:bidi w:val="0"/>
        <w:spacing w:before="240" w:after="0"/>
        <w:jc w:val="both"/>
        <w:rPr>
          <w:rFonts w:ascii="Times New Roman" w:hAnsi="Times New Roman"/>
          <w:sz w:val="20"/>
        </w:rPr>
      </w:pPr>
      <w:r>
        <w:rPr>
          <w:rFonts w:ascii="Times New Roman" w:hAnsi="Times New Roman"/>
          <w:sz w:val="20"/>
        </w:rPr>
        <w:t>This TRADEMARK SECURITY AGREEMENT, dated as of [</w:t>
      </w:r>
      <w:r>
        <w:rPr>
          <w:rFonts w:ascii="Times New Roman" w:hAnsi="Times New Roman"/>
          <w:sz w:val="20"/>
          <w:u w:val="single"/>
        </w:rPr>
        <w:t> ], 20[ </w:t>
      </w:r>
      <w:r>
        <w:rPr>
          <w:rFonts w:ascii="Times New Roman" w:hAnsi="Times New Roman"/>
          <w:sz w:val="20"/>
        </w:rPr>
        <w:t>] (this “</w:t>
      </w:r>
      <w:r>
        <w:rPr>
          <w:rFonts w:ascii="Times New Roman" w:hAnsi="Times New Roman"/>
          <w:sz w:val="20"/>
          <w:u w:val="single"/>
        </w:rPr>
        <w:t>Trademark Security Agreement</w:t>
      </w:r>
      <w:r>
        <w:rPr>
          <w:rFonts w:ascii="Times New Roman" w:hAnsi="Times New Roman"/>
          <w:sz w:val="20"/>
        </w:rPr>
        <w:t>”), is made by the signatory hereto (the “</w:t>
      </w:r>
      <w:r>
        <w:rPr>
          <w:rFonts w:ascii="Times New Roman" w:hAnsi="Times New Roman"/>
          <w:sz w:val="20"/>
          <w:u w:val="single"/>
        </w:rPr>
        <w:t>Trademark Grantor</w:t>
      </w:r>
      <w:r>
        <w:rPr>
          <w:rFonts w:ascii="Times New Roman" w:hAnsi="Times New Roman"/>
          <w:sz w:val="20"/>
        </w:rPr>
        <w:t>”) pursuant to that certain Guaranty and Security Agreement, dated as of [] [], 2026 (as amended, restated, supplemented or otherwise modified from time to time, the “</w:t>
      </w:r>
      <w:r>
        <w:rPr>
          <w:rFonts w:ascii="Times New Roman" w:hAnsi="Times New Roman"/>
          <w:sz w:val="20"/>
          <w:u w:val="single"/>
        </w:rPr>
        <w:t>Security Agreement</w:t>
      </w:r>
      <w:r>
        <w:rPr>
          <w:rFonts w:ascii="Times New Roman" w:hAnsi="Times New Roman"/>
          <w:sz w:val="20"/>
        </w:rPr>
        <w:t xml:space="preserve">”; capitalized terms used but not otherwise defined herein shall have the meanings given to them in the Security Agreement), in favor of </w:t>
      </w:r>
      <w:r>
        <w:rPr>
          <w:rFonts w:ascii="Times New Roman" w:hAnsi="Times New Roman"/>
          <w:b/>
          <w:sz w:val="20"/>
        </w:rPr>
        <w:t>[]</w:t>
      </w:r>
      <w:r>
        <w:rPr>
          <w:rFonts w:ascii="Times New Roman" w:hAnsi="Times New Roman"/>
          <w:sz w:val="20"/>
        </w:rPr>
        <w:t>, in its capacity as the administrative agent, collateral agent and security trustee (in such capacities, together with its successors and assigns in such capacities, the “</w:t>
      </w:r>
      <w:r>
        <w:rPr>
          <w:rFonts w:ascii="Times New Roman" w:hAnsi="Times New Roman"/>
          <w:sz w:val="20"/>
          <w:u w:val="single"/>
        </w:rPr>
        <w:t>Agent</w:t>
      </w:r>
      <w:r>
        <w:rPr>
          <w:rFonts w:ascii="Times New Roman" w:hAnsi="Times New Roman"/>
          <w:sz w:val="20"/>
        </w:rPr>
        <w:t xml:space="preserve">”) for the Secured Parties. </w:t>
      </w:r>
    </w:p>
    <w:p>
      <w:pPr>
        <w:pStyle w:val="TextBody"/>
        <w:bidi w:val="0"/>
        <w:spacing w:before="240" w:after="0"/>
        <w:jc w:val="both"/>
        <w:rPr>
          <w:rFonts w:ascii="Times New Roman" w:hAnsi="Times New Roman"/>
          <w:sz w:val="20"/>
        </w:rPr>
      </w:pPr>
      <w:r>
        <w:rPr>
          <w:rFonts w:ascii="Times New Roman" w:hAnsi="Times New Roman"/>
          <w:sz w:val="20"/>
        </w:rPr>
        <w:t>NOW, THEREFORE, in consideration of the premises and to induce the Agent and the Purchasers to enter into the Note Purchase Agreement and to induce the Purchasers to purchase the Notes issued thereunder, the Trademark Grantor hereby grants to the Agent, for itself and on behalf of and for the ratable benefit of the other Secured Parties, a security interest in all of the following property now owned or at any time hereafter acquired by the Trademark Grantor or in which the Trademark Grantor now has or at any time in the future may acquire any right, title or interest (collectively, the “</w:t>
      </w:r>
      <w:r>
        <w:rPr>
          <w:rFonts w:ascii="Times New Roman" w:hAnsi="Times New Roman"/>
          <w:sz w:val="20"/>
          <w:u w:val="single"/>
        </w:rPr>
        <w:t>Trademark Collateral</w:t>
      </w:r>
      <w:r>
        <w:rPr>
          <w:rFonts w:ascii="Times New Roman" w:hAnsi="Times New Roman"/>
          <w:sz w:val="20"/>
        </w:rPr>
        <w:t xml:space="preserve">”), as collateral security for the complete payment and performance when due (whether at the stated maturity, by acceleration or otherwise) of all Obligations: </w:t>
      </w:r>
    </w:p>
    <w:p>
      <w:pPr>
        <w:pStyle w:val="TextBody"/>
        <w:bidi w:val="0"/>
        <w:spacing w:before="120" w:after="0"/>
        <w:jc w:val="both"/>
        <w:rPr>
          <w:rFonts w:ascii="Times New Roman" w:hAnsi="Times New Roman"/>
          <w:sz w:val="20"/>
        </w:rPr>
      </w:pPr>
      <w:r>
        <w:rPr>
          <w:rFonts w:ascii="Times New Roman" w:hAnsi="Times New Roman"/>
          <w:sz w:val="20"/>
        </w:rPr>
        <w:t xml:space="preserve">(a) all Trademarks of the Trademark Grantor, including, the Trademark registrations and applications listed on </w:t>
      </w:r>
      <w:r>
        <w:rPr>
          <w:rFonts w:ascii="Times New Roman" w:hAnsi="Times New Roman"/>
          <w:sz w:val="20"/>
          <w:u w:val="single"/>
        </w:rPr>
        <w:t>Schedule 1</w:t>
      </w:r>
      <w:r>
        <w:rPr>
          <w:rFonts w:ascii="Times New Roman" w:hAnsi="Times New Roman"/>
          <w:sz w:val="20"/>
        </w:rPr>
        <w:t xml:space="preserve"> attached hereto, together with the goodwill of the business connected with the use of, and symbolized by, each of the foregoing, and all renewals and extensions of any of the foregoing (other than Excluded Assets); and </w:t>
      </w:r>
    </w:p>
    <w:p>
      <w:pPr>
        <w:pStyle w:val="TextBody"/>
        <w:bidi w:val="0"/>
        <w:spacing w:before="120" w:after="0"/>
        <w:jc w:val="both"/>
        <w:rPr>
          <w:rFonts w:ascii="Times New Roman" w:hAnsi="Times New Roman"/>
          <w:sz w:val="20"/>
        </w:rPr>
      </w:pPr>
      <w:r>
        <w:rPr>
          <w:rFonts w:ascii="Times New Roman" w:hAnsi="Times New Roman"/>
          <w:sz w:val="20"/>
        </w:rPr>
        <w:t xml:space="preserve">(b) all Ancillary IP Rights with respect thereto. </w:t>
      </w:r>
    </w:p>
    <w:p>
      <w:pPr>
        <w:pStyle w:val="TextBody"/>
        <w:bidi w:val="0"/>
        <w:spacing w:before="240" w:after="0"/>
        <w:jc w:val="both"/>
        <w:rPr>
          <w:rFonts w:ascii="Times New Roman" w:hAnsi="Times New Roman"/>
          <w:sz w:val="20"/>
        </w:rPr>
      </w:pPr>
      <w:r>
        <w:rPr>
          <w:rFonts w:ascii="Times New Roman" w:hAnsi="Times New Roman"/>
          <w:sz w:val="20"/>
        </w:rPr>
        <w:t xml:space="preserve">This Trademark Security Agreement constitutes an “IP Security Agreement” under (and as defined in) the Note Purchase Agreement. The security interest granted pursuant to this Trademark Security Agreement is granted in conjunction with the security interest granted to the Agent for the benefit of the Secured Parties pursuant to the Security Agreement and can only be terminated in accordance with the Security Agreement. The Trademark Grantor hereby acknowledges and affirms that the rights and remedies of the Agent with respect to the security interest in the Trademarks made and granted hereby are more fully set forth in the Security Agreement. In the event that any provision of this Trademark Security Agreement is deemed to conflict with the Security Agreement, the provisions of the Security Agreement shall govern. </w:t>
      </w:r>
    </w:p>
    <w:p>
      <w:pPr>
        <w:pStyle w:val="TextBody"/>
        <w:bidi w:val="0"/>
        <w:spacing w:before="240" w:after="0"/>
        <w:jc w:val="both"/>
        <w:rPr>
          <w:rFonts w:ascii="Times New Roman" w:hAnsi="Times New Roman"/>
          <w:sz w:val="20"/>
        </w:rPr>
      </w:pPr>
      <w:r>
        <w:rPr>
          <w:rFonts w:ascii="Times New Roman" w:hAnsi="Times New Roman"/>
          <w:sz w:val="20"/>
        </w:rPr>
        <w:t xml:space="preserve">The Trademark Grantor hereby authorizes and requests that the Commissioner for Trademarks of the United States Patent and Trademark Office record this Trademark Security Agreement. </w:t>
      </w:r>
    </w:p>
    <w:p>
      <w:pPr>
        <w:pStyle w:val="TextBody"/>
        <w:bidi w:val="0"/>
        <w:spacing w:before="240" w:after="0"/>
        <w:jc w:val="both"/>
        <w:rPr>
          <w:rFonts w:ascii="Times New Roman" w:hAnsi="Times New Roman"/>
          <w:sz w:val="20"/>
        </w:rPr>
      </w:pPr>
      <w:r>
        <w:rPr>
          <w:rFonts w:ascii="Times New Roman" w:hAnsi="Times New Roman"/>
          <w:sz w:val="20"/>
        </w:rPr>
        <w:t xml:space="preserve">THIS TRADEMARK SECURITY AGREEMENT AND THE RIGHTS AND OBLIGATIONS OF THE PARTIES UNDER THIS TRADEMARK SECURITY AGREEMENT SHALL BE GOVERNED BY, AND CONSTRUED AND INTERPRETED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This Trademark Security Agreement may be executed in any number of separate counterparts, and all of said counterparts taken together shall be deemed to constitute one and the same instrument. Delivery of an executed signature page by facsimile or electronic transmission (in PDF format) shall be effective as delivery of a manually executed counterpart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and Schedule</w:t>
      </w:r>
      <w:r>
        <w:rPr>
          <w:rFonts w:ascii="Times New Roman" w:hAnsi="Times New Roman"/>
          <w:sz w:val="20"/>
        </w:rPr>
        <w:t> </w:t>
      </w:r>
      <w:r>
        <w:rPr>
          <w:rFonts w:ascii="Times New Roman" w:hAnsi="Times New Roman"/>
          <w:i/>
          <w:sz w:val="20"/>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0" w:after="0"/>
        <w:jc w:val="center"/>
        <w:rPr>
          <w:rFonts w:ascii="Times New Roman" w:hAnsi="Times New Roman"/>
          <w:b/>
          <w:sz w:val="20"/>
        </w:rPr>
      </w:pPr>
      <w:r>
        <w:rPr>
          <w:rFonts w:ascii="Times New Roman" w:hAnsi="Times New Roman"/>
          <w:b/>
          <w:sz w:val="20"/>
        </w:rPr>
        <w:t xml:space="preserve">to the Guaranty and Security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JOINDER </w:t>
      </w:r>
    </w:p>
    <w:p>
      <w:pPr>
        <w:pStyle w:val="TextBody"/>
        <w:bidi w:val="0"/>
        <w:spacing w:before="240" w:after="0"/>
        <w:jc w:val="both"/>
        <w:rPr>
          <w:rFonts w:ascii="Times New Roman" w:hAnsi="Times New Roman"/>
          <w:sz w:val="20"/>
        </w:rPr>
      </w:pPr>
      <w:r>
        <w:rPr>
          <w:rFonts w:ascii="Times New Roman" w:hAnsi="Times New Roman"/>
          <w:sz w:val="20"/>
        </w:rPr>
        <w:t>This JOINDER, dated as of [</w:t>
      </w:r>
      <w:r>
        <w:rPr>
          <w:rFonts w:ascii="Times New Roman" w:hAnsi="Times New Roman"/>
          <w:sz w:val="20"/>
          <w:u w:val="single"/>
        </w:rPr>
        <w:t> ], 20[ </w:t>
      </w:r>
      <w:r>
        <w:rPr>
          <w:rFonts w:ascii="Times New Roman" w:hAnsi="Times New Roman"/>
          <w:sz w:val="20"/>
        </w:rPr>
        <w:t>] (this “</w:t>
      </w:r>
      <w:r>
        <w:rPr>
          <w:rFonts w:ascii="Times New Roman" w:hAnsi="Times New Roman"/>
          <w:sz w:val="20"/>
          <w:u w:val="single"/>
        </w:rPr>
        <w:t>Joinder</w:t>
      </w:r>
      <w:r>
        <w:rPr>
          <w:rFonts w:ascii="Times New Roman" w:hAnsi="Times New Roman"/>
          <w:sz w:val="20"/>
        </w:rPr>
        <w:t>”), is executed and delivered by [</w:t>
      </w:r>
      <w:r>
        <w:rPr>
          <w:rFonts w:ascii="Times New Roman" w:hAnsi="Times New Roman"/>
          <w:sz w:val="20"/>
          <w:u w:val="single"/>
        </w:rPr>
        <w:t> ], a [ </w:t>
      </w:r>
      <w:r>
        <w:rPr>
          <w:rFonts w:ascii="Times New Roman" w:hAnsi="Times New Roman"/>
          <w:sz w:val="20"/>
        </w:rPr>
        <w:t>] (the “</w:t>
      </w:r>
      <w:r>
        <w:rPr>
          <w:rFonts w:ascii="Times New Roman" w:hAnsi="Times New Roman"/>
          <w:sz w:val="20"/>
          <w:u w:val="single"/>
        </w:rPr>
        <w:t>New Grantor</w:t>
      </w:r>
      <w:r>
        <w:rPr>
          <w:rFonts w:ascii="Times New Roman" w:hAnsi="Times New Roman"/>
          <w:sz w:val="20"/>
        </w:rPr>
        <w:t>”), pursuant to Section 7.13(a) of the Note Purchase Agreement (as defined below) and Section 8.07 of that certain Guaranty and Security Agreement, dated as of September 23, 2026 (as amended, restated, supplemented or otherwise modified from time to time, the “</w:t>
      </w:r>
      <w:r>
        <w:rPr>
          <w:rFonts w:ascii="Times New Roman" w:hAnsi="Times New Roman"/>
          <w:sz w:val="20"/>
          <w:u w:val="single"/>
        </w:rPr>
        <w:t>Security Agreement</w:t>
      </w:r>
      <w:r>
        <w:rPr>
          <w:rFonts w:ascii="Times New Roman" w:hAnsi="Times New Roman"/>
          <w:sz w:val="20"/>
        </w:rPr>
        <w:t xml:space="preserve">”), by and among the Grantors party thereto, and U.S. Bank Trust Company, National Association, as Agent for the Secured Parties. Capitalized terms used but not otherwise defined herein shall have the meanings given to them in the Security Agreement. </w:t>
      </w:r>
    </w:p>
    <w:p>
      <w:pPr>
        <w:pStyle w:val="TextBody"/>
        <w:bidi w:val="0"/>
        <w:spacing w:before="240" w:after="0"/>
        <w:jc w:val="both"/>
        <w:rPr>
          <w:rFonts w:ascii="Times New Roman" w:hAnsi="Times New Roman"/>
          <w:sz w:val="20"/>
        </w:rPr>
      </w:pPr>
      <w:r>
        <w:rPr>
          <w:rFonts w:ascii="Times New Roman" w:hAnsi="Times New Roman"/>
          <w:sz w:val="20"/>
        </w:rPr>
        <w:t xml:space="preserve">By executing and delivering this Joinder, the New Grantor, as provided in Section 8.07 of the Security Agreement, hereby becomes a party to the Security Agreement as a Grantor and a Guarantor thereunder with the same force and effect as if originally named therein as a Grantor and a Guarantor and, without limiting the generality of the foregoing, (a) hereby jointly and severally, absolutely, unconditionally and irrevocably guarantees the due and punctual payment and performance in full in cash of the Obligations pursuant to, and subject to the limitations of, Article II of the Security Agreement, (b) hereby grants to the Agent, for the benefit of the Secured Parties, as security for the Obligations, a security interest in all of the New Grantor’s right, title and interest in, to and under the Collateral (as defined in the Security Agreement) of the New Grantor, whether now owned or existing or hereafter acquired or arising, subject to the exclusions for Excluded Assets set forth in Section 3.01 of the Security Agreement, and (c) hereby represents and warrants that each of the representations and warranties contained in Article IV of the Security Agreement applicable to it is true and correct on and as of the date hereof (after giving effect to updated Schedule supplements delivered herewith) as if made on and as of such date. </w:t>
      </w:r>
    </w:p>
    <w:p>
      <w:pPr>
        <w:pStyle w:val="TextBody"/>
        <w:bidi w:val="0"/>
        <w:spacing w:before="240" w:after="0"/>
        <w:jc w:val="both"/>
        <w:rPr>
          <w:rFonts w:ascii="Times New Roman" w:hAnsi="Times New Roman"/>
          <w:sz w:val="20"/>
        </w:rPr>
      </w:pPr>
      <w:r>
        <w:rPr>
          <w:rFonts w:ascii="Times New Roman" w:hAnsi="Times New Roman"/>
          <w:sz w:val="20"/>
        </w:rPr>
        <w:t xml:space="preserve">The New Grantor hereby delivers to the Agent, concurrently herewith, a supplement to the Security Agreement schedules setting forth, with respect to the New Grantor, all information required to be provided therein. </w:t>
      </w:r>
    </w:p>
    <w:p>
      <w:pPr>
        <w:pStyle w:val="TextBody"/>
        <w:bidi w:val="0"/>
        <w:spacing w:before="240" w:after="0"/>
        <w:jc w:val="both"/>
        <w:rPr>
          <w:rFonts w:ascii="Times New Roman" w:hAnsi="Times New Roman"/>
          <w:sz w:val="20"/>
        </w:rPr>
      </w:pPr>
      <w:r>
        <w:rPr>
          <w:rFonts w:ascii="Times New Roman" w:hAnsi="Times New Roman"/>
          <w:sz w:val="20"/>
        </w:rPr>
        <w:t xml:space="preserve">THIS JOINDER SHALL BE GOVERNED BY, AND CONSTRUED AND INTERPRETED IN ACCORDANCE WITH, THE LAW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New Grantor has caused this Joinder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66"/>
        <w:gridCol w:w="178"/>
        <w:gridCol w:w="2938"/>
      </w:tblGrid>
      <w:tr>
        <w:trPr/>
        <w:tc>
          <w:tcPr>
            <w:tcW w:w="96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 GRANTOR]</w:t>
            </w:r>
          </w:p>
        </w:tc>
      </w:tr>
      <w:tr>
        <w:trPr>
          <w:trHeight w:val="240" w:hRule="atLeast"/>
        </w:trPr>
        <w:tc>
          <w:tcPr>
            <w:tcW w:w="966" w:type="dxa"/>
            <w:tcBorders/>
            <w:vAlign w:val="center"/>
          </w:tcPr>
          <w:p>
            <w:pPr>
              <w:pStyle w:val="TableContents"/>
              <w:bidi w:val="0"/>
              <w:spacing w:before="0" w:after="283"/>
              <w:jc w:val="left"/>
              <w:rPr>
                <w:sz w:val="4"/>
                <w:szCs w:val="4"/>
              </w:rPr>
            </w:pPr>
            <w:r>
              <w:rPr>
                <w:sz w:val="4"/>
                <w:szCs w:val="4"/>
              </w:rPr>
            </w:r>
          </w:p>
        </w:tc>
        <w:tc>
          <w:tcPr>
            <w:tcW w:w="3116" w:type="dxa"/>
            <w:gridSpan w:val="2"/>
            <w:tcBorders/>
            <w:vAlign w:val="center"/>
          </w:tcPr>
          <w:p>
            <w:pPr>
              <w:pStyle w:val="TableContents"/>
              <w:bidi w:val="0"/>
              <w:spacing w:before="0" w:after="283"/>
              <w:jc w:val="left"/>
              <w:rPr>
                <w:sz w:val="4"/>
                <w:szCs w:val="4"/>
              </w:rPr>
            </w:pPr>
            <w:r>
              <w:rPr>
                <w:sz w:val="4"/>
                <w:szCs w:val="4"/>
              </w:rPr>
            </w:r>
          </w:p>
        </w:tc>
      </w:tr>
      <w:tr>
        <w:trPr/>
        <w:tc>
          <w:tcPr>
            <w:tcW w:w="966" w:type="dxa"/>
            <w:tcBorders/>
          </w:tcPr>
          <w:p>
            <w:pPr>
              <w:pStyle w:val="TableContents"/>
              <w:bidi w:val="0"/>
              <w:spacing w:before="0" w:after="283"/>
              <w:jc w:val="left"/>
              <w:rPr/>
            </w:pPr>
            <w:r>
              <w:rPr/>
              <w:t>By:</w:t>
            </w:r>
          </w:p>
        </w:tc>
        <w:tc>
          <w:tcPr>
            <w:tcW w:w="178" w:type="dxa"/>
            <w:tcBorders>
              <w:bottom w:val="single" w:sz="2" w:space="0" w:color="000000"/>
            </w:tcBorders>
            <w:tcMar>
              <w:bottom w:w="28" w:type="dxa"/>
            </w:tcMar>
            <w:vAlign w:val="bottom"/>
          </w:tcPr>
          <w:p>
            <w:pPr>
              <w:pStyle w:val="TableContents"/>
              <w:bidi w:val="0"/>
              <w:spacing w:before="0" w:after="283"/>
              <w:jc w:val="left"/>
              <w:rPr/>
            </w:pPr>
            <w:r>
              <w:rPr/>
              <w:t> </w:t>
            </w:r>
          </w:p>
        </w:tc>
        <w:tc>
          <w:tcPr>
            <w:tcW w:w="2938"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Acknowledged and agreed: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0"/>
        <w:gridCol w:w="72"/>
        <w:gridCol w:w="3530"/>
      </w:tblGrid>
      <w:tr>
        <w:trPr/>
        <w:tc>
          <w:tcPr>
            <w:tcW w:w="48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as Agent</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3602"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3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4.03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Principal 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4.04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Jurisdiction of Organization and Names; Etc.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4.05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Perfection and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4.06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Intellectual Property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4.08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Federal Employer Identification Number; State Organization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4.09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Pledged Debt and Pledged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4.11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Deposit Accounts and Securities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4.11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5.11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Commercial Tort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5.11 </w:t>
      </w:r>
    </w:p>
    <w:p>
      <w:pPr>
        <w:pStyle w:val="TextBody"/>
        <w:bidi w:val="0"/>
        <w:spacing w:before="0" w:after="0"/>
        <w:jc w:val="right"/>
        <w:rPr>
          <w:rFonts w:ascii="Times New Roman" w:hAnsi="Times New Roman"/>
          <w:b/>
          <w:sz w:val="20"/>
        </w:rPr>
      </w:pPr>
      <w:bookmarkStart w:id="8" w:name="d270232dex991.htm"/>
      <w:bookmarkStart w:id="9" w:name="ksd270232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098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209800" cy="9048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Zymeworks Completes Acquisition of Theravance Biopharma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Conference call with Zymeworks management on September</w:t>
            </w:r>
            <w:r>
              <w:rPr>
                <w:rFonts w:ascii="Times New Roman" w:hAnsi="Times New Roman"/>
                <w:sz w:val="20"/>
              </w:rPr>
              <w:t> </w:t>
            </w:r>
            <w:r>
              <w:rPr>
                <w:rFonts w:ascii="Times New Roman" w:hAnsi="Times New Roman"/>
                <w:i/>
                <w:sz w:val="20"/>
              </w:rPr>
              <w:t>28 at 8:30 am Eastern Time (ET)</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b/>
          <w:sz w:val="20"/>
        </w:rPr>
        <w:t>Vancouver, British Columbia (September 23, 2026)</w:t>
      </w:r>
      <w:r>
        <w:rPr>
          <w:rFonts w:ascii="Times New Roman" w:hAnsi="Times New Roman"/>
          <w:sz w:val="20"/>
        </w:rPr>
        <w:t xml:space="preserve"> – Zymeworks Inc. (Nasdaq: ZYME), a biotechnology company managing a portfolio of licensed healthcare assets while developing a diverse pipeline of novel, multifunctional biotherapeutics, today completed the previously announced acquisition of Theravance Biopharma. With the completion of the transaction, Theravance Biopharma is now part of Zymeworks, further advancing Zymeworks’ strategy to build a diversified revenue-generating biotechnology company, combining innovative R&amp;D with growing commercial and royalty-based cash flows. </w:t>
      </w:r>
    </w:p>
    <w:p>
      <w:pPr>
        <w:pStyle w:val="TextBody"/>
        <w:bidi w:val="0"/>
        <w:spacing w:before="240" w:after="0"/>
        <w:jc w:val="both"/>
        <w:rPr>
          <w:rFonts w:ascii="Times New Roman" w:hAnsi="Times New Roman"/>
          <w:sz w:val="20"/>
        </w:rPr>
      </w:pPr>
      <w:r>
        <w:rPr>
          <w:rFonts w:ascii="Times New Roman" w:hAnsi="Times New Roman"/>
          <w:sz w:val="20"/>
        </w:rPr>
        <w:t xml:space="preserve">Zymeworks will host a conference call with investors and the general public at 8:30 am ET on Monday, September 28, to discuss the final transaction details of the acquisition. Dial-in details and webcast link are available on Zymeworks’ website at </w:t>
      </w:r>
      <w:r>
        <w:rPr>
          <w:rFonts w:ascii="Times New Roman" w:hAnsi="Times New Roman"/>
          <w:sz w:val="20"/>
          <w:u w:val="single"/>
        </w:rPr>
        <w:t>https://ir.zymeworks.com/events-and-presentations</w:t>
      </w:r>
      <w:r>
        <w:rPr>
          <w:rFonts w:ascii="Times New Roman" w:hAnsi="Times New Roman"/>
          <w:sz w:val="20"/>
        </w:rPr>
        <w:t xml:space="preserve">. A replay of the webcast will be available within 24 hours following the conclusion of the call and will remain archived for a limited period. </w:t>
      </w:r>
    </w:p>
    <w:p>
      <w:pPr>
        <w:pStyle w:val="TextBody"/>
        <w:bidi w:val="0"/>
        <w:spacing w:before="360" w:after="0"/>
        <w:jc w:val="left"/>
        <w:rPr>
          <w:rFonts w:ascii="Times New Roman" w:hAnsi="Times New Roman"/>
          <w:b/>
          <w:sz w:val="20"/>
        </w:rPr>
      </w:pPr>
      <w:r>
        <w:rPr>
          <w:rFonts w:ascii="Times New Roman" w:hAnsi="Times New Roman"/>
          <w:b/>
          <w:sz w:val="20"/>
        </w:rPr>
        <w:t xml:space="preserve">About Zymeworks Inc. </w:t>
      </w:r>
    </w:p>
    <w:p>
      <w:pPr>
        <w:pStyle w:val="TextBody"/>
        <w:bidi w:val="0"/>
        <w:spacing w:before="120" w:after="0"/>
        <w:jc w:val="both"/>
        <w:rPr>
          <w:rFonts w:ascii="Times New Roman" w:hAnsi="Times New Roman"/>
          <w:sz w:val="20"/>
        </w:rPr>
      </w:pPr>
      <w:r>
        <w:rPr>
          <w:rFonts w:ascii="Times New Roman" w:hAnsi="Times New Roman"/>
          <w:sz w:val="20"/>
        </w:rPr>
        <w:t xml:space="preserve">Zymeworks is a global biotechnology company building a diversified portfolio of healthcare assets designed to generate durable cash flows while advancing innovative medicines for difficult-to-treat diseases. Zymeworks’ asset and royalty aggregation strategy combines a growing portfolio of commercial and near-commercial assets, including YUPELRI® (revefenacin), with a differentiated internal research and development engine. Zymeworks’ portfolio also includes Ziihera® (zanidatamab-hrii), a HER2-targeted bispecific antibody discovered and developed by Zymeworks and commercialized through global partnerships with Jazz Pharmaceuticals and BeOne Medicines, and pasritamig, a clinical-stage multispecific antibody developed by Johnson &amp; Johnson using Zymeworks’ proprietary antibody engineering technologies. </w:t>
      </w:r>
    </w:p>
    <w:p>
      <w:pPr>
        <w:pStyle w:val="TextBody"/>
        <w:bidi w:val="0"/>
        <w:spacing w:before="240" w:after="0"/>
        <w:jc w:val="both"/>
        <w:rPr>
          <w:rFonts w:ascii="Times New Roman" w:hAnsi="Times New Roman"/>
          <w:sz w:val="20"/>
        </w:rPr>
      </w:pPr>
      <w:r>
        <w:rPr>
          <w:rFonts w:ascii="Times New Roman" w:hAnsi="Times New Roman"/>
          <w:sz w:val="20"/>
        </w:rPr>
        <w:t xml:space="preserve">Zymeworks is advancing a diverse pipeline of novel biotherapeutics, leveraging its proprietary Azymetric platform and expertise in antibody-drug conjugates, multispecific antibodies and other next-generation antibody technologies. These capabilities, together with Zymeworks’ integrated drug development expertise, enable Zymeworks to develop differentiated therapeutics and create value through both internal innovation and strategic partnerships.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about Zymeworks, its portfolio and pipeline, visit </w:t>
      </w:r>
      <w:r>
        <w:rPr>
          <w:rFonts w:ascii="Times New Roman" w:hAnsi="Times New Roman"/>
          <w:sz w:val="20"/>
          <w:u w:val="single"/>
        </w:rPr>
        <w:t>www.zymeworks.com</w:t>
      </w:r>
      <w:r>
        <w:rPr>
          <w:rFonts w:ascii="Times New Roman" w:hAnsi="Times New Roman"/>
          <w:sz w:val="20"/>
        </w:rPr>
        <w:t xml:space="preserve"> and follow @ZymeworksInc on 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the anticipated benefits of the acquisition of Theravance Biopharma; the anticipated benefits of the financing in connection with the closing of the acquisition; anticipated milestone payments; completion of Theravance’s previously announced organizational restructuring; Zymeworks’ flexibility to invest in its R&amp;D pipeline and pursue strategic opportunities while returning capital to stockholders; future growth of YUPELRI® sales and future royalty payments; contingent milestone payments due to Theravance Biopharma from the sale of Theravance Biopharma’s TRELEGY® royalty interests; Zymeworks’ expectations regarding implementation of its long-term strategy to maximize value creation; Zymeworks’ and its partners’ clinical development of product candidates; potential safety profile and therapeutic effects of product candidates; the commercial potential of technology platforms and product candidates; the anticipated benefits of its collaboration agreements; and other information that is not historical information. When used herein, words such as “plan”, “believe”, “expect”, “may”, “continue”, “anticipate”, “potential”, “will”, “on track”, “progress”, “preserve”, “intend”, “could”, or the negative version of these words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w:t>
      </w:r>
    </w:p>
    <w:p>
      <w:pPr>
        <w:pStyle w:val="TextBody"/>
        <w:bidi w:val="0"/>
        <w:spacing w:before="240" w:after="0"/>
        <w:jc w:val="both"/>
        <w:rPr>
          <w:rFonts w:ascii="Times New Roman" w:hAnsi="Times New Roman"/>
          <w:sz w:val="20"/>
        </w:rPr>
      </w:pPr>
      <w:r>
        <w:rPr>
          <w:rFonts w:ascii="Times New Roman" w:hAnsi="Times New Roman"/>
          <w:sz w:val="20"/>
        </w:rPr>
        <w:t xml:space="preserve">Factors that could cause Zymeworks’ actual results to differ materially from those expressed or implied in such forward-looking statements include, but are not limited to: financial closing procedures, final adjustments, and other developments; risks related to the financing in connection with the closing of the acquisition; any of Zymeworks’ or its partners’ product candidates may fail in development, may not receive required regulatory approvals, or may be delayed to a point where they are not commercially viable; uncertainties regarding the commercial success of YUPELRI® and TRELEGY®; the anticipated benefits of the acquisition may not be realized or will not be realized within the expected time period; TRELEGY® may not achieve anticipated sales resulting in sales milestones not being met; Zymeworks may not achieve milestones or receive additional payments or royalties under its collaborations; regulatory agencies may impose additional requirements or delay the initiation of clinical trials; Ziihera® may not be successfully commercialized; and the factors described under “Risk Factors” in Zymeworks’ quarterly and annual reports filed with the U.S. Securities and Exchange Commission and System for Electronic Document Analysis and Retrieval+ (copies of which may be obtained at www.sec.gov and www.sedarplus.ca). </w:t>
      </w:r>
    </w:p>
    <w:p>
      <w:pPr>
        <w:pStyle w:val="TextBody"/>
        <w:bidi w:val="0"/>
        <w:spacing w:before="240" w:after="0"/>
        <w:jc w:val="both"/>
        <w:rPr>
          <w:rFonts w:ascii="Times New Roman" w:hAnsi="Times New Roman"/>
          <w:sz w:val="20"/>
        </w:rPr>
      </w:pPr>
      <w:r>
        <w:rPr>
          <w:rFonts w:ascii="Times New Roman" w:hAnsi="Times New Roman"/>
          <w:sz w:val="20"/>
        </w:rPr>
        <w:t xml:space="preserve">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both"/>
        <w:rPr>
          <w:rFonts w:ascii="Times New Roman" w:hAnsi="Times New Roman"/>
          <w:sz w:val="20"/>
        </w:rPr>
      </w:pPr>
      <w:r>
        <w:rPr>
          <w:rFonts w:ascii="Times New Roman" w:hAnsi="Times New Roman"/>
          <w:sz w:val="20"/>
        </w:rPr>
        <w:t xml:space="preserve">Investor Inquiries: </w:t>
      </w:r>
    </w:p>
    <w:p>
      <w:pPr>
        <w:pStyle w:val="TextBody"/>
        <w:bidi w:val="0"/>
        <w:spacing w:before="0" w:after="0"/>
        <w:jc w:val="left"/>
        <w:rPr>
          <w:rFonts w:ascii="Times New Roman" w:hAnsi="Times New Roman"/>
          <w:sz w:val="20"/>
        </w:rPr>
      </w:pPr>
      <w:r>
        <w:rPr>
          <w:rFonts w:ascii="Times New Roman" w:hAnsi="Times New Roman"/>
          <w:sz w:val="20"/>
        </w:rPr>
        <w:t xml:space="preserve">Shrinal Inamdar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(604) 678-1388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ir@zymeworks.com </w:t>
      </w:r>
    </w:p>
    <w:p>
      <w:pPr>
        <w:pStyle w:val="TextBody"/>
        <w:bidi w:val="0"/>
        <w:spacing w:before="240" w:after="0"/>
        <w:jc w:val="both"/>
        <w:rPr>
          <w:rFonts w:ascii="Times New Roman" w:hAnsi="Times New Roman"/>
          <w:sz w:val="20"/>
        </w:rPr>
      </w:pPr>
      <w:r>
        <w:rPr>
          <w:rFonts w:ascii="Times New Roman" w:hAnsi="Times New Roman"/>
          <w:sz w:val="20"/>
        </w:rPr>
        <w:t xml:space="preserve">Media Inquiries: </w:t>
      </w:r>
    </w:p>
    <w:p>
      <w:pPr>
        <w:pStyle w:val="TextBody"/>
        <w:bidi w:val="0"/>
        <w:spacing w:before="0" w:after="0"/>
        <w:jc w:val="left"/>
        <w:rPr>
          <w:rFonts w:ascii="Times New Roman" w:hAnsi="Times New Roman"/>
          <w:sz w:val="20"/>
        </w:rPr>
      </w:pPr>
      <w:r>
        <w:rPr>
          <w:rFonts w:ascii="Times New Roman" w:hAnsi="Times New Roman"/>
          <w:sz w:val="20"/>
        </w:rPr>
        <w:t xml:space="preserve">Diana Papove </w:t>
      </w:r>
    </w:p>
    <w:p>
      <w:pPr>
        <w:pStyle w:val="TextBody"/>
        <w:bidi w:val="0"/>
        <w:spacing w:before="0" w:after="0"/>
        <w:jc w:val="left"/>
        <w:rPr>
          <w:rFonts w:ascii="Times New Roman" w:hAnsi="Times New Roman"/>
          <w:sz w:val="20"/>
        </w:rPr>
      </w:pPr>
      <w:r>
        <w:rPr>
          <w:rFonts w:ascii="Times New Roman" w:hAnsi="Times New Roman"/>
          <w:sz w:val="20"/>
        </w:rPr>
        <w:t xml:space="preserve">Vice President,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(604) 678-1388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media@zymeworks.com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37653/000119312526286829/d156494dex2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234</Pages>
  <Words>121590</Words>
  <Characters>646805</Characters>
  <CharactersWithSpaces>768849</CharactersWithSpaces>
  <Paragraphs>3434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