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Zymeworks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001-41535</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88-3099146</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108 Patriot Drive, Suite A</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Middletown, Delaware</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19709</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(302) 274-8744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ZYME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Tuesday, December 30, 2025, Zymeworks Inc. (the “Company”), held its 2025 annual meeting of stockholders (the “Annual Meeting”) at 9:00 a.m. Pacific Time, virtually via live audio webcast. As of the close of business on November 3, 2025, the record date for the Annual Meeting, there were 74,835,565 shares of common stock entitled to vote at the meeting and 553,184 exchangeable shares of Zymeworks ExchangeCo Ltd., a company existing under the laws of the Province of British Columbia and an indirect subsidiary of the Company (“ExchangeCo”), entitled to exercise voting rights at the meeting. 63,222,722 shares of common stock and 400 exchangeable shares were present in person or by proxy at the Annual Meeting, representing approximately 84.48% of the Company’s common stock and 0.07% of ExchangeCo’s exchangeable shares entitled to vote at the Annual Meeting, and together representing 83.86% of the voting power of the capital stock of the Company, which constituted a quorum for the transaction of business.</w:t>
      </w:r>
    </w:p>
    <w:p>
      <w:pPr>
        <w:spacing w:after="0" w:line="192" w:lineRule="exact"/>
        <w:rPr>
          <w:sz w:val="20"/>
          <w:szCs w:val="20"/>
          <w:color w:val="auto"/>
        </w:rPr>
      </w:pPr>
    </w:p>
    <w:p>
      <w:pPr>
        <w:ind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below are the matters acted upon by the Company’s stockholders and holders of exchangeable shares (collectively, the “securityholders”) at the Annual Meeting, and the final voting results on each matter. Each of the proposals are described in further detail in the Company’s definitive proxy statement dated November 10, 2025, filed with the Securities and Exchange Commission on </w:t>
      </w:r>
      <w:hyperlink r:id="rId18">
        <w:r>
          <w:rPr>
            <w:rFonts w:ascii="Times New Roman" w:cs="Times New Roman" w:eastAsia="Times New Roman" w:hAnsi="Times New Roman"/>
            <w:sz w:val="18"/>
            <w:szCs w:val="18"/>
            <w:u w:val="single" w:color="auto"/>
            <w:color w:val="0000EE"/>
          </w:rPr>
          <w:t>November 10, 2025</w:t>
        </w:r>
      </w:hyperlink>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nominees were elected as directors to serve until their term expires or until their successors are duly elected or appointed.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Nominee</w:t>
            </w:r>
          </w:p>
        </w:tc>
        <w:tc>
          <w:tcPr>
            <w:tcW w:w="5180" w:type="dxa"/>
            <w:vAlign w:val="bottom"/>
            <w:vMerge w:val="restart"/>
          </w:tcPr>
          <w:p>
            <w:pPr>
              <w:spacing w:after="0"/>
              <w:rPr>
                <w:sz w:val="13"/>
                <w:szCs w:val="13"/>
                <w:color w:val="auto"/>
              </w:rPr>
            </w:pPr>
          </w:p>
        </w:tc>
        <w:tc>
          <w:tcPr>
            <w:tcW w:w="11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Votes Withheld</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Votes</w:t>
            </w: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65"/>
        </w:trPr>
        <w:tc>
          <w:tcPr>
            <w:tcW w:w="540" w:type="dxa"/>
            <w:vAlign w:val="bottom"/>
            <w:tcBorders>
              <w:bottom w:val="single" w:sz="8" w:color="auto"/>
            </w:tcBorders>
            <w:vMerge w:val="continue"/>
          </w:tcPr>
          <w:p>
            <w:pPr>
              <w:spacing w:after="0"/>
              <w:rPr>
                <w:sz w:val="13"/>
                <w:szCs w:val="13"/>
                <w:color w:val="auto"/>
              </w:rPr>
            </w:pPr>
          </w:p>
        </w:tc>
        <w:tc>
          <w:tcPr>
            <w:tcW w:w="518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8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Withheld</w:t>
            </w:r>
          </w:p>
        </w:tc>
        <w:tc>
          <w:tcPr>
            <w:tcW w:w="84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
        </w:trPr>
        <w:tc>
          <w:tcPr>
            <w:tcW w:w="5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Campoy</w:t>
            </w: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53,922,255</w:t>
            </w:r>
          </w:p>
        </w:tc>
        <w:tc>
          <w:tcPr>
            <w:tcW w:w="26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94.35%</w:t>
            </w: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3,231,897</w:t>
            </w:r>
          </w:p>
        </w:tc>
        <w:tc>
          <w:tcPr>
            <w:tcW w:w="26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5.65%</w:t>
            </w:r>
          </w:p>
        </w:tc>
        <w:tc>
          <w:tcPr>
            <w:tcW w:w="840" w:type="dxa"/>
            <w:vAlign w:val="bottom"/>
            <w:tcBorders>
              <w:right w:val="single" w:sz="8" w:color="CCEEFF"/>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6,068,970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Alessandra Cesano</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45,985,104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11,169,048</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19.54%</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6,068,970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Landry</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55,404,212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96.94%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1,749,940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w:t>
            </w:r>
          </w:p>
        </w:tc>
        <w:tc>
          <w:tcPr>
            <w:tcW w:w="8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6,068,970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Advisory Vote on the Compensation of Named Executive Officers</w:t>
      </w:r>
    </w:p>
    <w:p>
      <w:pPr>
        <w:spacing w:after="0" w:line="135" w:lineRule="exact"/>
        <w:rPr>
          <w:sz w:val="20"/>
          <w:szCs w:val="20"/>
          <w:color w:val="auto"/>
        </w:rPr>
      </w:pPr>
    </w:p>
    <w:p>
      <w:pPr>
        <w:ind w:left="960" w:right="10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securityholders approved, on an advisory and non-binding basis, the compensation of the Company’s named executive officers. There were 6,068,970 broker non-votes for this proposal.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Votes For</w:t>
            </w:r>
          </w:p>
        </w:tc>
        <w:tc>
          <w:tcPr>
            <w:tcW w:w="10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580" w:type="dxa"/>
            <w:vAlign w:val="bottom"/>
            <w:gridSpan w:val="3"/>
            <w:vMerge w:val="restart"/>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 Votes Against</w:t>
            </w:r>
          </w:p>
        </w:tc>
        <w:tc>
          <w:tcPr>
            <w:tcW w:w="25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Votes Abstaining</w:t>
            </w: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Votes</w:t>
            </w:r>
          </w:p>
        </w:tc>
        <w:tc>
          <w:tcPr>
            <w:tcW w:w="0" w:type="dxa"/>
            <w:vAlign w:val="bottom"/>
          </w:tcPr>
          <w:p>
            <w:pPr>
              <w:spacing w:after="0"/>
              <w:rPr>
                <w:sz w:val="1"/>
                <w:szCs w:val="1"/>
                <w:color w:val="auto"/>
              </w:rPr>
            </w:pPr>
          </w:p>
        </w:tc>
      </w:tr>
      <w:tr>
        <w:trPr>
          <w:trHeight w:val="173"/>
        </w:trPr>
        <w:tc>
          <w:tcPr>
            <w:tcW w:w="222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580" w:type="dxa"/>
            <w:vAlign w:val="bottom"/>
            <w:gridSpan w:val="3"/>
            <w:vMerge w:val="continue"/>
          </w:tcPr>
          <w:p>
            <w:pPr>
              <w:spacing w:after="0"/>
              <w:rPr>
                <w:sz w:val="15"/>
                <w:szCs w:val="15"/>
                <w:color w:val="auto"/>
              </w:rPr>
            </w:pPr>
          </w:p>
        </w:tc>
        <w:tc>
          <w:tcPr>
            <w:tcW w:w="2520" w:type="dxa"/>
            <w:vAlign w:val="bottom"/>
            <w:gridSpan w:val="3"/>
            <w:vMerge w:val="continue"/>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Abstaining</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53,710,820</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93.98%</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3,391,788</w:t>
            </w: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5.93%</w:t>
            </w: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51,544</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 Ratification of Appointment of Auditor</w:t>
      </w:r>
    </w:p>
    <w:p>
      <w:pPr>
        <w:spacing w:after="0" w:line="135" w:lineRule="exact"/>
        <w:rPr>
          <w:sz w:val="20"/>
          <w:szCs w:val="20"/>
          <w:color w:val="auto"/>
        </w:rPr>
      </w:pPr>
    </w:p>
    <w:p>
      <w:pPr>
        <w:ind w:left="960" w:right="30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securityholders ratified the appointment of KPMG LLP, chartered professional accountants, as the Company’s auditors for the year ending December 31, 2025. There were 0 broker non-votes for this proposal.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Votes For</w:t>
            </w:r>
          </w:p>
        </w:tc>
        <w:tc>
          <w:tcPr>
            <w:tcW w:w="10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580" w:type="dxa"/>
            <w:vAlign w:val="bottom"/>
            <w:gridSpan w:val="3"/>
            <w:vMerge w:val="restart"/>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 Votes Against</w:t>
            </w:r>
          </w:p>
        </w:tc>
        <w:tc>
          <w:tcPr>
            <w:tcW w:w="25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Votes Abstaining</w:t>
            </w: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Votes</w:t>
            </w:r>
          </w:p>
        </w:tc>
        <w:tc>
          <w:tcPr>
            <w:tcW w:w="0" w:type="dxa"/>
            <w:vAlign w:val="bottom"/>
          </w:tcPr>
          <w:p>
            <w:pPr>
              <w:spacing w:after="0"/>
              <w:rPr>
                <w:sz w:val="1"/>
                <w:szCs w:val="1"/>
                <w:color w:val="auto"/>
              </w:rPr>
            </w:pPr>
          </w:p>
        </w:tc>
      </w:tr>
      <w:tr>
        <w:trPr>
          <w:trHeight w:val="173"/>
        </w:trPr>
        <w:tc>
          <w:tcPr>
            <w:tcW w:w="222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580" w:type="dxa"/>
            <w:vAlign w:val="bottom"/>
            <w:gridSpan w:val="3"/>
            <w:vMerge w:val="continue"/>
          </w:tcPr>
          <w:p>
            <w:pPr>
              <w:spacing w:after="0"/>
              <w:rPr>
                <w:sz w:val="15"/>
                <w:szCs w:val="15"/>
                <w:color w:val="auto"/>
              </w:rPr>
            </w:pPr>
          </w:p>
        </w:tc>
        <w:tc>
          <w:tcPr>
            <w:tcW w:w="2520" w:type="dxa"/>
            <w:vAlign w:val="bottom"/>
            <w:gridSpan w:val="3"/>
            <w:vMerge w:val="continue"/>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Abstaining</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62,934,142</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99.54%</w:t>
            </w:r>
          </w:p>
        </w:tc>
        <w:tc>
          <w:tcPr>
            <w:tcW w:w="18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263,022</w:t>
            </w: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0.42%</w:t>
            </w: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25,958</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ZYMEWORKS INC.</w:t>
            </w:r>
          </w:p>
        </w:tc>
      </w:tr>
      <w:tr>
        <w:trPr>
          <w:trHeight w:val="234"/>
        </w:trPr>
        <w:tc>
          <w:tcPr>
            <w:tcW w:w="3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30, 2025</w:t>
            </w: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Kenneth Galbraith</w:t>
            </w:r>
          </w:p>
        </w:tc>
      </w:tr>
      <w:tr>
        <w:trPr>
          <w:trHeight w:val="205"/>
        </w:trPr>
        <w:tc>
          <w:tcPr>
            <w:tcW w:w="3660" w:type="dxa"/>
            <w:vAlign w:val="bottom"/>
          </w:tcPr>
          <w:p>
            <w:pPr>
              <w:spacing w:after="0"/>
              <w:rPr>
                <w:sz w:val="17"/>
                <w:szCs w:val="17"/>
                <w:color w:val="auto"/>
              </w:rPr>
            </w:pPr>
          </w:p>
        </w:tc>
        <w:tc>
          <w:tcPr>
            <w:tcW w:w="250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Kenneth Galbraith</w:t>
            </w:r>
          </w:p>
        </w:tc>
      </w:tr>
      <w:tr>
        <w:trPr>
          <w:trHeight w:val="216"/>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 President and Chief Executive</w:t>
            </w:r>
          </w:p>
        </w:tc>
      </w:tr>
      <w:tr>
        <w:trPr>
          <w:trHeight w:val="234"/>
        </w:trPr>
        <w:tc>
          <w:tcPr>
            <w:tcW w:w="3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378"/>
        </w:trPr>
        <w:tc>
          <w:tcPr>
            <w:tcW w:w="3660" w:type="dxa"/>
            <w:vAlign w:val="bottom"/>
          </w:tcPr>
          <w:p>
            <w:pPr>
              <w:spacing w:after="0"/>
              <w:rPr>
                <w:sz w:val="24"/>
                <w:szCs w:val="24"/>
                <w:color w:val="auto"/>
              </w:rPr>
            </w:pPr>
          </w:p>
        </w:tc>
        <w:tc>
          <w:tcPr>
            <w:tcW w:w="25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4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18" Type="http://schemas.openxmlformats.org/officeDocument/2006/relationships/hyperlink" Target="http://www.sec.gov/Archives/edgar/data/d81081ddef14a.htm/000119312525274338/0001193125-25-274338-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2025-12-30T16:58:57Z</dcterms:created>
  <dcterms:modified xsi:type="dcterms:W3CDTF">2025-12-30T16:58:57Z</dcterms:modified>
</cp:coreProperties>
</file>