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March 31,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Commission file number: 001-41535</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ZYMEWORKS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tbl>
      <w:tblPr>
        <w:tblW w:w="4184" w:type="dxa"/>
        <w:jc w:val="center"/>
        <w:tblInd w:w="0" w:type="dxa"/>
        <w:tblLayout w:type="fixed"/>
        <w:tblCellMar>
          <w:top w:w="28" w:type="dxa"/>
          <w:left w:w="28" w:type="dxa"/>
          <w:bottom w:w="28" w:type="dxa"/>
          <w:right w:w="28" w:type="dxa"/>
        </w:tblCellMar>
      </w:tblPr>
      <w:tblGrid>
        <w:gridCol w:w="857"/>
        <w:gridCol w:w="753"/>
        <w:gridCol w:w="760"/>
        <w:gridCol w:w="528"/>
        <w:gridCol w:w="528"/>
        <w:gridCol w:w="75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88-3099146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108 Patriot Drive, Suite 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Middletown, Delaware 19709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(302) 274-8744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142" w:type="dxa"/>
        <w:jc w:val="center"/>
        <w:tblInd w:w="0" w:type="dxa"/>
        <w:tblLayout w:type="fixed"/>
        <w:tblCellMar>
          <w:top w:w="28" w:type="dxa"/>
          <w:left w:w="28" w:type="dxa"/>
          <w:bottom w:w="28" w:type="dxa"/>
          <w:right w:w="28" w:type="dxa"/>
        </w:tblCellMar>
      </w:tblPr>
      <w:tblGrid>
        <w:gridCol w:w="1232"/>
        <w:gridCol w:w="1086"/>
        <w:gridCol w:w="1101"/>
        <w:gridCol w:w="484"/>
        <w:gridCol w:w="484"/>
        <w:gridCol w:w="486"/>
        <w:gridCol w:w="956"/>
        <w:gridCol w:w="956"/>
        <w:gridCol w:w="1357"/>
      </w:tblGrid>
      <w:tr>
        <w:trPr/>
        <w:tc>
          <w:tcPr>
            <w:tcW w:w="123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4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Common Stock, $0.00001 par value per share </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ZYME</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w:t>
      </w:r>
      <w:r>
        <w:rPr>
          <w:rFonts w:ascii="Times New Roman;serif" w:hAnsi="Times New Roman;serif"/>
          <w:b w:val="false"/>
          <w:color w:val="000000"/>
          <w:sz w:val="18"/>
          <w:shd w:fill="FFFFFF" w:val="clear"/>
        </w:rPr>
        <w:t>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is a shell company (as defined in Rule 12b-2 of the Securities Exchange Act of 1934).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The number of outstanding shares of common stock of the registrant, $0.00001 par value per share, as of May 6, 2026 was 73,023,061.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 Ended March 31,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836" w:type="dxa"/>
        <w:jc w:val="center"/>
        <w:tblInd w:w="0" w:type="dxa"/>
        <w:tblLayout w:type="fixed"/>
        <w:tblCellMar>
          <w:top w:w="28" w:type="dxa"/>
          <w:left w:w="28" w:type="dxa"/>
          <w:bottom w:w="28" w:type="dxa"/>
          <w:right w:w="28" w:type="dxa"/>
        </w:tblCellMar>
      </w:tblPr>
      <w:tblGrid>
        <w:gridCol w:w="370"/>
        <w:gridCol w:w="325"/>
        <w:gridCol w:w="325"/>
        <w:gridCol w:w="2452"/>
        <w:gridCol w:w="2452"/>
        <w:gridCol w:w="2460"/>
        <w:gridCol w:w="418"/>
        <w:gridCol w:w="418"/>
        <w:gridCol w:w="616"/>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9836"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4f761c0bda3b424ab5e7f02bff6ad8b2_19">
              <w:r>
                <w:rPr>
                  <w:rStyle w:val="InternetLink"/>
                  <w:rFonts w:ascii="Times New Roman;serif" w:hAnsi="Times New Roman;serif"/>
                  <w:b/>
                  <w:strike w:val="false"/>
                  <w:dstrike w:val="false"/>
                  <w:color w:val="000000"/>
                  <w:sz w:val="20"/>
                  <w:u w:val="none"/>
                  <w:effect w:val="none"/>
                </w:rPr>
                <w:t>PART I. FINANCIAL INFORMATION</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9">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9">
              <w:r>
                <w:rPr>
                  <w:rStyle w:val="InternetLink"/>
                  <w:rFonts w:ascii="Times New Roman;serif" w:hAnsi="Times New Roman;serif"/>
                  <w:b w:val="false"/>
                  <w:color w:val="0000FF"/>
                  <w:sz w:val="20"/>
                  <w:u w:val="single"/>
                </w:rPr>
                <w:t>Financial Statements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19">
              <w:r>
                <w:rPr>
                  <w:rStyle w:val="InternetLink"/>
                  <w:rFonts w:ascii="Times New Roman;serif" w:hAnsi="Times New Roman;serif"/>
                  <w:b w:val="false"/>
                  <w:strike w:val="false"/>
                  <w:dstrike w:val="false"/>
                  <w:color w:val="000000"/>
                  <w:sz w:val="20"/>
                  <w:u w:val="none"/>
                  <w:effect w:val="none"/>
                </w:rPr>
                <w:t>1</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85">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85">
              <w:r>
                <w:rPr>
                  <w:rStyle w:val="InternetLink"/>
                  <w:rFonts w:ascii="Times New Roman;serif" w:hAnsi="Times New Roman;serif"/>
                  <w:b w:val="false"/>
                  <w:strike w:val="false"/>
                  <w:dstrike w:val="false"/>
                  <w:color w:val="000000"/>
                  <w:sz w:val="20"/>
                  <w:u w:val="none"/>
                  <w:effect w:val="none"/>
                </w:rPr>
                <w:t>20</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18">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18">
              <w:r>
                <w:rPr>
                  <w:rStyle w:val="InternetLink"/>
                  <w:rFonts w:ascii="Times New Roman;serif" w:hAnsi="Times New Roman;serif"/>
                  <w:b w:val="false"/>
                  <w:color w:val="0000FF"/>
                  <w:sz w:val="20"/>
                  <w:u w:val="single"/>
                </w:rPr>
                <w:t>Quantitative and Qualitative Disclosures About Market Risk</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118">
              <w:r>
                <w:rPr>
                  <w:rStyle w:val="InternetLink"/>
                  <w:rFonts w:ascii="Times New Roman;serif" w:hAnsi="Times New Roman;serif"/>
                  <w:b w:val="false"/>
                  <w:strike w:val="false"/>
                  <w:dstrike w:val="false"/>
                  <w:color w:val="000000"/>
                  <w:sz w:val="20"/>
                  <w:u w:val="none"/>
                  <w:effect w:val="none"/>
                </w:rPr>
                <w:t>37</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21">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21">
              <w:r>
                <w:rPr>
                  <w:rStyle w:val="InternetLink"/>
                  <w:rFonts w:ascii="Times New Roman;serif" w:hAnsi="Times New Roman;serif"/>
                  <w:b w:val="false"/>
                  <w:color w:val="0000FF"/>
                  <w:sz w:val="20"/>
                  <w:u w:val="single"/>
                </w:rPr>
                <w:t>Controls and Procedures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121">
              <w:r>
                <w:rPr>
                  <w:rStyle w:val="InternetLink"/>
                  <w:rFonts w:ascii="Times New Roman;serif" w:hAnsi="Times New Roman;serif"/>
                  <w:b w:val="false"/>
                  <w:strike w:val="false"/>
                  <w:dstrike w:val="false"/>
                  <w:color w:val="000000"/>
                  <w:sz w:val="20"/>
                  <w:u w:val="none"/>
                  <w:effect w:val="none"/>
                </w:rPr>
                <w:t>37</w:t>
              </w:r>
            </w:hyperlink>
          </w:p>
        </w:tc>
      </w:tr>
      <w:tr>
        <w:trPr/>
        <w:tc>
          <w:tcPr>
            <w:tcW w:w="9836"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4f761c0bda3b424ab5e7f02bff6ad8b2_124">
              <w:r>
                <w:rPr>
                  <w:rStyle w:val="InternetLink"/>
                  <w:rFonts w:ascii="Times New Roman;serif" w:hAnsi="Times New Roman;serif"/>
                  <w:b/>
                  <w:strike w:val="false"/>
                  <w:dstrike w:val="false"/>
                  <w:color w:val="000000"/>
                  <w:sz w:val="20"/>
                  <w:u w:val="none"/>
                  <w:effect w:val="none"/>
                </w:rPr>
                <w:t>PART II. OTHER INFORMATION</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27">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27">
              <w:r>
                <w:rPr>
                  <w:rStyle w:val="InternetLink"/>
                  <w:rFonts w:ascii="Times New Roman;serif" w:hAnsi="Times New Roman;serif"/>
                  <w:b w:val="false"/>
                  <w:color w:val="0000FF"/>
                  <w:sz w:val="20"/>
                  <w:u w:val="single"/>
                </w:rPr>
                <w:t>Legal Proceedings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127">
              <w:r>
                <w:rPr>
                  <w:rStyle w:val="InternetLink"/>
                  <w:rFonts w:ascii="Times New Roman;serif" w:hAnsi="Times New Roman;serif"/>
                  <w:b w:val="false"/>
                  <w:strike w:val="false"/>
                  <w:dstrike w:val="false"/>
                  <w:color w:val="000000"/>
                  <w:sz w:val="20"/>
                  <w:u w:val="none"/>
                  <w:effect w:val="none"/>
                </w:rPr>
                <w:t>38</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266">
              <w:r>
                <w:rPr>
                  <w:rStyle w:val="InternetLink"/>
                  <w:rFonts w:ascii="Times New Roman;serif" w:hAnsi="Times New Roman;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Risk Factors</w:t>
            </w:r>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127">
              <w:r>
                <w:rPr>
                  <w:rStyle w:val="InternetLink"/>
                  <w:rFonts w:ascii="Times New Roman;serif" w:hAnsi="Times New Roman;serif"/>
                  <w:b w:val="false"/>
                  <w:strike w:val="false"/>
                  <w:dstrike w:val="false"/>
                  <w:color w:val="000000"/>
                  <w:sz w:val="20"/>
                  <w:u w:val="none"/>
                  <w:effect w:val="none"/>
                </w:rPr>
                <w:t>38</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33">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33">
              <w:r>
                <w:rPr>
                  <w:rStyle w:val="InternetLink"/>
                  <w:rFonts w:ascii="Times New Roman;serif" w:hAnsi="Times New Roman;serif"/>
                  <w:b w:val="false"/>
                  <w:color w:val="0000FF"/>
                  <w:sz w:val="20"/>
                  <w:u w:val="single"/>
                </w:rPr>
                <w:t>Unregistered Sales of Equity Securities and Use of Proceeds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133">
              <w:r>
                <w:rPr>
                  <w:rStyle w:val="InternetLink"/>
                  <w:rFonts w:ascii="Times New Roman;serif" w:hAnsi="Times New Roman;serif"/>
                  <w:b w:val="false"/>
                  <w:strike w:val="false"/>
                  <w:dstrike w:val="false"/>
                  <w:color w:val="000000"/>
                  <w:sz w:val="20"/>
                  <w:u w:val="none"/>
                  <w:effect w:val="none"/>
                </w:rPr>
                <w:t>76</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36">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36">
              <w:r>
                <w:rPr>
                  <w:rStyle w:val="InternetLink"/>
                  <w:rFonts w:ascii="Times New Roman;serif" w:hAnsi="Times New Roman;serif"/>
                  <w:b w:val="false"/>
                  <w:color w:val="0000FF"/>
                  <w:sz w:val="20"/>
                  <w:u w:val="single"/>
                </w:rPr>
                <w:t>Defaults upon Senior Securities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136">
              <w:r>
                <w:rPr>
                  <w:rStyle w:val="InternetLink"/>
                  <w:rFonts w:ascii="Times New Roman;serif" w:hAnsi="Times New Roman;serif"/>
                  <w:b w:val="false"/>
                  <w:strike w:val="false"/>
                  <w:dstrike w:val="false"/>
                  <w:color w:val="000000"/>
                  <w:sz w:val="20"/>
                  <w:u w:val="none"/>
                  <w:effect w:val="none"/>
                </w:rPr>
                <w:t>76</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39">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39">
              <w:r>
                <w:rPr>
                  <w:rStyle w:val="InternetLink"/>
                  <w:rFonts w:ascii="Times New Roman;serif" w:hAnsi="Times New Roman;serif"/>
                  <w:b w:val="false"/>
                  <w:color w:val="0000FF"/>
                  <w:sz w:val="20"/>
                  <w:u w:val="single"/>
                </w:rPr>
                <w:t>Mine Safety Disclosures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139">
              <w:r>
                <w:rPr>
                  <w:rStyle w:val="InternetLink"/>
                  <w:rFonts w:ascii="Times New Roman;serif" w:hAnsi="Times New Roman;serif"/>
                  <w:b w:val="false"/>
                  <w:strike w:val="false"/>
                  <w:dstrike w:val="false"/>
                  <w:color w:val="000000"/>
                  <w:sz w:val="20"/>
                  <w:u w:val="none"/>
                  <w:effect w:val="none"/>
                </w:rPr>
                <w:t>76</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42">
              <w:r>
                <w:rPr>
                  <w:rStyle w:val="InternetLink"/>
                  <w:rFonts w:ascii="Times New Roman;serif" w:hAnsi="Times New Roman;serif"/>
                  <w:b w:val="false"/>
                  <w:strike w:val="false"/>
                  <w:dstrike w:val="false"/>
                  <w:color w:val="0000FF"/>
                  <w:sz w:val="20"/>
                  <w:u w:val="none"/>
                  <w:effect w:val="non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42">
              <w:r>
                <w:rPr>
                  <w:rStyle w:val="InternetLink"/>
                  <w:rFonts w:ascii="Times New Roman;serif" w:hAnsi="Times New Roman;serif"/>
                  <w:b w:val="false"/>
                  <w:color w:val="0000FF"/>
                  <w:sz w:val="20"/>
                  <w:u w:val="single"/>
                </w:rPr>
                <w:t>Other Information</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142">
              <w:r>
                <w:rPr>
                  <w:rStyle w:val="InternetLink"/>
                  <w:rFonts w:ascii="Times New Roman;serif" w:hAnsi="Times New Roman;serif"/>
                  <w:b w:val="false"/>
                  <w:strike w:val="false"/>
                  <w:dstrike w:val="false"/>
                  <w:color w:val="000000"/>
                  <w:sz w:val="20"/>
                  <w:u w:val="none"/>
                  <w:effect w:val="none"/>
                </w:rPr>
                <w:t>76</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48">
              <w:r>
                <w:rPr>
                  <w:rStyle w:val="InternetLink"/>
                  <w:rFonts w:ascii="Times New Roman;serif" w:hAnsi="Times New Roman;serif"/>
                  <w:b w:val="false"/>
                  <w:strike w:val="false"/>
                  <w:dstrike w:val="false"/>
                  <w:color w:val="0000FF"/>
                  <w:sz w:val="20"/>
                  <w:u w:val="none"/>
                  <w:effect w:val="non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145">
              <w:r>
                <w:rPr>
                  <w:rStyle w:val="InternetLink"/>
                  <w:rFonts w:ascii="Times New Roman;serif" w:hAnsi="Times New Roman;serif"/>
                  <w:b w:val="false"/>
                  <w:color w:val="0000FF"/>
                  <w:sz w:val="20"/>
                  <w:u w:val="single"/>
                </w:rPr>
                <w:t>Exhibits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145">
              <w:r>
                <w:rPr>
                  <w:rStyle w:val="InternetLink"/>
                  <w:rFonts w:ascii="Times New Roman;serif" w:hAnsi="Times New Roman;serif"/>
                  <w:b w:val="false"/>
                  <w:strike w:val="false"/>
                  <w:dstrike w:val="false"/>
                  <w:color w:val="000000"/>
                  <w:sz w:val="20"/>
                  <w:u w:val="none"/>
                  <w:effect w:val="none"/>
                </w:rPr>
                <w:t>77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or information within the meaning of applicable securities legislation, including Section 27A of the Securities Act of 1933, as amended (the “Securities Act”), and Section 21E of the Securities Exchange Act of 1934, as amended (the “Exchange Act”). Forward-looking statements include statements that may relate to our plans, objectives, goals, strategies, future events, future revenue or performance, capital expenditures, financing needs and other information that is not historical information. Many of these statements appear, in particular, under the headings “Business,” “Risk Factors” and “Management’s Discussion and Analysis of Financial Condition and Results of Operations.” Forward-looking statements can often be identified by the use of terminology such as “subject to,” “believe,” “anticipate,” “plan,” “expect,” “intend,” “estimate,” “project,” “may,” “will,” “should,” “would,” “could,” “can,” the negatives thereof, variations thereon and similar expressions, or by discussions of strategy. In addition, any statements or information that refer to expectations, beliefs, plans, projections, objectives, performance or other characterizations of future events or circumstances, including any underlying assumptions, are forward-looking. In particular, these forward-looking statements include, but are not limited to, statements about: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of our addressable markets and our or our strategic partners’ ability to commercialize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achievement of advances in and expansion of our therapeutic platforms and antibody engineering expertise;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likelihood of our or our strategic partners’ product candidate development and clinical trial progression, initiation or success;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receipt of milestone and royalty revenue from existing or potential new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evolution of our business strategy related to anticipated and potential future milestones and royalty streams and existing and potential new partnerships;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compound long-term stockholder value;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predict and manage government regulation.</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including, without limitation, those related to our examination of historical operating trends, are based upon our current expectations and various assumptions. Certain assumptions made in preparing the forward-looking statements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the evolution of our business strategy effectively;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absence of material adverse changes in our industry or the global economy;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understand and predict trends in our industry and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enter into and maintain good business relationships with our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comply with and navigate current and future regulatory standards, policies and programs, some of which are rapidly changing;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protect our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continued compliance with third-party license terms and the non-infringement of third-party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and integrate any acquisitions we may pursue;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identify, successfully compete for and acquire attractive royalty-generating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suitable acquisition or in-licensing opportunities or strategic partners that are consistent with the evolution of our business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continued ability to receive milestones and royalties from current and future collaborations;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retain key personnel;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raise sufficient debt, equity, or non-dilutive financing to support our strategy and business objectives.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referred to in the section titled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Risk Factors”), could affect future performance and cause actual results to differ materially from those matters expressed in or implied by forward-looking statements: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success of our royalty-driven asset aggregation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disruption of our business and dilution of our shareholdings associated with acquisitions, joint ventures and other business development transactions;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acquire favorable assets and progress them through preclinical and clinical development;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discretion to discontinue or reprioritize the development of any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achieve milestones and receive associated milestone payments and royalties pursuant to the terms of our collaboration agreements, including the Amended Jazz Collaboration Agreement (as defined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existing and future strategic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realize the anticipated benefits of our strategic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secure future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satisfy obligations and realize expected benefits under our financing arrangements, which may depend on future royalties and other factors that are subject to uncertainty;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face significant competition, including biosimilar products, as well as competition for potential acquisitions and other business development transactions we may pursue;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or our strategic partners’ ability to obtain regulatory approval for product candidates without significant delays;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predictive value of our or our strategic partners’ current or planned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delays with respect to the development and commercialization of our or our strategic partners’ product candidates, which may cause increased costs or delay receipt of product revenue;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or any of our strategic partners’ ability to enroll subjects in clinical trials and thereby complete trials on a timely basis;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design or our execution of clinical trials may not support regulatory approval, including where clinical trials are conducted outside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achieve milestones and receive associated milestone payments and royalties pursuant to the terms of our collaboration agreements, including the Amended Jazz Collaboration Agreement (as defined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extent to which our business may be adversely affected by pandemics or other health crises;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global economic and political conditions, a</w:t>
      </w:r>
      <w:r>
        <w:rPr>
          <w:rFonts w:ascii="Times New Roman;serif" w:hAnsi="Times New Roman;serif"/>
          <w:b w:val="false"/>
          <w:color w:val="000000"/>
          <w:sz w:val="20"/>
        </w:rPr>
        <w:t xml:space="preserve">s well as social and political unrest in the locations where our or our strategic partners’ clinical trials are held, and the related impact on our business and the markets generally;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unanticipated tax consequences in connection with the Redomicile Transactions (as defined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possibility that the Fast Track and Breakthrough Therapy designations for any of our or our strategic partners’ product candidates may not expedite regulatory review or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U.S. Food and Drug Administration’s (the “FDA”) refusal to accept data from trials we or our strategic partners conduct outside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disruptions at the FDA and other government agencies caused by funding shortages, global health concerns or changes implemented by the current U.S. Presidential administration;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regulations and customs, tariffs and trade barriers;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potential for our or our strategic partners’ product candidates to have undesirable side effects;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likelihood of broad market acceptance of our or our strategic partners’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ability to obtain Orphan Drug Designation or exclusivity for some or all of our or our strategic partners’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commercialize products outside of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outcome of reimbursement decisions by third-party payors relating to our or our strategic partners’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expectations with respect to the market opportunities for any product that we or our strategic partners develop;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pursue product candidates that may be profitable or have a high likelihood of success;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use and expand our therapeutic platforms to build a pipeline of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meet the requirements of ongoing regulatory review;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threat of product liability lawsuits against us or any of our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product candidate manufacturing or formulation that may result in additional costs or delay;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for non-U.S. governments to impose strict price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security breaches and incidents or data loss, which could compromise sensitive business or health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current and future legislation that may increase the difficulty and cost of commercializing our or our strategic partners’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economic, political, regulatory and other risks associated with international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exposure to legal and reputational penalties as a result of any of our current and future relationships with various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comply with export control and import laws and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history of significant losses since inception;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dilution to our stockholders associated with any future financings;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our ability to seek financing, which may be imposed by future debt;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unstable market and economic conditions;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currency fluctuations and changes in currency exchange rates;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or a third party’s ability to successfully develop any companion diagnostic tests for our product candidates without significant delays;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reliance on third-party manufacturers to produce our product candidate supplies and on other third parties to monitor and transport bulk drug substance and drug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reliance on third parties to oversee clinical trials of our product candidates and, in some cases, maintain regulatory files for those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manufacture of product candidates and difficulties in production;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reliance on third parties for various operational and administrative aspects of our business including our reliance on third parties’ cloud-based software platforms;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reliance on the performance of independent clinical investigators and contract research organizations (“CROs”);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operate without infringing the patents and other proprietary rights of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obtain and enforce patent protection for our or our strategic partners’ product candidates and related technology;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patents could be found invalid or unenforceable if challenged;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intellectual property rights may not necessarily provide us with competitive advantages;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potential involvement in expensive and time-consuming patent lawsuits;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that the duration of our patents will not adequately protect our competitive position;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obtain protection under the Drug Price Competition and Patent Term Restoration Act of 1984 (the “Hatch-Waxman Amendments”) and similar non-U.S. legislation;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protect the confidentiality of our proprietary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comply with procedural and administrative requirements relating to our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claims challenging the inventorship of our patents and other intellectual property;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dependency on the abilities of third parties to assert and defend our intellectual property rights for some of our or our strategic partners’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patent reform legislation and court decisions can diminish the value of patents in general, thereby impairing our ability to protect our or our strategic partners’ products or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protect our intellectual property rights throughout the world;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that we and our strategic partners will require FDA approval for any proposed product candidate names and any failure or delay associated with such approval which may adversely affect our anticipated milestone or royalty revenues;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election to rely on certain reduced reporting and disclosure requirements available to smaller reporting companies may make our common stock less attractive to investors;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employee misconduct including noncompliance with regulatory standards and insider trading;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market products in a manner that does not violate the law and subject us to civil or criminal penalties;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adverse effects to our business from any non-compliance with laws regulating the protection of the environment and health and human safety;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retain key executives and attract and retain qualified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the evolution of our business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exposure to potential securities class action litigation;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possibility that our share price and trading volume could decline if securities or industry analysts do not publish research or publish inaccurate or unfavorable research about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Consequently, forward-looking statements should be regarded solely as our current plans, estimates and beliefs. You should not place undue reliance on forward-looking statements.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 except as required by law.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own or have rights to trademarks, service marks or trade names that we use in connection with the operation of our business. In addition, our names, logos and website names and addresses are our service marks or trademarks. Our registered trademarks include Azymetric, Zymeworks, ZymeCAD, EFECT, ZymeLink and ProTECT. The other trademarks, trade names and service marks appearing in this Quarterly Report on Form 10-Q are the property of their respective owners. Solely for convenience, the trademarks, service marks, tradenames and copyrights referred to in this Quarterly Report on Form 10-Q are listed without the ©, ® and TM symbols, but we will assert, to the fullest extent under applicable law, our rights or the rights of the applicable licensors to these trademarks, service marks and tradenames.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express all amounts in this Quarterly Report on Form 10-Q in U.S. dollars, except where otherwise indicated. References to “$” and “US$” are to U.S. dollars and references to “C$” are to Canadian dollars.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00" w:after="30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260"/>
        <w:jc w:val="left"/>
        <w:rPr/>
      </w:pPr>
      <w:r>
        <w:rPr/>
      </w:r>
    </w:p>
    <w:p>
      <w:pPr>
        <w:pStyle w:val="TextBody"/>
        <w:bidi w:val="0"/>
        <w:spacing w:lineRule="auto" w:line="288" w:before="0" w:after="0"/>
        <w:ind w:left="0" w:right="0" w:hanging="1260"/>
        <w:jc w:val="left"/>
        <w:rPr/>
      </w:pPr>
      <w:r>
        <w:rPr>
          <w:rFonts w:ascii="Times New Roman;serif" w:hAnsi="Times New Roman;serif"/>
          <w:b/>
          <w:color w:val="000000"/>
          <w:sz w:val="20"/>
        </w:rPr>
        <w:t>Item 1.    Financial Statements</w:t>
      </w:r>
      <w:r>
        <w:rPr>
          <w:color w:val="EE2724"/>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Index to Interim Condensed Consolidated Financial Statements (unaudited)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As of and for the three months ended March 31, 2026</w:t>
      </w:r>
    </w:p>
    <w:tbl>
      <w:tblPr>
        <w:tblW w:w="6555" w:type="dxa"/>
        <w:jc w:val="left"/>
        <w:tblInd w:w="0" w:type="dxa"/>
        <w:tblLayout w:type="fixed"/>
        <w:tblCellMar>
          <w:top w:w="28" w:type="dxa"/>
          <w:left w:w="28" w:type="dxa"/>
          <w:bottom w:w="28" w:type="dxa"/>
          <w:right w:w="28" w:type="dxa"/>
        </w:tblCellMar>
      </w:tblPr>
      <w:tblGrid>
        <w:gridCol w:w="2187"/>
        <w:gridCol w:w="1924"/>
        <w:gridCol w:w="1933"/>
        <w:gridCol w:w="149"/>
        <w:gridCol w:w="149"/>
        <w:gridCol w:w="213"/>
      </w:tblGrid>
      <w:tr>
        <w:trPr/>
        <w:tc>
          <w:tcPr>
            <w:tcW w:w="2187"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22">
              <w:r>
                <w:rPr>
                  <w:rStyle w:val="InternetLink"/>
                  <w:rFonts w:ascii="Times New Roman;serif" w:hAnsi="Times New Roman;serif"/>
                  <w:b w:val="false"/>
                  <w:color w:val="0000FF"/>
                  <w:sz w:val="20"/>
                  <w:u w:val="single"/>
                </w:rPr>
                <w:t>Condensed Consolidated Balance Sheets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4f761c0bda3b424ab5e7f02bff6ad8b2_22">
              <w:r>
                <w:rPr>
                  <w:rStyle w:val="InternetLink"/>
                  <w:rFonts w:ascii="Times New Roman;serif" w:hAnsi="Times New Roman;serif"/>
                  <w:b w:val="false"/>
                  <w:strike w:val="false"/>
                  <w:dstrike w:val="false"/>
                  <w:color w:val="000000"/>
                  <w:sz w:val="20"/>
                  <w:u w:val="none"/>
                  <w:effect w:val="none"/>
                </w:rPr>
                <w:t>2</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25">
              <w:r>
                <w:rPr>
                  <w:rStyle w:val="InternetLink"/>
                  <w:rFonts w:ascii="Times New Roman;serif" w:hAnsi="Times New Roman;serif"/>
                  <w:b w:val="false"/>
                  <w:color w:val="0000FF"/>
                  <w:sz w:val="20"/>
                  <w:u w:val="single"/>
                </w:rPr>
                <w:t>Condensed Consolidated Statements of Loss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25">
              <w:r>
                <w:rPr>
                  <w:rStyle w:val="InternetLink"/>
                  <w:rFonts w:ascii="Times New Roman;serif" w:hAnsi="Times New Roman;serif"/>
                  <w:b w:val="false"/>
                  <w:strike w:val="false"/>
                  <w:dstrike w:val="false"/>
                  <w:color w:val="000000"/>
                  <w:sz w:val="20"/>
                  <w:u w:val="none"/>
                  <w:effect w:val="none"/>
                </w:rPr>
                <w:t>3</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28">
              <w:r>
                <w:rPr>
                  <w:rStyle w:val="InternetLink"/>
                  <w:rFonts w:ascii="Times New Roman;serif" w:hAnsi="Times New Roman;serif"/>
                  <w:b w:val="false"/>
                  <w:color w:val="0000FF"/>
                  <w:sz w:val="20"/>
                  <w:u w:val="single"/>
                </w:rPr>
                <w:t>Condensed Consolidated Statements of Changes in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28">
              <w:r>
                <w:rPr>
                  <w:rStyle w:val="InternetLink"/>
                  <w:rFonts w:ascii="Times New Roman;serif" w:hAnsi="Times New Roman;serif"/>
                  <w:b w:val="false"/>
                  <w:strike w:val="false"/>
                  <w:dstrike w:val="false"/>
                  <w:color w:val="000000"/>
                  <w:sz w:val="20"/>
                  <w:u w:val="none"/>
                  <w:effect w:val="none"/>
                </w:rPr>
                <w:t>4</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31">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31">
              <w:r>
                <w:rPr>
                  <w:rStyle w:val="InternetLink"/>
                  <w:rFonts w:ascii="Times New Roman;serif" w:hAnsi="Times New Roman;serif"/>
                  <w:b w:val="false"/>
                  <w:strike w:val="false"/>
                  <w:dstrike w:val="false"/>
                  <w:color w:val="000000"/>
                  <w:sz w:val="20"/>
                  <w:u w:val="none"/>
                  <w:effect w:val="none"/>
                </w:rPr>
                <w:t>5</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f761c0bda3b424ab5e7f02bff6ad8b2_34">
              <w:r>
                <w:rPr>
                  <w:rStyle w:val="InternetLink"/>
                  <w:rFonts w:ascii="Times New Roman;serif" w:hAnsi="Times New Roman;serif"/>
                  <w:b w:val="false"/>
                  <w:color w:val="0000FF"/>
                  <w:sz w:val="20"/>
                  <w:u w:val="single"/>
                </w:rPr>
                <w:t>Notes to the Interim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f761c0bda3b424ab5e7f02bff6ad8b2_34">
              <w:r>
                <w:rPr>
                  <w:rStyle w:val="InternetLink"/>
                  <w:rFonts w:ascii="Times New Roman;serif" w:hAnsi="Times New Roman;serif"/>
                  <w:b w:val="false"/>
                  <w:strike w:val="false"/>
                  <w:dstrike w:val="false"/>
                  <w:color w:val="000000"/>
                  <w:sz w:val="20"/>
                  <w:u w:val="none"/>
                  <w:effect w:val="none"/>
                </w:rPr>
                <w:t>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43"/>
        <w:gridCol w:w="2394"/>
        <w:gridCol w:w="2367"/>
        <w:gridCol w:w="196"/>
        <w:gridCol w:w="740"/>
        <w:gridCol w:w="109"/>
        <w:gridCol w:w="109"/>
        <w:gridCol w:w="109"/>
        <w:gridCol w:w="109"/>
        <w:gridCol w:w="203"/>
        <w:gridCol w:w="763"/>
        <w:gridCol w:w="163"/>
      </w:tblGrid>
      <w:tr>
        <w:trPr/>
        <w:tc>
          <w:tcPr>
            <w:tcW w:w="2943"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Assets</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marketable securities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248,767 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Long-term marketable securities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Long-term prepaids and other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liability</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portion of operating lease liability</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related to sale of future royalties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liability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78,026 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$0.00001 par value; 900,000,000 authorized shares at March 31, 2026 and December 31, 2025, respectively; 73,102,689 and 74,638,413 shares issued and outstanding at March 31, 2026 and December 31, 2025, respectively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1,105,176 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shares, $0.00001 par value; 100,000,000 authorized shares of preferred stock, out of which, one share of preferred stock is a share of Special Voting Preferred Stock and outstanding as of March 31, 2026 and December 31, 2025</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Exchangeable shares, no par value, 550,884 and 553,184 issued and outstanding shares at March 31, 2026 and December 31, 2025, respectively</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268,501 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346,527 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20"/>
        </w:rPr>
        <w:t>The accompanying notes are an integral part of these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Loss and Comprehensive Loss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8736" w:type="dxa"/>
        <w:jc w:val="left"/>
        <w:tblInd w:w="0" w:type="dxa"/>
        <w:tblLayout w:type="fixed"/>
        <w:tblCellMar>
          <w:top w:w="28" w:type="dxa"/>
          <w:left w:w="28" w:type="dxa"/>
          <w:bottom w:w="28" w:type="dxa"/>
          <w:right w:w="28" w:type="dxa"/>
        </w:tblCellMar>
      </w:tblPr>
      <w:tblGrid>
        <w:gridCol w:w="2160"/>
        <w:gridCol w:w="1904"/>
        <w:gridCol w:w="1920"/>
        <w:gridCol w:w="240"/>
        <w:gridCol w:w="841"/>
        <w:gridCol w:w="109"/>
        <w:gridCol w:w="109"/>
        <w:gridCol w:w="109"/>
        <w:gridCol w:w="109"/>
        <w:gridCol w:w="240"/>
        <w:gridCol w:w="841"/>
        <w:gridCol w:w="154"/>
      </w:tblGrid>
      <w:tr>
        <w:trPr/>
        <w:tc>
          <w:tcPr>
            <w:tcW w:w="2160"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collaborations </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royalties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recovery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(loss) income on available for sale securities, net of tax of $0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75,171,020 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75,226,387 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 of Changes in Stockholders’ Equity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of except share data)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4285" w:type="dxa"/>
        <w:jc w:val="center"/>
        <w:tblInd w:w="0" w:type="dxa"/>
        <w:tblLayout w:type="fixed"/>
        <w:tblCellMar>
          <w:top w:w="28" w:type="dxa"/>
          <w:left w:w="28" w:type="dxa"/>
          <w:bottom w:w="28" w:type="dxa"/>
          <w:right w:w="28" w:type="dxa"/>
        </w:tblCellMar>
      </w:tblPr>
      <w:tblGrid>
        <w:gridCol w:w="749"/>
        <w:gridCol w:w="210"/>
        <w:gridCol w:w="212"/>
        <w:gridCol w:w="203"/>
        <w:gridCol w:w="203"/>
        <w:gridCol w:w="196"/>
        <w:gridCol w:w="109"/>
        <w:gridCol w:w="109"/>
        <w:gridCol w:w="109"/>
        <w:gridCol w:w="196"/>
        <w:gridCol w:w="406"/>
        <w:gridCol w:w="109"/>
        <w:gridCol w:w="109"/>
        <w:gridCol w:w="109"/>
        <w:gridCol w:w="109"/>
        <w:gridCol w:w="368"/>
        <w:gridCol w:w="368"/>
        <w:gridCol w:w="196"/>
        <w:gridCol w:w="109"/>
        <w:gridCol w:w="109"/>
        <w:gridCol w:w="109"/>
        <w:gridCol w:w="196"/>
        <w:gridCol w:w="556"/>
        <w:gridCol w:w="109"/>
        <w:gridCol w:w="109"/>
        <w:gridCol w:w="109"/>
        <w:gridCol w:w="109"/>
        <w:gridCol w:w="480"/>
        <w:gridCol w:w="481"/>
        <w:gridCol w:w="196"/>
        <w:gridCol w:w="109"/>
        <w:gridCol w:w="109"/>
        <w:gridCol w:w="109"/>
        <w:gridCol w:w="196"/>
        <w:gridCol w:w="871"/>
        <w:gridCol w:w="109"/>
        <w:gridCol w:w="109"/>
        <w:gridCol w:w="109"/>
        <w:gridCol w:w="109"/>
        <w:gridCol w:w="196"/>
        <w:gridCol w:w="886"/>
        <w:gridCol w:w="109"/>
        <w:gridCol w:w="109"/>
        <w:gridCol w:w="109"/>
        <w:gridCol w:w="109"/>
        <w:gridCol w:w="262"/>
        <w:gridCol w:w="763"/>
        <w:gridCol w:w="146"/>
        <w:gridCol w:w="109"/>
        <w:gridCol w:w="109"/>
        <w:gridCol w:w="109"/>
        <w:gridCol w:w="196"/>
        <w:gridCol w:w="736"/>
        <w:gridCol w:w="109"/>
        <w:gridCol w:w="109"/>
        <w:gridCol w:w="109"/>
        <w:gridCol w:w="109"/>
        <w:gridCol w:w="200"/>
        <w:gridCol w:w="753"/>
        <w:gridCol w:w="113"/>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Exchangeable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2026</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553,184 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74,638,413 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(953,160)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839,943 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 (“RSUs”)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758,886 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retracted exchangeable shares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Purchase and retirement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(3,195,166)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Excise tax on purchase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(44,162)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550,884 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73,102,689 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(6,565)</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Exchangeable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570,637 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68,964,319 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338,768 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RSUs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for retracted exchangeable shares </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569,902 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69,584,811 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8232" w:type="dxa"/>
        <w:jc w:val="left"/>
        <w:tblInd w:w="0" w:type="dxa"/>
        <w:tblLayout w:type="fixed"/>
        <w:tblCellMar>
          <w:top w:w="28" w:type="dxa"/>
          <w:left w:w="28" w:type="dxa"/>
          <w:bottom w:w="28" w:type="dxa"/>
          <w:right w:w="28" w:type="dxa"/>
        </w:tblCellMar>
      </w:tblPr>
      <w:tblGrid>
        <w:gridCol w:w="2097"/>
        <w:gridCol w:w="1839"/>
        <w:gridCol w:w="1853"/>
        <w:gridCol w:w="196"/>
        <w:gridCol w:w="738"/>
        <w:gridCol w:w="109"/>
        <w:gridCol w:w="109"/>
        <w:gridCol w:w="109"/>
        <w:gridCol w:w="109"/>
        <w:gridCol w:w="196"/>
        <w:gridCol w:w="723"/>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right-of-use assets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interest expense related to sale of royalties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recovery</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gain</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used in operating activities</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marketable securities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intangible assets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on exercise of stock options </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common stock for retirement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future royalties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Payments for transaction costs related to sale of future royalties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Supplemental cash flow information:</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paid during the period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Supplemental disclosure of non-cash investing and financing items:</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operating lease liabilities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costs related to sale of future royalties not yet paid</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 and intangible assets not yet paid</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Interim Condensed Consolidated Financial Statements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Nature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Zymeworks Inc. together with its subsidiaries (collectively the “Company” or “Zymeworks”) is a global biotechnology company managing a portfolio of licensed healthcare assets and developing a diverse pipeline of novel, multifunctional biotherapeutics to improve the standard of care for difficult-to-treat diseases, including cancer, inflammation, and autoimmune disease. Zymeworks BC Inc. (“Zymeworks BC”), (previously known as “Zymeworks Inc.”) was incorporated on September 8, 2003 under the laws of the Canada Business Corporations Act. On October 22, 2003, the Company was registered as an extra-provincial company under the Company Act (British Columbia). On May 2, 2017, the Company continued under the Business Corporations Act (British Columbia).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Since its inception, the Company has devoted substantially all of its resources to research and development activities, including developing its therapeutic platforms and identifying and developing potential product candidates by undertaking preclinical studies and clinical trials. The Company supports these activities through general and administrative support, as well as by raising capital, conducting business planning and protecting its intellectual property.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of the Company have been prepared in accordance with generally accepted accounting principles in the United States of America (“U.S. GAAP”) and pursuant to the rules and regulations of the U.S. Securities and Exchange Commission (“SEC”) for interim financial information. Accordingly, these financial statements do not include all the information and footnotes required for complete financial statements and should be read in conjunction with the audited consolidated financial statements of the Company and the accompanying notes thereto for the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unaudited interim condensed consolidated financial statements reflect all adjustments, consisting solely of normal recurring adjustments, which, in the opinion of management, are necessary for a fair presentation of results for the interim periods presented. The results of operations for the three months ended March 31, 2026 and 2025 are not necessarily indicative of results that can be expected for a full year. These unaudited interim condensed consolidated financial statements follow the same significant accounting policies as those described in the notes to the audited consolidated financial statements of the Company for the year ended December 31,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Liability related to sale of future royalties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2026, the Company entered into a royalty sale agreement with Royalty Pharma Development Funding, LLC (“Royalty Pharma”), to monetize a portion of the Company’s future Ziihera (zanidatamab</w:t>
        <w:noBreakHyphen/>
        <w:t>hrii) royalties. Refer to Note 7, Royalty Revenue Monetization, for further details on the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the upfront payment received from the sale of future royalties as a liability, net of transaction costs. Royalty payments to Royalty Pharma are recorded as a reduction of the liability and the transaction costs are amortized over the estimated life of the related royalty stream. The Company accounts for the associated interest expense under the effective interest rate method, while continuing to recognize the full amount of royalty revenue in the period in which the commercial partner sells the related product and recognizes the related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liability related to the sale of future royalties, effective interest rate and the related interest expense are calculated using the Company’s current estimate of anticipated future royalty payments under the arrangement, which the Company periodically reassesses based on internal projections and information from its partners who are responsible for commercializing the medicines. If there is a material change in the estimates, the Company will prospectively adjust the liability related to the sale of future royalties, effective interest rate and the related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2026, the Company started granting Performance Stock Units (“PSUs”) to certain executives. Under the terms of the PSUs, the number of units earned is based on the Total Shareholder Return (“TSR”) of Zymeworks’ common stock over a period of time. The primary performance metric for the TSR is based on cumulative Absolute Total Shareholder Return (“Absolute TSR”) of the Company’s common stock during a three-year period from January 12, 2026 to January 12, 2029, (“Performance Period”) where TSR begins after the first-year anniversary of the grant date. A secondary performance metric based on Relative Total Shareholder Return (“Relative TSR”) as ranked against the Nasdaq Biotech Index will be triggered if the above three-year performance period lapses with no Absolute TSR performance targets having been met. In addition, the PSU award includes a service condition where the individual must remain employed by the company until the final certification date, which will be within 30 days following the end of the Performance Period.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the terms of the grants no number of PSUs is guaranteed to vest and the actual number of PSUs that will vest at the end of each performance period may be anywhere from 0% to 200% of the target number depending on the Absolute TSR or Relative TSR. Payout percentages under the Absolute TSR range from 0% to 200%. If no payout has been earned pursuant to the Absolute TSR Criteria during the Performance Period, payout percentages under the Relative TSR will be used which range from 0% to 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PSUs are classified as equity awards and are settled in shares of the Company’s common stock.The fair value of the PSUs are determined using a Monte Carlo model because the performance target is based on the Company's Absolute or Relative TSR, which represents a market condition. The Monte Carlo simulation model is built on certain assumptions, including the Company's stock volatility. The prices at which the Company's common stock will trade in the future cannot be predicted and achievement of market conditions may occur in period different than estimated. Compensation cost is recognized regardless of whether the market</w:t>
        <w:noBreakHyphen/>
        <w:t>based performance condition is ultimately achieved and is reversed only for service</w:t>
        <w:noBreakHyphen/>
        <w:t>based forfeitures. The grant date fair value of these awards are amortized as stock-based compensation expense over the vesting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interim condensed consolidated financial statements in accordance with U.S. GAAP requires the Company to make estimates and judgments in certain circumstances that affect the reported amounts of assets, liabilities, revenue and expenses, and related disclosure of contingent assets and liabilities. On an ongoing basis, the Company evaluates its estimates, most notably those related to revenue recognition including estimated timing of completion of performance obligations required to meet revenue recognition criteria, accrual of expenses including clinical and preclinical study expense accruals, stock-based compensation, valuation allowance for deferred taxes, estimates underlying the liability related to the sale of future royalties, including anticipated future royalty payments and the related effective interest rate. Management bases its estimates on historical experience and on various other assumptions that it believes to be reasonable under the circumstances. Actual results could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Financial Instruments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financial assets and liabilities subject to fair value measurements on a recurring basis to determine the appropriate level of classification each reporting period. This determination requires the Company to make subjective judgments as to the significance of inputs used in determining fair value and where such inputs lie within the fair value hierarchy.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measures certain financial instruments and other items at fair value.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determine fair value, the Company uses a fair value hierarchy that prioritizes the inputs, assumptions and valuation techniques used to measure fair value. The three levels of the fair value hierarchy are as follows: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Level 1 inputs are unadjusted quoted market prices for identical instruments available in active markets.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Level 2 inputs are inputs other than Level 1 prices, such as prices for a similar asset or liability that are observable either directly or indirectly. If the asset or liability has a contractual term, the input must be observable for substantially the full term. An example includes quoted market prices for similar assets or liabilities in active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Level 3 inputs are unobservable inputs for the asset or liability and will reflect management’s assessment about market assumptions that would be used to price the asset or liability.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of cash and cash equivalents, short-term and long-term investments in marketable and other securities, accounts receivable, accounts payable and accrued liabilities, contingent consideration, finance and operating lease obligations, and other long-term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values of cash and cash equivalents, accounts receivable and accounts payable and accrued liabilities approximate their fair values due to the near-term maturities of these financial instruments. All marketable securities are classified as available-for-sale and are recorded at fair value (note 5). </w:t>
      </w:r>
    </w:p>
    <w:p>
      <w:pPr>
        <w:pStyle w:val="TextBody"/>
        <w:bidi w:val="0"/>
        <w:spacing w:lineRule="auto" w:line="276" w:before="240" w:after="120"/>
        <w:jc w:val="left"/>
        <w:rPr>
          <w:rFonts w:ascii="Times New Roman;serif" w:hAnsi="Times New Roman;serif"/>
          <w:b w:val="false"/>
          <w:i/>
          <w:color w:val="000000"/>
          <w:sz w:val="20"/>
        </w:rPr>
      </w:pPr>
      <w:r>
        <w:rPr>
          <w:rFonts w:ascii="Times New Roman;serif" w:hAnsi="Times New Roman;serif"/>
          <w:b w:val="false"/>
          <w:i/>
          <w:color w:val="000000"/>
          <w:sz w:val="20"/>
        </w:rPr>
        <w:t>Concentration of Credit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a concentration of credit risk consist primarily of cash and cash equivalents, short-term and long-term marketable securities and accounts receivable. Cash and cash equivalents and investments in marketable securities are invested in accordance with the Company’s cash investment policy with the primary objective being the preservation of capital and maintenance of liquidity. The cash investment policy includes guidelines on the quality of financial instruments and defines allowable investments that the Company believes minimizes the exposure to concentration of credit risk. The Company limits its exposure to credit loss by placing its cash and cash equivalents and investments with high credit quality financial institutions.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March 31, 2026, the maximum exposure to credit risk for accounts receivable was $4,674, 68% of which was from Jazz (December 31, 2025: 37% of receivables from Jazz) and all accounts receivable are due within the next 12 months. As at March 31, 2026 and December 31, 2025, the Company has recognized nominal amounts of provision for expected credit losses in relation to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Recent Accounting Pronouncements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Reporting – Comprehensive Income – Expense Disaggregation Disclosures (Subtopic 220-40), Disaggregation of Income Statement Expenses. The standard update improves the disclosures about a public business entity’s 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Net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for the three months ended March 31, 2026 and 2025 was as follows:</w:t>
      </w:r>
    </w:p>
    <w:tbl>
      <w:tblPr>
        <w:tblW w:w="7597" w:type="dxa"/>
        <w:jc w:val="left"/>
        <w:tblInd w:w="0" w:type="dxa"/>
        <w:tblLayout w:type="fixed"/>
        <w:tblCellMar>
          <w:top w:w="28" w:type="dxa"/>
          <w:left w:w="28" w:type="dxa"/>
          <w:bottom w:w="28" w:type="dxa"/>
          <w:right w:w="28" w:type="dxa"/>
        </w:tblCellMar>
      </w:tblPr>
      <w:tblGrid>
        <w:gridCol w:w="1838"/>
        <w:gridCol w:w="1621"/>
        <w:gridCol w:w="1626"/>
        <w:gridCol w:w="219"/>
        <w:gridCol w:w="742"/>
        <w:gridCol w:w="109"/>
        <w:gridCol w:w="109"/>
        <w:gridCol w:w="109"/>
        <w:gridCol w:w="109"/>
        <w:gridCol w:w="219"/>
        <w:gridCol w:w="742"/>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change in fair value of liability classified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stock outstanding:</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74,668,790 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75,171,020 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dilutive effect of liability classified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74,694,762 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75,226,387 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 – 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per common share –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used in the basic and diluted earnings per share calculations include (i) Exchangeable Shares for all the periods presented and (ii) for the three months ended March 31, 2025, the pre-funded warrants issued in connection with the Company’s December 2023 private placement as the warrants were exercisable at any time for nominal cash consideration until their exercise on June 25, 2025 (note 8). The Company’s potentially dilutive securities, which include stock options and RSUs and PSUs, have been excluded from the computation of diluted net loss per share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Cash, Cash Equivalents and Marketable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marketable securities as of March 31, 2026: </w:t>
      </w:r>
    </w:p>
    <w:p>
      <w:pPr>
        <w:pStyle w:val="TextBody"/>
        <w:bidi w:val="0"/>
        <w:spacing w:before="0" w:after="0"/>
        <w:jc w:val="left"/>
        <w:rPr/>
      </w:pPr>
      <w:r>
        <w:rPr/>
      </w:r>
    </w:p>
    <w:tbl>
      <w:tblPr>
        <w:tblW w:w="9554" w:type="dxa"/>
        <w:jc w:val="left"/>
        <w:tblInd w:w="0" w:type="dxa"/>
        <w:tblLayout w:type="fixed"/>
        <w:tblCellMar>
          <w:top w:w="28" w:type="dxa"/>
          <w:left w:w="28" w:type="dxa"/>
          <w:bottom w:w="28" w:type="dxa"/>
          <w:right w:w="28" w:type="dxa"/>
        </w:tblCellMar>
      </w:tblPr>
      <w:tblGrid>
        <w:gridCol w:w="1859"/>
        <w:gridCol w:w="1632"/>
        <w:gridCol w:w="1638"/>
        <w:gridCol w:w="229"/>
        <w:gridCol w:w="898"/>
        <w:gridCol w:w="118"/>
        <w:gridCol w:w="109"/>
        <w:gridCol w:w="109"/>
        <w:gridCol w:w="109"/>
        <w:gridCol w:w="387"/>
        <w:gridCol w:w="746"/>
        <w:gridCol w:w="202"/>
        <w:gridCol w:w="109"/>
        <w:gridCol w:w="109"/>
        <w:gridCol w:w="109"/>
        <w:gridCol w:w="211"/>
        <w:gridCol w:w="826"/>
        <w:gridCol w:w="154"/>
      </w:tblGrid>
      <w:tr>
        <w:trPr/>
        <w:tc>
          <w:tcPr>
            <w:tcW w:w="185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Unrealized Gain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year or less: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Guaranteed investment certificates (“GICs”) and mutual funds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to three years: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159,466 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marketable securities as of December 31, 2025:</w:t>
      </w:r>
    </w:p>
    <w:tbl>
      <w:tblPr>
        <w:tblW w:w="7933" w:type="dxa"/>
        <w:jc w:val="left"/>
        <w:tblInd w:w="0" w:type="dxa"/>
        <w:tblLayout w:type="fixed"/>
        <w:tblCellMar>
          <w:top w:w="28" w:type="dxa"/>
          <w:left w:w="28" w:type="dxa"/>
          <w:bottom w:w="28" w:type="dxa"/>
          <w:right w:w="28" w:type="dxa"/>
        </w:tblCellMar>
      </w:tblPr>
      <w:tblGrid>
        <w:gridCol w:w="1288"/>
        <w:gridCol w:w="1131"/>
        <w:gridCol w:w="1135"/>
        <w:gridCol w:w="229"/>
        <w:gridCol w:w="898"/>
        <w:gridCol w:w="118"/>
        <w:gridCol w:w="109"/>
        <w:gridCol w:w="109"/>
        <w:gridCol w:w="109"/>
        <w:gridCol w:w="345"/>
        <w:gridCol w:w="764"/>
        <w:gridCol w:w="180"/>
        <w:gridCol w:w="109"/>
        <w:gridCol w:w="109"/>
        <w:gridCol w:w="109"/>
        <w:gridCol w:w="211"/>
        <w:gridCol w:w="826"/>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year or less: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GICs and mutual funds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187,455 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to three years: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228,843 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The unrealized losses on the Company’s available-for-sale securities as of March 31, 2026 and December 31, 2025 were not material and were caused by fluctuations in market values and interest rates as a result of the economic environment. The Company concluded that an allowance for credit losses was unnecessary as of March 31, 2026 and December 31, 2025 because the decline in the market value was attributable to changes in market conditions and not credit quality, and that it is neither management’s intention to sell nor is it more likely than not that the Company will be required to sell these investments prior to recovery of their cost basis or recovery of fair value. There was no material realized gain or loss on available-for-sale securities in the periods presented.</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cash, cash equivalents and marketable securities that are measured at fair value on a recurring basis, and indicate the fair value hierarchy of the valuation techniques used to determine such fair value:</w:t>
      </w:r>
    </w:p>
    <w:tbl>
      <w:tblPr>
        <w:tblW w:w="11623" w:type="dxa"/>
        <w:jc w:val="left"/>
        <w:tblInd w:w="0" w:type="dxa"/>
        <w:tblLayout w:type="fixed"/>
        <w:tblCellMar>
          <w:top w:w="28" w:type="dxa"/>
          <w:left w:w="28" w:type="dxa"/>
          <w:bottom w:w="28" w:type="dxa"/>
          <w:right w:w="28" w:type="dxa"/>
        </w:tblCellMar>
      </w:tblPr>
      <w:tblGrid>
        <w:gridCol w:w="386"/>
        <w:gridCol w:w="339"/>
        <w:gridCol w:w="341"/>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 and 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GICs and 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its most recent annual impairment test of goodwill as of December 31, 2025. As part of the evaluation of the recoverability of goodwill, the Company identified only one reporting unit to which the total carrying amount of goodwill has been assigned. As at December 31, 2025, the Company performed a qualitative assessment for its annual impairment test of goodwill after concluding that it was not more likely than not that the fair value of the reporting unit was less than its carrying value. Consequently, a quantitative impairment test was not required. The Company concluded that there were no impairment indicators related to goodwill as of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left"/>
        <w:rPr>
          <w:rFonts w:ascii="Times New Roman;serif" w:hAnsi="Times New Roman;serif"/>
          <w:b/>
          <w:color w:val="000000"/>
          <w:sz w:val="20"/>
        </w:rPr>
      </w:pPr>
      <w:r>
        <w:rPr>
          <w:rFonts w:ascii="Times New Roman;serif" w:hAnsi="Times New Roman;serif"/>
          <w:b/>
          <w:color w:val="000000"/>
          <w:sz w:val="20"/>
        </w:rPr>
        <w:t>7. Royalty Revenue Monetization</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On March 2, 2026, Zymeworks BC entered into a sale agreement (the “Sale Agreement”) with Zymeworks Royalty Limited Partnership (the “Subsidiary”) a special purpose entity newly formed by Zymeworks BC and by its general partner Zymeworks General Partner ULC (“Zymeworks GP”). Under the Sale Agreement, Zymeworks BC sold to the Subsidiary a 30% interest in future royalties from the license agreements (the “Covered Agreements") with Jazz Pharmaceuticals Ireland Limited and BeOne Medicines Ltd. (“BeOne”) relating to Ziihera (zanidatamab</w:t>
        <w:noBreakHyphen/>
        <w:t>hrii), not to exceed 120% of the maximum amount payable (excluding indemnification and other similar obligations) by the Subsidiary under the Loan Agreement (defined below) (such 30% interest, the “Transferred Royalty Interest”).</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Following the transfer, the Subsidiary entered into a loan agreement (the “Loan Agreement”) with Royalty Pharma, acting as administrative agent and lender, pursuant to which the Subsidiary borrowed $250,000 in a non</w:t>
        <w:noBreakHyphen/>
        <w:t>recourse, secured term loan (the “Loan”). The Loan bears fixed interest and matures on December 31, 2042 (the “Maturity Date”). Under the terms of the Loan Agreement, the amount payable to Royalty Pharma no later than the Maturity Date is approximately $481,300, provided that if the Loan is repaid in full on or before December 31, 2033, the amount payable to the lenders is $412,500, in each case inclusive of all applicable interest, yield protection premiums, early redemption fees, exit fees and other amounts payable under the Loan Agreement (excluding indemnification and similar obligations). Amounts repaid may not be reborrowed.</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Loan Agreement is fully non</w:t>
        <w:noBreakHyphen/>
        <w:t>recourse to Zymeworks BC and Zymeworks Inc. and is secured solely by the Subsidiary’s assets, including the Transferred Royalty Interest, related rights under the Sale Agreement, and the deposit account used to receive royalty payments.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Sale Agreement and Loan Agreement contain customary covenants and restrictions, including certain transfers, additional indebtedness, and related matters. In the event of certain defaults, such as termination of either Covered Agreement, specified breaches, or a change of control of the Company, Royalty Pharma may declare all outstanding principal, accrued interest, and applicable fees immediately due and enforce its rights against the collateral securing the loan.</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Company recorded the upfront payment of $250,000 as a liability related to the sale of future royalties, net of transaction costs of $5,563, which are being amortized over the estimated life of the arrangement using the effective interest rate method. The Company recognizes royalty revenue in the period in which the commercial partner sells the related product and recognizes the related revenue. The Company records royalty payments made to Royalty Pharma as a reduction of the liability.</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Company determines the effective interest rate used to record interest expense under this agreement based on an estimate of future royalty payments to Royalty Pharma. As of March 31, 2026, the estimated effective interest rate under the agreement was 10.3%.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liability related to sale of future royalties for the three months ended March 31, 2026:</w:t>
      </w:r>
    </w:p>
    <w:tbl>
      <w:tblPr>
        <w:tblW w:w="6771" w:type="dxa"/>
        <w:jc w:val="left"/>
        <w:tblInd w:w="0" w:type="dxa"/>
        <w:tblLayout w:type="fixed"/>
        <w:tblCellMar>
          <w:top w:w="28" w:type="dxa"/>
          <w:left w:w="28" w:type="dxa"/>
          <w:bottom w:w="28" w:type="dxa"/>
          <w:right w:w="28" w:type="dxa"/>
        </w:tblCellMar>
      </w:tblPr>
      <w:tblGrid>
        <w:gridCol w:w="2017"/>
        <w:gridCol w:w="1778"/>
        <w:gridCol w:w="1785"/>
        <w:gridCol w:w="211"/>
        <w:gridCol w:w="82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future royalties in March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costs related to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payments to Royalty Pharma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Liability related to sale of future royalties as of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are numerous factors, most of which are not within our control, that could materially impact the amount and timing of royalty payments from Jazz Pharmaceuticals Ireland Limited and BeOne, and result in changes to our estimate of future royalty payments to Royalty Pharma. Such factors include, but are not limited to, the regulatory approval and commercial sales of Ziihera, competing products or other significant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240" w:after="283"/>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Authorized Share Capital and Preferred Stock</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authorized share capital consists of 1,000,000,000 shares of stock, consisting of (i) 900,000,000 shares of common stock, par value $0.00001 per share, and (ii) 100,000,000 shares of preferred stock, par value $0.00001 per share.</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On October 13, 2022, the Company completed an internal reorganization transaction resulting in a Delaware incorporated entity becoming the listed company (the “Redomicile Transactions”). Prior to the Redomicile Transactions, the shares of Zymeworks BC Inc. (formerly known as Zymeworks Inc.) were publicly listed. To effect the Redomicile Transactions, the Company conducted a share exchange, pursuant to which holders of the Company’s common shares exchanged their common shares in the Company for shares of common stock of Zymeworks Inc. (formerly known as Zymeworks Delaware Inc.) or, at their election with respect to all or a portion of their common shares in the Company and subject to applicable eligibility criteria and an overall cap, exchangeable shares (the “Exchangeable Shares”) in the capital of a newly formed indirect subsidiary of Zymeworks Inc. A special meeting of Company security holders was held on October 7, 2022 to approve the Redomicile Transactions. The Redomicile Transactions were governed by a transaction agreement dated July 14, 2022, as restated and amended on August 18, 2022 (the “Restated and Amended Transaction Agreement”), by and among the Company and its direct or indirect subsidiaries Zymeworks Inc., Zymeworks CallCo ULC (“CallCo”) and Zymeworks ExchangeCo Ltd., (“ExchangeCo”) including a plan of arrangement included as Exhibit A to the Restated and Amended Transaction Agreement (the “Plan of Arrangement”).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Plan of Arrangement, the Company issued to Computershare Trust Company of Canada, a trust company existing under the laws of Canada (the “Share Trustee”), one share of the Company’s preferred stock, par value $0.00001 per share, which has certain variable voting rights in proportion to the number of Exchangeable Shares outstanding (the “Special Voting Preferred Stock”), enabling the Share Trustee to exercise voting rights for the benefit of the holders of the Exchangeable Shares.</w:t>
      </w:r>
    </w:p>
    <w:p>
      <w:pPr>
        <w:pStyle w:val="TextBody"/>
        <w:bidi w:val="0"/>
        <w:spacing w:lineRule="auto" w:line="276" w:before="240" w:after="283"/>
        <w:jc w:val="left"/>
        <w:rPr/>
      </w:pPr>
      <w:r>
        <w:rPr>
          <w:rFonts w:ascii="Times New Roman;serif" w:hAnsi="Times New Roman;serif"/>
          <w:b w:val="false"/>
          <w:color w:val="000000"/>
          <w:sz w:val="20"/>
          <w:shd w:fill="FFFFFF" w:val="clear"/>
        </w:rPr>
        <w:t>Immediately prior to the completion of the Redomicile Transactions, ther</w:t>
      </w:r>
      <w:r>
        <w:rPr>
          <w:rFonts w:ascii="Times New Roman;serif" w:hAnsi="Times New Roman;serif"/>
          <w:b w:val="false"/>
          <w:color w:val="000000"/>
          <w:sz w:val="20"/>
        </w:rPr>
        <w:t>e were 61,699,387 Zymeworks BC common shares issued and outstanding. In connection with the consummation of the Plan of Arrangement, 60,274,854 shares of common stock and 1,424,533 Exchangeable Shares were issued to former Zymeworks BC shareholders. As of March 31, 2026, there were 550,884 Exchangeable Shares held by former Zymeworks BC shareholders (December 31, 2025: 553,184). The Company will issue shares of its common stock as consideration when a holder of Exchangeable Shares calls for Exchangeable Shares to be retrac</w:t>
      </w:r>
      <w:r>
        <w:rPr>
          <w:rFonts w:ascii="Times New Roman;serif" w:hAnsi="Times New Roman;serif"/>
          <w:b w:val="false"/>
          <w:color w:val="000000"/>
          <w:sz w:val="20"/>
          <w:shd w:fill="FFFFFF" w:val="clear"/>
        </w:rPr>
        <w:t>ted by ExchangeCo, when ExchangeCo redeems Exchangeable Shares from the holder, or when CallCo purchases Exchangeable Shares from the Exchangeable Shareholder under CallCo’s overriding call rights. These Exchangeable Shares and the Special Voting Preferred Stock, when taken together, are similar in substance to the Company’s common stock and are treated as such in calculation of basic net loss per share</w:t>
      </w:r>
      <w:r>
        <w:rPr>
          <w:rFonts w:ascii="Times New Roman;serif" w:hAnsi="Times New Roman;serif"/>
          <w:b w:val="false"/>
          <w:color w:val="000000"/>
          <w:sz w:val="20"/>
        </w:rPr>
        <w:t>.</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2024 Repurchase Program</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 2024, the board of directors of the Company authorized a stock repurchase program (the “2024 Repurchase Program”), whereby the Company may repurchase up to $60,000 of the Company’s outstanding common stock, par value $0.00001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repurchased 2,545,402 shares of its common stock for a cost of $30,000, and incurred commission expense of $51, under the 2024 Repurchase Program, which have been recorded against accumulated deficit. The Company’s share repurchases in excess of issuances are subject to a 1% excise tax enacted by the Inflation Reduction Act of $152. During the year ended December 31, 2024, the Company retired all 2,545,402 shares repurchased. These shares were returned to the status of authorized and unissued shares. During the year ended December 31, 2025, the Company completed the 2024 Repurchase Program by repurchasing 1,856,907 shares of its common stock for a cost of $29,997 and incurred commission expense of $37, which have been recorded against accumulated deficit. Excise tax was estimated as nil. The Company retired all 1,856,907 shares repurchased. These shares were returned to the status of authorized and unissued shares.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2024 Repurchase Program activity:</w:t>
      </w:r>
    </w:p>
    <w:tbl>
      <w:tblPr>
        <w:tblW w:w="10205" w:type="dxa"/>
        <w:jc w:val="left"/>
        <w:tblInd w:w="0" w:type="dxa"/>
        <w:tblLayout w:type="fixed"/>
        <w:tblCellMar>
          <w:top w:w="28" w:type="dxa"/>
          <w:left w:w="28" w:type="dxa"/>
          <w:bottom w:w="28" w:type="dxa"/>
          <w:right w:w="28" w:type="dxa"/>
        </w:tblCellMar>
      </w:tblPr>
      <w:tblGrid>
        <w:gridCol w:w="878"/>
        <w:gridCol w:w="771"/>
        <w:gridCol w:w="776"/>
        <w:gridCol w:w="830"/>
        <w:gridCol w:w="769"/>
        <w:gridCol w:w="772"/>
        <w:gridCol w:w="109"/>
        <w:gridCol w:w="109"/>
        <w:gridCol w:w="109"/>
        <w:gridCol w:w="454"/>
        <w:gridCol w:w="1328"/>
        <w:gridCol w:w="234"/>
        <w:gridCol w:w="109"/>
        <w:gridCol w:w="109"/>
        <w:gridCol w:w="109"/>
        <w:gridCol w:w="528"/>
        <w:gridCol w:w="1814"/>
        <w:gridCol w:w="397"/>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value of shares purchased</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2,545,402 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1,856,907 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2025 Repurchase Program</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On November 16, 2025, the board of directors of the Company authorized a new stock repurchase program (the “2025 Repurchase Program”), whereby the Company may repurchase up to $125,000 of the Company’s outstanding common stock, par value $0.00001 per share.</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repurchased 431,217 shares of its common stock for a cost of $11,188, incurred an obligation to purchase common stock for a cost of $464 which had not been settled by December 31, 2025, and incurred commission expense of $9, under the 2025 Repurchase Program, which have been recorded against accumulated deficit. Excise tax was estimated as nil. The Company retired all 431,217 shares repurchased. These shares were returned to the status of authorized and unissued shares. </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repurchased 3,195,166 shares of its common stock for a cost of $76,551, and incurred commission expense of $64, under the 2025 Repurchase Program, which have been recorded against accumulated deficit. Excise tax was estimated as $361. The Company retired all 3,195,166 shares repurchased. These shares were returned to the status of authorized and unissued shares</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2025 Repurchase Program activity for the periods indicated:</w:t>
      </w:r>
    </w:p>
    <w:tbl>
      <w:tblPr>
        <w:tblW w:w="10205" w:type="dxa"/>
        <w:jc w:val="left"/>
        <w:tblInd w:w="0" w:type="dxa"/>
        <w:tblLayout w:type="fixed"/>
        <w:tblCellMar>
          <w:top w:w="28" w:type="dxa"/>
          <w:left w:w="28" w:type="dxa"/>
          <w:bottom w:w="28" w:type="dxa"/>
          <w:right w:w="28" w:type="dxa"/>
        </w:tblCellMar>
      </w:tblPr>
      <w:tblGrid>
        <w:gridCol w:w="977"/>
        <w:gridCol w:w="858"/>
        <w:gridCol w:w="864"/>
        <w:gridCol w:w="821"/>
        <w:gridCol w:w="734"/>
        <w:gridCol w:w="737"/>
        <w:gridCol w:w="109"/>
        <w:gridCol w:w="109"/>
        <w:gridCol w:w="109"/>
        <w:gridCol w:w="437"/>
        <w:gridCol w:w="1277"/>
        <w:gridCol w:w="225"/>
        <w:gridCol w:w="109"/>
        <w:gridCol w:w="109"/>
        <w:gridCol w:w="109"/>
        <w:gridCol w:w="506"/>
        <w:gridCol w:w="1737"/>
        <w:gridCol w:w="378"/>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value of shares purchased</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431,217 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3,195,166 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180"/>
        <w:jc w:val="left"/>
        <w:rPr/>
      </w:pPr>
      <w:r>
        <w:rPr/>
      </w:r>
    </w:p>
    <w:p>
      <w:pPr>
        <w:pStyle w:val="TextBody"/>
        <w:bidi w:val="0"/>
        <w:spacing w:lineRule="auto" w:line="26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Redomicile Transactions in 2022, Zymeworks BC assigned to the Company, and the Company assumed, all of Zymeworks BC’s rights and obligations under each of the stock-based compensation plans, as described below, and such plans became the Company’s stock-based compensation plans, with each outstanding award assumed by the Company and deemed exchanged for equivalent awards of the Company, except that the security issuable upon exercise or settlement, as applicable, will be shares of common stock of the Company rather than common shares of Zymeworks BC.</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Original Stock Option Plan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14, 2006, the shareholders of the Company approved an employee stock option plan (the “Original Plan”). The total number of options outstanding is not to exceed 20% of the issued common shares of the Company. Options granted under the Original Plan are exercisable at various dates over their 10-year life. The exercise prices of the Company’s stock options under the Original Plan are denominated in Canadian dollars. Upon the effectiveness of the Company’s New Plan described below, no further options were issuable under the Original Plan. However, all outstanding options granted under the Original Plan remain outstanding, subject to the terms of the Original Plan and the applicable grant documents, until such outstanding options are exercised or they terminate or expire by their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New Plan and Inducement Plan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10, 2017, the Company’s shareholders approved a new stock option plan, which became effective immediately prior to the consummation of the Company’s initial public offering (“IPO”). This plan allows for the grant of options and also permitted the Company to grant incentive stock options (“ISOs”), within the meaning of Section 422 of the Internal Revenue Code, to its employees, until the shares reserved for issuance of ISOs were depleted. On June 7, 2018, the Company’s shareholders approved an amendment and restatement of this plan (this plan, as amended and restated, the “New Plan”), which includes an article that allows the Company to grant restricted shares, RSU, PSU and other share-based awards, in addition to stock options. As of March 31, 2026, 5,965,874 shares of common stock were available for future award grants under the New Plan (December 31, 2025: 5,023,809 shares of common stock).</w:t>
      </w:r>
    </w:p>
    <w:p>
      <w:pPr>
        <w:pStyle w:val="TextBody"/>
        <w:bidi w:val="0"/>
        <w:spacing w:lineRule="auto" w:line="26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5, 2022, the board of directors approved the Zymeworks Inc. Inducement Stock Option and Equity Compensation Plan (the “Inducement Plan”) and reserved 750,000 of the Company’s common shares for issuance pursuant to equity awards granted thereunder. On July 19, 2024, the board of directors approved an amendment and restatement of the Inducement Plan, which increased the number of shares of the Company’s common stock available for future issuance pursuant to equity awards granted under the Inducement Plan by 700,000 shares. As a result of this increase, a total of 1,450,000 shares will have been available for issuance pursuant to equity awards granted under the Inducement Plan since the inception of the Inducement Plan in January 2022. As of March 31, 2026, 622,500 shares of common stock were available for future award grants under this plan (December 31, 2025: 390,000). </w:t>
      </w:r>
    </w:p>
    <w:p>
      <w:pPr>
        <w:pStyle w:val="TextBody"/>
        <w:bidi w:val="0"/>
        <w:spacing w:lineRule="auto" w:line="268" w:before="300" w:after="120"/>
        <w:jc w:val="left"/>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lineRule="auto" w:line="268"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 under the New Plan since December 31, 2025:</w:t>
      </w:r>
    </w:p>
    <w:tbl>
      <w:tblPr>
        <w:tblW w:w="5750" w:type="dxa"/>
        <w:jc w:val="left"/>
        <w:tblInd w:w="0" w:type="dxa"/>
        <w:tblLayout w:type="fixed"/>
        <w:tblCellMar>
          <w:top w:w="28" w:type="dxa"/>
          <w:left w:w="28" w:type="dxa"/>
          <w:bottom w:w="28" w:type="dxa"/>
          <w:right w:w="28" w:type="dxa"/>
        </w:tblCellMar>
      </w:tblPr>
      <w:tblGrid>
        <w:gridCol w:w="1010"/>
        <w:gridCol w:w="889"/>
        <w:gridCol w:w="891"/>
        <w:gridCol w:w="488"/>
        <w:gridCol w:w="488"/>
        <w:gridCol w:w="441"/>
        <w:gridCol w:w="109"/>
        <w:gridCol w:w="109"/>
        <w:gridCol w:w="109"/>
        <w:gridCol w:w="356"/>
        <w:gridCol w:w="356"/>
        <w:gridCol w:w="50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1,947,584 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settled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(758,886)</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(159,806)</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1,985,992 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was $15,510 of unamortized RSU expense that will be recognized over a weighted average period of 1.79 years.</w:t>
      </w:r>
    </w:p>
    <w:p>
      <w:pPr>
        <w:pStyle w:val="TextBody"/>
        <w:bidi w:val="0"/>
        <w:spacing w:lineRule="auto" w:line="268" w:before="300" w:after="120"/>
        <w:jc w:val="left"/>
        <w:rPr>
          <w:rFonts w:ascii="Times New Roman;serif" w:hAnsi="Times New Roman;serif"/>
          <w:b w:val="false"/>
          <w:i/>
          <w:color w:val="000000"/>
          <w:sz w:val="20"/>
        </w:rPr>
      </w:pPr>
      <w:r>
        <w:rPr>
          <w:rFonts w:ascii="Times New Roman;serif" w:hAnsi="Times New Roman;serif"/>
          <w:b w:val="false"/>
          <w:i/>
          <w:color w:val="000000"/>
          <w:sz w:val="20"/>
        </w:rPr>
        <w:t>PSUs</w:t>
      </w:r>
    </w:p>
    <w:p>
      <w:pPr>
        <w:pStyle w:val="TextBody"/>
        <w:bidi w:val="0"/>
        <w:spacing w:lineRule="auto" w:line="268"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PSU activity under the New Plan since December 31, 2025:</w:t>
      </w:r>
    </w:p>
    <w:tbl>
      <w:tblPr>
        <w:tblW w:w="5652" w:type="dxa"/>
        <w:jc w:val="left"/>
        <w:tblInd w:w="0" w:type="dxa"/>
        <w:tblLayout w:type="fixed"/>
        <w:tblCellMar>
          <w:top w:w="28" w:type="dxa"/>
          <w:left w:w="28" w:type="dxa"/>
          <w:bottom w:w="28" w:type="dxa"/>
          <w:right w:w="28" w:type="dxa"/>
        </w:tblCellMar>
      </w:tblPr>
      <w:tblGrid>
        <w:gridCol w:w="1010"/>
        <w:gridCol w:w="889"/>
        <w:gridCol w:w="891"/>
        <w:gridCol w:w="439"/>
        <w:gridCol w:w="439"/>
        <w:gridCol w:w="441"/>
        <w:gridCol w:w="109"/>
        <w:gridCol w:w="109"/>
        <w:gridCol w:w="109"/>
        <w:gridCol w:w="356"/>
        <w:gridCol w:w="356"/>
        <w:gridCol w:w="50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w:t>
            </w:r>
          </w:p>
        </w:tc>
        <w:tc>
          <w:tcPr>
            <w:tcW w:w="8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241,000 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was $7,254 of unamortized PSU expense that will be recognized over a weighted average period of 2.79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00" w:after="1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options granted in Canadian dollars under the Original Plan and the New Plan:</w:t>
      </w:r>
    </w:p>
    <w:tbl>
      <w:tblPr>
        <w:tblW w:w="8172" w:type="dxa"/>
        <w:jc w:val="left"/>
        <w:tblInd w:w="0" w:type="dxa"/>
        <w:tblLayout w:type="fixed"/>
        <w:tblCellMar>
          <w:top w:w="28" w:type="dxa"/>
          <w:left w:w="28" w:type="dxa"/>
          <w:bottom w:w="28" w:type="dxa"/>
          <w:right w:w="28" w:type="dxa"/>
        </w:tblCellMar>
      </w:tblPr>
      <w:tblGrid>
        <w:gridCol w:w="1010"/>
        <w:gridCol w:w="889"/>
        <w:gridCol w:w="891"/>
        <w:gridCol w:w="413"/>
        <w:gridCol w:w="413"/>
        <w:gridCol w:w="291"/>
        <w:gridCol w:w="109"/>
        <w:gridCol w:w="109"/>
        <w:gridCol w:w="109"/>
        <w:gridCol w:w="374"/>
        <w:gridCol w:w="374"/>
        <w:gridCol w:w="376"/>
        <w:gridCol w:w="109"/>
        <w:gridCol w:w="109"/>
        <w:gridCol w:w="109"/>
        <w:gridCol w:w="330"/>
        <w:gridCol w:w="330"/>
        <w:gridCol w:w="331"/>
        <w:gridCol w:w="109"/>
        <w:gridCol w:w="109"/>
        <w:gridCol w:w="109"/>
        <w:gridCol w:w="342"/>
        <w:gridCol w:w="342"/>
        <w:gridCol w:w="485"/>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572,112 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(65,776)</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 expired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505,372 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options granted in U.S. dollars under the New Plan and the Inducement Plan:</w:t>
      </w:r>
    </w:p>
    <w:tbl>
      <w:tblPr>
        <w:tblW w:w="8464" w:type="dxa"/>
        <w:jc w:val="left"/>
        <w:tblInd w:w="0" w:type="dxa"/>
        <w:tblLayout w:type="fixed"/>
        <w:tblCellMar>
          <w:top w:w="28" w:type="dxa"/>
          <w:left w:w="28" w:type="dxa"/>
          <w:bottom w:w="28" w:type="dxa"/>
          <w:right w:w="28" w:type="dxa"/>
        </w:tblCellMar>
      </w:tblPr>
      <w:tblGrid>
        <w:gridCol w:w="1010"/>
        <w:gridCol w:w="889"/>
        <w:gridCol w:w="891"/>
        <w:gridCol w:w="488"/>
        <w:gridCol w:w="488"/>
        <w:gridCol w:w="291"/>
        <w:gridCol w:w="109"/>
        <w:gridCol w:w="109"/>
        <w:gridCol w:w="109"/>
        <w:gridCol w:w="374"/>
        <w:gridCol w:w="374"/>
        <w:gridCol w:w="376"/>
        <w:gridCol w:w="109"/>
        <w:gridCol w:w="109"/>
        <w:gridCol w:w="109"/>
        <w:gridCol w:w="330"/>
        <w:gridCol w:w="330"/>
        <w:gridCol w:w="331"/>
        <w:gridCol w:w="109"/>
        <w:gridCol w:w="109"/>
        <w:gridCol w:w="109"/>
        <w:gridCol w:w="413"/>
        <w:gridCol w:w="413"/>
        <w:gridCol w:w="485"/>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7,816,277 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109,157 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1,455,950 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(774,167)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(682,309)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7,815,751 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82,858 </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received cash proceeds of $8,717 from stock options exercised.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stock options outstanding at March 31, 2026 expire at various dates from November 9, 2026 to February 9, 2036.</w:t>
      </w:r>
    </w:p>
    <w:p>
      <w:pPr>
        <w:pStyle w:val="TextBody"/>
        <w:bidi w:val="0"/>
        <w:spacing w:lineRule="auto" w:line="288" w:before="240" w:after="240"/>
        <w:jc w:val="left"/>
        <w:rPr/>
      </w:pPr>
      <w:r>
        <w:rPr>
          <w:rFonts w:ascii="Times New Roman;serif" w:hAnsi="Times New Roman;serif"/>
          <w:b w:val="false"/>
          <w:color w:val="000000"/>
          <w:sz w:val="20"/>
        </w:rPr>
        <w:t>The estimated fair values of options granted to officers, directors, employees and consultants are amortized over the relevant vesting periods. Stock-based compensation expense for equity classified instruments, RSUs, PSUs as well as the financial statement impact of the amortization and periodic revaluation of liability classified instruments, are recorded in research and development expense and general and administration expense</w:t>
      </w:r>
      <w:r>
        <w:rPr>
          <w:color w:val="EE2724"/>
        </w:rPr>
        <w:t xml:space="preserve"> </w:t>
      </w:r>
      <w:r>
        <w:rPr>
          <w:rFonts w:ascii="Times New Roman;serif" w:hAnsi="Times New Roman;serif"/>
          <w:b w:val="false"/>
          <w:color w:val="000000"/>
          <w:sz w:val="20"/>
        </w:rPr>
        <w:t>as follows:</w:t>
      </w:r>
    </w:p>
    <w:tbl>
      <w:tblPr>
        <w:tblW w:w="5453" w:type="dxa"/>
        <w:jc w:val="left"/>
        <w:tblInd w:w="0" w:type="dxa"/>
        <w:tblLayout w:type="fixed"/>
        <w:tblCellMar>
          <w:top w:w="28" w:type="dxa"/>
          <w:left w:w="28" w:type="dxa"/>
          <w:bottom w:w="28" w:type="dxa"/>
          <w:right w:w="28" w:type="dxa"/>
        </w:tblCellMar>
      </w:tblPr>
      <w:tblGrid>
        <w:gridCol w:w="1093"/>
        <w:gridCol w:w="958"/>
        <w:gridCol w:w="963"/>
        <w:gridCol w:w="229"/>
        <w:gridCol w:w="671"/>
        <w:gridCol w:w="118"/>
        <w:gridCol w:w="118"/>
        <w:gridCol w:w="118"/>
        <w:gridCol w:w="118"/>
        <w:gridCol w:w="229"/>
        <w:gridCol w:w="671"/>
        <w:gridCol w:w="167"/>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amounts above include stock-based compensation expense relating to RSUs and PSUs of $3,696 for the three months ended March 31, 2026 (2025: $2,280).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stock options granted under the New Plan was determined using the Black-Scholes option pricing model with the following weighted-average assumptions:</w:t>
      </w:r>
    </w:p>
    <w:tbl>
      <w:tblPr>
        <w:tblW w:w="5421" w:type="dxa"/>
        <w:jc w:val="left"/>
        <w:tblInd w:w="0" w:type="dxa"/>
        <w:tblLayout w:type="fixed"/>
        <w:tblCellMar>
          <w:top w:w="28" w:type="dxa"/>
          <w:left w:w="28" w:type="dxa"/>
          <w:bottom w:w="28" w:type="dxa"/>
          <w:right w:w="28" w:type="dxa"/>
        </w:tblCellMar>
      </w:tblPr>
      <w:tblGrid>
        <w:gridCol w:w="994"/>
        <w:gridCol w:w="875"/>
        <w:gridCol w:w="876"/>
        <w:gridCol w:w="293"/>
        <w:gridCol w:w="218"/>
        <w:gridCol w:w="491"/>
        <w:gridCol w:w="197"/>
        <w:gridCol w:w="197"/>
        <w:gridCol w:w="197"/>
        <w:gridCol w:w="293"/>
        <w:gridCol w:w="218"/>
        <w:gridCol w:w="572"/>
      </w:tblGrid>
      <w:tr>
        <w:trPr/>
        <w:tc>
          <w:tcPr>
            <w:tcW w:w="99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average life of options</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years</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years</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Black-Scholes option pricing assumptions for liability classified stock options outstanding at March 31, 2026 and 2025 are as follows:</w:t>
      </w:r>
    </w:p>
    <w:tbl>
      <w:tblPr>
        <w:tblW w:w="7325" w:type="dxa"/>
        <w:jc w:val="left"/>
        <w:tblInd w:w="0" w:type="dxa"/>
        <w:tblLayout w:type="fixed"/>
        <w:tblCellMar>
          <w:top w:w="28" w:type="dxa"/>
          <w:left w:w="28" w:type="dxa"/>
          <w:bottom w:w="28" w:type="dxa"/>
          <w:right w:w="28" w:type="dxa"/>
        </w:tblCellMar>
      </w:tblPr>
      <w:tblGrid>
        <w:gridCol w:w="1683"/>
        <w:gridCol w:w="1482"/>
        <w:gridCol w:w="1484"/>
        <w:gridCol w:w="293"/>
        <w:gridCol w:w="218"/>
        <w:gridCol w:w="491"/>
        <w:gridCol w:w="197"/>
        <w:gridCol w:w="197"/>
        <w:gridCol w:w="197"/>
        <w:gridCol w:w="293"/>
        <w:gridCol w:w="218"/>
        <w:gridCol w:w="572"/>
      </w:tblGrid>
      <w:tr>
        <w:trPr/>
        <w:tc>
          <w:tcPr>
            <w:tcW w:w="168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average option term</w:t>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years</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years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Number of liability classified stock options outstanding</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64,402</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272,330</w:t>
            </w:r>
          </w:p>
        </w:tc>
      </w:tr>
    </w:tbl>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At March 31, 2026, the unamortized compensation expense related to unvested options was $20,091. The remaining unamortized compensation expense as of March 31, 2026 will be recognized over a weighted-average period of 1.85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60"/>
        <w:jc w:val="left"/>
        <w:rPr>
          <w:rFonts w:ascii="Times New Roman;serif" w:hAnsi="Times New Roman;serif"/>
          <w:b/>
          <w:color w:val="000000"/>
          <w:sz w:val="20"/>
        </w:rPr>
      </w:pPr>
      <w:r>
        <w:rPr>
          <w:rFonts w:ascii="Times New Roman;serif" w:hAnsi="Times New Roman;serif"/>
          <w:b/>
          <w:color w:val="000000"/>
          <w:sz w:val="20"/>
        </w:rPr>
        <w:t>9. Research, Collaboration and Licensing Agreements</w:t>
      </w:r>
    </w:p>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Revenue recognized from the Company’s strategic partnerships which includes amounts from Jazz Pharmaceuticals Ireland Limited or Jazz Pharmaceuticals, Inc. (subsidiaries of Jazz Pharmaceuticals plc, collectively referred to as “Jazz”) is summarized as follows:</w:t>
      </w:r>
    </w:p>
    <w:tbl>
      <w:tblPr>
        <w:tblW w:w="7898" w:type="dxa"/>
        <w:jc w:val="left"/>
        <w:tblInd w:w="0" w:type="dxa"/>
        <w:tblLayout w:type="fixed"/>
        <w:tblCellMar>
          <w:top w:w="28" w:type="dxa"/>
          <w:left w:w="28" w:type="dxa"/>
          <w:bottom w:w="28" w:type="dxa"/>
          <w:right w:w="28" w:type="dxa"/>
        </w:tblCellMar>
      </w:tblPr>
      <w:tblGrid>
        <w:gridCol w:w="1998"/>
        <w:gridCol w:w="1761"/>
        <w:gridCol w:w="1790"/>
        <w:gridCol w:w="211"/>
        <w:gridCol w:w="616"/>
        <w:gridCol w:w="109"/>
        <w:gridCol w:w="109"/>
        <w:gridCol w:w="109"/>
        <w:gridCol w:w="109"/>
        <w:gridCol w:w="211"/>
        <w:gridCol w:w="721"/>
        <w:gridCol w:w="154"/>
      </w:tblGrid>
      <w:tr>
        <w:trPr/>
        <w:tc>
          <w:tcPr>
            <w:tcW w:w="1998"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Jazz:</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support payments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Drug supply for ongoing studies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drug supply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BeOne: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Drug supply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GlaxoSmithKline Intellectual Property Development Ltd. (“GSK”):</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Daiichi Sankyo, Co., Ltd. (“Daiichi Sankyo”):</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December 31, 2025, there have not been any material changes to the key terms of our collaboration and license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360" w:after="240"/>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at March 31, 2026, contract assets from research, collaboration and licensing agreements were $1,554 (December 31, 2025: $2,752). As at March 31, 2026, short-term and long-term contract liabilities were $2,078 and $14,606, respectively (December 31, 2025: $2,418 and $14,606, respectively). Contract liabilities relate to deferred revenue from the BeOne and Jazz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lease for the Company’s office and laboratory spaces in Vancouver, British Columbia, which we entered into in January 2019, has an initial term expiring in February 2032, with two five-year extension options. In addition, the Company leases office spaces in Bellevue, Washington and in Redwood City, California with lease terms expiring between August 2027 and July 2029. None of the optional extension periods have been included in the determination of the right-of-use assets or the lease liabilities for operating leases as the Company did not consider it reasonably certain that the Company would exercise any such options. The Company ceased its use of its office space in Redwood City, as of March 31, 2026 and fully amortized the right-of-use asset of this lease as of March 31, 2026.</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leases office equipment under capital lease agreements. </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The balance sheet classification of the Company’s lease liabilities was as follows:</w:t>
      </w:r>
    </w:p>
    <w:tbl>
      <w:tblPr>
        <w:tblW w:w="6047" w:type="dxa"/>
        <w:jc w:val="left"/>
        <w:tblInd w:w="0" w:type="dxa"/>
        <w:tblLayout w:type="fixed"/>
        <w:tblCellMar>
          <w:top w:w="28" w:type="dxa"/>
          <w:left w:w="28" w:type="dxa"/>
          <w:bottom w:w="28" w:type="dxa"/>
          <w:right w:w="28" w:type="dxa"/>
        </w:tblCellMar>
      </w:tblPr>
      <w:tblGrid>
        <w:gridCol w:w="1221"/>
        <w:gridCol w:w="1073"/>
        <w:gridCol w:w="1080"/>
        <w:gridCol w:w="211"/>
        <w:gridCol w:w="616"/>
        <w:gridCol w:w="271"/>
        <w:gridCol w:w="109"/>
        <w:gridCol w:w="109"/>
        <w:gridCol w:w="109"/>
        <w:gridCol w:w="211"/>
        <w:gridCol w:w="721"/>
        <w:gridCol w:w="316"/>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years</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 in U.S. dollars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 in Canadian dollars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 for fixed payments for the three months ended March 31, 2026 was $1,089 (2025: $1,048), and were included in net cash used in operating activities in the consolidated statement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of March 31, 2026, the maturities of the Company’s operating lease liabilities were as follows:</w:t>
      </w:r>
    </w:p>
    <w:tbl>
      <w:tblPr>
        <w:tblW w:w="3740" w:type="dxa"/>
        <w:jc w:val="left"/>
        <w:tblInd w:w="0" w:type="dxa"/>
        <w:tblLayout w:type="fixed"/>
        <w:tblCellMar>
          <w:top w:w="28" w:type="dxa"/>
          <w:left w:w="28" w:type="dxa"/>
          <w:bottom w:w="28" w:type="dxa"/>
          <w:right w:w="28" w:type="dxa"/>
        </w:tblCellMar>
      </w:tblPr>
      <w:tblGrid>
        <w:gridCol w:w="961"/>
        <w:gridCol w:w="844"/>
        <w:gridCol w:w="84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to 2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to 3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to 4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to 5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cost components of the operating leases were as follows for the three months ended March 31, 2026 and 2025:</w:t>
      </w:r>
    </w:p>
    <w:tbl>
      <w:tblPr>
        <w:tblW w:w="4329" w:type="dxa"/>
        <w:jc w:val="left"/>
        <w:tblInd w:w="0" w:type="dxa"/>
        <w:tblLayout w:type="fixed"/>
        <w:tblCellMar>
          <w:top w:w="28" w:type="dxa"/>
          <w:left w:w="28" w:type="dxa"/>
          <w:bottom w:w="28" w:type="dxa"/>
          <w:right w:w="28" w:type="dxa"/>
        </w:tblCellMar>
      </w:tblPr>
      <w:tblGrid>
        <w:gridCol w:w="755"/>
        <w:gridCol w:w="663"/>
        <w:gridCol w:w="667"/>
        <w:gridCol w:w="211"/>
        <w:gridCol w:w="616"/>
        <w:gridCol w:w="109"/>
        <w:gridCol w:w="109"/>
        <w:gridCol w:w="109"/>
        <w:gridCol w:w="109"/>
        <w:gridCol w:w="211"/>
        <w:gridCol w:w="61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expense for the three months ended March 31, 2026 includes $766 of accelerated amortization for the right-of-use asset of the Company's office space in Redwood 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research collaboration agreements with strategic partners in the ordinary course of operations that may include contractual milestone payments related to the achievement of pre-specified research, development, regulatory and commercialization events and indemnification provisions, which are common in such agreements. Pursuant to the agreements, the Company is obligated to make research and development and regulatory milestone payments upon the occurrence of certain events and royalty payments based on net sales. The maximum amount of potential future indemnification is unlimited, however, the Company currently holds commercial and product liability insurance that limits the Company’s liability and may enable it to recover a portion of any future amounts paid. Historically, the Company has not made any indemnification payments under such agreements and believes that the fair value of these indemnification obligations is minimal. Accordingly, the Company has not recognized any liabilities relating to indemnification obligations for any period presented in the interim condensed consolidated financial statements.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240" w:after="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various legal proceedings and claims related to matters arising in the ordinary course of business. The Company does not believe it is currently subject to any material matters where there is at least a reasonable possibility that a material loss may be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12. Business Segments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and manages its business in a single reportable segment, which is the management of a portfolio of licensed healthcare assets and development of novel multifunctional biotherapeutics (the “biotherapeutics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of the biotherapeutics segment are the same as those described in the summary of significant accounting policies.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Chair of the Board of Directors and Chief Executive Officer. The CODM assesses performance for the biotherapeutics segment and decides how to allocate resources based on the results of our strategic planning, with segment (loss) income being used to monitor performance against the budgeted costs of that strategy. The measure of segment assets is reported on the balance sheet as total consolidated assets.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Segment profit or loss is measured as net loss presented in the consolidated statements of operations and comprehensive loss. For the purpose of evaluating segment performance and allocating resources, the CODM reviews the Company’s consolidated financial information together with certain operating metrics and evaluates net loss against comparable prior periods and the Company’s annual operating plan. The measure of segment assets is reported on the consolidated balance sheets as total consolidated assets.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significant expense categories included within the consolidated statements of loss and comprehensive loss, the following table sets forth disaggregated research and development expenses:</w:t>
      </w:r>
    </w:p>
    <w:tbl>
      <w:tblPr>
        <w:tblW w:w="7187" w:type="dxa"/>
        <w:jc w:val="left"/>
        <w:tblInd w:w="0" w:type="dxa"/>
        <w:tblLayout w:type="fixed"/>
        <w:tblCellMar>
          <w:top w:w="28" w:type="dxa"/>
          <w:left w:w="28" w:type="dxa"/>
          <w:bottom w:w="28" w:type="dxa"/>
          <w:right w:w="28" w:type="dxa"/>
        </w:tblCellMar>
      </w:tblPr>
      <w:tblGrid>
        <w:gridCol w:w="1561"/>
        <w:gridCol w:w="1368"/>
        <w:gridCol w:w="1376"/>
        <w:gridCol w:w="400"/>
        <w:gridCol w:w="321"/>
        <w:gridCol w:w="259"/>
        <w:gridCol w:w="259"/>
        <w:gridCol w:w="259"/>
        <w:gridCol w:w="259"/>
        <w:gridCol w:w="499"/>
        <w:gridCol w:w="259"/>
        <w:gridCol w:w="367"/>
      </w:tblGrid>
      <w:tr>
        <w:trPr/>
        <w:tc>
          <w:tcPr>
            <w:tcW w:w="15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ZW171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ZW191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ZW220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ZW251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other preclinical and research programs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Unallocated research and development expenses:</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Salaries and benefits and stock 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35,738 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should be read in conjunction with the attached interim condensed consolidated financial statements and notes thereto included in Part I, Item 1 of this Quarterly Report on Form 10-Q, as well as our audited consolidated financial statements and related notes thereto and management’s discussion and analysis of financial condition and results of operations for the year ended December 31, 2025 included in our Annual Report on Form 10-K filed with the U.S. Securities and Exchange Commission (the “SEC”) on March 2, 2026 and with the securities commissions in all provinces and territories of Canada on March 2, 2026. This Quarterly Report on Form 10-Q, including the following sections, contains forward-looking statements within the meaning of the U.S. Private Securities Litigation Reform Act of 1995. These statements are subject to risks and uncertainties that could cause actual results and events to differ materially from those expressed or implied by such forward-looking statements. As a result of many factors, including without limitation those set forth under “Risk Factors” under Item 1A of Part II below, and elsewhere in this Quarterly Report on Form 10-Q, our actual results may differ materially from those anticipated in these forward-looking statements. We caution the reader not to place undue reliance on these forward-looking statements, which reflect management’s analysis only as of the date of this Quarterly Report on Form 10-Q. We undertake no obligation to update forward-looking statements which reflect events or circumstances occurring after the date of this Quarterly Report on Form 10-Q,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Zymeworks is a global biotechnology company managing a portfolio of licensed healthcare assets and developing a diverse pipeline of novel, multifunctional biotherapeutics to improve the standard of care for difficult-to-treat conditions, including cancer, inflammation, and autoimmune disease. We believe our asset and royalty aggregation strategy differentiates us from other biotechnology companies because it provides us with an opportunity to optimize future milestone and royalty cash flows and selectively invest in high-quality assets while retaining the flexibility to return capital to stockholders.</w:t>
      </w:r>
    </w:p>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We commenced operations in 2003 and have since devoted substantially all of our resources to research and development activities including developing our therapeutic platforms, identifying and developing potential product candidates and undertaking preclinical studies and clinical trials. Additionally, we have supported our research and development activities with general and administrative support, as well as by raising capital, conducting business planning and protecting our intellectual property. Other than the receipt of royalties on sales of zanidatamab and regulatory milestone payments relating to the regulatory approval of zanidatamab, we have not generated any revenue related to product approvals or the sale of approved products as of March 31, 2026, and, other than the anticipated receipt of additional royalties and potential regulatory milestone payments relating to future regulatory decisions and sales of zanidatamab, we do not expect to do so until such time as we or our strategic partners’ obtain regulatory approval and commercialize one or more of our product candidates. We cannot be certain of the timing or success of approval of our product candidates.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our initial public offering (“IPO”) in 2017, we have funded our operations primarily through follow-on public offerings, and private placements including the issuance of pre-funded warrants, and payments received under our license and collaboration agreements. Payments received or receivables from our license and collaboration agreements include upfront fees, milestone and royalty payments, as well as research support and reimbursement payments. Prior to our IPO, we also received financing from private equity placements and the issuance of convertible debt, which was subsequently converted into equity securities, and a credit facility. From inception to March 31, 2026, we received $1,035.6 million, net of equity issuance costs, from these sources of financing including proceeds from exercises of stock options and employee stock purchase plans. As of March 31, 2026, we had $403.8 million of cash resources consisting of cash, cash equivalents and marketable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Although it is difficult to predict our funding requirements, based upon our current operating plan, we anticipate that our existing cash and cash equivalents and marketable securities as of March 31, 2026, will enable us to fund our operating expenditures and capital expenditure requirements for at least the next twelve months from the date of this Quarterly Report on Form 10-Q is filed with the SEC.</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reported a net loss of $44.2 million for the three months ended March 31, 2026 and as of March 31, 2026, we had an accumulated deficit of $1,073.8 million. We expect to continue to incur operating losses in the near to medium term as we execute our strategic plan announced in 2025, which emphasizes disciplined capital allocation, focused research and development investment, advancement of partnered programs, and active management of our royalty and asset portfolio. Our operating expense outlook reflects a multi-year planning framework designed to align spending with defined strategic priorities, including pipeline progression, technology platform advancement, and value-enhancing business development activities. We are prioritizing investments where we believe risk-adjusted returns are most attractive and expect operating expenses to be managed within this structured framework.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120" w:after="283"/>
        <w:jc w:val="left"/>
        <w:rPr/>
      </w:pPr>
      <w:r>
        <w:rPr>
          <w:rFonts w:ascii="Times New Roman;serif" w:hAnsi="Times New Roman;serif"/>
          <w:b w:val="false"/>
          <w:color w:val="000000"/>
          <w:sz w:val="20"/>
        </w:rPr>
        <w:t>Our strategy is focused on compounding long-term stockholder value through a combination of royalty growth, strategic acquisitions, and internal innovation, supported by disciplined capital allocation and a strengthened financial foundation through expected milestone payments and royalties from existing commercial partners. We pursue this strategy by discovering or acquiring and developing a diversified portfolio of preclinical or clinical healthcare assets while also evaluating strategic partnership opportunities to transfer certain costs and risks related to clinical development a</w:t>
      </w:r>
      <w:r>
        <w:rPr>
          <w:rFonts w:ascii="Times New Roman;serif" w:hAnsi="Times New Roman;serif"/>
          <w:b w:val="false"/>
          <w:color w:val="000000"/>
          <w:sz w:val="20"/>
          <w:shd w:fill="FFFFFF" w:val="clear"/>
        </w:rPr>
        <w:t xml:space="preserve">nd/or </w:t>
      </w:r>
      <w:r>
        <w:rPr>
          <w:rFonts w:ascii="Times New Roman;serif" w:hAnsi="Times New Roman;serif"/>
          <w:b w:val="false"/>
          <w:color w:val="000000"/>
          <w:sz w:val="20"/>
        </w:rPr>
        <w:t>commercialization to our strategic partners and secure the right to receive potential future royalty and milestone revenues. The following elements collectively support the execution of our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Royalty Portfolio and Cash Flow Generation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Through our asset and royalty aggregation strategy, we seek to optimize future cash flows from a growing portfolio of licensed products and product candidates, including Ziihera (zanidatamab-hrii) and pasritamig. As partnered therapies advance through late-stage development and commercialization, we expect to grow durable and predictable cash flows that can be deployed by us in order to seek attractive risk-adjusted returns for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Strategic Acquisitions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intend to evaluate and selectively acquire programs, technologies, product candidates and/or companies with high-quality assets or partnerships that align with our strategic objectives. By applying our scientific expertise, development capabilities, and operational efficiencies, we seek to enhance asset value and generate new royalty streams. In evaluating acquisition opportunities, we consider multiple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fit;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Royalty potential;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Differentiated assets or platform;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to address an unmet medical need;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Adequate intellectual property protection;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Favorable cash or tax attributes.</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Strategic Partnerships and Risk-Sharing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Partnerships and collaborations are central to our strategy as a potential source of funding for ongoing research and development while also reducing reliance on internal capital for later-stage clinical development of partnered assets. These arrangements enable risk sharing, particularly in late-stage development, and support disciplined R&amp;D investment, which can reduce the need to use future milestone and royalty payments to fund planned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Proprietary Technology Platforms and R&amp;D Engine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seek to leverage our expertise in protein engineering and drug chemistry to discover and develop next-generation antibody-based therapeutics to address significant unmet medical needs, particularly in hard-to-treat diseases. Our proprietary structure-guided molecular modeling, combined with internal antibody discovery and generation technologies, supports a fully integrated drug development engine capable of efficiently advancing a pipeline of innovative product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pipeline of multifunctional therapeutics is supported by our multispecific antibody therapeutics (“MSATs”) and antibody-drug conjugates (“ADCs”) technology platforms, which enable the development of novel therapeutics in cancer, inflammation, and autoimmune disease and create opportunities for new partnerships.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Stockholder Returns and Capital Allocation Discipline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capital allocation strategy is focused on balancing investment in long-term growth with returning capital to stockholders. As our royalty portfolio matures and generates excess capital beyond the needs of our operations and strategic investments, we maintain the flexibility to opportunistically allocate capital to stock repurchases. We view stock repurchases as a potential tool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strategically reduce our share count and enhance total stockholder return over time, while continuing to prioritize investments that can help support sustainable value creation. Decisions regarding capital returns are evaluated within the context of our liquidity position, future cash flow outlook, and overall strategic objectives.</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Royalty and Milestone Opportunities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Zanidatamab (Ziihera)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maintain a portfolio of partnered programs that leverage our technology platforms and scientific expertise while enabling risk-sharing and the potential for near-term milestone and royalty-based returns.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Zanidatamab, our first internally developed product candidate to receive regulatory approval, illustrates the execution of this partnership-based approach. Ziihera (zanidatamab-hrii), a bispecific antibody targeting HER2-expressing tumors developed using our Azymetric platform, has demonstrated positive late-stage clinical results and achieved regulatory approvals for the treatment of previously treated, unresectable or metastatic HER2-positive (“HER2+”) (IHC 3+) biliary tract cancer (“BTC”) in multiple jurisdictions including the United States, China, Europe and Canada. We have entered into separate collaboration and license agreements with BeOne Medicines Ltd. (formerly BeiGene, Ltd. and, together with its affiliates, “BeOne”) and Jazz Pharmaceuticals Ireland Limited, a subsidiary of Jazz Pharmaceuticals plc (collectively with their affiliates, “Jazz”), granting each partner exclusive rights to develop and commercialize zanidatamab in different territories. Jazz has completed the supplementary biologic license application (“sBLA”) </w:t>
      </w:r>
      <w:r>
        <w:rPr>
          <w:rFonts w:ascii="Times New Roman;serif" w:hAnsi="Times New Roman;serif"/>
          <w:b w:val="false"/>
          <w:color w:val="000000"/>
          <w:sz w:val="20"/>
          <w:shd w:fill="FFFFFF" w:val="clear"/>
        </w:rPr>
        <w:t>submission for zanidatamab in the first quarter of 2026 for the treatment of first-line HER2+ locally advanced or</w:t>
      </w:r>
      <w:r>
        <w:rPr>
          <w:color w:val="000000"/>
        </w:rPr>
        <w:t xml:space="preserve"> </w:t>
      </w:r>
      <w:r>
        <w:rPr>
          <w:rFonts w:ascii="Times New Roman;serif" w:hAnsi="Times New Roman;serif"/>
          <w:b w:val="false"/>
          <w:color w:val="000000"/>
          <w:sz w:val="20"/>
        </w:rPr>
        <w:t xml:space="preserve">metastatic gastroesophageal adenocarcinoma (“GEA”) under the real-time oncology review program in the United States, where zanidatamab has been granted Breakthrough Therapy Designation for patients with HER2+ GEA. In April 2026, the U.S. Food and Drug Administration ("FDA") accepted the sBLA filing for Ziihera® (zanidatamab-hrii) combinations for the first-line treatment of adult patients with HER2+ unresectable locally advanced or metastatic gastric, gastroesophageal junction ("GEJ"), or GEA for priority review with a PDUFA date of August 25, 2026. In April 2026, BeOne announced that the U.S. FDA has granted Priority Review to a sBLA for TEVIMBRA® (tislelizumab) in combination with ZIIHERA® (zanidatamab) and chemotherapy for the first-line treatment of unresectable locally advanced/metastatic HER2+ gastric, gastroesophageal junction, or esophageal adenocarcinoma. In April 2026, BeOne also received acceptance for the filing of the sBLA for zanidatamab by the Center for Drug Evaluation of the China National Medical Products Administration (“NMPA”) to seek approval for zanidatamab for the first-line treatment for HER2+ locally advanced or metastatic GEA, including cancers of the stomach, gastroesophageal junction, and esophagus. Additionally, zanidatamab is currently being evaluated in multiple global clinical trials for treatment of broader HER2-expressing indications including early and late-line breast cancer and other HER2-expressing cancers. Our partnerships with Jazz and BeOne reflect our strategy of advancing internally discovered programs through collaborations that share development risk while preserving the potential for long-term royalty and milestone revenues.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$53.0 million already received for regulatory approval of Ziihera in BTC, we are entitled to receive up to $440.0 million in near-term milestone payments from Jazz and BeOne related to approvals of Ziihera in GEA in the United States, Europe, Japan, and China as follows: U.S. - $250.0 million; EU - $100.0 million; Japan - $75.0 million; China - $15.0 million. We also expect that royalty revenue from Ziihera sales will increase as potential regulatory approvals are obtained in global markets for GEA.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have the potential to receive milestone payments related to future regulatory approvals in a third indication totaling $89.0 million, collectively, from Jazz and BeOne. For Jazz this includes a $50.0 million milestone payment upon regulatory approval of zanidatamab from the FDA in a third indication and a $25.0 million milestone payment upon regulatory approval of zanidatamab from the European Commission in a third indication. For BeOne this includes $4.0 million payable upon first patient dosed with zanidatamab in a third registrational study in the BeOne's territory and $10.0 million upon approval of zanidatamab by a regulatory authority for the third indication in the BeOne's territory.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In addition, we could be eligible to receive future commercial milestones and increased royalties as additional indications of Ziihera are developed, approved and commercialized by Jazz and BeOne. </w:t>
      </w:r>
      <w:r>
        <w:rPr>
          <w:rFonts w:ascii="Times New Roman;serif" w:hAnsi="Times New Roman;serif"/>
          <w:b w:val="false"/>
          <w:color w:val="000000"/>
          <w:sz w:val="20"/>
        </w:rPr>
        <w:t>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Pasritamig (JNJ-78278343)</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Pasritamig is a first-in-class, bispecific T cell engager (“TCE”) targeting human kallikrein 2 (“KLK2”), and was engineered using Zymeworks’ Azymetric platform. Pasritamig has demonstrated promising safety and antitumor activity in Phase 1 clinical trials. In September 2025, Johnson &amp; Johnson Innovative Medicine (formerly Janssen Inc., “J&amp;J”) announced the initiation of multiple Phase 3 clinical trials evaluating pasritamig as both monotherapy and in combination regimens in castration resistant prostate cancer.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Platform Partnerships</w:t>
      </w:r>
    </w:p>
    <w:p>
      <w:pPr>
        <w:pStyle w:val="TextBody"/>
        <w:bidi w:val="0"/>
        <w:spacing w:lineRule="auto" w:line="268" w:before="240" w:after="283"/>
        <w:jc w:val="left"/>
        <w:rPr/>
      </w:pPr>
      <w:r>
        <w:rPr>
          <w:rFonts w:ascii="Times New Roman;serif" w:hAnsi="Times New Roman;serif"/>
          <w:b w:val="false"/>
          <w:color w:val="000000"/>
          <w:sz w:val="20"/>
        </w:rPr>
        <w:t xml:space="preserve">We continue to have </w:t>
      </w:r>
      <w:r>
        <w:rPr>
          <w:rFonts w:ascii="Times New Roman;serif" w:hAnsi="Times New Roman;serif"/>
          <w:b w:val="false"/>
          <w:color w:val="000000"/>
          <w:sz w:val="20"/>
          <w:shd w:fill="FFFFFF" w:val="clear"/>
        </w:rPr>
        <w:t>revenue-generating strategic partnerships and collaborations with respect to our Azymetric and EFECT therapeutic platforms with the following pharmaceutical companies: GlaxoSmithKline Intellectual Property Development Limited (“GSK”), Daiichi Sankyo Co., Ltd. (“Daiichi Sankyo”), J&amp;J, and Merck Sharp &amp; Dohme Research GmbH (“Merck”). For additional information regarding these agreements, see the section titled “Strategic Partnerships and Collaborations”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Royalty Pharma Loan Arrangement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March 2, 2026, Zymeworks BC entered into a sale agreement (the “Sale Agreement”) with Zymeworks Royalty Limited Partnership (the “Subsidiary”), a special purpose entity newly formed by Zymeworks BC and by its general partner Zymeworks General Partner ULC (“Zymeworks GP”)</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under which Zymeworks BC sold to the Subsidiary 30% of future royalty payments (not to exceed 120% of the maximum amount payable (excluding indemnification and other similar obligations) by the Subsidiary under the Loan Agreement (as defined below) related to Ziihera receivable under the Jazz Collaboration Agreement and Zanidatamab Agreement (each as defined below, and together, the “Covered Agreements”) at a purchase price of $250.0 million (such Ziihera-related assets and rights sold to the Subsidiary, the “Royalty Interest”).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the sale and transfer of the Royalty Interest, the Subsidiary entered into a Loan Agreement (the “Loan Agreement”), dated March 2, 2026, with Royalty Pharma Development Funding, LLC (“Royalty Pharma”) as administrative agent and lender, pursuant to which the lenders party to the Loan Agreement made a term loan to the Subsidiary (the “Loan”) in an aggregate principal amount of $250.0 million, that bears interest at a fixed rate and matures on December 31, 2042 (the “Maturity Date”). Under the terms of the Loan Agreement, the amount payable to the lenders no later than the Maturity Date is approximately $481.3 million, provided that if the Loan is repaid in full on or before December 31, 2033, the amount payable to the lenders is $412.5 million, in each case inclusive of all applicable interest, yield protection premiums, early redemption fees, exit fees and other amounts payable under the Loan Agreement (excluding indemnification and similar obligations). Any amount borrowed and repaid by Subsidiary may not be reborrowed.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retain 70% of royalties on Ziihera annual net sales throughout the term of the Loan, with full royalty rights reverting to us once the Loan and other amounts payable under the Loan Agreement to Royalty Pharma have been repaid in full. All earned regulatory and commercial milestone payments under the Covered Agreements will be retained by us. For additional information regarding this arrangement, see the section titled “Liquidity and Capital Resources” below.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Wholly-Owned Pipeline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wholly-owned programs include novel ADC and MSAT candidates, such as TCEs, focusing on highly-expressed targets which provide opportunities for benchmarking in preclinical development and expected clinical differentiation. Our ADC candidates exploit our proprietary topoisomerase 1 inhibitor (“TOPO1i”) payload, ZD06519, while exploring alternate mechanisms of action for longer-term development and leveraging validated peptide-cleavable linkers and stochastic conjugations. With potential for enhanced activity compared to combination therapy, our current MSAT candidates (ZW209 and ZW1528) include trispecific TCEs (“TriTCE”) incorporating conditional co-stimulation to enhance immune-mediated killing of cancer cells, and multi-cytokine blockers for treatment of autoimmune and inflammatory diseases. Our TriTCE molecules are carefully designed to optimize tumor cell engagement and enhance T cell activation to increase anti-tumor activity while also minimizing cytokine release and off-tumor toxicities.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Solid Tumors in Oncology: Antibody-Drug Conjugates (ADCs) </w:t>
      </w:r>
    </w:p>
    <w:p>
      <w:pPr>
        <w:pStyle w:val="TextBody"/>
        <w:bidi w:val="0"/>
        <w:spacing w:lineRule="auto" w:line="288" w:before="240" w:after="283"/>
        <w:jc w:val="left"/>
        <w:rPr/>
      </w:pPr>
      <w:r>
        <w:rPr>
          <w:rFonts w:ascii="Times New Roman;serif" w:hAnsi="Times New Roman;serif"/>
          <w:b/>
          <w:i/>
          <w:color w:val="000000"/>
          <w:sz w:val="20"/>
        </w:rPr>
        <w:t>ZW191:</w:t>
      </w:r>
      <w:r>
        <w:rPr>
          <w:color w:val="000000"/>
        </w:rPr>
        <w:t xml:space="preserve"> </w:t>
      </w:r>
      <w:r>
        <w:rPr>
          <w:rFonts w:ascii="Times New Roman;serif" w:hAnsi="Times New Roman;serif"/>
          <w:b w:val="false"/>
          <w:color w:val="000000"/>
          <w:sz w:val="20"/>
        </w:rPr>
        <w:t xml:space="preserve">A clinical-stage ADC that targets folate receptor alpha (“FRα”)-expressing tumors including ovarian cancer, endometrial cancer, and non-small cell lung cancer (“NSCLC”), is built using our novel, bystander-active, TOPO1i payload technology, ZD06519. The FRα-targeting monoclonal antibody incorporated in ZW191 was selected based on compelling internalization characteristics to enable targeting of high, mid, and low levels of FRα expression. A drug-antibody-ratio (“DAR”) of eight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selected due to the restricted expression profile of FRα in normal tissues and to enhance our ability to deliver payload to tumors with lower levels of FRα. FRα is a clinically validated target, found in approximately 75% of high-grade serous ovarian carcinomas, over 50% of endometrial cancers, and in 70% of NSCLC. Preclinical data demonstrate strong ZW191 activity across a range of FRα-expressing patient-derived xenografts, including models with low levels of FRα. The ability to target lower levels of FRα is in part due to the DAR-eight format and the observed superior internalization, payload delivery, and tissue penetration derived from the ZW191 monoclonal antibody compared to other FRα monoclonal antibodies used in ADCs currently or previously in development. In a good laboratory practices (“GLP”) toxicology study, ZW191 achieved a highest non-severely toxic dose in non-human primates of 60 mg/kg, which presents a compelling profile and enables the expectation of potentially achieving an efficacious dose level in the Phase 1 clinical trial. We have completed enrollment for the ongoing global Phase 1, open-label, multicenter study of ZW191, registered under NCT06555744 on clinicaltrials.gov. The study aims to enroll approximately 145 participants with advanced solid tumors, including ovarian, endometrial, and non-small cell lung cancers, across North America, Europe, and the Asia-Pacific region. The study is designed to evaluate the safety, tolerability, pharmacokinetics, and preliminary anti-tumor activity of ascending doses of ZW191. In October 2025, we presented initial clinical data from the Phase 1 trial. We subsequently presented more mature data from part 1 of the Phase 1 study in April 2026. Based on the preliminary efficacy data and the tolerable safety profile observed, we have initiated dose optimization in ovarian cancer to further evaluate ZW191’s clinical activity and safety to help inform the product candidate’s registrational strategy. The U.S. FDA has granted Fast Track designation to ZW191, for the treatment of patients with advanced or metastatic platinum-resistant ovarian cancer. </w:t>
      </w:r>
    </w:p>
    <w:p>
      <w:pPr>
        <w:pStyle w:val="TextBody"/>
        <w:bidi w:val="0"/>
        <w:spacing w:lineRule="auto" w:line="288" w:before="240" w:after="283"/>
        <w:jc w:val="left"/>
        <w:rPr/>
      </w:pPr>
      <w:r>
        <w:rPr>
          <w:rFonts w:ascii="Times New Roman;serif" w:hAnsi="Times New Roman;serif"/>
          <w:b/>
          <w:i/>
          <w:color w:val="000000"/>
          <w:sz w:val="20"/>
        </w:rPr>
        <w:t>ZW251:</w:t>
      </w:r>
      <w:r>
        <w:rPr>
          <w:color w:val="000000"/>
        </w:rPr>
        <w:t xml:space="preserve"> </w:t>
      </w:r>
      <w:r>
        <w:rPr>
          <w:rFonts w:ascii="Times New Roman;serif" w:hAnsi="Times New Roman;serif"/>
          <w:b w:val="false"/>
          <w:color w:val="000000"/>
          <w:sz w:val="20"/>
        </w:rPr>
        <w:t xml:space="preserve">A potential first-in-class clinical-stage ADC molecule designed for the treatment of glypican 3 (“GPC3”)-expressing hepatocellular carcinoma (“HCC”), incorporates the same Zymeworks proprietary bystander-active TOPO1i payload utilized in ZW191 (anti-FRα) and ZW220 (anti-NaPi2b), ZD06519. The GPC3-targeting monospecific antibody incorporated in ZW251 was selected based on favorable binding and internalization properties to enable targeting of a range of GPC3-expressing tumors. A DAR of four was selected for this program as a lower DAR potentially could unlock a broader range of dose levels, a potential benefit as HCC patients are commonly challenged by impairment of liver function as a result of chronic liver disease and cirrhosis. GPC3, a glycosylphosphatidylinositol-anchored cell surface oncofetal antigen, is over-expressed in most HCC patients (&gt;75%), and displays minimal normal adult tissue expression, making it an appealing ADC target. In preclinical studies, anti-tumor activity for ZW251 was observed in multiple patient-derived xenograft models of HCC reflecting a range of GPC3 over-expression. In GLP toxicology studies performed in non-human primates, ZW251 achieved an HNSTD of 100 mg/kg, suggesting the potential for high doses in humans. We are encouraged by published research demonstrating the potential of targeting GPC3 with an antibody in HCC patients as evidenced by tumor localization of iodine radio-labeled condrituzumab, a clinical-stage anti-GPC3 monoclonal antibody, and believe that ADC-based targeting of GPC3 could enable a novel and effective approach to treatment of HCC. In July 2025, we announced that the investigational new drug (“IND”) application for ZW251 was cleared by the FDA. We are currently recruiting patients in an ongoing global Phase 1, open-label, multicenter study of ZW251, registered under NCT07164313 on clinicaltrials.gov. The study aims to enroll approximately 100 participants with advanced solid tumors, including HCC, squamous NSCLC, and germ cell tumors, across North America, Europe, and the Asia-Pacific region. The study is designed to evaluate the safety, tolerability, pharmacokinetics, and preliminary anti-tumor activity of ZW251. </w:t>
      </w:r>
    </w:p>
    <w:p>
      <w:pPr>
        <w:pStyle w:val="TextBody"/>
        <w:bidi w:val="0"/>
        <w:spacing w:lineRule="auto" w:line="288" w:before="240" w:after="283"/>
        <w:jc w:val="left"/>
        <w:rPr/>
      </w:pPr>
      <w:r>
        <w:rPr>
          <w:rFonts w:ascii="Times New Roman;serif" w:hAnsi="Times New Roman;serif"/>
          <w:b/>
          <w:i/>
          <w:color w:val="000000"/>
          <w:sz w:val="20"/>
        </w:rPr>
        <w:t>ZW220:</w:t>
      </w:r>
      <w:r>
        <w:rPr>
          <w:color w:val="000000"/>
        </w:rPr>
        <w:t xml:space="preserve"> </w:t>
      </w:r>
      <w:r>
        <w:rPr>
          <w:rFonts w:ascii="Times New Roman;serif" w:hAnsi="Times New Roman;serif"/>
          <w:b w:val="false"/>
          <w:color w:val="000000"/>
          <w:sz w:val="20"/>
        </w:rPr>
        <w:t>An ADC that targets NaPi2b-expressing NSCLC and ovarian cancer, is built, like ZW191, using our proprietary bystander active TOPO1i payload technology, ZD06519. The strong and persistent bystander effect of the ZD06519 payload that we have observed in preclinical studies may help overcome NaPi2b heterogeneity across different cancers. The NaPi2b-targeting monospecific antibody incorporated in ZW220 was selected based on a favorable binding profile and enhanced internalization properties to enable targeting of both Napi2b-high and NaPi2b-low expressing tumors. Distinct from ZW191, ZW220 utilizes a DAR-four format paired with mutations in the fragment crystallizable (“Fc”) region to attenuate binding to Fc-gamma family receptors. These features were incorporated in ZW220 with the goal of minimizing potential toxicities associated with expression of NaPi2b in normal lung tissue. NaPi2b is expressed in approximately 83% of ovarian (serous) cancer, 81% of endometrial cancer, and 77% of adenocarcinoma NSCLC. Preclinical data demonstrate that ZW220 is active in models of ovarian cancer and NSCLC with strong anti-tumor activity observed in patient-derived xenograft models and growth inhibition observed in three-dimensional spheroid models. ZW220 is tolerated at high doses in non-GLP animal studies with a maximum tolerated dose (“MTD”) ≥90 mg/kg in non-human primates and ≥200 mg/kg in rats, suggesting the potential for high doses in humans. NaPi2b is a compelling ADC target, and we believe the design of ZW220 may overcome some of the challenges encountered with other NaPi2b-targeted ADCs, including Lifa-V, UpRi, and XMT-1592, and may potentially provide a safe and meaningful benefit to patients with NaPi2b-expressing tumors. We have paused the preparations for the commencement of a Phase 1 study of ZW220 to help facilitate the accelerated development of ZW251. However, we believe ZW220 remains a highly differentiated, IND-ready asset with strong clinical, commercial, and partnership potential.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Solid Tumors in Oncology: Multispecific Antibody Therapeutics (MSATs) </w:t>
      </w:r>
    </w:p>
    <w:p>
      <w:pPr>
        <w:pStyle w:val="TextBody"/>
        <w:bidi w:val="0"/>
        <w:spacing w:lineRule="auto" w:line="288" w:before="240" w:after="283"/>
        <w:jc w:val="left"/>
        <w:rPr/>
      </w:pPr>
      <w:r>
        <w:rPr>
          <w:rFonts w:ascii="Times New Roman;serif" w:hAnsi="Times New Roman;serif"/>
          <w:b/>
          <w:i/>
          <w:color w:val="000000"/>
          <w:sz w:val="20"/>
        </w:rPr>
        <w:t>ZW209:</w:t>
      </w:r>
      <w:r>
        <w:rPr>
          <w:color w:val="000000"/>
        </w:rPr>
        <w:t xml:space="preserve"> </w:t>
      </w:r>
      <w:r>
        <w:rPr>
          <w:rFonts w:ascii="Times New Roman;serif" w:hAnsi="Times New Roman;serif"/>
          <w:b w:val="false"/>
          <w:color w:val="000000"/>
          <w:sz w:val="20"/>
        </w:rPr>
        <w:t>A novel TriTCE targeting Delta-like ligand 3 (“DLL3”)-expressing tumor cells, is designed using our clinically validated Azymetric and EFECT platforms. By leveraging obligate cis-T cell binding and conditional cluster of differentiation 28 (“CD28”) engagement, this potentially first-in-class molecule has been designed to prevent unintended T cell activation, while enabling tumor-targeted cytotoxicity. The innovative design has demonstrated differentiated long-term cytotoxicity in vitro at low E:T (effector to target) ratios, with enhanced T cell proliferation and survival, offering significant potential to increase durability of responses in DLL3-expressing cancers. We anticipate submitting an IND to commence Phase 1 clinical studies for ZW209 in 2026, with equivalent non-U.S. applications to be submitted thereafter.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Autoimmune and Inflammatory Diseases (AIID) </w:t>
      </w:r>
    </w:p>
    <w:p>
      <w:pPr>
        <w:pStyle w:val="TextBody"/>
        <w:bidi w:val="0"/>
        <w:spacing w:lineRule="auto" w:line="288" w:before="240" w:after="283"/>
        <w:jc w:val="left"/>
        <w:rPr/>
      </w:pPr>
      <w:r>
        <w:rPr>
          <w:rFonts w:ascii="Times New Roman;serif" w:hAnsi="Times New Roman;serif"/>
          <w:b/>
          <w:i/>
          <w:color w:val="000000"/>
          <w:sz w:val="20"/>
        </w:rPr>
        <w:t>ZW1528:</w:t>
      </w:r>
      <w:r>
        <w:rPr>
          <w:color w:val="000000"/>
        </w:rPr>
        <w:t xml:space="preserve"> </w:t>
      </w:r>
      <w:r>
        <w:rPr>
          <w:rFonts w:ascii="Times New Roman;serif" w:hAnsi="Times New Roman;serif"/>
          <w:b w:val="false"/>
          <w:color w:val="000000"/>
          <w:sz w:val="20"/>
        </w:rPr>
        <w:t>Our first program in AIID, is a novel IL-4R⍺ x IL-33 bispecific molecule designed to address respiratory inflammation such as mixed-type chronic obstructive pulmonary disease (“COPD”) by inhibiting multiple pathways. By blocking three cytokines (IL-4, IL-13, and IL-33) in a single biologic, ZW1528 offers a unique approach to inhibit clinically validated pathways. The bispecific antibody is designed to provide complete, prolonged IL-4R⍺ blockade with simultaneous blockade of IL-33. Based on non-clinical in vitro studies, the bispecific can independently suppress IL-4, IL-13, and IL-33 driven cell signaling equivalent to that achieved with anti-IL-4R⍺ monoclonal antibody (“mAb”) or anti-IL-33 clinical benchmarks mAbs. Furthermore, in preclinical studies, ZW1528-mediated blockade of cytokine-driven activation of human epithelial cells was superior to that achieved with mAbs targeting either IL-4R⍺ or IL-33, indicating potential benefits of dual blockade. Additionally, preclinical studies with human peripheral blood mononuclear cells demonstrate ZW1528 provides blockade of IL-33 mediated effects beyond that achievable with an anti-IL33 benchmark mAb. With native Immunoglobulin G-like geometry, ZW1528 demonstrates the potential for high manufacturability and incorporates half-life extending Fc modifications. We anticipate submitting a regulatory filing to commence Phase 1 clinical studies for ZW1528 in 2027.</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Continued Pipeline Development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Going forward, we currently expect to focus our ADVANCE research efforts primarily on multispecific antibody and engineered-cytokine platforms. We anticipate that these activities will be partially supported through early-stage partnerships and collaborations. We also intend to continue disseminating scientific findings through peer-reviewed publications and data presentations across our preclinical and clinical programs, as appropriate.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our ADC portfolio, we currently expect to continue conducting Phase 1 clinical studies for ZW191 and ZW251 during 2026. We also intend to advance our other ongoing ADC research programs, including potential clinical development of ZW220, ZW327, and ZW418, a biparatopic PTK7-targeting ADC incorporating a novel pan-RAS inhibitor payload, only if and when partnerships, collaborations, and/or other sources of external funding become available.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innovating with increased novelty in targets and unique mechanisms of action through bispecific or biparatopic ADCs, dual-payload ADCs, multi-specific immune cell engagers and immune-oncology, subject to strategic priorities, and the availability of resources.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Our Proprietary Therapeutic Platforms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expertise in protein engineering has enabled the development of our proprietary therapeutic platforms, a complementary suite of highly tailored biologics solutions. Our therapeutic platforms can be used alone or in combination to develop multifunctional fit-for-purpose biotherapeutics with bispecific capabilities (Azymetric), targeted cytotoxin payload delivery and linker technologies (drug conjugate platforms), finely tuned immune function modulation (EFECT), and tumor-specific immune co-stimulation (ProTECT). The modular design and ease of use of our therapeutic platforms allow for the design and evaluation of multiple candidates with different formats to determine the optimal therapeutic combination early in development. We continue to leverage these therapeutic platforms to expand our pipeline of next-generation multispecific and ADCs that we believe could represent significant improvements to the standard of care in multiple cancer types and other serious diseases.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Azymetric Multispecific Antibody Platform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Azymetric multispecific antibody platform is our foundation platform, which can produce either the backbone of our ADCs or be the base of our multispecific therapeutics that can be combined with both our TriTCE technology and our ProTECT platform to develop potential best-in-class trispecifics. The U.S. FDA approval of zanidatamab in 2024 provides validation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proprietary Azymetric technology and capabilities for design and development of novel medicines. The Azymetric platform consists of a library of proprietary amino acid substitutions that enable the transformation of monospecific antibodies into bispecific or trispecific antibodies, which gives them the ability to simultaneously bind two non-overlapping epitopes. The Azymetric platform enables the development of biotherapeutics with dual-targeting of receptors/ligands and simultaneous blockade of multiple signaling pathways, increasing tumor-specific targeting and efficacy while reducing toxicities and the potential for drug resistance. In preclinical studies, the dual targeting of Azymetric antibodies has demonstrated synergistic activity relative to the application of an equivalent dose of the corresponding monospecific antibodies. Azymetric multispecifics can also be engineered to enhance internalization of the antibody into the tumor cell and consequently increase the delivery of cytotoxins. Azymetric multispecifics retain the desirable drug-like qualities of monoclonal antibodies, including long half-life, stability and low immunogenic potential, which increases their probability of success. Azymetric multispecifics are also compatible with standard manufacturing processes with high production yields and purity.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Azymetric platform is the foundation for the development of trispecific and trivalent antibodies. Our complementary suite of technologies can incorporate multiple targets and mechanisms of action within a single antibody-based therapeutic. To achieve efficacy and durability in a difficult tumor microenvironment, we have developed a TriTCE strategy that integrates checkpoint inhibition (“TriTCE-CPI”) and costimulatory technologies (“TriTCE-costim”). TriTCE-CPI technology is designed to navigate suppressive tumor microenvironments and enhance the activity of TCEs through incorporation of a checkpoint pathway binder to restore and enhance T cell engagement and overcome secondary resistance to provide durable responses. TriTCE-costim technology can increase T cell fitness, activation and proliferation via tumor-dependent T cell co-stimulation. Further, TCE technologies can integrate with ProTECT, a technology built to mask an antibody arm to improve selectivity to minimize off-target, and mitigate on-target, adverse events.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Drug Conjugate Platforms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drug conjugate platforms are a suite of proprietary cytotoxins (including both topoisomerase and microtubulin inhibiting toxins), stable linkers, and conjugation technologies that are compatible with and complementary to our product candidates and enable delivery of cytotoxins directly to target cells. We believe that our platforms provide multiple competitive advantages over existing ADC approaches, including optimized activity and tolerability profiles through increased drug delivery to target cells with reduced off-target effects, as well as improved pharmacokinetics and stability. Our drug conjugate platforms can be used in conjunction with our other therapeutic platforms to potentially increase safety and efficacy as compared to existing ADC platforms.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TOPO1i ADC platform is one of several proprietary Zymeworks linker-payload platforms. TOPO1i-based technologies have shown meaningful clinical benefit in a wide range of solid tumors, including hard-to-treat solid tumors, and have been validated across many targets. Our novel camptothecin ZD06519 (FD1) has been specifically designed for its application as an ADC payload. A panel of camptothecin analogs with different substituents at the C-7 and C-10 positions of the camptothecin core were prepared and tested in vitro. Selected compounds spanning a range of potency and hydrophilicity were elaborated into drug-linkers, conjugated to trastuzumab, and evaluated in vitro and in vivo. ZD06519 was selected based on its favorable properties as a free molecule and as an antibody conjugate, which include moderate free payload potency (~1 nanomolar), low hydrophobicity, strong bystander activity, robust plasma stability, and high-monomeric ADC content. When conjugated to different antibodies using a clinically validated MC-GGFG-based linker, ZD06519 demonstrated impressive efficacy in multiple cell-derived xenograft models and noteworthy tolerability in healthy mice, rats, and non-human primates.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EFECT Antibody Effector Function Modulation Platform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EFECT platform consists of sets of modifications to the Fc region of antibodies that enable the selective modulation of recruited cytotoxic immune cells for diverse therapeutic applications. This allows us to rationally tailor the selective enhancement or suppression of immune effector function to optimize product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ProTECT Tumor-Specific Immune Co-stimulation Platform </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ProTECT platform is a novel conditionally active antibody technology that can simultaneously increase the tolerability and efficacy for therapeutics, thereby potentially enhancing therapeutic window and clinical utility. Functional, natural immunomodulatory heterodimers are introduced to sterically block antigen binding outside the tumor, enabling therapeutics with limited activity in normal healthy tissue, avoiding on-target, off-tumor toxicities. Once in the tumor microenvironment, specific proteases cleave and release one half of the functional block activating both the targeting antibody and the immunomodulatory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function. The resulting activated multifunctional therapeutic enables immune modulation in concert with antigen binding, which enables an overall increase in the therapeutic window through selective tumor activity and enhanced potency.</w:t>
      </w:r>
    </w:p>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Wholly-Owned Programs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2026, we shared new preclinical and clinical data at the American Association for Cancer Research ("AACR") Annual Meeting. Presentations included new preclinical combination insights from ZW191, as well as additional clinical data from Part 1 of our Phase 1 trial of ZW191. We also presented data from our emerging RAS inhibitor ADC platform and three novel candidates designed to target treatment of RAS mutated cancer.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we announced that the U.S.FDA has granted Fast Track designation to ZW191, for the treatment of patients with advanced or metastatic platinum-resistant ovarian cancer.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Partnered Programs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Zanidatamab </w:t>
      </w:r>
    </w:p>
    <w:p>
      <w:pPr>
        <w:pStyle w:val="TextBody"/>
        <w:bidi w:val="0"/>
        <w:spacing w:lineRule="auto" w:line="276" w:before="0" w:after="0"/>
        <w:jc w:val="left"/>
        <w:rPr/>
      </w:pPr>
      <w:r>
        <w:rPr>
          <w:rFonts w:ascii="Times New Roman;serif" w:hAnsi="Times New Roman;serif"/>
          <w:b w:val="false"/>
          <w:color w:val="000000"/>
          <w:sz w:val="20"/>
          <w:shd w:fill="FFFFFF" w:val="clear"/>
        </w:rPr>
        <w:t xml:space="preserve">In April 2026, the U.S. FDA accepted the sBLA filing for Ziihera® (zanidatamab-hrii) combinations for the first-line treatment of adult patients with HER2+ unresectable locally advanced or metastatic gastric, GEJ, or GEA </w:t>
      </w:r>
      <w:r>
        <w:rPr>
          <w:rFonts w:ascii="Times New Roman;serif" w:hAnsi="Times New Roman;serif"/>
          <w:b w:val="false"/>
          <w:color w:val="000000"/>
          <w:sz w:val="20"/>
        </w:rPr>
        <w:t>based on the HERIZON-GEA-01 data</w:t>
      </w:r>
      <w:r>
        <w:rPr>
          <w:rFonts w:ascii="Times New Roman;serif" w:hAnsi="Times New Roman;serif"/>
          <w:b w:val="false"/>
          <w:color w:val="000000"/>
          <w:sz w:val="20"/>
          <w:shd w:fill="FFFFFF" w:val="clear"/>
        </w:rPr>
        <w:t>. Pending approval, Jazz expects to commercially launch zanidatamab in the U.S.</w:t>
      </w:r>
    </w:p>
    <w:p>
      <w:pPr>
        <w:pStyle w:val="TextBody"/>
        <w:bidi w:val="0"/>
        <w:spacing w:lineRule="auto" w:line="276"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April 2026, BeOne announced that the U.S. FDA has granted Priority Review to a sBLA for TEVIMBRA® (tislelizumab) in combination with ZIIHERA® (zanidatamab) and chemotherapy for the first-line treatment of unresectable locally advanced/metastatic HER2+ gastric, gastroesophageal junction, or esophageal adenocarcinoma In April 2026, BeOne also received acceptance for the filing of the sBLA for zanidatamab by the Center for Drug Evaluation of the China National Medical Products Administration to seek approval for zanidatamab for the first-line treatment for HER2+ locally advanced or metastatic GEA, including cancers of the stomach, gastroesophageal junction, and esophagus. BeOne has also received filing acceptance for an sBLA for tislelizumab to the CDE in China based on the HERIZON-GEA-01 data. Zymeworks is entitled to receive a $15.0 million milestone payment from BeOne related to approval of Ziihera in GEA in China.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2026, Jazz presented four abstracts at AACR exploring zanidatamab’s utility across HER2-expressing solid tumors beyond BTC and GEA. Jazz also announced that they will present multiple presentations on zanidatamab at the American Society of Clinical Oncology Annual Meeting, including a rapid oral presentation of PD-L1 subgroup data from HERIZON-GEA-01 evaluating zanidatamab combinations, and additional analyses of tolerability, biomarker response and real-world treatment patterns in first-line HER2+ GEA. The second interim overall survival analysis for the HERIZON-GEA-01 trial is expected in mid-2026.</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Our royalty revenue from Jazz and BeOne was $1.6 million in the three months ended March 31, 2026, driven primarily by net product sales of Ziihera® by Jazz in the three months ended March 31,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6, 2026, the Company has utilized approximately $95.8 million of its repurchase program announced in November 2025 to acquire 3,930,734 shares at an average price of $24.37 per share (exclusive of commission expense and estimated excise tax). As of May 6, 2026, the Company had approximately 73.0 million common shares outstanding.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2026, we announced leadership appointments and transitions to align with the evolution of our corporate strategy, including the following changes: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Ms. Kristin Stafford appointed as Executive Vice President, Chief Financial Officer, effective April 1,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Dr. Adam Schayowitz, Ph.D., MBA appointed as Executive Vice President, Head of R&amp;D, effective April 9,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Mr. Scott Platshon appointed as Executive Vice President, Chief Business Officer, effective April 9,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Mr. Paul R. Schneider appointed as Executive Vice President, General Counsel, effective May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Strategic Partnerships and Collaborations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novel product candidates, together with our combination of proprietary protein engineering capabilities and resulting therapeutic platform technologies, have enabled us to enter into a number of strategic partnerships, many of which were subsequently expanded in scope. Our strategic partnerships and collaborations provide us with the ability to accelerate clinical development of our product candidates in certain geographical regions and provide our strategic partners with access to components of our proprietary therapeutic platforms for their own therapeutics development. In addition, these strategic partnerships have provided us with non-dilutive funding as well as access to proprietary therapeutic assets, which increase our ability to rapidly advance our product candidates while maintaining commercial rights to our own therapeutics.</w:t>
      </w:r>
    </w:p>
    <w:p>
      <w:pPr>
        <w:pStyle w:val="TextBody"/>
        <w:bidi w:val="0"/>
        <w:spacing w:lineRule="auto" w:line="288" w:before="240" w:after="283"/>
        <w:jc w:val="left"/>
        <w:rPr/>
      </w:pPr>
      <w:r>
        <w:rPr>
          <w:rFonts w:ascii="Times New Roman;serif" w:hAnsi="Times New Roman;serif"/>
          <w:b w:val="false"/>
          <w:color w:val="000000"/>
          <w:sz w:val="20"/>
        </w:rPr>
        <w:t>Thr</w:t>
      </w:r>
      <w:r>
        <w:rPr>
          <w:rFonts w:ascii="Times New Roman;serif" w:hAnsi="Times New Roman;serif"/>
          <w:b w:val="false"/>
          <w:color w:val="000000"/>
          <w:sz w:val="20"/>
          <w:shd w:fill="FFFFFF" w:val="clear"/>
        </w:rPr>
        <w:t>ough c</w:t>
      </w:r>
      <w:r>
        <w:rPr>
          <w:rFonts w:ascii="Times New Roman;serif" w:hAnsi="Times New Roman;serif"/>
          <w:b w:val="false"/>
          <w:color w:val="000000"/>
          <w:sz w:val="20"/>
        </w:rPr>
        <w:t>ollaboration agreements with Jazz and BeOne relating to our programs for zanidatamab and zanidatamab zovodotin, we have received an aggregate of $491.0 million through March 31, 2026 in the form of non-refundable upfront payments and milestone payments. In addition, through these partnerships with Jazz and BeOne with respect to zanidatamab, as of March 31, 2026, we remain eligible to receive up to $1.51 billion in potential regulatory, development and commercial milestone payments, as well as tiered royalties on potential future product sales, pending receipt of applicable regulatory approvals. 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partnerships have provided us with a significant source of non-dilutive funding and provide for additional future direct funding by our strategic partners for our lead asset, zanidatamab. These partnerships also leverage our strategic partners’ commercial infrastructure, helping accelerate the development and expanding the potential reach of our lead product candidates.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the table below presents a summary of key aspects of our collaboration and licensing agreements as of March 31, 2026.</w:t>
      </w:r>
    </w:p>
    <w:p>
      <w:pPr>
        <w:pStyle w:val="TextBody"/>
        <w:bidi w:val="0"/>
        <w:spacing w:before="240" w:after="283"/>
        <w:jc w:val="left"/>
        <w:rPr/>
      </w:pPr>
      <w:r>
        <w:rPr/>
        <w:drawing>
          <wp:inline distT="0" distB="0" distL="0" distR="0">
            <wp:extent cx="6629400" cy="2809875"/>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2"/>
                    <a:stretch>
                      <a:fillRect/>
                    </a:stretch>
                  </pic:blipFill>
                  <pic:spPr bwMode="auto">
                    <a:xfrm>
                      <a:off x="0" y="0"/>
                      <a:ext cx="6629400" cy="2809875"/>
                    </a:xfrm>
                    <a:prstGeom prst="rect">
                      <a:avLst/>
                    </a:prstGeom>
                  </pic:spPr>
                </pic:pic>
              </a:graphicData>
            </a:graphic>
          </wp:inline>
        </w:drawing>
      </w:r>
      <w:bookmarkStart w:id="0" w:name="i-1"/>
      <w:bookmarkEnd w:id="0"/>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68" w:before="6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 Current stage and therapeutic indication reflects the current preclinical, clinical or commercial stage of development for the most advanced program under the partnership, as applicable.</w:t>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 Figures reflect all potential future milestone payments under the applicable agreement, including, but not limited to, the lead asset. See further discussion of each partnership in "Item 1. Business - Strategic Partnerships and Collaborations" in our Annual Report on Form 10-K, for the year ended December 31, 2025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Tiered royalties of up to 19.5% of annual net sales in BeOne territories, increasing to up to 20% when cumulative amounts forgone as a result of a royalty reduction of 0.5% reaches a cap in the low double-digit millions of dollars.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In addition to the payments we have received through our collaboration agreements with Jazz and BeOne relating to zanidatamab and zanidatamab zovodotin, as of March 31, 2026, we have received $233.4 million in the form of non-refundable upfront and milestone payments from platform partnership and collaboration agreements. We continue to have </w:t>
      </w:r>
      <w:r>
        <w:rPr>
          <w:rFonts w:ascii="Times New Roman;serif" w:hAnsi="Times New Roman;serif"/>
          <w:b w:val="false"/>
          <w:color w:val="000000"/>
          <w:sz w:val="20"/>
          <w:shd w:fill="FFFFFF" w:val="clear"/>
        </w:rPr>
        <w:t>revenue-generating strategic partnerships and collaborations with respect to our Azymetric and EFECT therapeutic platforms with the following pharmaceutical companies: GSK, Daiichi Sankyo, J&amp;J, and Merck.</w:t>
      </w:r>
      <w:r>
        <w:rPr>
          <w:color w:val="000000"/>
        </w:rPr>
        <w:t xml:space="preserve"> </w:t>
      </w:r>
      <w:r>
        <w:rPr>
          <w:rFonts w:ascii="Times New Roman;serif" w:hAnsi="Times New Roman;serif"/>
          <w:b w:val="false"/>
          <w:color w:val="000000"/>
          <w:sz w:val="20"/>
        </w:rPr>
        <w:t xml:space="preserve">As of March 31, 2026, we remain eligible to receive up to $0.78 billion in preclinical and development milestone payments and up to $2.97 billion in commercial milestone payments, as well as tiered royalties on potential future product sales, pending regulatory approval. It is possible, however, that our strategic partners’ programs will not advance as currently contemplated, which would negatively affect the amount of development and commercial milestone payments and royalties on potential future product sales we may receive. Importantly, these partnerships include predominantly non-target-exclusive licenses for any of our therapeutic platforms, so we maintain the ability to develop therapeutics directed to many high-value targets using our platforms. </w:t>
      </w:r>
      <w:r>
        <w:rPr>
          <w:rFonts w:ascii="Times New Roman;serif" w:hAnsi="Times New Roman;serif"/>
          <w:b w:val="false"/>
          <w:color w:val="000000"/>
          <w:sz w:val="20"/>
          <w:shd w:fill="FFFFFF" w:val="clear"/>
        </w:rPr>
        <w:t xml:space="preserve">Celgene Corporation and Celgene Alpine Investment Co. LLC (now a Bristol-Myers Squibb company) has discontinued development of its remaining program under our collaboration agreement. </w:t>
      </w:r>
      <w:r>
        <w:rPr>
          <w:rFonts w:ascii="Times New Roman;serif" w:hAnsi="Times New Roman;serif"/>
          <w:b w:val="false"/>
          <w:color w:val="000000"/>
          <w:sz w:val="20"/>
        </w:rPr>
        <w:t>For further information on the terms and conditions of our existing collaboration and license agreements, please refer to “Item 1. Business - Strategic Partnerships and Collaborations”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revenue consists of collaboration revenue, including amounts recognized relating to upfront non-refundable payments for licenses or options to obtain future licenses, research and development funding, milestone payments and royalties earned under collaboration and license agreements. We expect that collaboration revenue from our strategic partnerships will be our primary source of revenue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primarily of research and development expenses and general and administrative expenses. Personnel costs, including salaries, benefits, bonuses and stock-based compensation expense, comprise a significant component of research and development and general and administrative expenses. We allocate certain indirect expenses associated with our facilities, information technology, depreciation and other overhead costs between research and development and general and administrative categories based on employee headcount and the nature of work performed by each employee.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of expenses incurred in performing research and development activities such as conducting clinical trials and preclinical research studies, technical and manufacturing operations, regulatory affairs and other indirect expenses in support of advancing our product candidates and therapeutic platforms. Research and development expenses include third-party program costs, internal personnel costs and other indirect costs as follows: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fees paid to CROs, consultants, subcontractors and other third-party vendors for work performed for our clinical trials, preclinical studies and regulatory activities;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fees paid to third-party manufacturers to produce our product candidate supplies;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amounts paid to vendors and suppliers for laboratory supplies;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fees, milestone payments and other expenses incurred in connection with license agreements and amendments;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employee-related expenses such as salaries and benefits and stock-based compensation;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depreciation of laboratory equipment, computers and leasehold improvements;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overhead expenses such as facilities, information technology and other allocated items.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 is difficult to determine with certainty the duration and completion costs of our current or future clinical trials and preclinical programs of our product candidates, or if, when or to what extent we will generate revenue other than zanidatamab royalties from the commercialization and sale of any of our product candidates that obtain regulatory approval. We or our strategic partners may never succeed in achieving regulatory approval for any of our current or future product candidates. The duration, costs and timing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clinical trials and development of our product candidates will depend on a variety of factors, including the uncertainties of clinical trials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As part of our recently announced strategy, we will continue to seek out partnerships and collaborations. If we are successful, over the next several years, we anticipate that our annual research and development expenses, excluding stock-based compensation expense, will trend lower.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salaries, benefits and stock-based compensation costs for employees in our executive, finance, legal, intellectual property, business development, human resources and other support functions, as well as legal and professional fees, business insurance, facilities and information technology costs and other expenses. We anticipate over the next several years that our annual general and administrative expenses, other than stock-based compensation expense, will trend lower as we continue to pursue our strategic plan.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Other income (expense) primarily consists of interest income and foreign exchange gain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policies are those policies that require the most significant judgments and estimates in the preparation of our interim condensed consolidated financial statements. A summary of our critical accounting policies is presented in note 2 of our annual consolidated financial statements for the year ended 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interim condensed consolidated financial statements, which have been prepared in accordance with U.S. GAAP. The preparation of these interim condensed consolidated financial statements requires us to make estimates, judgments and assumptions that are inherently uncertain that affect the amounts reported in the interim condensed consolidated financial statements and accompanying notes.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 and expenses. Actual results and experiences may differ from these estimates. The results of any material revisions would be reflected in the interim condensed consolidated financial statements prospectively from the date of the change in estimate.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significant judgments and estimates during the three months ended March 31, 2026 as compared to what has been described in our most recent annual consolidated financial statements, other than the application of existing accounting policies to the royalty monetization transaction and the issuance of performance stock units, as described in note 2 of our interim condensed consolidated financial statements for the quarter ended March 31, 2026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recent accounting pronouncements is presented in note 3 of our interim condensed consolidated financial statements for the quarter ended March 31, 2026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before="420" w:after="283"/>
        <w:jc w:val="left"/>
        <w:rPr/>
      </w:pPr>
      <w:r>
        <w:rPr/>
      </w:r>
    </w:p>
    <w:p>
      <w:pPr>
        <w:pStyle w:val="TextBody"/>
        <w:bidi w:val="0"/>
        <w:spacing w:lineRule="auto" w:line="276" w:before="0" w:after="0"/>
        <w:jc w:val="left"/>
        <w:rPr/>
      </w:pPr>
      <w:bookmarkStart w:id="1" w:name="i3a12529a2e384538bbfc159a5870d1a0_8597"/>
      <w:bookmarkEnd w:id="1"/>
      <w:r>
        <w:rPr>
          <w:rFonts w:ascii="Times New Roman;serif" w:hAnsi="Times New Roman;serif"/>
          <w:b/>
          <w:color w:val="000000"/>
          <w:sz w:val="20"/>
        </w:rPr>
        <w:t>Results of Operations for the Three Months Ended March 31, 2026 and 2025</w:t>
      </w:r>
      <w:r>
        <w:rPr>
          <w:color w:val="EE2724"/>
        </w:rPr>
        <w:t xml:space="preserve"> </w:t>
      </w:r>
    </w:p>
    <w:p>
      <w:pPr>
        <w:pStyle w:val="TextBody"/>
        <w:bidi w:val="0"/>
        <w:spacing w:lineRule="auto" w:line="288" w:before="300" w:after="240"/>
        <w:jc w:val="left"/>
        <w:rPr>
          <w:rFonts w:ascii="Times New Roman;serif" w:hAnsi="Times New Roman;serif"/>
          <w:b/>
          <w:i/>
          <w:color w:val="000000"/>
          <w:sz w:val="20"/>
        </w:rPr>
      </w:pPr>
      <w:r>
        <w:rPr>
          <w:rFonts w:ascii="Times New Roman;serif" w:hAnsi="Times New Roman;serif"/>
          <w:b/>
          <w:i/>
          <w:color w:val="000000"/>
          <w:sz w:val="20"/>
        </w:rPr>
        <w:t>Revenue</w:t>
      </w:r>
    </w:p>
    <w:tbl>
      <w:tblPr>
        <w:tblW w:w="8830" w:type="dxa"/>
        <w:jc w:val="left"/>
        <w:tblInd w:w="0" w:type="dxa"/>
        <w:tblLayout w:type="fixed"/>
        <w:tblCellMar>
          <w:top w:w="28" w:type="dxa"/>
          <w:left w:w="28" w:type="dxa"/>
          <w:bottom w:w="28" w:type="dxa"/>
          <w:right w:w="28" w:type="dxa"/>
        </w:tblCellMar>
      </w:tblPr>
      <w:tblGrid>
        <w:gridCol w:w="1679"/>
        <w:gridCol w:w="1474"/>
        <w:gridCol w:w="1481"/>
        <w:gridCol w:w="211"/>
        <w:gridCol w:w="406"/>
        <w:gridCol w:w="109"/>
        <w:gridCol w:w="109"/>
        <w:gridCol w:w="109"/>
        <w:gridCol w:w="109"/>
        <w:gridCol w:w="211"/>
        <w:gridCol w:w="511"/>
        <w:gridCol w:w="109"/>
        <w:gridCol w:w="109"/>
        <w:gridCol w:w="109"/>
        <w:gridCol w:w="109"/>
        <w:gridCol w:w="211"/>
        <w:gridCol w:w="586"/>
        <w:gridCol w:w="109"/>
        <w:gridCol w:w="109"/>
        <w:gridCol w:w="109"/>
        <w:gridCol w:w="109"/>
        <w:gridCol w:w="218"/>
        <w:gridCol w:w="218"/>
        <w:gridCol w:w="316"/>
      </w:tblGrid>
      <w:tr>
        <w:trPr/>
        <w:tc>
          <w:tcPr>
            <w:tcW w:w="167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research and development collaborations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relates primarily to non-recurring upfront fees, expansion payments or milestone payments from our licensing and collaboration agreements.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Total revenue decreased by $24.7 million in the three months ended March 31, 2026 compared to the same period in 2025. The decrease in total revenue was driven mainly by the achievement of non-recurring clinical milestone payments in 2025 of $14.0 million and $3.1 million from GSK and Daiichi Sankyo, respectively, as well as continued declines in development support and drug supply revenue from Jazz. The decline in development support and drug supply revenue from Jazz reflects the transition of responsibility for certain zanidatamab clinical activities to Jazz under our amended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 higher royalty revenue from Jazz and BeOne in 2026. Royalty revenue from Jazz and BeOne is expected to grow over time as commercial sales of Ziihera increase.</w:t>
      </w:r>
    </w:p>
    <w:p>
      <w:pPr>
        <w:pStyle w:val="TextBody"/>
        <w:bidi w:val="0"/>
        <w:spacing w:lineRule="auto" w:line="268" w:before="3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jc w:val="left"/>
        <w:rPr>
          <w:color w:val="000000"/>
        </w:rPr>
      </w:pPr>
      <w:r>
        <w:rPr>
          <w:color w:val="000000"/>
        </w:rPr>
        <w:t> </w:t>
      </w:r>
    </w:p>
    <w:tbl>
      <w:tblPr>
        <w:tblW w:w="9519" w:type="dxa"/>
        <w:jc w:val="left"/>
        <w:tblInd w:w="0" w:type="dxa"/>
        <w:tblLayout w:type="fixed"/>
        <w:tblCellMar>
          <w:top w:w="28" w:type="dxa"/>
          <w:left w:w="28" w:type="dxa"/>
          <w:bottom w:w="28" w:type="dxa"/>
          <w:right w:w="28" w:type="dxa"/>
        </w:tblCellMar>
      </w:tblPr>
      <w:tblGrid>
        <w:gridCol w:w="1891"/>
        <w:gridCol w:w="1660"/>
        <w:gridCol w:w="1668"/>
        <w:gridCol w:w="211"/>
        <w:gridCol w:w="511"/>
        <w:gridCol w:w="109"/>
        <w:gridCol w:w="109"/>
        <w:gridCol w:w="109"/>
        <w:gridCol w:w="109"/>
        <w:gridCol w:w="211"/>
        <w:gridCol w:w="511"/>
        <w:gridCol w:w="109"/>
        <w:gridCol w:w="109"/>
        <w:gridCol w:w="109"/>
        <w:gridCol w:w="109"/>
        <w:gridCol w:w="211"/>
        <w:gridCol w:w="481"/>
        <w:gridCol w:w="109"/>
        <w:gridCol w:w="109"/>
        <w:gridCol w:w="109"/>
        <w:gridCol w:w="109"/>
        <w:gridCol w:w="269"/>
        <w:gridCol w:w="271"/>
        <w:gridCol w:w="316"/>
      </w:tblGrid>
      <w:tr>
        <w:trPr/>
        <w:tc>
          <w:tcPr>
            <w:tcW w:w="1891"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research and development program expenses: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Zanidatamab zovodotin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ZW171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ZW191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ZW220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ZW251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preclinical and research programs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departmental research and development expenses: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decreased by $1.2 million for the three months ended March 31, 2026 compared to the same period in 2025. The year</w:t>
        <w:noBreakHyphen/>
        <w:t>over</w:t>
        <w:noBreakHyphen/>
        <w:t>year change primarily reflects a shift in program mix, as reduced spending on later</w:t>
        <w:noBreakHyphen/>
        <w:t>stage and discontinued programs exceeded increased investment in early</w:t>
        <w:noBreakHyphen/>
        <w:t>stage clinical studies and preclinical pipeline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decrease was primarily driven by lower third</w:t>
        <w:noBreakHyphen/>
        <w:t>party research and development program expenses, reflecting reduced activity in the ZW220, ZW251, and ZW171 programs. Spending on ZW220 and ZW171 declined following prior decisions to pause or discontinue development activities, while spending on ZW251 decreased compared to the prior</w:t>
        <w:noBreakHyphen/>
        <w:t>year period due to the completion of higher</w:t>
        <w:noBreakHyphen/>
        <w:t>cost IND</w:t>
        <w:noBreakHyphen/>
        <w:t>enabling activities incurred in the first quarter of 2025, partially offset by continued Phase 1 clinical trial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 higher expenses related to ZW191, reflecting ongoing clinical trial progress, as well as increased investment in earlier</w:t>
        <w:noBreakHyphen/>
        <w:t>stage programs and research platforms, primarily the ZW1528 program.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Unallocated research and development expenses increased compared to the prior</w:t>
        <w:noBreakHyphen/>
        <w:t>year period, primarily due to higher salaries and benefits, reflecting costs associated with previously disclosed leadership transitions, including severance</w:t>
        <w:noBreakHyphen/>
        <w:t>related expenses recognized during the period.</w:t>
      </w:r>
    </w:p>
    <w:p>
      <w:pPr>
        <w:pStyle w:val="TextBody"/>
        <w:bidi w:val="0"/>
        <w:spacing w:lineRule="auto" w:line="268" w:before="360" w:after="60"/>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tbl>
      <w:tblPr>
        <w:tblW w:w="8530" w:type="dxa"/>
        <w:jc w:val="left"/>
        <w:tblInd w:w="0" w:type="dxa"/>
        <w:tblLayout w:type="fixed"/>
        <w:tblCellMar>
          <w:top w:w="28" w:type="dxa"/>
          <w:left w:w="28" w:type="dxa"/>
          <w:bottom w:w="28" w:type="dxa"/>
          <w:right w:w="28" w:type="dxa"/>
        </w:tblCellMar>
      </w:tblPr>
      <w:tblGrid>
        <w:gridCol w:w="1567"/>
        <w:gridCol w:w="1379"/>
        <w:gridCol w:w="1389"/>
        <w:gridCol w:w="211"/>
        <w:gridCol w:w="511"/>
        <w:gridCol w:w="109"/>
        <w:gridCol w:w="109"/>
        <w:gridCol w:w="109"/>
        <w:gridCol w:w="109"/>
        <w:gridCol w:w="211"/>
        <w:gridCol w:w="511"/>
        <w:gridCol w:w="109"/>
        <w:gridCol w:w="109"/>
        <w:gridCol w:w="109"/>
        <w:gridCol w:w="109"/>
        <w:gridCol w:w="211"/>
        <w:gridCol w:w="481"/>
        <w:gridCol w:w="109"/>
        <w:gridCol w:w="109"/>
        <w:gridCol w:w="109"/>
        <w:gridCol w:w="109"/>
        <w:gridCol w:w="216"/>
        <w:gridCol w:w="219"/>
        <w:gridCol w:w="316"/>
      </w:tblGrid>
      <w:tr>
        <w:trPr/>
        <w:tc>
          <w:tcPr>
            <w:tcW w:w="15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(dollars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consulting and business insurance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decreased by $1.9 million for the three months ended March 31, 2026 compared to the same period in 2025.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decrease was primarily driven by lower professional fees and consulting expenses, reflecting the absence of non</w:t>
        <w:noBreakHyphen/>
        <w:t>recurring corporate strategy and advisory initiatives incurred in the prior</w:t>
        <w:noBreakHyphen/>
        <w:t>year period, as well as reduced information technology consulting and software</w:t>
        <w:noBreakHyphen/>
        <w:t>related costs following the completion of a significant enterprise systems transition, which resulted in lower ongoing operating expenses. The decrease also reflects reduced spending on certain legal and other professional services.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 higher salaries and benefits, reflecting costs associated with previously disclosed leadership transitions, including severance</w:t>
        <w:noBreakHyphen/>
        <w:t>related expenses recognized during the period.</w:t>
      </w:r>
    </w:p>
    <w:p>
      <w:pPr>
        <w:pStyle w:val="TextBody"/>
        <w:bidi w:val="0"/>
        <w:spacing w:lineRule="auto" w:line="276" w:before="360" w:after="360"/>
        <w:jc w:val="left"/>
        <w:rPr/>
      </w:pPr>
      <w:r>
        <w:rPr>
          <w:rFonts w:ascii="Times New Roman;serif" w:hAnsi="Times New Roman;serif"/>
          <w:b/>
          <w:i/>
          <w:color w:val="000000"/>
          <w:sz w:val="20"/>
        </w:rPr>
        <w:t>Other Income, net</w:t>
      </w:r>
      <w:r>
        <w:rPr>
          <w:color w:val="000000"/>
        </w:rPr>
        <w:t> </w:t>
      </w:r>
    </w:p>
    <w:tbl>
      <w:tblPr>
        <w:tblW w:w="5545" w:type="dxa"/>
        <w:jc w:val="left"/>
        <w:tblInd w:w="0" w:type="dxa"/>
        <w:tblLayout w:type="fixed"/>
        <w:tblCellMar>
          <w:top w:w="28" w:type="dxa"/>
          <w:left w:w="28" w:type="dxa"/>
          <w:bottom w:w="28" w:type="dxa"/>
          <w:right w:w="28" w:type="dxa"/>
        </w:tblCellMar>
      </w:tblPr>
      <w:tblGrid>
        <w:gridCol w:w="565"/>
        <w:gridCol w:w="496"/>
        <w:gridCol w:w="498"/>
        <w:gridCol w:w="211"/>
        <w:gridCol w:w="406"/>
        <w:gridCol w:w="109"/>
        <w:gridCol w:w="109"/>
        <w:gridCol w:w="109"/>
        <w:gridCol w:w="109"/>
        <w:gridCol w:w="211"/>
        <w:gridCol w:w="406"/>
        <w:gridCol w:w="109"/>
        <w:gridCol w:w="109"/>
        <w:gridCol w:w="109"/>
        <w:gridCol w:w="109"/>
        <w:gridCol w:w="211"/>
        <w:gridCol w:w="481"/>
        <w:gridCol w:w="109"/>
        <w:gridCol w:w="109"/>
        <w:gridCol w:w="109"/>
        <w:gridCol w:w="109"/>
        <w:gridCol w:w="218"/>
        <w:gridCol w:w="218"/>
        <w:gridCol w:w="316"/>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6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by $2.7 million for the three months ended March 31, 2026 compared to the same period in 2025. Other income, net for the three months ended March 31, 2026 included $2.7 million in interest income and $0.1 million in net foreign exchange gain and other miscellaneous amounts offset by $2.1 million of interest expense related to the Loan Agreement with Royalty Pharma executed in March 2026. Other income, net for the three months ended March 31, 2025 primarily included $3.4 million in interest income. The decrease in interest income was due to a reduction in the balances of our cash, cash equivalents and marketable securities, due to operating cash requirements.</w:t>
      </w:r>
    </w:p>
    <w:p>
      <w:pPr>
        <w:pStyle w:val="TextBody"/>
        <w:bidi w:val="0"/>
        <w:spacing w:before="24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360" w:after="360"/>
        <w:jc w:val="left"/>
        <w:rPr>
          <w:rFonts w:ascii="Times New Roman;serif" w:hAnsi="Times New Roman;serif"/>
          <w:b/>
          <w:i/>
          <w:color w:val="000000"/>
          <w:sz w:val="20"/>
        </w:rPr>
      </w:pPr>
      <w:r>
        <w:rPr>
          <w:rFonts w:ascii="Times New Roman;serif" w:hAnsi="Times New Roman;serif"/>
          <w:b/>
          <w:i/>
          <w:color w:val="000000"/>
          <w:sz w:val="20"/>
        </w:rPr>
        <w:t xml:space="preserve">Income Tax </w:t>
      </w:r>
    </w:p>
    <w:tbl>
      <w:tblPr>
        <w:tblW w:w="6759" w:type="dxa"/>
        <w:jc w:val="left"/>
        <w:tblInd w:w="0" w:type="dxa"/>
        <w:tblLayout w:type="fixed"/>
        <w:tblCellMar>
          <w:top w:w="28" w:type="dxa"/>
          <w:left w:w="28" w:type="dxa"/>
          <w:bottom w:w="28" w:type="dxa"/>
          <w:right w:w="28" w:type="dxa"/>
        </w:tblCellMar>
      </w:tblPr>
      <w:tblGrid>
        <w:gridCol w:w="940"/>
        <w:gridCol w:w="825"/>
        <w:gridCol w:w="829"/>
        <w:gridCol w:w="211"/>
        <w:gridCol w:w="481"/>
        <w:gridCol w:w="109"/>
        <w:gridCol w:w="109"/>
        <w:gridCol w:w="109"/>
        <w:gridCol w:w="109"/>
        <w:gridCol w:w="211"/>
        <w:gridCol w:w="406"/>
        <w:gridCol w:w="109"/>
        <w:gridCol w:w="109"/>
        <w:gridCol w:w="109"/>
        <w:gridCol w:w="109"/>
        <w:gridCol w:w="211"/>
        <w:gridCol w:w="481"/>
        <w:gridCol w:w="109"/>
        <w:gridCol w:w="109"/>
        <w:gridCol w:w="109"/>
        <w:gridCol w:w="109"/>
        <w:gridCol w:w="269"/>
        <w:gridCol w:w="271"/>
        <w:gridCol w:w="316"/>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Income tax (recovery)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Income tax expense decreased by $2.7 million for the three months ended March 31, 2026, compared to the same period in 2025. The change for the three month period ending March 31, 2026 is primarily due to the tax benefit associated with changes in undistributed earnings of foreign subsidiaries during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our IPO in 2017, we have funded our operations primarily through follow-on public offerings and private placements (including the issuance of pre-funded warrants), loans, as well as from upfront fees, milestone payments, and research support payments generated from our strategic collaborations and licensing agreements. As part of our previously announced asset and royalty aggregation strategy, we anticipate that funds used in operations will increasingly be derived from royalty and milestone payments that we receive through our strategic collaboration and licensing agreements. We also evaluate other sources of capital to finance our operations, including through debt financings, asset monetizations, strategic partnerships, grant funding, and public and private equity offerings.</w:t>
      </w:r>
    </w:p>
    <w:p>
      <w:pPr>
        <w:pStyle w:val="TextBody"/>
        <w:bidi w:val="0"/>
        <w:spacing w:lineRule="auto" w:line="288" w:before="240" w:after="283"/>
        <w:jc w:val="left"/>
        <w:rPr/>
      </w:pPr>
      <w:r>
        <w:rPr>
          <w:rFonts w:ascii="Times New Roman;serif" w:hAnsi="Times New Roman;serif"/>
          <w:b w:val="false"/>
          <w:color w:val="000000"/>
          <w:sz w:val="20"/>
        </w:rPr>
        <w:t>In August 2024, we entered into a sales agreement (the “Cowen Sales Agreement”) with TD Securities (USA) LLC. (“TD Cowen”) to sell shares of our common stock subject to a maximum aggregate dollar amount registered pursuant to an applicable prospectus supplement, from time to time, through an “at-the-market” equity offering program under which TD Cowen acts as our sales agent. Sales of shares of common stock through TD Cowen, if any, will be made by any method permitted by law deemed to be an “at-the-market” offering as defined in Rule 415(a)(4) under the Securities Act. As of the date of this report, no shares of our common stock have been sold under the Cowen Sales Agreement. As part of the ongoing management of our operations and related funding needs, we evaluate various financing vehicles, including “at-the-market” equity offering programs, and may enter into similar “at-the-market” equity offering programs in the future, as well as other financing transactions</w:t>
      </w:r>
      <w:r>
        <w:rPr>
          <w:color w:val="000000"/>
        </w:rPr>
        <w:t xml:space="preserve"> </w:t>
      </w:r>
      <w:r>
        <w:rPr>
          <w:rFonts w:ascii="Times New Roman;serif" w:hAnsi="Times New Roman;serif"/>
          <w:b w:val="false"/>
          <w:color w:val="000000"/>
          <w:sz w:val="20"/>
        </w:rPr>
        <w:t>depending on our capital needs and the then-available terms of any such financings.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we completed a private placement pursuant to which we sold 5,086,521 pre-funded warrants at a price of $9.8299 per pre-funded warrant. We received gross proceeds of $50.0 million, and net proceeds were $49.9 million, after expenses. Each pre-funded warrant was exercisable for one share of common stock at an exercise price of $0.0001 per share, subject to adjustments as provided under the terms of the pre-funded warrants. In June 2025, these pre-funded warrants were fully exercised on a net exercise basis resulting in the issuance of 5,086,480 shares of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Royalty Pharma Loan Arrangement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2, 2026, Zymeworks BC entered into the Sale Agreement with the Subsidiary, pursuant to which Zymeworks BC sold to the Subsidiary 30% of future royalty payments (not to exceed 120% of the maximum amount payable by the Subsidiary under the Loan Agreement) (excluding indemnification and other similar obligations) related to Ziihera (zanidatamab-hrii) receivable under the Covered Agreements at a purchase price of $250.0 million. Under the Sale Agreement, Zymeworks BC is restricted from taking certain actions with respect to the Covered Agreements, including (i) entering into any contracts, or amending, modifying or waiving provisions of any contracts, relating to the royalties receivable under the Covered Agreements that would undermine the Royalty Interest or reasonably be expected to result in a material adverse effect, (ii) taking actions that would, or would give the right to an applicable commercial partner to, terminate a Covered Agreement or certain material in-license agreements covering Ziihera, or amending, modifying, waiving any provision, providing any consent or taking any action under any Covered Agreement that would reduce any Royalty Interest payments or reasonably be expected to result in a material adverse effect, without the prior written consent of the Subsidiary and Royalty Pharma, (iii) selling, transferring, disposing of or encumbering its interests in applicable Ziihera-specific intellectual property, Ziihera, a Covered Agreement or certain material in-license agreements covering Ziihera, or entering into monetization or similar transactions with respect to Zymeworks BC’s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retained royalty interests under any Covered Agreement, except, in each case, without certain assumption and other arrangements protective to Royalty Pharma’s interests, and (iv) permitting Covered Agreement counterparties to acquire more than 50% of Zymeworks BC’s retained royalty interests under any Covered Agreement without certain assumption and other arrangements protective to Royalty Pharma’s interests, in addition to being subject to other customary covenants.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Sale Agreement also includes customary indemnification obligations by us and Zymeworks BC in favor of the Subsidiary and Royalty Pharma. The obligations of the parties under the Sale Agreement terminate automatically upon the payment in full of the Loan and the other obligations under the Loan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Following the sale and transfer of the Royalty Interest, the Subsidiary entered into the Loan Agreement with Royalty Pharma as administrative agent and lender (in the capacity as lender under the Loan Agreement, the “Lender” and together with such other lenders party to the Loan Agreement from time to time the “Lenders”), pursuant to which the Lenders made a term loan to the Subsidiary in an aggregate principal amount of $250.0 million, that bears interest at a fixed rate and matures on December 31, 2042. Under the terms of the Loan Agreement, the amount payable to the Lenders no later than the Maturity Date is approximately $481.3 million, provided that if the Loan is repaid in full on or before December 31, 2033, the amount payable to the Lenders is $412.5 million, in each case inclusive of all applicable interest, yield protection premiums, early redemption fees, exit fees and other amounts payable under the Loan Agreement (excluding indemnification and similar obligations). Any amount borrowed and repaid by Subsidiary may not be reborrowed.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will retain 70% of royalties on Ziihera annual net sales throughout the term of the Loan, with full royalty rights reverting to us once the Loan and other amounts payable under the Loan Agreement to Royalty Pharma have been repaid in full. All earned regulatory and commercial milestone payments under the Covered Agreements will be retained by 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entering into the Loan Agreement, (i) the Subsidiary entered into a security agreement with Royalty Pharma, whereby the Subsidiary granted a security interest in all of its assets (the “Collateral”) in favor of Royalty Pharma, and (ii) Zymeworks BC and Zymeworks GP entered into a pledge and security agreement with Royalty Pharma, whereby Zymeworks BC and Zymeworks GP pledged their respective equity interests in the Subsidiary, with Zymeworks BC also pledging its equity in Zymeworks GP. If certain events of default occur, including the termination of the Jazz Agreement or the BeOne Agreement and a change of control of the Company, as well as other customary events of default, the administrative agent may terminate the Loan Agreement and demand immediate payment of an amount equal to the outstanding principal amount of the Loan plus all applicable fees, premiums and accrued and unpaid interest thereon and exercise all rights and remedies available under or pursuant to the Loan Agreement. The Loan Agreement includes certain customary affirmative and negative covenants applicable to the Subsidiary, including restrictions on the incurrence of additional indebtedness, creation of liens, asset transfers, mergers, dividends and certain transactions with affiliates. In addition, the Subsidiary is subject to covenants designed to limit its activities primarily to holding and administering its rights and obligations under certain transaction agreements including the Loan Agreement and the Sale Agreement, and the Subsidiary may not amend or terminate the Sale Agreement without the Lenders’ consent.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Loan Agreement also contains other customary terms and conditions, including representations and warranties, as well as indemnification obligations in favor of Royalty Pharma. The payment obligations under the Loan Agreement are limited to the Subsidiary, and the Lenders have no recourse under the Loan Agreement against the Company or Zymeworks BC or any assets other than the Collateral and Zymeworks BC’s equity interest in Zymeworks GP and the Subsidiary, and Zymeworks GP’s equity interests in the Subsidiary.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intend to use the net cash received from this arrangement to support our ongoing stock repurchase program and fund potential strategic acquisitions, as well as for working capital and other general corporate purposes.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we had $403.8 million of cash, cash equivalents, and marketable securities, comprised of $244.3 million in cash and cash equivalents and $159.6 million in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240" w:after="283"/>
        <w:jc w:val="left"/>
        <w:rPr/>
      </w:pPr>
      <w:r>
        <w:rPr>
          <w:rFonts w:ascii="Times New Roman;serif" w:hAnsi="Times New Roman;serif"/>
          <w:b w:val="false"/>
          <w:color w:val="000000"/>
          <w:sz w:val="20"/>
        </w:rPr>
        <w:t xml:space="preserve">The following table represents a summary of our cash flows for the three months ended March 31, 2026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p>
    <w:tbl>
      <w:tblPr>
        <w:tblW w:w="7224" w:type="dxa"/>
        <w:jc w:val="left"/>
        <w:tblInd w:w="0" w:type="dxa"/>
        <w:tblLayout w:type="fixed"/>
        <w:tblCellMar>
          <w:top w:w="28" w:type="dxa"/>
          <w:left w:w="28" w:type="dxa"/>
          <w:bottom w:w="28" w:type="dxa"/>
          <w:right w:w="28" w:type="dxa"/>
        </w:tblCellMar>
      </w:tblPr>
      <w:tblGrid>
        <w:gridCol w:w="1839"/>
        <w:gridCol w:w="1618"/>
        <w:gridCol w:w="1628"/>
        <w:gridCol w:w="211"/>
        <w:gridCol w:w="616"/>
        <w:gridCol w:w="109"/>
        <w:gridCol w:w="109"/>
        <w:gridCol w:w="109"/>
        <w:gridCol w:w="109"/>
        <w:gridCol w:w="211"/>
        <w:gridCol w:w="511"/>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cash used in operating activities was $45.7 million compared to $3.4 million of cash used in operating activities for the same period in 2025. Lower cash used in operating activities in 2025 was primarily due to favorable movements in working capital.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for the three months ended March 31, 2026 primarily related to net proceeds from marketable securities of $70.2 million partially offset by cash outflows of $0.2 million for expenditures for office equipment and software implementation. Net cash provided by investing activities for the same period in 2025 primarily related to net proceeds from marketable securities of $12.5 million partially offset by cash outflows of $0.3 million for expenditures related to software implementation.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three months ended March 31, 2026 included net proceeds of $245.6 million related to the Loan Agreement with Royalty Pharma, $8.7 million from stock option exercises and $0.6 million from the issuance of shares of common stock under our employee stock purchase plan. These were partially offset by $76.2 million used for the 2025 Repurchase Program. Net cash used in financing activities for the same period in 2025 included net proceeds of $0.8 million from stock option exercises and $0.5 million from the issuance of shares of common stock under our employee stock purchase plan.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40" w:after="283"/>
        <w:jc w:val="left"/>
        <w:rPr/>
      </w:pPr>
      <w:r>
        <w:rPr>
          <w:rFonts w:ascii="Times New Roman;serif" w:hAnsi="Times New Roman;serif"/>
          <w:b w:val="false"/>
          <w:color w:val="000000"/>
          <w:sz w:val="20"/>
        </w:rPr>
        <w:t xml:space="preserve">Our revenue through March 31, 2026 has been primarily revenue from the license of our proprietary therapeutic platforms for the development of product candidates. We anticipate that at least over the short-term we will not be net income positive on a regular basis as we continue our research and development of our product candidates and implement our recently announced strategy. In addition, inflationary pressure could adversely impact our financial results. Our funding requirements in the short-term and long-term will consist of the operational, capital, and manufacturing expenditures, a portion of which contain contractual or other obligations including future minimum lease payments under non-cancelable operating leases as presented in Note 10 -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and other commitments and contingencies as presented in Note 11 -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the interim condensed consolidated financial statements. Because of the inherent risks and uncertainties associated with the development of our product candidates and the successful implementation of our recently announced strategy, it is difficult to predict the amounts of capital outflows and operating expenditures associated with our current and anticipated clinical trials and preclinical studies.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it is difficult to predict our funding requirements, based on our current operating plan, we anticipate that our existing cash and cash equivalents and marketable securities will enable us to fund our operating expenses and capital expenditure requirements for at least the next twelve months from the date this Quarterly Report on Form 10-Q is filed with the SEC. This anticipated runway excludes the impact of any regulatory milestone payments we are entitled to receive in connection with additional regulatory approvals for zanidatamab, as well as the proceeds from our recently announced loan arrangement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Royalty Pharma. We have based our cash runway estimates on assumptions and plans which may change and which could impact the magnitude and/or timing of operating expenses, capital expenditures and our cash runway. The successful development of our product candidates and the achievement of milestones by our strategic partners is uncertain. In addition, as part of our recently announced strategy, we intend to evaluate and potentially consummate various acquisitions and other strategic transactions, the magnitude and timing of which are uncertain. As a result of the foregoing, it is difficult to predict the actual funds we will require to fund our planned operations. See Part II, Item 1A, “Risk Factors – Risks Relating to Our Business,” “Risk Factors – Risks Relating to Development of our Product Candidates,” and “Risk Factors –Risks Related to Our Financial Position and Need for Additional Capital.”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Additionally, on August 1, 2024, our board of directors authorized the 2024 Repurchase Program, under which we were authorized to repurchase up to $60.0 million of our common stock. As of November 10, 2025, we completed the entire $60.0 million of the 2024 Repurchase Program. On November 16, 2025, our board of directors authorized the 2025 Repurchase Program, whereby we were authorized to repurchase up to $125.0 million of our outstanding common stock. As of March 31, 2026, we repurchased 3,195,166 shares of our common stock under the 2025 Repurchase Program. As of May 6, 2026, we have repurchased 3,930,734 shares of our common stock under the 2025 Repurchase Program, and there is $29.2 million of remaining capacity under the 2025 Repurchase Program. The shares may be repurchased from time to time in open market transactions, or other means in accordance with Rule 10b5-1 of the Exchange Act and Rule 10b-18 of the Exchange Act. The timing, number of shares repurchased, and prices paid for any additional shares of the stock repurchased under this program will depend on general business and market conditions as well as corporate and regulatory limitations, prevailing stock prices, and other considerations. The 2025 Repurchase Program may be suspended or discontinued at any time and does not obligate us to acquire any additional shares of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substantial additional funding to support our continuing operations and pursue our long-term business plans. Accordingly, our future funding requirements will depend on many factors, including but not limited to: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number and characteristics of other product candidates that we pursue;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scope, progress, timing, cost and results of research, preclinical development, and clinical trials;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magnitude and frequency of any strategic transactions we engage in to build out our pipeline or enhance our royalty aggregation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hire when needed additional management, scientific and medical personnel;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need to implement additional internal systems and infrastructure, including financial and reporting systems;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adequate funds are not available at favorable terms, we may be required to reduce operating expenses, delay or reduce the scope of our product development and strategic transactions, obtain funds through arrangements with others that may require us to relinquish rights to certain of our technologies or products that we would otherwise seek to develop or commercialize, either alone or with our strategic partners,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 deterioration in the equity or credit markets may make any necessary debt or equity financing more difficult, more costly and more 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view our operations and manage our business in one segment, which is the Management of a portfolio of licensed healthcare assets and development of novel multifunctional biotherapeutics.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Outstanding Share Data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share capital consists of 1,000,000,000 shares of stock, consisting of 900,000,000 shares of common stock, par value $0.00001 per share, and 100,000,000 shares of preferred stock, par value 0.00001 per share. As of May 6, 2026, 73,023,061 shares of common stock were issued and outstanding. In addition, as of May 6, 2026, we had 4,173,012 shares of common stock issuable pursuant to 4,173,012 exercisable outstanding stock options, 4,151,791 shares of common stock issuable pursuant to 4,151,791 outstanding options that were not exercisable at that date, and 2,462,220 shares of common stock issuable upon vesting of outstanding time-based restricted stock units and performance stock units. </w:t>
      </w:r>
    </w:p>
    <w:p>
      <w:pPr>
        <w:pStyle w:val="TextBody"/>
        <w:bidi w:val="0"/>
        <w:spacing w:lineRule="auto" w:line="288" w:before="240" w:after="283"/>
        <w:jc w:val="left"/>
        <w:rPr/>
      </w:pPr>
      <w:r>
        <w:rPr>
          <w:rFonts w:ascii="Times New Roman;serif" w:hAnsi="Times New Roman;serif"/>
          <w:b w:val="false"/>
          <w:color w:val="000000"/>
          <w:sz w:val="20"/>
        </w:rPr>
        <w:t xml:space="preserve">In connection with the Plan of Arrangement (as defined in Note 8 - </w:t>
      </w:r>
      <w:r>
        <w:rPr>
          <w:rFonts w:ascii="Times New Roman;serif" w:hAnsi="Times New Roman;serif"/>
          <w:b w:val="false"/>
          <w:i/>
          <w:color w:val="000000"/>
          <w:sz w:val="20"/>
        </w:rPr>
        <w:t>Stockholders' Equity - Authorized Share Capital and Preferred Stock</w:t>
      </w:r>
      <w:r>
        <w:rPr>
          <w:color w:val="000000"/>
        </w:rPr>
        <w:t xml:space="preserve"> </w:t>
      </w:r>
      <w:r>
        <w:rPr>
          <w:rFonts w:ascii="Times New Roman;serif" w:hAnsi="Times New Roman;serif"/>
          <w:b w:val="false"/>
          <w:color w:val="000000"/>
          <w:sz w:val="20"/>
        </w:rPr>
        <w:t xml:space="preserve">of our interim condensed consolidated financial statements as of and three months ended March 31, 2026 within this Quarterly Report on Form 10-Q), we issued to Computershare Trust Company of Canada, a trust company existing under the laws of Canada (the “Share Trustee”), one share of our preferred stock, par value $0.00001 per share, which has certain variable voting rights in proportion to the number of Exchangeable Shares outstanding, enabling the Share Trustee to exercise voting rights for the benefit of the holders of Exchangeable Shares. In connection with the consummation of the Plan of Arrangement, 1,424,533 Exchangeable Shares were issued to former Zymeworks BC shareholders. We will issue shares of our common stock as consideration when a holder of Exchangeable Shares calls for Exchangeable Shares to be retracted by ExchangeCo, when ExchangeCo redeems Exchangeable Shares from the holder, or when Zymeworks CallCo ULC (“CallCo”) purchases Exchangeable Shares from the holder of Exchangeable Shares under CallCo’s overriding call rights. Unless redeemed earlier in accordance with their terms, any Exchangeable Shares that remain outstanding on the seventh anniversary of the effectiveness of our Redomicile Transactions will be redeemed on such seventh anniversary, subject to any extension approved by the directors of ExchangeCo. For additional information and the meaning of defined terms referenced in this paragraph, please see Note 8 - </w:t>
      </w:r>
      <w:r>
        <w:rPr>
          <w:rFonts w:ascii="Times New Roman;serif" w:hAnsi="Times New Roman;serif"/>
          <w:b w:val="false"/>
          <w:i/>
          <w:color w:val="000000"/>
          <w:sz w:val="20"/>
        </w:rPr>
        <w:t>Stockholders' Equity - Authorized Share Capital and Preferred Stock</w:t>
      </w:r>
      <w:r>
        <w:rPr>
          <w:color w:val="000000"/>
        </w:rPr>
        <w:t xml:space="preserve"> </w:t>
      </w:r>
      <w:r>
        <w:rPr>
          <w:rFonts w:ascii="Times New Roman;serif" w:hAnsi="Times New Roman;serif"/>
          <w:b w:val="false"/>
          <w:color w:val="000000"/>
          <w:sz w:val="20"/>
        </w:rPr>
        <w:t>of our interim condensed consolidated financial statements as of and for the three months ended March 31, 2026, within this Quarterly Report on Form 10-Q.</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As of May 6, 2026, 873,649 Exchangeable Shares have been exchanged on a one-to-one basis for 873,649 shares of our common stock and 550,884 Exchangeable Shares are held by former Zymeworks BC shareholders and are exchangeable on a one-to-one basis, subject to adjustment, for up to 550,884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Rule 12b-2 of the Exchange Act, and pursuant to Item 305 of Regulation S-K, we are not required to provide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our management, with the participation of our Chief Executive Officer and our Chief Financial Officer, evaluated the design and operating effectiveness of our disclosure controls and procedures as defined in Rules 13a-15(e) and 15d-15(e) under the Exchange Act. Our disclosure controls and procedures are designed to ensure that information required to be disclosed in the reports that the Company files or submits under the Exchange Act is recorded, processed, summarized, and reported within the time periods specified in the SEC’s rules and forms. Any such information is accumulated and communicated to the Company’s management, including its principal executive and principal financial officers, as appropriate, to allow timely decisions regarding required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evaluation of our disclosure controls and procedures as of March 31, 2026, our Chief Executive Officer and our Chief Financial Officer concluded that, as of such date, our disclosure controls and procedures were, in design and operation, effective at the reasonable assurance level.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our fiscal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48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or be subject to claims arising in the ordinary course of our business. As of March 31, 2026,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You should carefully consider the following risk factors, in addition to the other information contained in this Quarterly Report on Form 10-Q, including our interim condensed consolidated financial statements and related notes. If any of the events described in the following risk factors occurs, our business, operating results and financial condition could be seriously harmed.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 See “Cautionary Note Regarding Forward-Looking Statements.” The risks below are not the only risks facing our company. Risks and uncertainties not currently known to us or that we currently deem to be immaterial also may materially adversely affect our business, financial condition, results of operations, and/or prospects.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240" w:after="283"/>
        <w:ind w:left="0" w:right="0" w:hanging="1080"/>
        <w:jc w:val="left"/>
        <w:rPr>
          <w:rFonts w:ascii="Times New Roman;serif" w:hAnsi="Times New Roman;serif"/>
          <w:b/>
          <w:color w:val="000000"/>
          <w:sz w:val="20"/>
          <w:u w:val="single"/>
        </w:rPr>
      </w:pPr>
      <w:r>
        <w:rPr>
          <w:rFonts w:ascii="Times New Roman;serif" w:hAnsi="Times New Roman;serif"/>
          <w:b/>
          <w:color w:val="000000"/>
          <w:sz w:val="20"/>
          <w:u w:val="single"/>
        </w:rPr>
        <w:t>Summary of Risk Factors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Below is a summary of the principal factors that make an investment in shares of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 before making an investment decision regarding shares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adoption of a royalty-driven asset aggregation strategy is unproven and may not be successful.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transactions could disrupt our business, cause dilution to our stockholders and otherwise harm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long-term prospects depend upon successfully discovering or acquiring favorable assets and progressing the assets through preclinical and clinical development.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 xml:space="preserve">We may not be successful in our efforts to use </w:t>
      </w:r>
      <w:r>
        <w:rPr>
          <w:rFonts w:ascii="Times New Roman;serif" w:hAnsi="Times New Roman;serif"/>
          <w:b w:val="false"/>
          <w:color w:val="000000"/>
          <w:sz w:val="20"/>
        </w:rPr>
        <w:t>our</w:t>
      </w:r>
      <w:r>
        <w:rPr>
          <w:color w:val="000000"/>
          <w:shd w:fill="FFFFFF" w:val="clear"/>
        </w:rPr>
        <w:t xml:space="preserve"> </w:t>
      </w:r>
      <w:r>
        <w:rPr>
          <w:rFonts w:ascii="Times New Roman;serif" w:hAnsi="Times New Roman;serif"/>
          <w:b w:val="false"/>
          <w:color w:val="000000"/>
          <w:sz w:val="20"/>
          <w:shd w:fill="FFFFFF" w:val="clear"/>
        </w:rPr>
        <w:t>therapeutic platforms to build a pipeline of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our partnered product candidates do not meet regulatory and commercial milestones, or experience significant delays in doing so, our results of operations will be materially adversely affected.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depend on our collaborative relationships with Jazz, BeOne and J&amp;J to further develop and commercialize zanidatamab and other product candidates, and if our relationships are not successful or are terminated, we may be delayed in or unable to effectively develop and/or commercialize zanidatamab and other product candidates, which could have a material adverse effect on our business.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existing</w:t>
      </w:r>
      <w:r>
        <w:rPr>
          <w:color w:val="000000"/>
          <w:shd w:fill="FFFFFF" w:val="clear"/>
        </w:rPr>
        <w:t xml:space="preserve"> </w:t>
      </w:r>
      <w:r>
        <w:rPr>
          <w:rFonts w:ascii="Times New Roman;serif" w:hAnsi="Times New Roman;serif"/>
          <w:b w:val="false"/>
          <w:color w:val="000000"/>
          <w:sz w:val="20"/>
          <w:shd w:fill="FFFFFF" w:val="clear"/>
        </w:rPr>
        <w:t>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outcome of clinical trials is inherently uncertain, and current and planned clinical trials may not satisfy the requirements of the FDA or comparable regulatory authorities outside the United States.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clinical trials for product candidates are prolonged, delayed or stopped, we may be unable to successfully partner our product candidates, or obtain regulatory approval and commercialize product candidates on a timely basis, or at all, which could require us to incur additional costs and delay our receipt of any product revenue.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Undesirable side effects from product candidates may delay or prevent marketing approval or, if approved, require withdrawal from the market, inclusion of safety warnings, or otherwise limit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face significant competition, and if any competitors develop and market products that are more effective, safer and/or less expensive than our partnered product candidates, our ability to generate revenue will be negatively impacted.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zanidatamab or any current or future partnered product candidate that receives regulatory approval in the future does not achieve broad market acceptance among physicians, patients, the medical community and third-party payors, revenue generated from commercialization efforts will be materially and adversely impacted.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Current and future healthcare regulations and reimbursement decisions by third-party payors may have an adverse effect on pricing and market acceptance.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any product liability lawsuits are successfully brought against us or any of our strategic partners, we may incur substantial liabilities and commercialization efforts of zanidatamab or any other approved partnered products may need to be limited.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we, our strategic partners or any of our third-party manufacturers encounter manufacturing difficulties, supply of product candidates for clinical trials or any approved products for patients could be delayed or prevented.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We have incurred significant losses since inception and anticipate that we will continue to incur losses for the foreseeable future. We have only one product approved for commercial sale, and, as of March 31, 2026, we have not received any revenue or profit from product sales, other than the receipt of royalties relating to sales of zanidatamab. We may never achieve or sustain profitability.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rely on </w:t>
      </w:r>
      <w:r>
        <w:rPr>
          <w:rFonts w:ascii="Times New Roman;serif" w:hAnsi="Times New Roman;serif"/>
          <w:b w:val="false"/>
          <w:color w:val="000000"/>
          <w:sz w:val="20"/>
          <w:shd w:fill="FFFFFF" w:val="clear"/>
        </w:rPr>
        <w:t>third</w:t>
      </w:r>
      <w:r>
        <w:rPr>
          <w:rFonts w:ascii="Times New Roman;serif" w:hAnsi="Times New Roman;serif"/>
          <w:b w:val="false"/>
          <w:color w:val="000000"/>
          <w:sz w:val="20"/>
        </w:rPr>
        <w:t xml:space="preserve">-party manufacturers to produce our product candidates and on other third parties to provide supplies and store, monitor and transport bulk drug substance and drug product. We and our strategic partners may encounter difficulties with respect to these activities that could delay or impair our or our strategic partners’ ability to initiate or complete our clinical trials or commercialize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and our strategic partners rely on third parties to monitor, support, conduct and oversee clinical trials of product candidates and, in some cases, to maintain regulatory files for those product candidates. Our partnered product candidates may not receive regulatory approval or be successfully commercialized if we or our strategic partners are not able to maintain or secure agreements with such third parties on acceptable terms, if these third parties do not perform their services as required, or if these third parties fail to timely transfer any regulatory information held by them to us.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obtain, maintain and enforce patent and trade secret protection for our product candidates and related technology, our business could be materially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we are unable to protect the confidentiality of our proprietary information, the value of our technology and products could be adversely affected.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Tax law </w:t>
      </w:r>
      <w:r>
        <w:rPr>
          <w:rFonts w:ascii="Times New Roman;serif" w:hAnsi="Times New Roman;serif"/>
          <w:b w:val="false"/>
          <w:color w:val="000000"/>
          <w:sz w:val="20"/>
          <w:shd w:fill="FFFFFF" w:val="clear"/>
        </w:rPr>
        <w:t>changes</w:t>
      </w:r>
      <w:r>
        <w:rPr>
          <w:color w:val="000000"/>
        </w:rPr>
        <w:t xml:space="preserve"> </w:t>
      </w:r>
      <w:r>
        <w:rPr>
          <w:rFonts w:ascii="Times New Roman;serif" w:hAnsi="Times New Roman;serif"/>
          <w:b w:val="false"/>
          <w:color w:val="000000"/>
          <w:sz w:val="20"/>
        </w:rPr>
        <w:t>could adversely affect our business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Security breaches and incidents, loss of data and other disruptions could compromise sensitive information related to </w:t>
      </w:r>
      <w:r>
        <w:rPr>
          <w:rFonts w:ascii="Times New Roman;serif" w:hAnsi="Times New Roman;serif"/>
          <w:b w:val="false"/>
          <w:color w:val="000000"/>
          <w:sz w:val="20"/>
          <w:shd w:fill="FFFFFF" w:val="clear"/>
        </w:rPr>
        <w:t>our</w:t>
      </w:r>
      <w:r>
        <w:rPr>
          <w:color w:val="000000"/>
        </w:rPr>
        <w:t xml:space="preserve"> </w:t>
      </w:r>
      <w:r>
        <w:rPr>
          <w:rFonts w:ascii="Times New Roman;serif" w:hAnsi="Times New Roman;serif"/>
          <w:b w:val="false"/>
          <w:color w:val="000000"/>
          <w:sz w:val="20"/>
        </w:rPr>
        <w:t xml:space="preserve">business or protected health information or prevent us from accessing critical information and expose </w:t>
      </w:r>
      <w:r>
        <w:rPr>
          <w:rFonts w:ascii="Times New Roman;serif" w:hAnsi="Times New Roman;serif"/>
          <w:b w:val="false"/>
          <w:color w:val="000000"/>
          <w:sz w:val="20"/>
          <w:shd w:fill="FFFFFF" w:val="clear"/>
        </w:rPr>
        <w:t>us</w:t>
      </w:r>
      <w:r>
        <w:rPr>
          <w:color w:val="000000"/>
        </w:rPr>
        <w:t xml:space="preserve"> </w:t>
      </w:r>
      <w:r>
        <w:rPr>
          <w:rFonts w:ascii="Times New Roman;serif" w:hAnsi="Times New Roman;serif"/>
          <w:b w:val="false"/>
          <w:color w:val="000000"/>
          <w:sz w:val="20"/>
        </w:rPr>
        <w:t>to liability, which could adversely affect our business and our reputation.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stock price is likely to be volatile and the market price of our common stock may drop below the price paid by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Risk Factors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adoption of a royalty-driven asset aggregation strategy is unproven and may not be successful.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evolving our business strategy to help enhance long-term stockholder value through thoughtful capital allocation, while continuing to pursue meaningful impact on patient outcomes through our research and development efforts. We believe that, if we can successfully implement this royalty-driven asset aggregation strategy through continued partnering as well as potential acquisitions, the anticipated royalty and milestone revenues could serve as both a longer-term funding source for our continued research and development operations and as a foundation from which to grow our self-contained royalty income over the longer term. There can be no assurance that we will be successful or will achieve the intended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new strategy requires revisions to multiple facets of our business, including our organizational structure, operations, personnel and tax planning. Our new strategy may also result in delays and disruptions to existing research and development efforts, increased costs, loss of key personnel and diversion of management’s attention, any of which could materially adversely affect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Even if we successfully implement our new strategy, we cannot be certain that anticipated royalty and milestone revenues will be sufficient to appropriately fund and advance our research and development pipeline or enhance long-term stockholder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Strategic transactions could disrupt our business, cause dilution to our stockholders and otherwise harm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actively evaluate various strategic transactions, and we may acquire other businesses, products, product candidates, milestone payments and royalty streams, programs or technologies as well as pursue strategic alliances, joint ventures, investments in complementary businesses, out-licensing and in-licensing agreements, divestitures or other transactions. As part of our royalty-driven asset aggregation strategy, we plan to look for opportunities to augment our development pipeline with external programs and product candidates, as well as other opportunistic investments that may bolster our royalty-driven cash flows. Suitable acquisition or in-licensing opportunities on acceptable prices, terms and conditions may be limited. These transactions could be material to our financial condition and operating results and expose us to many risks,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 in our relationships with existing strategic partners or suppliers as a result of such a transaction;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unanticipated liabilities related to acquired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integrating acquired personnel, technologies, operations, products, product candidates or programs into our existing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retention of key employees;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diversion of management time and focus from operating our business to management of strategic alliances or joint ventures or acquisition integration challenges;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and uncertainties associated with the other party to such a transaction, including the prospects of that party and their existing products or product candidates and marketing approvals;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increases in our expenses and reductions in our cash available for operations and other uses;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possible write-offs or impairment charges relating to acquired businesses.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face intense competition from larger, better-resourced companies in acquiring or in-licensing promising assets. We also face competition from other companies, funds and investment vehicles seeking to aggregate royalties or provide alternative financing to biotechnology companies. These competitors may have a lower cost of capital or access to greater amounts of capital and thereby may be able to successfully acquire assets that we are also targeting for acquisitions. There is a limited number of suitable and attractive acquisition or partnering opportunities available in the market, and competition to acquire such assets may be intense. In order to compete successfully in the current business climate, we may have to pay higher prices for assets than may have been paid historically, which may make it more difficult for us to realize an adequate return on any acquisition. Any future acquisitions or dispositions could result in dilutive issuances of our equity securities, the incurrence of debt, contingent liabilities or amortization expenses or write-offs of goodwill, any of which could harm our financial condition or reputation. We cannot predict the number, timing or size of any future strategic alliances, joint ventures, investments, acquisitions, divestitures or other strategic transactions, or the effect that any such transactions might have on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long-term prospects depend upon successfully discovering or acquiring favorable assets and progressing the assets through preclinical and clinical development.</w:t>
      </w:r>
    </w:p>
    <w:p>
      <w:pPr>
        <w:pStyle w:val="TextBody"/>
        <w:bidi w:val="0"/>
        <w:spacing w:lineRule="auto" w:line="288" w:before="240" w:after="283"/>
        <w:jc w:val="left"/>
        <w:rPr/>
      </w:pPr>
      <w:r>
        <w:rPr>
          <w:rFonts w:ascii="Times New Roman;serif" w:hAnsi="Times New Roman;serif"/>
          <w:b w:val="false"/>
          <w:color w:val="000000"/>
          <w:sz w:val="20"/>
        </w:rPr>
        <w:t>Our investments in internally-developed or acquired assets may not yield promising product candidates, and even if such candidates advance into clinical studies, the historical failure rate of biopharmaceutical product candidates is high due to risks relating to safety, efficacy, clinical execution, changing standards of medical care, other unpredictable variables and the other factors discussed under “</w:t>
      </w:r>
      <w:r>
        <w:rPr>
          <w:rFonts w:ascii="Times New Roman;serif" w:hAnsi="Times New Roman;serif"/>
          <w:b w:val="false"/>
          <w:i/>
          <w:color w:val="000000"/>
          <w:sz w:val="20"/>
        </w:rPr>
        <w:t xml:space="preserve">Risks Relating to Development of Product Candidates </w:t>
      </w:r>
      <w:r>
        <w:rPr>
          <w:color w:val="000000"/>
        </w:rPr>
        <w:t xml:space="preserve">– </w:t>
      </w:r>
      <w:r>
        <w:rPr>
          <w:rFonts w:ascii="Times New Roman;serif" w:hAnsi="Times New Roman;serif"/>
          <w:b w:val="false"/>
          <w:i/>
          <w:color w:val="000000"/>
          <w:sz w:val="20"/>
        </w:rPr>
        <w:t>The outcome of clinical trials is inherently uncertain, and current and planned clinical trials may not satisfy the requirements of the FDA or comparable regulatory authorities outside the United States</w:t>
      </w:r>
      <w:r>
        <w:rPr>
          <w:rFonts w:ascii="Times New Roman;serif" w:hAnsi="Times New Roman;serif"/>
          <w:b w:val="false"/>
          <w:color w:val="000000"/>
          <w:sz w:val="20"/>
        </w:rPr>
        <w:t xml:space="preserve">.” Results from preclinical testing or early clinical trials of our product candidates may not predict outcomes in later-stage clinical trials by us or future strategic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Successful development of our current and future product candidates is uncertain, and we may discontinue or reprioritize the development of any of our product candidates at any time, at our discretion.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Before advancing any of our product candidates into later stage development either alone or with a strategic partner, we must first conduct, at our own expense, extensive preclinical tests and early clinical trials to demonstrate the safety and potential efficacy of our product candidates in humans. Preclinical and clinical testing is expensive, difficult to design and implement, can take many years to complete and is uncertain as to outcome. Additionally, the results from nonclinical testing or early clinical trials of a product candidate may not predict the results that will be obtained in subsequent human clinical trials of that product candidate. There is a high failure rate for drugs proceeding through clinical studies. For example, in September 2025, we announced the decision to discontinue the clinical development program of ZW171 based on completion of the planned cohorts of the dose escalation portion of the Phase 1 trial of ZW171 in patients with ovarian cancer and non-small cell lung cancer. After completing the planned dose escalation cohorts and establishing a maximum tolerated dose, we determined that further dose evaluation in the trial would be unlikely to support a benefit-risk profile consistent with the desired monotherapy target product profile. In addition, management may elect to discontinue development of certain product candidates to accommodate a shift in corporate strategy, despite positive clinical results. Based on our operating results and business strategy, among other factors, we may discontinue the development of any of our product candidates under development or reprioritize our focus on other product candidates at any time and at our discretion.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focus on research programs, therapeutic platforms and product candidates that we identify for specific indications. As a result, we may forgo or delay pursuit of opportunities with other therapeutic platforms or product candidates or for other indications that later prove to have greater commercial potential.</w:t>
      </w:r>
    </w:p>
    <w:p>
      <w:pPr>
        <w:pStyle w:val="TextBody"/>
        <w:bidi w:val="0"/>
        <w:spacing w:lineRule="auto" w:line="288" w:before="240" w:after="283"/>
        <w:jc w:val="left"/>
        <w:rPr/>
      </w:pPr>
      <w:r>
        <w:rPr>
          <w:rFonts w:ascii="Times New Roman;serif" w:hAnsi="Times New Roman;serif"/>
          <w:b/>
          <w:i/>
          <w:color w:val="000000"/>
          <w:sz w:val="20"/>
          <w:shd w:fill="FFFFFF" w:val="clear"/>
        </w:rPr>
        <w:t xml:space="preserve">We may not be successful in our efforts to use </w:t>
      </w:r>
      <w:r>
        <w:rPr>
          <w:rFonts w:ascii="Times New Roman;serif" w:hAnsi="Times New Roman;serif"/>
          <w:b/>
          <w:i/>
          <w:color w:val="000000"/>
          <w:sz w:val="20"/>
        </w:rPr>
        <w:t>our</w:t>
      </w:r>
      <w:r>
        <w:rPr>
          <w:color w:val="000000"/>
          <w:shd w:fill="FFFFFF" w:val="clear"/>
        </w:rPr>
        <w:t xml:space="preserve"> </w:t>
      </w:r>
      <w:r>
        <w:rPr>
          <w:rFonts w:ascii="Times New Roman;serif" w:hAnsi="Times New Roman;serif"/>
          <w:b/>
          <w:i/>
          <w:color w:val="000000"/>
          <w:sz w:val="20"/>
          <w:shd w:fill="FFFFFF" w:val="clear"/>
        </w:rPr>
        <w:t>therapeutic platforms to build a pipeline of product candidates.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not be able to develop product candidates that are safe and effective. Although we expect that our therapeutic platforms will allow us to develop further product candidates, they may not prove to be successful at doing so. Even if we are successful in continuing to build our pipeline, the potential product candidates that we identify may not be suitable for clinical development, including due to being shown to have harmful side effects or other characteristics that indicate that they are unlikely to receive marketing approval and achieve market acceptance. If we do not continue to successfully develop product candidates, we will face difficulty in obtaining product revenue or in securing additional partnerships and generating additional milestone and royalty revenues in future periods, which could result in significant harm to our financial position and adversely affect our stock price.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product candidates, including partnered product candidates, are still in preclinical or clinical development. If we or our strategic partners do not obtain regulatory approval of our product candidates, or experience significant delays in doing so, our business will be materially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Receipt of regulatory approval and commercialization of any approved product candidates depends on many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successfully completing clinical trials that demonstrate the pre-specified efficacy endpoints and acceptable safety profile of the product candidate in the indication for which approval is sought;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preparation and submission to the appropriate regulatory authorities of an application for marketing approval that includes substantial evidence of safety, purity and potency from results of nonclinical testing and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establishing adequate commercial manufacturing arrangements and maintaining a consistent, quality supply of product or establishing our own commercial manufacturing capabilities or reliable arrangements with third-party contract manufacturers;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potential pre-approval audits of nonclinical sites, clinical trial sites, and third-party manufacturing sites that generated the data and product in support of the marketing application;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launching commercial sales, marketing and distribution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of these factors are wholly or partially beyond our or our strategic partners’ control, including clinical advancement, the regulatory submission process and changes in the competitive landscape. If our product candidates do not achieve one or more of these factors in a timely manner, we or our strategic partners could experience significant delays or an inability to develop the product candidates, which could adversely affect our results of operations. Excluding zanidatamab, which has been licensed to our strategic partners for commercialization and further regulatory approvals, our other product candidates are in preclinical or clinical development, and neither we nor our strategic partners have submitted any marketing application, or received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approval, for the other product candidates in our portfolio, and such product candidates may never be able to achieve such regulatory approval. In addition, although Jazz is developing zanidatamab for regulatory approval in additional indications, such regulatory approval may never be achieved. </w:t>
      </w:r>
    </w:p>
    <w:p>
      <w:pPr>
        <w:pStyle w:val="TextBody"/>
        <w:bidi w:val="0"/>
        <w:spacing w:lineRule="auto" w:line="288" w:before="240" w:after="283"/>
        <w:jc w:val="left"/>
        <w:rPr/>
      </w:pPr>
      <w:r>
        <w:rPr>
          <w:rFonts w:ascii="Times New Roman;serif" w:hAnsi="Times New Roman;serif"/>
          <w:b/>
          <w:i/>
          <w:color w:val="000000"/>
          <w:sz w:val="20"/>
        </w:rPr>
        <w:t xml:space="preserve">Our business may become subject to economic, political, regulatory and other risks associated with international </w:t>
      </w:r>
      <w:r>
        <w:rPr>
          <w:rFonts w:ascii="Times New Roman;serif" w:hAnsi="Times New Roman;serif"/>
          <w:b/>
          <w:i/>
          <w:color w:val="000000"/>
          <w:sz w:val="20"/>
          <w:shd w:fill="FFFFFF" w:val="clear"/>
        </w:rPr>
        <w:t>operations</w:t>
      </w:r>
      <w:r>
        <w:rPr>
          <w:rFonts w:ascii="Times New Roman;serif" w:hAnsi="Times New Roman;serif"/>
          <w:b/>
          <w:i/>
          <w:color w:val="000000"/>
          <w:sz w:val="20"/>
        </w:rPr>
        <w:t>.</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Economic downturns, a volatile business environment, or large-scale unpredictable market conditions, including a prolonged government shutdown or geopolitical events, may materially and adversely impact our business, financial condition and stock price, including making any necessary debt or equity financing more difficult, more costly and more dilutive, and reducing opportunities for additional partnering or strategic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physical operations and personnel in North America, Europe and Asia, and some of our suppliers and collaborative and clinical trial relationships are located outside the United States. Our future results could be harmed by a variety of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economic instability or weakness, including inflation, reduced growth, diminished credit availability, weakened consumer confidence or increased unemployment;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insta</w:t>
      </w:r>
      <w:r>
        <w:rPr>
          <w:rFonts w:ascii="Times New Roman;serif" w:hAnsi="Times New Roman;serif"/>
          <w:b w:val="false"/>
          <w:color w:val="000000"/>
          <w:sz w:val="20"/>
          <w:shd w:fill="FFFFFF" w:val="clear"/>
        </w:rPr>
        <w:t>bility in the international geopolitical environment;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sociopolitical instability in particular non-U.S. economies and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regulatory requirements for drug approvals in non-U.S.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potentially reduced protection for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 compliance with non-U.S. laws and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w:t>
      </w:r>
      <w:r>
        <w:rPr>
          <w:rFonts w:ascii="Times New Roman;serif" w:hAnsi="Times New Roman;serif"/>
          <w:b w:val="false"/>
          <w:color w:val="000000"/>
          <w:sz w:val="20"/>
          <w:shd w:fill="FFFFFF" w:val="clear"/>
        </w:rPr>
        <w:t>hanges in U.S. or non-U.S. customs laws and regulations, tariffs and trade barriers, including any changes that nations may impose as a result of political tensions;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changes in non-U.S. currency exchange rates and currency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fluctuations in the U.S. dollar, particularly a weakening of the U.S. dollar against other currencies;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trade protection measures, import or export licensing requirements or other restrictive actions by U.S. or non-U.S. governments;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cross-border data exchanges;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reimbursement regimes, including price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negative consequences from changes in tax laws;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production shortages resulting from any events affecting raw material supply or manufacturing capabilities outside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 or natural disasters;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supply and other disruptions resulting from the impact of public health epidemics on our strategic partners, third-party manufacturers, suppliers and other third parties upon which we rely.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there is currently significant uncertainty about the future relationship between the United States and various other countries, most significantly China, with respect to trade policies, treaties, tariffs, treatment of intellectual property, taxes, and other limitations on cross-border operations, including the provision of services and the exchange of data. The U.S. government has made and continues to make significant changes in U.S. trade policy and may continue to take actions that could negatively impact U.S. trade. For example, the National Defense Authorization Act of 2026, which includes Section 851 regarding “prohibition on contracting with certain biotechnology providers” (the “BIOSECURE Act”),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(such as ours) from using equipment or services produced or provided by Chinese biotechnology companies that meet the designation criteria of the new law, or certain affiliated entities. In addition, even if we do not seek any covered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government contracts, grants or loans, commercial partners, government agencies, or other third parties may view our business less favorably if we contract with entities that ultimately become biotechnology companies of concern.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another example, the U.S. Department of Justice’s Data Security Program places limitations on U.S. companies’ ability to enter into (and in some cases prohibits) certain contracts involving transfers of sensitive personal data to business partners located in China, or with other specified links to China and other designated countries. The rule further requires U.S. persons to obtain from certain foreign counterparties contractual commitments to refrain from engaging in subsequent transfers of sensitive personal data to entities located in China or with other specified links to China and other designated countries. This new rule will impact our ability to contract not just with Chinese companies but also with foreign entities in general, potentially requiring us to extract promises related to compliance with this new rule.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current U.S. Presidential administration, the United States threatened and enacted significant new tariffs on many countries. For example, between April 2025 and February 2026, the U.S. government imposed global “reciprocal” tariffs affecting most U.S. trading partners and between February 2025 and February 2026 the U.S. government imposed additional “fentanyl-related” tariffs targeting goods from Canada, Mexico, and China. These additional U.S. tariffs were implemented under authorities asserted in the International Emergency Economic Powers Act (“IEEPA”) and rescinded on February 24, 2026, following a Supreme Court decision invalidating the use of IEEPA to authorize these tariffs. The availability, timing, and amount of any related refunds associated with payments of these duties remain uncertain and subject to further legal, regulatory, and administrative action. Beginning February 24, 2026, the U.S. government implemented a new, global “temporary import surcharge” of 10% on many of the same products affected by the prior reciprocal tariffs, under authorities provided for in Section 122 of the Trade Act of 1974, supplementing existing non-IEEPA tariff measures. Additional tariffs have been recently imposed under Section 232 and Section 301 tariff measures, and additional trade-related investigations by the U.S. government are in progress and could result in the imposition of additional tariffs as well. For example, on April 2, 2026, the U.S. government announced that it will implement a 100% Section 232 tariff on certain patented and branded pharmaceutical products beginning September 29, 2026. These or other tariffs could materially increase our costs and/or complicate our supply chain for the manufacture and importation of our product candidates. There has been ongoing action, discussion, negotiation, commentary and litigation regarding these and potential further changes to U.S. trade policies, treaties and tariffs. These developments, or the perception that any of them could occur, have caused and may continue to cause significant volatility in global financial markets and may have a material adverse effect on global economic conditions and global trade. Additionally, these developments could weaken the U.S. dollar against other currencies, which may adversely affect our business, including as a result of increased costs for goods and services denominated in other currencies. These effects may also negatively impact our strategic partners. Any of these factors could depress economic activity, restrict our access to third-party services, and disrupt the supply chain for our product candidates. For example, the early-stage clinical supplies for our internal pipeline are currently sourced from China, and while we are actively monitoring tariffs and evaluating other locations for future clinical product requirements, our mitigation efforts may not be successful, and our business may be adversely affected. We also run a portion of our global clinical studies and utilize clinical trial sites in non-U.S. locations; we cannot predict how these non-U.S. locations may be impacted by tariffs or a broader trade war. If we or our strategic partners are unable to obtain or use services from existing providers, source supplies of product candidates or approved drugs, or export or sell approved products at competitive prices, our business, liquidity, financial condition, and/or results of operations could be materially and adversely affected.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has been in the past and may in the future be adversely affected by public health outbreaks and pandemics.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Public health outbreaks and pandemics could cause us to experience disruptions that could significantly impact our current and planned clinical trials, preclinical research and other business activities, including operational challenges, difficulty in recruiting patients or staff, regulatory delays, supply chain disruptions and shortages, and other disruptions. Public health outbreaks, pandemics, and related disruptions could disrupt global financial markets, reduce our ability to access capital, negatively affect our liquidity, and increase financial market volatility, which could adversely impact the value of our common stock.</w:t>
      </w:r>
    </w:p>
    <w:p>
      <w:pPr>
        <w:pStyle w:val="TextBody"/>
        <w:bidi w:val="0"/>
        <w:spacing w:lineRule="auto" w:line="288" w:before="240" w:after="283"/>
        <w:jc w:val="left"/>
        <w:rPr/>
      </w:pPr>
      <w:r>
        <w:rPr>
          <w:rFonts w:ascii="Times New Roman;serif" w:hAnsi="Times New Roman;serif"/>
          <w:b/>
          <w:color w:val="000000"/>
          <w:sz w:val="20"/>
        </w:rPr>
        <w:t>Risks Relating to Our Partnerships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depend on our collaborative relationships with Jazz, BeOne and J&amp;J to further develop and commercialize zanidatamab and other product candidates, and if our relationships are not successful or are terminated, we may be delayed in or unable to effectively develop and/or commercialize zanidatamab and other product candidates, which could have a material adverse effect on our business.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Under the terms of our May 2023 Amended and Restated License and Collaboration Agreement with Jazz (the “Amended Jazz Collaboration Agreement”), Jazz has development and commercialization rights for zanidatamab throughout the world, excluding certain territories already covered by our agreement with BeOne. </w:t>
      </w:r>
      <w:r>
        <w:rPr>
          <w:rFonts w:ascii="Times New Roman;serif" w:hAnsi="Times New Roman;serif"/>
          <w:b w:val="false"/>
          <w:color w:val="000000"/>
          <w:sz w:val="20"/>
        </w:rPr>
        <w:t xml:space="preserve">We depend on Jazz to develop and commercialize zanidatamab in the territories covered by the Amended Jazz Collaboration Agreement, and the success or commercial viability of zanidatamab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 largely beyond our control. Any future financial returns to us depend on achievement of regulatory and commercialization milestones, plus a share of any revenue from sales. Therefore, our success, and any associated financial returns to us and our investors, will depend in significant part on Jazz’s performance under the Amended Jazz Collaboration Agreement. We are subject to a number of additional specific risks associated with our dependence on our collaborative relationship with Jazz,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adverse decisions by Jazz regarding the development and commercialization of zanidatamab;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Jazz’s ability to manufacture, directly or through third parties, commercially required quantities of zanidatamab in a timely manner or at all;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Jazz’s compliance with ongoing post-marketing obligations, including completion of the confirmatory trial for zanidatamab;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possible disagreements as to the timing, nature and extent of development plans, including clinical trials or regulatory approval strategy;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loss of significant rights if we fail to meet our obligations under the agreement;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key management personnel at Jazz;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possible disagreements with Jazz regarding the agreement, for example, with regard to ownership of intellectual property rights or program costs and reimbursement matters;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Jazz may not perform its obligations as expected. </w:t>
      </w:r>
    </w:p>
    <w:p>
      <w:pPr>
        <w:pStyle w:val="TextBody"/>
        <w:bidi w:val="0"/>
        <w:spacing w:lineRule="auto" w:line="288" w:before="240" w:after="283"/>
        <w:jc w:val="left"/>
        <w:rPr/>
      </w:pPr>
      <w:r>
        <w:rPr>
          <w:rFonts w:ascii="Times New Roman;serif" w:hAnsi="Times New Roman;serif"/>
          <w:b w:val="false"/>
          <w:color w:val="000000"/>
          <w:sz w:val="20"/>
          <w:shd w:fill="FFFFFF" w:val="clear"/>
        </w:rPr>
        <w:t>In November 2024, Jazz announced the FDA granted accelerated approval for Ziihera</w:t>
      </w:r>
      <w:r>
        <w:rPr>
          <w:color w:val="000000"/>
        </w:rPr>
        <w:t xml:space="preserve"> </w:t>
      </w:r>
      <w:r>
        <w:rPr>
          <w:rFonts w:ascii="Times New Roman;serif" w:hAnsi="Times New Roman;serif"/>
          <w:b w:val="false"/>
          <w:color w:val="000000"/>
          <w:sz w:val="20"/>
          <w:shd w:fill="FFFFFF" w:val="clear"/>
        </w:rPr>
        <w:t>for injection for intravenous use for the treatment of adults with previously treated, unresectable or metastatic HER2+ (IHC 3+) BTC. Jazz is conducting the confirmatory trial for Ziihera related to the accelerated approval. If the confirmatory trial fails to demonstrate a clinical benefit, the FDA may remove Ziihera from the market, which would negatively impact our ability to earn milestone payments and royalties from Jazz. In addition, although Jazz is developing zanidatamab for regulatory approval in additional indications, such regulatory approval may never be achieved. If additional indications are not approved, our ability to achieve additional milestone payments and royalties on sales of zanidatamab will be materially and negatively impacted. We depend on Jazz to provide certain information to us regarding the zanidatamab program, and any delay by Jazz in fulfilling its information-sharing obligations under the Amended Jazz Collaboration Agreement could impact our understanding of the status of the zanidatamab program and result in delays or inaccuracies in our disclosures.</w:t>
      </w:r>
      <w:r>
        <w:rPr>
          <w:color w:val="000000"/>
        </w:rPr>
        <w:t xml:space="preserve"> </w:t>
      </w:r>
      <w:r>
        <w:rPr>
          <w:rFonts w:ascii="Times New Roman;serif" w:hAnsi="Times New Roman;serif"/>
          <w:b w:val="false"/>
          <w:color w:val="000000"/>
          <w:sz w:val="20"/>
          <w:shd w:fill="FFFFFF" w:val="clear"/>
        </w:rPr>
        <w:t>Decisions by Jazz to emphasize other drug candidates currently in its portfolio ahead of zanidatamab or to add competitive agents to its portfolio could result in a decision to terminate the Amended Jazz Collaboration Agreement, and we may be responsible for paying any remaining costs of ongoing or future clinical trials or be delayed in or unable to effectively develop and/or commercialize zanidatamab, which could have a material adverse effect on our business.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In November 2018, we entered into a License and Collaboration Agreement with BeOne granting BeOne an exclusive license for the research, development, and commercialization of zanidatamab in Asia (excluding Japan, but including the People’s Republic of China, South Korea and other countries), Australia, and New Zealand. In November 2017, we entered into a collaboration and license agreement with J&amp;J to research, develop and commercialize up to six bispecific antibodies generated through the use of our Azymetric and EFECT platforms, and in September 2025, we recognized a $25.0 million development milestone payment from J&amp;J related to clinical progress of pasritamig entering into a Phase 3 trial in metastatic castration-resistant prostate cancer. We face similar risks with respect to our relationship with BeOne and J&amp;J as we do with Jazz and will face similar risks with any future collaboration partners.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shd w:fill="FFFFFF" w:val="clear"/>
        </w:rPr>
        <w:t xml:space="preserve">Our </w:t>
      </w:r>
      <w:r>
        <w:rPr>
          <w:rFonts w:ascii="Times New Roman;serif" w:hAnsi="Times New Roman;serif"/>
          <w:b/>
          <w:i/>
          <w:color w:val="000000"/>
          <w:sz w:val="20"/>
        </w:rPr>
        <w:t>existing</w:t>
      </w:r>
      <w:r>
        <w:rPr>
          <w:color w:val="000000"/>
          <w:shd w:fill="FFFFFF" w:val="clear"/>
        </w:rPr>
        <w:t xml:space="preserve"> </w:t>
      </w:r>
      <w:r>
        <w:rPr>
          <w:rFonts w:ascii="Times New Roman;serif" w:hAnsi="Times New Roman;serif"/>
          <w:b/>
          <w:i/>
          <w:color w:val="000000"/>
          <w:sz w:val="20"/>
          <w:shd w:fill="FFFFFF" w:val="clear"/>
        </w:rPr>
        <w:t>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A key aspect of our strategy is to pursue partnering and other strategic collaborations that enable us to transfer certain costs and risks related to later-stage development and/or commercialization to our strategic partners. If we successfully enter into these types of transactions, we expect to be able to enhance our capital efficiency by deploying resources that may have otherwise been spent on later-stage clinical development and/or commercialization across other areas of our business; however, we may not be able to identify suitable partners or enter into agreements on terms acceptable to us. Even if we are able to secure additional partnering arrangements, there can be no assurance that these arrangements will be successful, which could materially harm our business, financial condition and results of operations. If we elect to progress product candidates internally, our capabilities for later stage drug development and/or commercialization of produ</w:t>
      </w:r>
      <w:r>
        <w:rPr>
          <w:rFonts w:ascii="Times New Roman;serif" w:hAnsi="Times New Roman;serif"/>
          <w:b w:val="false"/>
          <w:color w:val="000000"/>
          <w:sz w:val="20"/>
          <w:shd w:fill="FFFFFF" w:val="clear"/>
        </w:rPr>
        <w:t xml:space="preserve">ct candidates, if approved, is limited. We have entered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strategic partnerships with other companies that we believe can provide later stage development and potentially commercialization capabilities, including our collaboration and license agreements with Jazz, BeOne, GSK, Daiichi Sankyo, J&amp;J and Merck.</w:t>
      </w:r>
      <w:r>
        <w:rPr>
          <w:color w:val="000000"/>
        </w:rPr>
        <w:t xml:space="preserve"> </w:t>
      </w:r>
      <w:r>
        <w:rPr>
          <w:rFonts w:ascii="Times New Roman;serif" w:hAnsi="Times New Roman;serif"/>
          <w:b w:val="false"/>
          <w:color w:val="000000"/>
          <w:sz w:val="20"/>
        </w:rPr>
        <w:t>Our existing strategic partnerships, and any future strategic partnerships we enter into, may pose risks,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have significant discretion in determining the efforts and resources that they will apply to these partnerships;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not perform their obligations as expected;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not pursue development and commercialization of any product candidates that achieve regulatory approval or may elect not to continue or renew development or commercialization programs based on clinical trial results, changes in the partners’ strategic focus or available funding, or external factors, such as an acquisition, that divert resources or create competing priorities;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could independently develop, or develop with third parties, products that compete directly or indirectly with our product candidates if the strategic partners believe that competitive products are more likely to be successfully developed or can be commercialized under terms that are more economically attractive than our product candidates;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product candidates discovered in collaboration with us may be viewed by our strategic partners as competitive with their own product candidates or products, which may cause strategic partners to cease to devote resources to the commercialization of our product candidates;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strategic partner with marketing and distribution rights to one or more of our product candidates that achieve regulatory approval may not commit sufficient resources to the marketing and distribution of such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disagreements with strategic partners,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may be dependent on strategic partners to provide certain information to us regarding the development of product candidates, and any delay by our strategic partners to full information-sharing obligations could impact our understanding of such development, as well as result in potential delays or inaccuracies in our disclosures;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infringe the intellectual property rights of third parties, which may expose us to litigation and potential liability;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strategic partnerships may be terminated for the convenience of the partner and, if terminated, we could be required to raise additional capital to pursue further development or commercialization of the applicable product candidates (for example, each of our collaboration and license agreements with Jazz, BeOne, GSK, Daiichi Sankyo, J&amp;J and Merck may be terminated for convenience upon the completion of a specified notice period);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may elect to enter into additional licensing or collaboration agreements to partner our product candidates in territories we currently retain, and in the event we grant exclusive rights to such strategic partners, we would be precluded from potential commercialization of our product candidates within the territories in which we have a partner;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not have the ability or the development capabilities to perform their obligations as expected, including as a result of the impact of a pandemic or epidemic on our strategic partners’ operations or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our strategic partnerships do not result in the successful development and commercialization of product candidates or if one of our strategic partners terminates its agreement with us, we may not receive any future research funding or milestone or royalty payments under the collaboration. If we do not receive the funding we expect under our strategic partnership agreements, our development or acquisition of our therapeutic platforms and product candidates could be delayed and we may need additional resources to develop or acquire product candidates and our therapeutic platforms.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face significant competition in seeking new strategic partners.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collaborate with additional pharmaceutical and biotechnology companies for later-stage development and potential commercialization of our products candidates. Our ability to reach a definitive agreement for a collaboration will depend, among other things, upon our assessment of the strategic partner’s resources and expertise, the terms and conditions of the proposed collaboration and the proposed strategic partner’s evaluation of a number of factors. These factors may include the design or results of clinical trials, the likelihood of approval by the FDA or similar regulatory authorities outside the United States, the potential market for the product candidate, the costs and complexities of manufacturing and delivering the product candidate to patients, the potential of competing products, uncertainty regarding our ownership of technology, industry and market conditions generally, and whether alternative product candidates or technologies for similar indications may be more attractive than a collaboration with us. Strategic partnerships are complex and time-consuming to negotiate and document. In addition, there have been and may continue to be a significant number of business combinations among large pharmaceutical companies that have resulted in and may in the future result in a reduced number of potential strategic partners. In addition, as part of our recently adopted strategy, our expectation is that we will seek partnerships at an earlier stage to transfer certain risks and costs of later-stage development and/or commercialization to our strategic partners. As a result of this approach, we may have difficulty successfully partnering our pre-clinical or early clinical stage product candidates, as strategic partners often require additional proof of concept data before in-licensing a product candidate. Even if strategic partners are willing to in-license our pre-clinical or early clinical stage product candidates, the economic terms of any such agreements may be less favorable than if we continued clinical development on our own and sought to partner at a later time. We may have to curtail the development of a product candidate, reduce or delay one or more of our other development programs, or increase our expenditures and undertake development or commercialization activities at our own expense if we do not enter into agreements with suitable strategic partners. In such cases, we may need to obtain additional expertise and capital, which may not be available to us on acceptable terms or at all. If we fail to enter into strategic partnerships and do not have sufficient funds or expertise to undertake the necessary development and commercialization activities, we may not be able to further develop our product candidates or bring them to market or continue to develop our therapeutic platforms, and our business may be materially and adversely affected. </w:t>
      </w:r>
    </w:p>
    <w:p>
      <w:pPr>
        <w:pStyle w:val="TextBody"/>
        <w:bidi w:val="0"/>
        <w:spacing w:lineRule="auto" w:line="288" w:before="240" w:after="283"/>
        <w:jc w:val="left"/>
        <w:rPr/>
      </w:pPr>
      <w:r>
        <w:rPr>
          <w:rFonts w:ascii="Times New Roman;serif" w:hAnsi="Times New Roman;serif"/>
          <w:b/>
          <w:color w:val="000000"/>
          <w:sz w:val="20"/>
        </w:rPr>
        <w:t>Risks Relating to Development of Product Candidates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The outcome of clinical trials is inherently uncertain, and current and planned clinical trials may not satisfy the requirements of the FDA or comparable regulatory authorities outside the United States.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is an extremely high rate of attrition from the failure of product candidates proceeding through preclinical studies and clinical trials. To obtain regulatory approval for commercial sales, we or our strategic partners will be required to demonstrate with substantial evidence, through well-controlled clinical trials, that the product candidates are safe and effective for use in a diverse population. These clinical trials involve significant expense and may produce negative or inconclusive results, and we or our strategic partners may decide, or regulators may require us or our strategic partners, to conduct additional clinical or preclinical testing. For example, if the FDA does not accept the data from any clinical trials conducted outside the United States, it would likely result in the need for additional trials, which would be costly and time-consuming and delay or halt development of any future product candidates. Moreover, there can be significant variability in safety or efficacy results between different preclinical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Patients treated with a product candidate also may experience side effects or adverse events that are unrelated to the product candidate but may still impact the success of the clinical trial. The inclusion of patients with significant co-morbidities in clinical trials may result in adverse medical events, including deaths, due to underlying conditions or other therapies or medications that such patients may be using. Any of these events could prevent us or our strategic partners from obtaining regulatory approval or achieving or maintaining market acceptance and impair the ability to commercialize the product candidates. If we or our strategic partners develop a product candidate for which there are no commercially available diagnostic tests for identifying the appropriate patient population to ensure safe and effective use of such candidate, the FDA may require us or our strategic partners to develop a companion diagnostic plan in conjunction with clinical development and regulatory approval for a product candidate. Lack of a reliable commercially available companion diagnostic can introduce uncertainties in the regulatory process for our or our strategic partners’ product candidates. Success in preclinical studies or early-stage clinical trials does not guarantee that future clinical trials or registrational clinical trials will be successful, as product candidates in later-stage clinical trials may fail to demonstrate sufficient safety and efficacy to the satisfaction of the FDA and comparable regulatory authorities outside the United States, despite having progressed through preclinical studies and initial clinical trials. Product candidates that have shown promising results in early clinical trials may suffer significant setbacks in subsequent clinical trials or registrational clinical trials. Interim results of a clinical trial do not necessarily predict final results. Regulatory delays or rejections may occur for various reasons, including changes in regulatory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clinical trials for product candidates are prolonged, delayed or stopped, we may be unable to successfully partner our product candidates, or obtain regulatory approval and commercialize product candidates on a timely basis, or at all, which could require us to incur additional costs and delay our receipt of any product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commencement or completion of ongoing or planned clinical trials could be substantially delayed, prevented or suspended by many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further discussions with the FDA or other regulatory agencies, or untimely or unfavorable feedback regarding the scope or design of our clinical trials, or any delay or failure to obtain approval or agreement to commence a clinical trial in any of the countries where enrollment is planned;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inability to obtain sufficient funds required for a clinical trial;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clinical holds on, or other regulatory objections to, a new or ongoing clinical trial;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delays in the testing, validation, manufacturing and delivery of our product candidates to the clinical trial sites, including due to a facility manufacturing any of our product candidates or any of their components being ordered by the FDA or non-U.S. health authorities to temporarily or permanently shut down due to violations of cGMP regulations or other applicable requirements, or cross-contaminations of product candidates in the manufacturing process;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delay or failure to reach agreement on acceptable clinical trial agreement terms or clinical trial protocols with prospective sites or contract research organizations (“CROs”), the terms of which can be subject to extensive negotiation, may vary significantly among different sites or CROs and may need to be renegotiated in the event of changes in regulatory requirements;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challenges or delays in recruiting and enrolling patients, or failure of patients to complete the clinical trial or be lost to follow-up;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unforeseen safety issues, including severe or unexpected drug-related adverse effects experienced by patients, including possible deaths, or failure to demonstrate a benefit from using a product candidate;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termination of our clinical trials by one or more clinical trial sites;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inability or unwillingness of patients or clinical investigators to follow our clinical trial protocols;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inability to monitor patients adequately during or after treatment by us or our CROs;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CROs or clinical study sites failing to comply with the trial protocol or regulatory requirements or meet their contractual obligations to us in a timely manner, or at all, deviating from the protocol or dropping out of a study;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inability to address any noncompliance with regulatory requirements or safety concerns that arise during the course of a clinical trial;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third-party contractors becoming debarred or suspended or otherwise penalized by the FDA or non-U.S. health authorities for violations of applicable regulatory requirements.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Termination or delays in completing any clinical trial of our product candidates will delay our ability to generate product revenue, whether through partnering or otherwise, increase our costs, slow down product development, and jeopardize our ability to generate revenue. Even if trials are successfully completed, clinical data are often susceptible to varying interpretations and analyses, and we cannot guarantee that the FDA or non-U.S. health authorities will interpret the results as we or our strategic partners do, and more trials could be required before we or our strategic partners submit the product candidates for approval. We cannot guarantee that the FDA or non-U.S. health authorities will view any of the product candidates as having adequate safety and efficacy profiles even if favorable results are observed in these clinical trials, and we or our strategic partners may receive unexpected or unfavorable feedback from the FDA or non-U.S. health authorities regarding satisfaction of safety, purity and potency (including clinical efficacy), amongst other factors. If the results of the trials are not satisfactory to the FDA or non-U.S. health authorities for support of a marketing application, approval of the product candidates may be significantly delayed, or we or our strategic partners may be required to expend significant additional resources, which may not be available, to conduct additional trials in support of potential approval of the product candidates. Any failure or significant delay in commencing or completing clinical trials could adversely affect our or our strategic partners’ ability to obtain regulatory approval and negatively impact our expected product or royalty and milestone revenue. A BLA must include extensive preclinical and clinical data and supporting information to establish the product candidate’s safety, purity and efficacy for each desired indication. The BLA must also include significant information regarding the manufacturing controls for the product. The novel nature a product candidate may introduce uncertain, complex, expensive and lengthy challenges that could impact regulatory approval. Even if we or our strategic partners complete clinical testing and receive approval of any regulatory filing for product candidates, the FDA or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health authorities may approve our product candidates for a more limited indication or a narrower patient population than we originally requested. Moreover, even if regulatory approval is obtained for an indication, there is no guarantee that additional indications will be approved, which could materially limit the commercial potential of any approved product. For example, while Jazz intends to seek approval of zanidatamab in additional indications, we cannot be certain that such approvals will be obtained. If additional indications are not approved, our ability to achieve additional milestone payments and royalties on sales of zanidatamab will be materially and negatively impacted.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or any of our strategic partners, are unable to enroll patients in clinical trials, we will be unable to complete these trials on a timely basis or at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Factors affecting enrollment in clinical trials include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These factors impacting enrollment can be further complicated for trials involving product candidates for the treatment of rare diseases, which have limited pools of patients from which to draw for clinical testing. If we, or any of our strategic partners that perform clinical tests for our product candidates, are unable to enroll a sufficient number of patients to complete clinical testing, we or our strategic partners will be unable to gain marketing approval for such product candidates and our business will be harmed. Additionally, projections of addressable patient populations that may benefit from treatment with our product candidates, including our partnered product candidates, are based on estimates, which, if inaccurate, could materially impact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design or execution of clinical trials may not support regulatory approval.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design or execution of a clinical trial can determine whether its results will support regulatory approval, and flaws in the design or execution of a clinical trial may not become apparent until the clinical trial is well advanced. In some instances, there can be significant variability in safety or efficacy results between different trials of the same product candidate due to numerous factors, including changes in trial protocols, differences in size and type of the patient populations, adherence to the dosing regimen and other trial protocols and the rate of dropout among clinical trial participants. We cannot guarantee that any clinical trials we or our strategic partners may conduct will demonstrate efficacy and safety sufficient for regulatory approval. Further, the FDA and comparable non-U.S. regulatory authorities have substantial discretion in the approval process and in determining when or whether regulatory approval will be obtained for any product candidate. Such product candidates may not be approved even if they achieve their primary endpoints in any Phase 3 clinical trials or registration trials. The FDA or other non-U.S. regulatory authorities may disagree with the trial design and our or our strategic partners’ interpretation of data from preclinical studies and clinical trials. Regulatory authorities may change requirements for the approval of a product candidate after reviewing and providing comments or advice on a protocol for a pivotal Phase 3 clinical trial.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In addition, any of these authorities may approve a product candidate for fewer or more limited indications than requested or may grant approval contingent on the performance of costly post-marketing clinical trials. The FDA or other non-U.S. regulatory authorities may not approve the labeling claims that we or our strategic partners believe would be necessary or desirable for the successful commercialization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preliminary or top-line data may change as more patient data become available and are subject to audit and verification procedures that could result in material changes in the final data.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or our strategic partners may publish interim, preliminary or top-line data from clinical trials. Interim data from clinical trials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or top-line data previously published. As a result, interim, preliminary and top-line data should be viewed with caution until the final data is available. Adverse differences between interim, preliminary or top-line data and final data could significantly harm our or our strategic partners’ reputation and business prospects. Moreover, preliminary, interim and top-line data are subject to the risk that one or more of the clinical outcomes may materially change as more patient data become available when patients mature on study, patient enrollment continues or as other ongoing or future clinical trials with a product candidate further develop. The information we or our strategic partners choose to publicly disclose regarding a particular study or clinical trial is based on more extensive information, and you or others may not agree with what we or our strategic partners determine is the material or otherwise appropriate information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include in the disclosure. Any information we or our strategic partners determine not to disclose may ultimately be deemed significant with respect to future decisions, conclusions, views, activities or otherwise regarding a particular product candidate or our or our strategic partners’ business. </w:t>
      </w:r>
    </w:p>
    <w:p>
      <w:pPr>
        <w:pStyle w:val="TextBody"/>
        <w:bidi w:val="0"/>
        <w:spacing w:lineRule="auto" w:line="288" w:before="240" w:after="283"/>
        <w:jc w:val="left"/>
        <w:rPr/>
      </w:pPr>
      <w:r>
        <w:rPr>
          <w:rFonts w:ascii="Times New Roman;serif" w:hAnsi="Times New Roman;serif"/>
          <w:b/>
          <w:i/>
          <w:color w:val="000000"/>
          <w:sz w:val="20"/>
        </w:rPr>
        <w:t>The Fast Track and Breakthrough Therapy designations received for zanidatamab may not result in faster development, regulatory review or approval process.</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0"/>
          <w:shd w:fill="FFFFFF" w:val="clear"/>
        </w:rPr>
        <w:t>The FDA has granted Fast Track designations to zanidatamab for the first-line treatment of patients with HER2-overexpressing GEA in combination with standard of care chemotherapy and for previously treated or recurrent gene-amplified BTC and ZW191, an ADC targeting folate receptor-α (FRα), for the treatment of patients with advanced or metastatic platinum-resistant ovarian cancer. While the FDA granted accelerated approval for Ziihera for injection for intravenous use for the treatment of adults with previously treated, unresectable or metastatic HER2+ (IHC 3+) BTC, these Fast Track designations do not ensure that zanidatamab or ZW191 will experience a faster development, regulatory review or approval process compared to conventional FDA procedures or that zanidatamab or ZW191 will ultimately obtain regulatory approval for additional indications. The FDA may withdraw Fast Track designation if it believes that the designation is no longer supported by data from the zanidatamab or ZW191 clinical development program. The FDA also granted Breakthrough Therapy designation for zanidatamab for treatment of patients with previously treated HER2 gene-amplified locally advanced/unresectable or metastatic BTC. Designation</w:t>
      </w:r>
      <w:r>
        <w:rPr>
          <w:color w:val="000000"/>
        </w:rPr>
        <w:t xml:space="preserve"> </w:t>
      </w:r>
      <w:r>
        <w:rPr>
          <w:rFonts w:ascii="Times New Roman;serif" w:hAnsi="Times New Roman;serif"/>
          <w:b w:val="false"/>
          <w:color w:val="000000"/>
          <w:sz w:val="20"/>
        </w:rPr>
        <w:t xml:space="preserve">as a Breakthrough Therapy is within the discretion of the FDA and the FDA may decide to rescind a Breakthrough Therapy designation if it believes that a designated product candidate no longer meets the conditions for qualification of this program. If a clinical development program is suspended, terminated, or put on clinical hold due to unexpected adverse events or other issues, including clinical supply issues, the benefits associated with the Fast Track or Breakthrough Therapy designations may not be realized by us or our strategic partners. Furthermore, Fast Track designation does not change the standards for approval, and the designation alone does not guarantee qualification for the FDA’s priority review procedures. </w:t>
      </w:r>
      <w:r>
        <w:rPr>
          <w:rFonts w:ascii="Times New Roman;serif" w:hAnsi="Times New Roman;serif"/>
          <w:b w:val="false"/>
          <w:color w:val="000000"/>
          <w:sz w:val="20"/>
          <w:shd w:fill="FFFFFF" w:val="clear"/>
        </w:rPr>
        <w:t>Zanidatamab was granted Breakthrough Therapy designation from the CDE in China for treating patients with BTC who have failed prior systemic therapies. In May 2025, the NMPA in China granted conditional approval of zanidatamab for the treatment of patients with previously treated, unresectable or metastatic HER2+ BTC.</w:t>
      </w:r>
      <w:r>
        <w:rPr>
          <w:color w:val="000000"/>
        </w:rPr>
        <w:t xml:space="preserve"> </w:t>
      </w:r>
      <w:r>
        <w:rPr>
          <w:rFonts w:ascii="Times New Roman;serif" w:hAnsi="Times New Roman;serif"/>
          <w:b w:val="false"/>
          <w:color w:val="000000"/>
          <w:sz w:val="20"/>
        </w:rPr>
        <w:t xml:space="preserve">As with designation by the FDA, the Breakthrough Therapy designation by the CDE is not a guarantee that zanidatamab will experience a faster development regulatory review or approval process or that it will ultimately receive regulatory approval for additional indications.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Development of product candidates in combination with other therapies could expose us to additional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or our strategic partners may evaluate product candidates in combination with one or more other therapies that have not yet been approved for marketing by the FDA, EMA or comparable regulatory authorities. We or our strategic partners will not be able to market and sell any product candidate in combination with any such unapproved therapies that do not ultimately obtain marketing approval. If the FDA, EMA or other comparable regulatory authorities do not approve or revoke their approval of these other therapies, or if issues arise with the therapies we or our strategic partners choose to evaluate in combination with any other product candidate, we or our strategic partners may be unable to obtain approval of or successfully market such product candidates. Additionally, if the third-party providers of therapies or therapies in development with which zanidatamab or other product candidates are approved for use are unable to produce sufficient quantities for clinical trials or for commercialization of product candidates, or if the cost of combination therapies is prohibitive, our or our strategic partners’ development and commercialization efforts would be impaired, which would have an adverse effect on our business, financial condition, results of operations and growth prospects.</w:t>
      </w:r>
    </w:p>
    <w:p>
      <w:pPr>
        <w:pStyle w:val="TextBody"/>
        <w:bidi w:val="0"/>
        <w:spacing w:lineRule="auto" w:line="288" w:before="240" w:after="283"/>
        <w:jc w:val="left"/>
        <w:rPr/>
      </w:pPr>
      <w:r>
        <w:rPr>
          <w:rFonts w:ascii="Times New Roman;serif" w:hAnsi="Times New Roman;serif"/>
          <w:b/>
          <w:i/>
          <w:color w:val="000000"/>
          <w:sz w:val="20"/>
        </w:rPr>
        <w:t>Disruptions at the FDA and other government agencies could hinder their ability to hire, retain or deploy key leadership and other personnel, or otherwise prevent new or modified product candidates from being developed, approved or commercialized in a timely manner or at all, which could negatively impact our business.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to review and clear or approve new product candidates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Government funding of other government agencies that fund research and development activities is subject to the political process, which is inherently fluid and unpredictable. In addition, the current U.S. Presidential administration has issued certain policies and executive orders directed towards reducing employee headcount and costs associated with U.S. administrative agencies, including the FDA, and it remains unclear the degree to which these efforts may limit or otherwise adversely affect the FDA’s ability to conduct routine activities. If funding shortages, staffing limitations or other factors hinder or prevent the FDA from conducting regular inspections, reviews or other regulatory activities, there could be a significant impact on the ability of the FDA to timely review and process our regulatory submissions, which could have a material impact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Undesirable side effects from product candidates may delay or prevent marketing approval or, if approved, require withdrawal from the market, inclusion of safety warnings, or otherwise limit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Unforeseen side effects from any product candidates could arise either during clinical development or, if approved by regulatory authorities, after the approved product has been marketed. As product candidates are evaluated in clinical trials, the results of such clinical trials may show that the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limited patient populations or potential product liability claims. Even if we or our strategic partners believe that clinical trials and preclinical studies demonstrate the safety and efficacy of our product candidates, only the FDA and other comparable regulatory agencies may ultimately make such determination. If we, or partners or others later identify undesirable or unacceptable side effects caused by zanidatamab or other product candidates that receive marketing approval: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regulatory authorities may require the approved product to be taken off the market;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regulatory authorities may require the addition of labeling statements, specific warnings, a contraindication or field alerts to physicians and pharmacies, or impose a risk evaluation and mitigation strategy that includes restrictions and conditions on product distribution, prescribing and/or dispensing;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regulatory authorities may require changes to the way the product is administered, additional clinical trials or revisions to the labeling of the product;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regulatory authorities may place limitations on how a product may be promoted;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sales of the product may decrease significantly;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we or our strategic partners may be subject to litigation or product liability claims; and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our or our strategic partners’ reputation may suffer.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of these events could prevent the achievement or maintenance of market acceptance of the affected product or could substantially increase commercialization costs and expenses, which in turn could delay or prevent us from generating revenues directly through sales or through partnering or otherwise. </w:t>
      </w:r>
    </w:p>
    <w:p>
      <w:pPr>
        <w:pStyle w:val="TextBody"/>
        <w:bidi w:val="0"/>
        <w:spacing w:lineRule="auto" w:line="288" w:before="240" w:after="283"/>
        <w:jc w:val="left"/>
        <w:rPr/>
      </w:pPr>
      <w:r>
        <w:rPr>
          <w:rFonts w:ascii="Times New Roman;serif" w:hAnsi="Times New Roman;serif"/>
          <w:b/>
          <w:color w:val="000000"/>
          <w:sz w:val="20"/>
        </w:rPr>
        <w:t>Risks Relating to Receipt of Product Revenue and Royalty and Milestone Revenue</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face significant competition, and if any competitors develop and market products that are more effective, safer and/or less expensive than our product candidates, our ability to generate revenue will be negatively impacted.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life sciences industry is highly competitive and subject to rapid and significant technological change. Competitors in the United States and internationally include major multinational pharmaceutical companies, established biotechnology companies, specialty pharmaceutical companies, universities and other research institutions. Many of these competitors have significantly greater financial, manufacturing, marketing, drug development, technical and human resources than we and potentially our strategic partners do. Large pharmaceutical companies in particular have extensive experience in clinical testing, obtaining regulatory approvals, recruiting patients and in manufacturing pharmaceutical products. These companies also have significantly greater research and marketing capabilities than we and potentially our strategic partners do and may also have products that have been approved or are in late stages of development and collaborative arrangements in our or our strategic partners’ target markets with leading companies and research institutions. Established pharmaceutical companies may also invest heavily to accelerate discovery and development of novel compounds or to in-license novel compounds that could make the product candidates that we and our strategic partners develop obsolete. As a result of these factors, competitors may succeed in obtaining patent protection or FDA approval or discovering, developing and commercializing products in our and our strategic partners’ field before we do. Specifically, there are a large number of companies developing or marketing treatments for cancer and AIID, including many major pharmaceutical and biotechnology companies. These treatments consist both of small-molecule drug products, as well as biologics that work by using various antibody therapeutic platforms to address specific targets. Smaller and other early-stage companies may also prove to be significant competitors, particularly through collaborative arrangements with large and established companies. These third parties compete with us and our strategic partners in recruiting and retaining qualified scientific and management personnel, establishing clinical trial sites and patient registration for clinical trials, as well as in acquiring technologies complementary to, or necessary for, our programs. The commercial opportunity for our product candidates could be reduced or eliminated if competitors develop and commercialize products that are safer, more effective, more convenient or less expensive than any products that we or our strategic partners may develop. Our competitors also may obtain FDA or other regulatory approval for their products more rapidly, which could result in our competitors establishing a strong market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before we or our partnered products are able to enter the market. In addition, the biopharmaceutical industry is characterized by rapid technological change. If we or our strategic partners fail to stay at the forefront of technological change, we and our strategic partners may be unable to compete effectively. Technological advances or products developed by our competitors may render our or our strategic partners’ technologies or product candidates obsolete, less competitive or not economical. We expect that current and future product candidates will compete with biosimilar versions of already approved products, and even if additional product candidates achieve marketing approval, they may be challenged to achieve a price premium over competitive biosimilar products and will compete for market share with them. The Biologics Price Competition and Innovation Act of 2009, which is included in the 2010 Patient Protection and Affordable Care Act </w:t>
      </w:r>
      <w:r>
        <w:rPr>
          <w:rFonts w:ascii="Times New Roman;serif" w:hAnsi="Times New Roman;serif"/>
          <w:b w:val="false"/>
          <w:color w:val="000000"/>
          <w:sz w:val="20"/>
          <w:shd w:fill="FFFFFF" w:val="clear"/>
        </w:rPr>
        <w:t>(“</w:t>
      </w:r>
      <w:r>
        <w:rPr>
          <w:rFonts w:ascii="Times New Roman;serif" w:hAnsi="Times New Roman;serif"/>
          <w:b w:val="false"/>
          <w:color w:val="000000"/>
          <w:sz w:val="20"/>
        </w:rPr>
        <w:t>PPACA</w:t>
      </w:r>
      <w:r>
        <w:rPr>
          <w:color w:val="000000"/>
          <w:shd w:fill="FFFFFF" w:val="clear"/>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 authorized the FDA to approve similar versions of innovative biologics, commonly known as biosimilars. Under the PPACA, a manufacturer may submit an application for licensure of a biologic product that is “biosimilar to” or “interchangeable with” a previously approved biologic product or “reference product.” Manufacturers may not submit an application for a biosimilar to the FDA until four years following approval of the reference product, and the FDA may not approve a biosimilar product until 12 years from the date on which the reference product was approved. Even if our product candidates, if approved, are deemed to be reference products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Additionally, from time to time, there are proposals to repeal or modify the PPACA, including proposals that could significantly shorten the exclusivity period for biologics. </w:t>
      </w:r>
    </w:p>
    <w:p>
      <w:pPr>
        <w:pStyle w:val="TextBody"/>
        <w:bidi w:val="0"/>
        <w:spacing w:lineRule="auto" w:line="288" w:before="240" w:after="283"/>
        <w:jc w:val="left"/>
        <w:rPr/>
      </w:pPr>
      <w:r>
        <w:rPr>
          <w:rFonts w:ascii="Times New Roman;serif" w:hAnsi="Times New Roman;serif"/>
          <w:b/>
          <w:i/>
          <w:color w:val="000000"/>
          <w:sz w:val="20"/>
        </w:rPr>
        <w:t>We or our strategic partners may be unable to obtain orphan drug exclusivity in specific indications for zanidatamab or for future product candidates. If our competitors are able to obtain orphan product exclusivity for their products in specific indications, we or our strategic partners may not be able to have competing partnered products approved in those indications by the applicable regulatory authority for a significant period of time.</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The FDA granted Orphan Drug Designation to zanidatamab for the treatment of BTC and gastric cancer, including cancer of the gastroesophageal junction, the EMA granted Orphan Drug Designation to zanidatamab for the treatment of gastric cancer and BTC, and we or our strategic partners may seek Orphan Drug Designation for zanidatamab or other product candidates for additional indications in the future. Orphan Drug Designation neither shortens the development time or regulatory review time of a drug nor gives the drug any advantage in the regulatory review or approval process. </w:t>
      </w:r>
      <w:r>
        <w:rPr>
          <w:rFonts w:ascii="Times New Roman;serif" w:hAnsi="Times New Roman;serif"/>
          <w:b w:val="false"/>
          <w:color w:val="000000"/>
          <w:sz w:val="20"/>
          <w:shd w:fill="FFFFFF" w:val="clear"/>
        </w:rPr>
        <w:t xml:space="preserve">Generally, 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w:t>
      </w:r>
      <w:r>
        <w:rPr>
          <w:color w:val="000000"/>
        </w:rPr>
        <w:t>“</w:t>
      </w:r>
      <w:r>
        <w:rPr>
          <w:rFonts w:ascii="Times New Roman;serif" w:hAnsi="Times New Roman;serif"/>
          <w:b w:val="false"/>
          <w:color w:val="000000"/>
          <w:sz w:val="20"/>
        </w:rPr>
        <w:t>same drug,” as defined under the FDA orphan drug regulation, for the same indication for that time period. The applicable period is seven years in the United States and ten years in Europe. The European exclusivity peri</w:t>
      </w:r>
      <w:r>
        <w:rPr>
          <w:rFonts w:ascii="Times New Roman;serif" w:hAnsi="Times New Roman;serif"/>
          <w:b w:val="false"/>
          <w:color w:val="000000"/>
          <w:sz w:val="20"/>
          <w:shd w:fill="FFFFFF" w:val="clear"/>
        </w:rPr>
        <w:t>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product to meet the needs of patients with the rare disease or condition. The loss of Orphan Drug Designation could have a negative effect on the successful commercialization of our product candidates.</w:t>
      </w:r>
      <w:r>
        <w:rPr>
          <w:color w:val="000000"/>
        </w:rPr>
        <w:t xml:space="preserve"> </w:t>
      </w:r>
      <w:r>
        <w:rPr>
          <w:rFonts w:ascii="Times New Roman;serif" w:hAnsi="Times New Roman;serif"/>
          <w:b w:val="false"/>
          <w:color w:val="000000"/>
          <w:sz w:val="20"/>
          <w:shd w:fill="FFFFFF" w:val="clear"/>
        </w:rPr>
        <w:t xml:space="preserve">Aside from the orphan drug exclusivity for zanidatamab, even if we or our </w:t>
      </w:r>
      <w:r>
        <w:rPr>
          <w:rFonts w:ascii="Times New Roman;serif" w:hAnsi="Times New Roman;serif"/>
          <w:b w:val="false"/>
          <w:color w:val="000000"/>
          <w:sz w:val="20"/>
        </w:rPr>
        <w:t>strategic</w:t>
      </w:r>
      <w:r>
        <w:rPr>
          <w:color w:val="000000"/>
          <w:shd w:fill="FFFFFF" w:val="clear"/>
        </w:rPr>
        <w:t xml:space="preserve"> </w:t>
      </w:r>
      <w:r>
        <w:rPr>
          <w:rFonts w:ascii="Times New Roman;serif" w:hAnsi="Times New Roman;serif"/>
          <w:b w:val="false"/>
          <w:color w:val="000000"/>
          <w:sz w:val="20"/>
          <w:shd w:fill="FFFFFF" w:val="clear"/>
        </w:rPr>
        <w:t xml:space="preserve">partners obtain orphan drug exclusivity for other product candidates that receive an Orphan Drug Designation in the future, that exclusivity may not effectively protect the product from competition because different drugs with different active moieties can be approved for the same condition. Further, in the United States, after an orphan drug is approved, the FDA can subsequently approve the “same drug” for the same condition submitted by a competitor if the FDA concludes that the later drug is clinically superior in that it is shown to be safer, more effective or makes a major contribution to patient care. If we or our </w:t>
      </w:r>
      <w:r>
        <w:rPr>
          <w:rFonts w:ascii="Times New Roman;serif" w:hAnsi="Times New Roman;serif"/>
          <w:b w:val="false"/>
          <w:color w:val="000000"/>
          <w:sz w:val="20"/>
        </w:rPr>
        <w:t>strategic</w:t>
      </w:r>
      <w:r>
        <w:rPr>
          <w:color w:val="000000"/>
          <w:shd w:fill="FFFFFF" w:val="clear"/>
        </w:rPr>
        <w:t xml:space="preserve"> </w:t>
      </w:r>
      <w:r>
        <w:rPr>
          <w:rFonts w:ascii="Times New Roman;serif" w:hAnsi="Times New Roman;serif"/>
          <w:b w:val="false"/>
          <w:color w:val="000000"/>
          <w:sz w:val="20"/>
          <w:shd w:fill="FFFFFF" w:val="clear"/>
        </w:rPr>
        <w:t>partners are unable to manufacture sufficient supply of a product to meet the needs of patients, the FDA can withdraw orphan exclusive marketing rights or approve another marketing application for the “same drug” product before the expiration of the exclusivity period.</w:t>
      </w:r>
      <w:r>
        <w:rPr>
          <w:color w:val="000000"/>
        </w:rPr>
        <w:t xml:space="preserve"> </w:t>
      </w:r>
      <w:r>
        <w:rPr>
          <w:rFonts w:ascii="Times New Roman;serif" w:hAnsi="Times New Roman;serif"/>
          <w:b w:val="false"/>
          <w:color w:val="000000"/>
          <w:sz w:val="20"/>
        </w:rPr>
        <w:t>Further, notwithstanding the court’s decision in Catalyst Pharms., Inc. v. Becerra, 14 F.4th 1299 (11th Cir. 2021), in January 2023, the FDA published a notice in the Federal Register to clarify that while the FDA complied with the court’s order in Catalyst, the F</w:t>
      </w:r>
      <w:r>
        <w:rPr>
          <w:rFonts w:ascii="Times New Roman;serif" w:hAnsi="Times New Roman;serif"/>
          <w:b w:val="false"/>
          <w:color w:val="000000"/>
          <w:sz w:val="20"/>
          <w:shd w:fill="FFFFFF" w:val="clear"/>
        </w:rPr>
        <w:t>DA intends to continue to apply its longstanding interpretation of the regulations to matters outside of the scope of the Catalyst order.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we or our strategic partners obtain FDA approval of any of our product candidates, we or they may never obtain approval or commercialize such product candidates outside of the United States, which would negatively impact our product or royalty and milestone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market any products outside of the United States, we or our strategic partners must establish and comply with numerous and varying regulatory requirements of other countries regarding safety and efficacy. Approval procedures vary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countries and can involve additional product testing and validation and additional administrative review periods. Seeking non-U.S. regulatory approvals could result in significant delays, difficulties and costs and may require additional preclinical studies or clinical trials, which would be costly and time consuming and potentially disincentivize us or our strategic partners from seeking such non-U.S. approvals. Regulatory requirements can vary widely from country to country and could delay or prevent the introduction of our products in those countries. If we or our strategic partners fail to comply with regulatory requirements in international markets or to obtain and maintain required approvals, our products’ target market will be reduced, and our ability to earn product or royalty and milestone revenue will be harmed. </w:t>
      </w:r>
    </w:p>
    <w:p>
      <w:pPr>
        <w:pStyle w:val="TextBody"/>
        <w:bidi w:val="0"/>
        <w:spacing w:lineRule="auto" w:line="288" w:before="240" w:after="283"/>
        <w:jc w:val="left"/>
        <w:rPr/>
      </w:pPr>
      <w:r>
        <w:rPr>
          <w:rFonts w:ascii="Times New Roman;serif" w:hAnsi="Times New Roman;serif"/>
          <w:b/>
          <w:i/>
          <w:color w:val="000000"/>
          <w:sz w:val="20"/>
        </w:rPr>
        <w:t>If zanidatamab or any current or future partnered product candidate that receives regulatory approval in the future does not achieve broad market acceptance among physicians, patients, the medical community and third-party payors, revenue generated from commercialization efforts will be materially and adversely impacted.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commercial success of zanidatamab or any current or future product candidate will depend upon their acceptance among physicians, patients and the medical community. The degree of market acceptance depends on a number of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limitations or warnings contained in the approved labeling;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the standard of care for the targeted indications;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limitations in the approved clinical indications;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demonstrated clinical safety and efficacy compared to other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sales, marketing and distribution support;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availability of coverage and the extent of access and reimbursement from managed care plans and other third-party payors;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timing of market introduction and perceived effectiveness of competitive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availability of alternative therapies at similar or lower cost;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extent to which the product is approved for inclusion on formularies of hospitals and managed care organizations;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whether the product is designated under physician treatment guidelines as a first-line therapy or as a second- or third-line therapy for particular diseases;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whether the product can be used effectively with other therapies to achieve higher response rates;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adverse publicity about the product or favorable publicity about competitive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convenience and ease of administration of the product;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potential product liability claims.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zanidatamab or any current or future product candidate that is approved does not achieve an adequate level of acceptance by physicians, patients and the medical community, sales may be negatively affected and materially and adversely impact the revenues we receive whether through royalties or otherwise. </w:t>
      </w:r>
    </w:p>
    <w:p>
      <w:pPr>
        <w:pStyle w:val="TextBody"/>
        <w:bidi w:val="0"/>
        <w:spacing w:lineRule="auto" w:line="288" w:before="240" w:after="283"/>
        <w:jc w:val="left"/>
        <w:rPr/>
      </w:pPr>
      <w:r>
        <w:rPr>
          <w:rFonts w:ascii="Times New Roman;serif" w:hAnsi="Times New Roman;serif"/>
          <w:b/>
          <w:i/>
          <w:color w:val="000000"/>
          <w:sz w:val="20"/>
          <w:shd w:fill="FFFFFF" w:val="clear"/>
        </w:rPr>
        <w:t>Current and future healthcare regulations and reimbursement decisions by third-party payors may have an adverse effect on pricing and market acceptance.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regulations that govern marketing approvals, pricing, coverage and reimbursement for new drugs vary widely from country to country. Many countries require approval of the sale price of a drug before it can be marketed. In most cases, the pricing review period begins after marketing or product licensing approval is granted. In some non-U.S. markets, prescription pharmaceutical pricing remains subject to continuing governmental control after initial approval is granted. As a result, a product may receive regulatory approval in a particular country, but then be subject to price regulations that delay commercial launch of the product, negatively impacting the revenues generated from sales in that country and consequently negatively affecting our revenues through royalties or otherwise. In many countries, particularly those in the EU, prescription drug pricing and reimbursement is subject to governmental control. In countries that impose price controls, pricing negotiations with governmental authorities can take considerable time after receipt of marketing approval for a product. To obtain reimbursement or pricing approval in some countries, regulators may require a clinical trial that compares the cost-effectiveness of the product candidate under review to other available therapies. Successful commercialization of any products also will depend in part on the extent to which coverage and adequate reimbursement for these products and related treatments will be available from government health administration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authorities, private health insurers and other third-party payors. Obtaining coverage and reimbursement approval of a product from a government or other third-party payor is a time-consuming and costly process that can require provision to the payor of supporting scientific, clinical and cost-effectiveness data for the product under review. 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with no assurance that coverage and adequate reimbursement will be obtained. There may also be significant delays in obtaining coverage and reimbursement for newly approved drugs, and coverage may be more limited than the purposes for which the drug is approved. We expect pricing pressures in connection with the sale of any approved products due to the trend toward managed healthcare, the increasing influence of health maintenance organizations and additional legislative proposals.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current U.S. Presidential administration has issued executive orders focused on decreasing prescription drug prices, including directing the Secretary of the U.S. Department of Health and Human Services to establish a mechanism through which U.S.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and our ability to recognize product or royalty and milestone revenues. We cannot predict the full impact of the executive orders focused on reducing prescription drug prices or increasing domestic drug manufacturing capacity, or other measures that may be implemented related to drug pricing, drug supply chain and manufacturing in the United States. In international markets, reimbursement and healthcare payment systems vary significantly by country, and many countries have instituted price ceilings on specific products and therapies. Approved products might not be considered medically reasonable and necessary for a specific indication or cost-effective by third-party payors, an adequate level of reimbursement might not be available for such products, and third-party payors’ reimbursement policies might adversely affect any future approved products profitability. </w:t>
      </w:r>
    </w:p>
    <w:p>
      <w:pPr>
        <w:pStyle w:val="TextBody"/>
        <w:bidi w:val="0"/>
        <w:spacing w:lineRule="auto" w:line="288" w:before="240" w:after="283"/>
        <w:jc w:val="left"/>
        <w:rPr/>
      </w:pPr>
      <w:r>
        <w:rPr>
          <w:rFonts w:ascii="Times New Roman;serif" w:hAnsi="Times New Roman;serif"/>
          <w:b/>
          <w:i/>
          <w:color w:val="000000"/>
          <w:sz w:val="20"/>
        </w:rPr>
        <w:t>Even if our product candidates receive regulatory approval, we or our strategic partners will be subject to ongoing regulatory obligations and continued regulatory review, which may result in significant additional expense.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regulatory approvals that our product candidates receive may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 For example, in November 2024 the FDA granted accelerated approval for Ziihera for the treatment of adults with previously treated, unresectable or metastatic HER2+ (IHC 3+) BTC, in May 2025, the NMPA in China granted conditional approval for zanidatamab for the treatment of patients with previously treated, unresectable or metastatic HER2+ BTC, and in July 2025, the European Commission granted conditional marketing authorization of Ziihera for the treatment of adults with unresectable locally advanced or metastatic HER2+ BTC. However, continued approval for these indications is contingent upon verification and description of clinical benefits in confirmatory trials. For any approved product, we and our strategic partners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 and good clinical practice (“GCP”), for any clinical trials that we or our strategic partners conduct after approval. Later discovery of previously unknown problems with a product, including adverse events of unanticipated severity or frequency, or with third-party manufacturers or manufacturing processes, or failure to comply with regulatory requirements, may result in, among other things, restrictions on manufacturing of the product, withdrawal of the product from the market, voluntary or mandatory recalls or imposition of civil or criminal penalties. It is unclear how our industry and our clinical programs will be impacted by pending legislation and new policies and regulations implemented under the current U.S. Presidential administration and the new FDA commissioner.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If any product liability lawsuits are successfully brought against us or any of our strategic partners, we may incur substantial liabilities and commercialization efforts of zanidatamab or any other approved products may need to be limited.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strategic partners face an inherent risk of product liability lawsuits related to the testing of product candidates in seriously ill patients, and face an even greater risk as a result of commercialization of any approved product candidates. Product liability claims may be brought against us or our strategic partners by participants enrolled in clinical trials, patients, health care providers or others using, administering or selling any current or future approved products. If we cannot successfully defend ourselves against any such claims, we may incur substantial liabilities. Regardless of their merit or eventual outcome, liability claims may result in: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decreased demand for any current or future approved products, product recalls or a change in the indications for which they may be used;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injury to our and our strategic partners’ reputation;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limitations placed on promotional activities;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withdrawal of clinical trial participants, termination of clinical trial sites or entire trial programs;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increased regulatory scrutiny;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 litigation costs and substantial monetary awards to, or costly settlement with, patients or other claimants;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diversion of management and scientific resources from our business operations;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inability to commercialize approved products.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need to have in place increased product liability coverage as we or our strategic partners begin the commercialization of any product candidates. Insurance coverage is becoming increasingly expensive, and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operations. Patients with cancer and other diseases we or our strategic partners may target are often already in severe and advanced stages of disease and have both known and unknown significant pre-existing and potentially life-threatening health risks. During the course of treatment, patients may suffer adverse events, including death, for reasons that may be related to zanidatamab or our or our strategic partners’ product candidates. Such events could subject us to costly litigation, require us to pay substantial amounts of money to injured patients, delay, negatively impact or end the opportunity to receive or maintain regulatory approval to market zanidatamab or other product candidates, or require suspension or abandonment of commercialization efforts. Even in circumstances in which we do not believe that an adverse event is related to zanidatamab or our or our strategic partners’ product candidate, the investigation into the circumstance may be time-consuming or inconclusive, and may result in reputational harm. These investigations may interrupt sales efforts, delay regulatory approval process in other countries, or impact and limit the type of regulatory approvals zanidatamab or product candidates receive or maintain. As a result of these factors, a product liability claim, even if successfully defended, could have a material adverse effect on our business, financial condition or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our strategic partners or any of our third-party manufacturers encounter manufacturing difficulties, supply of product candidates for clinical trials or any approved products for patients could be delayed or prevented.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Manufacturing difficulties and supply chain risks may delay or prevent the availability of product candidates for our and our strategic partners’ development efforts or, following receipt of marketing approval, for commercialization of approved products. The manufacture of biological drug products is complex and requires significant expertise and capital investment, including the development of advanced manufacturing techniques, process and quality controls. Manufacturers of biologic products often encounter difficulties in production and sourcing, particularly in scaling up or out, validating the production process and assuring high reliability of the manufacturing processes (including the absence of contamination), in light of variations and supply constraints of key components. These problems include logistics and shipping, difficulties with production costs and yields, quality control, including consistency, stability, purity and efficacy of the product, product testing, operator error and availability of qualified personnel, as well as compliance with applicable federal, state and non-U.S. regulations. Prolonged uncertainty in trade relationships could result in supply chain disruptions, delayed shipments, or increased operational complexity, which could also adversely affect our business, results of operations and cash flows. While we are evaluating steps to mitigate any impacts of new or increased tariffs or other impacts resulting from changes in trade policy, our ability to do so may be limited by operational and supply chain constraints, especially in the short term. We and our third-party manufacturers are subject to federal, state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local laws and regulations governing the use, manufacture, storage, handling and disposal of medical and hazardous materials. Although we believe that our manufacturers’ procedures relating to these laws comply with legally prescribed standards, we cannot completely eliminate the risk of contamination or injury, and any related liability, resulting from medical or hazardous materials. In addition, manufacturing methods and formulation changes for product candidates advancing towards commercialization carry the risk that such product candidates may perform differently and affect the results of planned clinical trials or other future clinical trials conducted with the altered materials. While such changes are common and intended to help optimize processes and results during the development process, any of these changes could increase costs, cause delays and impact our or our strategic partners’ ability to commence product sales, affecting our product revenue or royalty and milestone revenue. </w:t>
      </w:r>
    </w:p>
    <w:p>
      <w:pPr>
        <w:pStyle w:val="TextBody"/>
        <w:bidi w:val="0"/>
        <w:spacing w:lineRule="auto" w:line="288" w:before="240" w:after="283"/>
        <w:jc w:val="left"/>
        <w:rPr/>
      </w:pPr>
      <w:r>
        <w:rPr>
          <w:rFonts w:ascii="Times New Roman;serif" w:hAnsi="Times New Roman;serif"/>
          <w:b/>
          <w:color w:val="000000"/>
          <w:sz w:val="20"/>
        </w:rPr>
        <w:t>Risks Related to Our Financial Position and Need for Additional Capital</w:t>
      </w:r>
      <w:r>
        <w:rPr>
          <w:color w:val="000000"/>
        </w:rPr>
        <w:t xml:space="preserve">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incurred significant losses since inception and anticipate that at least over the short-term we will continue to incur losses. We have only one product approved for commercial sale, and, as of March 31, 2026, we have not received any revenue or profit from product sales, other than the receipt of royalties relating to sales of zanidatamab. We may never achieve or sustain profitability.</w:t>
      </w:r>
    </w:p>
    <w:p>
      <w:pPr>
        <w:pStyle w:val="TextBody"/>
        <w:bidi w:val="0"/>
        <w:spacing w:lineRule="auto" w:line="288" w:before="240" w:after="283"/>
        <w:jc w:val="left"/>
        <w:rPr/>
      </w:pPr>
      <w:r>
        <w:rPr>
          <w:rFonts w:ascii="Times New Roman;serif" w:hAnsi="Times New Roman;serif"/>
          <w:b w:val="false"/>
          <w:color w:val="000000"/>
          <w:sz w:val="20"/>
        </w:rPr>
        <w:t>We have incurred significant losses since our inception. Our net losses for the years ended December 31, 2025 and 2024 were $81.1 million and $122.7 million, respectively, while our net loss for the three months ended March 31, 2026 was $44.2 million. As of March 31, 2026, our accumulated deficit was $1,073.8 million. Our revenue as of March 31, 2026 has been primarily revenue from the license of our proprietary therapeutic platforms for the development of product candidates by others or revenue from our strategic partners. We anticipate that at least over the short-term we will not be net income positive on a regular basis as we continue our research and development of our product candidates and implement our recently announced strategy. In addition, inflationary pressure could adversely impact our financial results. The net losses and negative cash flows incurred as of March 31, 2026, together with expected future losses, have had, and likely will continue to have, an adverse effect on our stockholders’ deficit and working capital. The amount of future net losses as well as our ability to become net income positive will depend, in part, on the rate of future growth of our expenses and our ability to generate revenue, including through the receipt of royalties from our strategic partners and the successful implementation of our recently announced strategy. Because of the numerous risks and uncertainties associated with pharmaceutical product development as well as our asset aggregation strategy, we are unable to accurately predict the timing or amount of increased expenses or when, or if, we will be able to achieve profitability. Historically, we have devoted substantially all of our financial resources and efforts to developing our proprietary therapeutic platforms, identifying potential product candidates and conducting preclinical studies and clinical trials. Zanidatamab is the only product candidate developed with our therapeutic platforms that has received regulatory approval, and we and our strategic partners are still developing other product candidates. To become and remain profitable, we and our strategic partners must succeed in developing and commercializing product candidates with significant market potential. This will require us to be successful in a range of challenging activities for which we are only in the preliminary stages, including developing and acquiring product candidates, securing partnerships and either directly or through our strategic partners advancing through later stage clinical development, regulatory approval and the manufacturing, marketing and selling of those product candidates that obtain regulatory approval. We may never succeed in these activities and may never generate revenue from product sales, royalties, milestones or otherwise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w:t>
      </w:r>
      <w:r>
        <w:rPr>
          <w:rFonts w:ascii="Times New Roman;serif" w:hAnsi="Times New Roman;serif"/>
          <w:b w:val="false"/>
          <w:color w:val="000000"/>
          <w:sz w:val="20"/>
          <w:shd w:fill="FFFFFF" w:val="clear"/>
        </w:rPr>
        <w:t>ntinue our operations.</w:t>
      </w:r>
    </w:p>
    <w:p>
      <w:pPr>
        <w:pStyle w:val="TextBody"/>
        <w:bidi w:val="0"/>
        <w:spacing w:lineRule="auto" w:line="288" w:before="240" w:after="283"/>
        <w:jc w:val="left"/>
        <w:rPr/>
      </w:pPr>
      <w:r>
        <w:rPr>
          <w:rFonts w:ascii="Times New Roman;serif" w:hAnsi="Times New Roman;serif"/>
          <w:b/>
          <w:i/>
          <w:color w:val="000000"/>
          <w:sz w:val="20"/>
          <w:shd w:fill="FFFFFF" w:val="clear"/>
        </w:rPr>
        <w:t>We may require additional funding, which may not be available to us on acceptable terms, or at all, and, if not available, may require us to delay, scale back, or cease our product development programs or operations.</w:t>
      </w:r>
      <w:r>
        <w:rPr>
          <w:color w:val="000000"/>
        </w:rPr>
        <w:t xml:space="preserve"> </w:t>
      </w:r>
    </w:p>
    <w:p>
      <w:pPr>
        <w:pStyle w:val="TextBody"/>
        <w:bidi w:val="0"/>
        <w:spacing w:lineRule="auto" w:line="268" w:before="240" w:after="283"/>
        <w:jc w:val="left"/>
        <w:rPr/>
      </w:pPr>
      <w:r>
        <w:rPr>
          <w:rFonts w:ascii="Times New Roman;serif" w:hAnsi="Times New Roman;serif"/>
          <w:b w:val="false"/>
          <w:color w:val="000000"/>
          <w:sz w:val="20"/>
        </w:rPr>
        <w:t>We are</w:t>
      </w:r>
      <w:r>
        <w:rPr>
          <w:color w:val="000000"/>
          <w:shd w:fill="FFFFFF" w:val="clear"/>
        </w:rPr>
        <w:t xml:space="preserve"> </w:t>
      </w:r>
      <w:r>
        <w:rPr>
          <w:rFonts w:ascii="Times New Roman;serif" w:hAnsi="Times New Roman;serif"/>
          <w:b w:val="false"/>
          <w:color w:val="000000"/>
          <w:sz w:val="20"/>
          <w:shd w:fill="FFFFFF" w:val="clear"/>
        </w:rPr>
        <w:t>focused on the development of our early-stage product candidates, acquisition of additional early-stage assets and general discovery efforts. D</w:t>
      </w:r>
      <w:r>
        <w:rPr>
          <w:rFonts w:ascii="Times New Roman;serif" w:hAnsi="Times New Roman;serif"/>
          <w:b w:val="false"/>
          <w:color w:val="000000"/>
          <w:sz w:val="20"/>
        </w:rPr>
        <w:t xml:space="preserve">eveloping pharmaceutical products, including conducting preclinical studies and clinical trials, is expensive. We intend to </w:t>
      </w:r>
      <w:r>
        <w:rPr>
          <w:rFonts w:ascii="Times New Roman;serif" w:hAnsi="Times New Roman;serif"/>
          <w:b w:val="false"/>
          <w:color w:val="000000"/>
          <w:sz w:val="20"/>
          <w:shd w:fill="FFFFFF" w:val="clear"/>
        </w:rPr>
        <w:t>evaluate various partnering, collaboration and other strategic transactions that may enable us to raise additional funding or transfer certain costs and risks related to later-stage development and/or commercialization to our strategic partners. If we successfully enter into these types of transactions, we expect to be able to enhance our capital efficiency by deploying resources that may have otherwise been spent on later-stage clinical development across other areas of our business; however, we may not be able to identify suitable partners or enter into agreements on terms acceptable to us. Even if we are able to secure additional strategic arrangements, there can be no assurance that these arrangements will be successful, which could materially harm our business, financial conditions and results of operations.</w:t>
      </w:r>
      <w:r>
        <w:rPr>
          <w:color w:val="000000"/>
        </w:rPr>
        <w:t xml:space="preserve"> </w:t>
      </w:r>
      <w:r>
        <w:rPr>
          <w:rFonts w:ascii="Times New Roman;serif" w:hAnsi="Times New Roman;serif"/>
          <w:b w:val="false"/>
          <w:color w:val="000000"/>
          <w:sz w:val="20"/>
        </w:rPr>
        <w:t xml:space="preserve">For example, if we raise additional funds through borrowings, we may be obligated to repay the principal and interest of the loan from certain of our royalty payments and/or use our royalties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collateral for such borrowings, which may subject us to covenants that restrict our activities or other unfavorable terms and conditions. Our future funding requirements will depend on many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number and characteristics of other product candidates that we pursue;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scope, progress, timing, cost and results of research, preclinical development, and clinical trials;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hire when needed additional management, scientific and medical personnel;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need to implement additional internal systems and infrastructure, including financial and reporting systems;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Until we can generate a sufficient amount of revenue to finance our cash requirements, which we may never do, we expect to finance future cash needs primarily through a combination of public and private equity offerings, debt financings, asset monetization, strategic partnerships and grant funding.</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terms of our loan agreement impose certain restrictions on our activities, and failure by us or our subsidiaries to fulfill applicable obligations under the loan agreement may cause the repayment obligations to accelerate.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Sale Agreement and Loan Agreement with Royalty Pharma, we and our subsidiaries are restricted from taking certain actions with respect to the Covered Agreements, including (i) entering into any contracts, or amending, modifying or waiving provisions of any contracts, relating to the royalties receivable under the Covered Agreements that would undermine the Royalty Interest or reasonably be expected to result in a material adverse effect, (ii) taking actions that would, or would give the right to an applicable commercial partner to, terminate a Covered Agreement or certain material in-license agreements covering Ziihera, or amending, modifying, waiving any provision, providing any consent or taking any action under any Covered Agreement that would reduce any Royalty Interest payments or reasonably be expected to result in a material adverse effect, without the prior written consent of the Subsidiary and Royalty Pharma, (iii) selling, transferring, disposing of or encumbering its interests in applicable Ziihera-specific intellectual property, Ziihera, a Covered Agreement or certain material in-license agreements covering Ziihera, or entering into monetization or similar transactions with respect to Zymeworks BC’s retained royalty interests under any Covered Agreement, except, in each case, without certain assumption and other arrangements protective to Royalty Pharma’s interests, and (iv) permitting Covered Agreement counterparties to acquire more than 50% of Zymeworks BC’s retained royalty interests under any Covered Agreement without certain assumption and other arrangements protective to Royalty Pharma’s interests, in addition to being subject to other customary covenants. Additionally, under the Loan Agreement, if certain events of default occur, including the termination of a Covered Agreement or a change of control of us as well as other customary events of default, Royalty Pharma may terminate the Loan Agreement and demand immediate payment of an amount equal to the outstanding principal amount of the loan plus all applicable fees, premiums and accrued and unpaid interest thereon and exercise all rights and remedies available under or pursuant to the Loan Agreement. Such covenants may delay or discourage transactions that our stockholders might otherwise deem to be in their best interests. For additional information regarding this arrangement, see the section titled “Liquidity and Capital Resources” under Part I. Item 2. “Management’s Discussion and Analysis of Financial Condition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we or our subsidiaries are unable to comply with the covenants or other obligations under the Sale Agreement and the Loan Agreement, or if an event of default were to occur and our loan becomes accelerated, we could be required to prepay the entire loan or lose control over assets or rights held by the Subsidiary and provided as collateral to Royalty Pharma. While the loan is non-recourse against us or Zymeworks BC, a failure to comply with the covenants or other obligations under the Sale Agreement and the Loan Agreement, including an event of default, could cause our business, financial condition, results of operations and reputation to be materially harmed.</w:t>
      </w:r>
    </w:p>
    <w:p>
      <w:pPr>
        <w:pStyle w:val="TextBody"/>
        <w:bidi w:val="0"/>
        <w:spacing w:lineRule="auto" w:line="288" w:before="240" w:after="283"/>
        <w:jc w:val="left"/>
        <w:rPr/>
      </w:pPr>
      <w:r>
        <w:rPr>
          <w:rFonts w:ascii="Times New Roman;serif" w:hAnsi="Times New Roman;serif"/>
          <w:b/>
          <w:i/>
          <w:color w:val="000000"/>
          <w:sz w:val="20"/>
        </w:rPr>
        <w:t xml:space="preserve">Raising additional capital may cause dilution to our stockholders, restrict our operations or require us to </w:t>
      </w:r>
      <w:r>
        <w:rPr>
          <w:rFonts w:ascii="Times New Roman;serif" w:hAnsi="Times New Roman;serif"/>
          <w:b/>
          <w:i/>
          <w:color w:val="000000"/>
          <w:sz w:val="20"/>
          <w:shd w:fill="FFFFFF" w:val="clear"/>
        </w:rPr>
        <w:t>relinquish</w:t>
      </w:r>
      <w:r>
        <w:rPr>
          <w:color w:val="000000"/>
        </w:rPr>
        <w:t xml:space="preserve"> </w:t>
      </w:r>
      <w:r>
        <w:rPr>
          <w:rFonts w:ascii="Times New Roman;serif" w:hAnsi="Times New Roman;serif"/>
          <w:b/>
          <w:i/>
          <w:color w:val="000000"/>
          <w:sz w:val="20"/>
        </w:rPr>
        <w:t>substantial rights.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Raising additional funds through partnerships, collaborations, strategic alliances, or licensing arrangements with third parties, may require us to relinquish valuable rights to our technologies, product candidates, or future revenue streams, or grant licenses on terms that are not favorable to us. To the extent that we raise additional capital through the sale of equity or convertible debt securities, our stockholders’ ownership interest will be diluted, and the terms of these new securities may include liquidation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preferences that adversely affect our stockholders’ rights as common stockholders. For example, in August 2024, we entered into the Cowen Sales Agreement with TD Cowen as sales agent to sell shares of our common stock from time to time through an “at-the-market” equity offering program, subject to a maximum aggregate dollar amount registered pursuant to a prospectus supplement. As part of the ongoing management of our operations and related funding needs, we evaluate various financing vehicles, including “at-the-market” equity offering programs, and may enter into similar “at-the-market” equity offering programs in the future, as well as other financing transactions. Debt financing, if available at all, may involve agreements that include covenants limiting or restricting our ability to take specific actions such as incurring additional debt, making capital expenditures, repurchasing our common stock, or declaring dividends. We cannot assure that we will be able to obtain additional funding if and when necessary. If we are unable to obtain adequate financing on a timely basis, we could be required to delay, scale back or eliminate one or more of our development programs or otherwise scale back our operations. </w:t>
      </w:r>
    </w:p>
    <w:p>
      <w:pPr>
        <w:pStyle w:val="TextBody"/>
        <w:bidi w:val="0"/>
        <w:spacing w:lineRule="auto" w:line="288" w:before="240" w:after="283"/>
        <w:jc w:val="left"/>
        <w:rPr/>
      </w:pPr>
      <w:r>
        <w:rPr>
          <w:rFonts w:ascii="Times New Roman;serif" w:hAnsi="Times New Roman;serif"/>
          <w:b/>
          <w:color w:val="000000"/>
          <w:sz w:val="20"/>
        </w:rPr>
        <w:t>Risks Related to Our Dependence on Third Parties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 xml:space="preserve">We rely on </w:t>
      </w:r>
      <w:r>
        <w:rPr>
          <w:rFonts w:ascii="Times New Roman;serif" w:hAnsi="Times New Roman;serif"/>
          <w:b/>
          <w:i/>
          <w:color w:val="000000"/>
          <w:sz w:val="20"/>
          <w:shd w:fill="FFFFFF" w:val="clear"/>
        </w:rPr>
        <w:t>third</w:t>
      </w:r>
      <w:r>
        <w:rPr>
          <w:rFonts w:ascii="Times New Roman;serif" w:hAnsi="Times New Roman;serif"/>
          <w:b/>
          <w:i/>
          <w:color w:val="000000"/>
          <w:sz w:val="20"/>
        </w:rPr>
        <w:t>-party manufacturers to produce our product candidates and on other third parties to provide supplies and store, monitor and transport bulk drug substance and drug product. We and our strategic partners may encounter difficulties with respect to these activities that could delay or impair our or our</w:t>
      </w:r>
      <w:r>
        <w:rPr>
          <w:color w:val="000000"/>
        </w:rPr>
        <w:t xml:space="preserve"> </w:t>
      </w:r>
      <w:r>
        <w:rPr>
          <w:rFonts w:ascii="Times New Roman;serif" w:hAnsi="Times New Roman;serif"/>
          <w:b/>
          <w:i/>
          <w:color w:val="000000"/>
          <w:sz w:val="20"/>
        </w:rPr>
        <w:t>strategic partners’ ability to initiate or complete our clinical trials or commercialize products.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We do not currently own or operate any manufacturing facilities. We work with multiple third-party contract manufacturers to produce sufficient quantities of materials required for the manufacture of our product candidates for preclinical testing and clinical trials, in compliance with applicable regulatory and quality standards.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 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All of our engineered antibodies are manufactured in accordance with cGMP by utilizing cells that are stored in a cell bank. We have one master cell bank and one working cell bank for zanidatamab and one master cell bank for each of ZW191, ZW209, ZW220 and ZW251. Should any cell bank be lost in a catastrophic event, it is possible that we could lose part of a cell bank and have our manufacturing potentially impacted by the need to replace the cell bank.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Furthermore, 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non-U.S. standards. Pharmaceutical manufacturers and their subcontractors are required to register their facilities or products manufactured at the time of submission of the marketing application and then annually thereafter with the FDA and certain state and non-U.S. agencies. They are also subject to periodic unannounced inspections by the FDA, state and other non-U.S. authorities. Any subsequent discovery of problems with a product, or a manufacturing or laboratory facility used by us or our strategic partners, may result in restrictions on the product or on the manufacturing or laboratory facility, including marketed product recall, suspension of manufacturing, product seizure, or a voluntary withdrawal of the drug from the market. We may have little to no control regarding the occurrence of third-party manufacturer incidents. Any failure by our third-party manufacturers to comply with cGMP or failure to scale up manufacturing processes, including any failure to deliver sufficient quantities of product candidates in a timely manner, could lead to a delay in development of any of our or our strategic partners’ product candidates.</w:t>
      </w:r>
      <w:r>
        <w:rPr>
          <w:color w:val="000000"/>
        </w:rPr>
        <w:t xml:space="preserve"> </w:t>
      </w:r>
      <w:r>
        <w:rPr>
          <w:rFonts w:ascii="Times New Roman;serif" w:hAnsi="Times New Roman;serif"/>
          <w:b w:val="false"/>
          <w:color w:val="000000"/>
          <w:sz w:val="20"/>
        </w:rPr>
        <w:t>In addition to third-party manufacturers, we rely on other third parties to store, monitor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w:t>
      </w:r>
      <w:r>
        <w:rPr>
          <w:color w:val="000000"/>
        </w:rPr>
        <w:t xml:space="preserve"> </w:t>
      </w:r>
      <w:r>
        <w:rPr>
          <w:rFonts w:ascii="Times New Roman;serif" w:hAnsi="Times New Roman;serif"/>
          <w:b/>
          <w:i/>
          <w:color w:val="000000"/>
          <w:sz w:val="20"/>
        </w:rPr>
        <w:t>and our strategic partners rely on third parties to monitor, support, conduct and oversee clinical trials of product candidates and, in some cases, to maintain regulatory files for those product candidates. Our product candidates may not receive regulatory approval or be successfully commercialized if we or our strategic partners are not able to maintain or secure agreements with such third parties on acceptable terms, if these third parties do not perform their services as required, or if these third parties fail to timely transfer any regulatory information held by them to us.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We and our strategic partners rely on entities outside of our or their control, which may include academic institutions, CROs, hospitals, clinics and other third-party strategic partners, to monitor, support, conduct and oversee preclinical studies and clinical trials of our or our strategic partners’ current and future product candidates. If we or our strategic partners are unable to maintain or enter into agreements with these third parties on acceptable terms, or if any such engagement is terminated prematurely, we or our strategic partners may be unable to enroll patients on a timely basis or otherwise conduct our trials in the manner anticipated. In addition, there is no guarantee that these third parties will devote adequate time and resources to our or our strategic partners’ studies or perform as required by contract or in accordance with regulatory requirements, including maintenance of clinical trial information regarding the product candidates. These third parties, in turn, may face their own constraints in obtaining the resources and personnel needed to perform the work for which they are engaged. If these third parties fail to meet expected deadlines, fail to transfer any regulatory information in a timely manner, fail to adhere to protocols or fail to act in accordance with regulatory requirements or contractual obligations, or if they otherwise perform in a substandard manner or in a way that compromises the quality or accuracy of their activities or the data they obtain, then clinical trials of our or our strategic partners’ product candidates may be extended or delayed with additional costs incurred, or data from the clinical trials may be rejected by the FDA, EMA or other regulatory agencies.</w:t>
      </w:r>
      <w:r>
        <w:rPr>
          <w:color w:val="000000"/>
        </w:rPr>
        <w:t xml:space="preserve"> </w:t>
      </w:r>
      <w:r>
        <w:rPr>
          <w:rFonts w:ascii="Times New Roman;serif" w:hAnsi="Times New Roman;serif"/>
          <w:b w:val="false"/>
          <w:color w:val="000000"/>
          <w:sz w:val="20"/>
        </w:rPr>
        <w:t>Ultimately, we and our strategic partners are responsible for ensuring that each of our clinical trials is conducted in accordance with the applicable protocol, legal, regulatory and scientific standards, and reliance on third parties does not relieve us or our strategic partners of regulatory responsibilities.</w:t>
      </w:r>
      <w:r>
        <w:rPr>
          <w:color w:val="000000"/>
        </w:rPr>
        <w:t xml:space="preserve"> </w:t>
      </w:r>
      <w:r>
        <w:rPr>
          <w:rFonts w:ascii="Times New Roman;serif" w:hAnsi="Times New Roman;serif"/>
          <w:b w:val="false"/>
          <w:color w:val="000000"/>
          <w:sz w:val="20"/>
        </w:rPr>
        <w:t xml:space="preserve">We, our strategic partners and our CROs are required to comply with GCP regulations and guidelines enforced by the FDA, the competent authorities of the member states of the EU and comparable non-U.S. regulatory authorities for products in clinical development. Regulatory authorities enforce these GCP regulations through periodic inspections of clinical trial sponsors, principal investigators and clinical trial sites. If we, our strategic partners or any of our CROs fail to comply with applicable GCP regulations, the clinical data generated in the clinical trials may be deemed unreliable and submission of marketing applications may be delayed or the FDA may require us or our strategic partners to perform additional clinical trials before approving marketing applications. Upon inspection, the FDA could determine that any of our or our strategic partners’ clinical trials fail or have failed to comply with applicable GCP regulations. Moreover, our business may be implicated if any of our or our strategic partners’ CROs violates federal or state fraud and abuse or false claims laws and regulations or healthcare privacy and security laws. If any of our or our strategic partners’ clinical trial sites terminate for any reason, we may experience the loss of follow-up information on patients enrolled in the ongoing clinical trials unless we or our strategic partners are able to transfer the care of those patients to another qualified clinical trial site. If our or our strategic partners’ relationship with any CRO is terminated, we or our strategic partners, as applicable, may be unable to enter into arrangements with alternative CROs on commercially reasonable terms, or at all. Switching or adding CROs or other suppliers can involve substantial cost and require extensive management time and focus, and there is a natural transition period when a new CRO or supplier commences work. As a result, delays may occur, which can materially impact the ability to meet desired clinical development timelines. If we or our strategic partners are required to seek alternative supply arrangements, the resulting delays and potential inability to find a suitable replacement could materially and adversely impact our business or our product or royalty and milestone revenue. </w:t>
      </w:r>
    </w:p>
    <w:p>
      <w:pPr>
        <w:pStyle w:val="TextBody"/>
        <w:bidi w:val="0"/>
        <w:spacing w:lineRule="auto" w:line="288" w:before="240" w:after="283"/>
        <w:jc w:val="left"/>
        <w:rPr/>
      </w:pPr>
      <w:r>
        <w:rPr>
          <w:rFonts w:ascii="Times New Roman;serif" w:hAnsi="Times New Roman;serif"/>
          <w:b/>
          <w:i/>
          <w:color w:val="000000"/>
          <w:sz w:val="20"/>
        </w:rPr>
        <w:t>We rely on third parties for various operational and administrative aspects of our business, including for certain cloud-</w:t>
      </w:r>
      <w:r>
        <w:rPr>
          <w:rFonts w:ascii="Times New Roman;serif" w:hAnsi="Times New Roman;serif"/>
          <w:b/>
          <w:i/>
          <w:color w:val="000000"/>
          <w:sz w:val="20"/>
          <w:shd w:fill="FFFFFF" w:val="clear"/>
        </w:rPr>
        <w:t>based</w:t>
      </w:r>
      <w:r>
        <w:rPr>
          <w:color w:val="000000"/>
        </w:rPr>
        <w:t xml:space="preserve"> </w:t>
      </w:r>
      <w:r>
        <w:rPr>
          <w:rFonts w:ascii="Times New Roman;serif" w:hAnsi="Times New Roman;serif"/>
          <w:b/>
          <w:i/>
          <w:color w:val="000000"/>
          <w:sz w:val="20"/>
        </w:rPr>
        <w:t>software platforms, which impact our financial, operational and research activities. If any of these third parties fail to provide timely, accurate and ongoing service or if the cloud-based platforms suffer outages that we are unable to mitigate, our business may be adversely affected.</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We currently rely upon third-party consultants and contractors to provide certain operational and administrative services, including external financial, legal, information technology, clinical and research consultation.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or increase their fees, or if our relationships with these providers deteriorate, we could suffer increased costs until an equivalent provider could be found, if at all, or we could develop internal capabilities, if ever. If we are unsuccessful in choosing or finding high-quality partners, if we fail to negotiate cost-effective relationships with them, or if we ineffectively manage these relationships, it could have an adverse impact on our business and financial performance.</w:t>
      </w:r>
      <w:r>
        <w:rPr>
          <w:color w:val="000000"/>
        </w:rPr>
        <w:t xml:space="preserve"> </w:t>
      </w:r>
      <w:r>
        <w:rPr>
          <w:rFonts w:ascii="Times New Roman;serif" w:hAnsi="Times New Roman;serif"/>
          <w:b w:val="false"/>
          <w:color w:val="000000"/>
          <w:sz w:val="20"/>
        </w:rPr>
        <w:t xml:space="preserve">Further, our operations depend on the continuing and efficient operation of our information technology and communications systems and infrastructure, and specifically on “cloud-based” platforms. These platforms are vulnerable to damage or interruption from earthquakes, vandalism, sabotage,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terrorist attacks, floods, fires, power outages, telecommunications failures, and computer viruses or other deliberate attempts to harm the systems. The occurrence of a natural or intentional disaster, any decision to close a facility we are using without adequate notice, or an unanticipated problem at our cloud-based virtual server facility, could result in harmful interruptions in our service, resulting in adverse effects to our business. </w:t>
      </w:r>
    </w:p>
    <w:p>
      <w:pPr>
        <w:pStyle w:val="TextBody"/>
        <w:bidi w:val="0"/>
        <w:spacing w:lineRule="auto" w:line="288" w:before="240" w:after="283"/>
        <w:jc w:val="left"/>
        <w:rPr/>
      </w:pPr>
      <w:r>
        <w:rPr>
          <w:rFonts w:ascii="Times New Roman;serif" w:hAnsi="Times New Roman;serif"/>
          <w:b/>
          <w:color w:val="000000"/>
          <w:sz w:val="20"/>
        </w:rPr>
        <w:t>Risks Related to Our Intellectual Property</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 xml:space="preserve">Our </w:t>
      </w:r>
      <w:r>
        <w:rPr>
          <w:rFonts w:ascii="Times New Roman;serif" w:hAnsi="Times New Roman;serif"/>
          <w:b/>
          <w:i/>
          <w:color w:val="000000"/>
          <w:sz w:val="20"/>
          <w:shd w:fill="FFFFFF" w:val="clear"/>
        </w:rPr>
        <w:t>success</w:t>
      </w:r>
      <w:r>
        <w:rPr>
          <w:color w:val="000000"/>
        </w:rPr>
        <w:t xml:space="preserve"> </w:t>
      </w:r>
      <w:r>
        <w:rPr>
          <w:rFonts w:ascii="Times New Roman;serif" w:hAnsi="Times New Roman;serif"/>
          <w:b/>
          <w:i/>
          <w:color w:val="000000"/>
          <w:sz w:val="20"/>
        </w:rPr>
        <w:t xml:space="preserve">depends significantly on our ability to operate without infringing the patents and other proprietary rights of third parties. </w:t>
      </w:r>
    </w:p>
    <w:p>
      <w:pPr>
        <w:pStyle w:val="TextBody"/>
        <w:bidi w:val="0"/>
        <w:spacing w:lineRule="auto" w:line="288" w:before="240" w:after="283"/>
        <w:jc w:val="left"/>
        <w:rPr/>
      </w:pPr>
      <w:r>
        <w:rPr>
          <w:rFonts w:ascii="Times New Roman;serif" w:hAnsi="Times New Roman;serif"/>
          <w:b w:val="false"/>
          <w:color w:val="000000"/>
          <w:sz w:val="20"/>
        </w:rPr>
        <w:t>Our success will depend in part on our ability to operate without infringing the proprietary rights of third parties. Other entities may have or obtain patents or proprietary rights that could limit our and our strategic partners’ ability to make, use, sell, offer for sale or import our future approved products or impair our competitive position. For example, certain patents and patent applications held by third parties cover Fab and Fc region engineering methods for bispecific antibodies, and antibodies having mutations in Fab heavy and light chain regions and Fc regions to generate correctly paired bispecific antibodies. In addition, we are aware of certain third-party patents and patent applications that generally encompass topoisomerase 1 inhibitors. If our or our strategic partners’ product candidates or products are covered by any claims of these patents or patents that may issue from these applications, and if licenses for them are not available on commercially reasonable terms or at all, we or our strategic partners are unable to invalidate or render unenforceable those patents, or we or our strategic partners are unable to reengineer such product candidates or products, our business could be materially harmed.</w:t>
      </w:r>
      <w:r>
        <w:rPr>
          <w:color w:val="000000"/>
        </w:rPr>
        <w:t xml:space="preserve"> </w:t>
      </w:r>
      <w:r>
        <w:rPr>
          <w:rFonts w:ascii="Times New Roman;serif" w:hAnsi="Times New Roman;serif"/>
          <w:b w:val="false"/>
          <w:color w:val="000000"/>
          <w:sz w:val="20"/>
        </w:rPr>
        <w:t>There is no assurance that there are not third-party patents or patent applications of which we are aware, but which we do not believe are relevant to our business, which may, nonetheless, ultimately be found to limit our or our strategic partners’ ability to make, use, sell, offer for sale or import future approved products or impair our and our strategic partners’ competitive position.</w:t>
      </w:r>
      <w:r>
        <w:rPr>
          <w:color w:val="000000"/>
        </w:rPr>
        <w:t xml:space="preserve"> </w:t>
      </w:r>
      <w:r>
        <w:rPr>
          <w:rFonts w:ascii="Times New Roman;serif" w:hAnsi="Times New Roman;serif"/>
          <w:b w:val="false"/>
          <w:color w:val="000000"/>
          <w:sz w:val="20"/>
        </w:rPr>
        <w:t>Patents that we may ultimately be found to infringe could be issued to third parties. Third parties may have or obtain valid and enforceable patents or proprietary rights that could block us and our strategic partners from developing product candidates using our technology. Our failure to obtain a license to any patent covering any technology that we or our strategic partners require may materially harm our business, financial condition and results of operations. Moreover, our failure to maintain a license to any patent covering any technology that we or our strategic partners require may also materially harm our business, financial condition and results of operations. Furthermore, we would be exposed to a threat of litigation.</w:t>
      </w:r>
      <w:r>
        <w:rPr>
          <w:color w:val="000000"/>
        </w:rPr>
        <w:t xml:space="preserve"> </w:t>
      </w:r>
      <w:r>
        <w:rPr>
          <w:rFonts w:ascii="Times New Roman;serif" w:hAnsi="Times New Roman;serif"/>
          <w:b w:val="false"/>
          <w:color w:val="000000"/>
          <w:sz w:val="20"/>
        </w:rPr>
        <w:t>In the pharmaceutical industry, significant litigation and other proceedings regarding patents, patent applications, trademarks and other intellectual property rights are commonplace. Any such lawsuits and proceedings could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or our strategic partners are infringing a third party’s patents and would order us or our strategic partners to stop the activities or stop the manufacture, use, or sale of any product covered by the patents. In that event, we or our strategic partners may not have a viable alternative to the technology protected by the patent and may need to halt work on the affected product candidate or cease commercialization of an approved product. In addition, there is a risk that a court would order us or our strategic partners to pay third-party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at issue or to license the technology from third parties. We may not be able to obtain any required licenses on commercially acceptable terms or at all. Any of these outcomes could have a material adverse effect on our business.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obtain, maintain and enforce patent and trade secret protection for our product candidates and related technology, our business could be materially harmed.</w:t>
      </w:r>
    </w:p>
    <w:p>
      <w:pPr>
        <w:pStyle w:val="TextBody"/>
        <w:bidi w:val="0"/>
        <w:spacing w:lineRule="auto" w:line="288" w:before="240" w:after="283"/>
        <w:jc w:val="left"/>
        <w:rPr/>
      </w:pPr>
      <w:r>
        <w:rPr>
          <w:rFonts w:ascii="Times New Roman;serif" w:hAnsi="Times New Roman;serif"/>
          <w:b w:val="false"/>
          <w:color w:val="000000"/>
          <w:sz w:val="20"/>
        </w:rPr>
        <w:t>Our strategy depends on our ability to identify and seek patent protection for our discoveries. This process is expensive and time 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owned or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other countries.</w:t>
      </w:r>
      <w:r>
        <w:rPr>
          <w:color w:val="000000"/>
        </w:rPr>
        <w:t xml:space="preserve"> </w:t>
      </w:r>
      <w:r>
        <w:rPr>
          <w:rFonts w:ascii="Times New Roman;serif" w:hAnsi="Times New Roman;serif"/>
          <w:b w:val="false"/>
          <w:color w:val="000000"/>
          <w:sz w:val="20"/>
        </w:rPr>
        <w:t xml:space="preserve">Moreover, the patent position of biopharmaceutical companies generally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highly uncertain, involves complex legal and factual questions and has been the subject of much litigation. The issuance of a patent does not ensure that it is valid or enforceable. Third parties may challenge the validity, enforceability or scope of our issued patents, and such patents may be narrowed, invalidated, circumvented, or deemed unenforceable. In addition, changes in law may introduce uncertainty in the enforceability or scope of patents owned by biotechnology companies. If our patents are narrowed, invalidated or held unenforceable, third parties may be able to commercialize our technology or products and compete directly with us and our strategic partners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w:t>
      </w:r>
      <w:r>
        <w:rPr>
          <w:color w:val="000000"/>
        </w:rPr>
        <w:t xml:space="preserve"> </w:t>
      </w:r>
      <w:r>
        <w:rPr>
          <w:rFonts w:ascii="Times New Roman;serif" w:hAnsi="Times New Roman;serif"/>
          <w:b w:val="false"/>
          <w:color w:val="000000"/>
          <w:sz w:val="20"/>
        </w:rPr>
        <w:t>Additionally, recent reforms and changes at U.S. government agencies and those of non-U.S. jurisdictions could increase the uncertainties and costs surrounding the prosecution or maintenance of our patent applications, and the maintenance, enforcement, or defense of our issued patents. For example, the ability of the U.S. Patent and Trademark Office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r>
        <w:rPr>
          <w:color w:val="000000"/>
        </w:rPr>
        <w:t xml:space="preserve"> </w:t>
      </w:r>
      <w:r>
        <w:rPr>
          <w:rFonts w:ascii="Times New Roman;serif" w:hAnsi="Times New Roman;serif"/>
          <w:b w:val="false"/>
          <w:color w:val="000000"/>
          <w:sz w:val="20"/>
        </w:rPr>
        <w:t>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other countries may not allow us to protect our inventions with patents to the same extent as U.S. law. Because patent applications in the United States and many other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issuance, validity, enforceability, scope and commercial value of our patents in the United States and in other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Our patents covering one or more of our products or product candidates could be found invalid or unenforceable if challenged.</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Any of our intellectual property rights could be challenged or invalidated despite measures we take to obtain patent and other intellectual property protection with respect to our product candidates and proprietary technology. These challenges could be initiated in the courts or administratively in various patent offices. For example, if we were to initiate legal proceedings against a third party to enforce a patent covering one of our product candidates, the defendant could counterclaim that our patent is invalid and/or unenforceable or file an administrative action to invalidate our patent.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non-U.S.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r>
        <w:rPr>
          <w:color w:val="000000"/>
        </w:rPr>
        <w:t xml:space="preserve"> </w:t>
      </w:r>
      <w:r>
        <w:rPr>
          <w:rFonts w:ascii="Times New Roman;serif" w:hAnsi="Times New Roman;serif"/>
          <w:b w:val="false"/>
          <w:color w:val="000000"/>
          <w:sz w:val="20"/>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and any resulting loss of patent protection, could have a material adverse impact on one or more of our product candidates and our business.</w:t>
      </w:r>
      <w:r>
        <w:rPr>
          <w:color w:val="000000"/>
        </w:rPr>
        <w:t xml:space="preserve"> </w:t>
      </w:r>
      <w:r>
        <w:rPr>
          <w:rFonts w:ascii="Times New Roman;serif" w:hAnsi="Times New Roman;serif"/>
          <w:b w:val="false"/>
          <w:color w:val="000000"/>
          <w:sz w:val="20"/>
        </w:rPr>
        <w:t xml:space="preserve">Enforcing our intellectual property rights against third parties may also cause such third parties to file other counterclaims against us, which could be costly to defend and could require us to pay substantial damages, cease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use, manufacture, or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Our intellectual property rights will not necessarily provide us with competitive advantages.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others may be able to make compounds that are similar to our product candidates but that are not covered by the claims of the patents that we or our strategic partners own or have exclusively licensed;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others may independently develop similar or alternative technologies without infringing our intellectual property rights;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issued patents that we own or have exclusively licensed may not provide us with any competitive advantages, or may be held invalid or unenforceable, as a result of legal challenges by our competitors;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obtain patents for certain compounds many years before we or our strategic partners obtain marketing approval for products containing such compounds, and because patents have a limited life, which may begin to run prior to the commercial sale of the related product, the commercial value of our patents may be limited;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use the information learned from such activities to develop competitive products for sale in our major commercial markets;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fail to develop additional proprietary technologies that are patentable;</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laws of certain countries may not protect our intellectual property rights to the same extent as U.S. law, or we may fail to apply for or obtain adequate intellectual property protection in all the jurisdictions in which we operate; and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patents of others may have an adverse effect on our business, for example by preventing us from marketing one or more of our product candidates for one or more indications.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Any of the aforementioned threats to our competitive advantage could have a material adverse effect on our business.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may become involved in lawsuits to protect or enforce our patents and trade secrets, which could be expensive, time consuming and unsuccessful.</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Third parties may seek to market biosimilar versions of any approved products. Alternatively, third parties may seek approval to market their own products similar to or otherwise competitive with our product candidates. In these circumstances, we may need to defend or assert our patents, including by filing lawsuits alleging patent infringement.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or processes sufficient to achieve our and our strategic partners’ business objectives.</w:t>
      </w:r>
      <w:r>
        <w:rPr>
          <w:color w:val="000000"/>
        </w:rPr>
        <w:t xml:space="preserve"> </w:t>
      </w:r>
      <w:r>
        <w:rPr>
          <w:rFonts w:ascii="Times New Roman;serif" w:hAnsi="Times New Roman;serif"/>
          <w:b w:val="false"/>
          <w:color w:val="000000"/>
          <w:sz w:val="20"/>
        </w:rPr>
        <w:t>After they have issued, our patents and any patents that we license may be challenged, narrowed, invalidated or circumvented. If our patents are invalidated or otherwise limited or will expire prior to the commercialization of our or our partnered product candidates, other companies may be better able to develop products that compete with ours, which could adversely affect our or our strategic partners’ competitive business position, and adversely affect our revenues. In addition, if the breadth or strength of protection provided by our patents and patent applications is threatened, it could dissuade companies from collaborating with us to license, develop or commercialize current or future product candidates.</w:t>
      </w:r>
      <w:r>
        <w:rPr>
          <w:color w:val="000000"/>
        </w:rPr>
        <w:t xml:space="preserve"> </w:t>
      </w:r>
      <w:r>
        <w:rPr>
          <w:rFonts w:ascii="Times New Roman;serif" w:hAnsi="Times New Roman;serif"/>
          <w:b w:val="false"/>
          <w:color w:val="000000"/>
          <w:sz w:val="20"/>
        </w:rPr>
        <w:t xml:space="preserve">The following are examples of litigation and other adversarial proceedings or disputes that we could become a party to involving our patents or patents licensed to us: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or our strategic partners may initiate litigation or other proceedings against third parties to enforce our patent or trade secret rights;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third parties may initiate litigation or other proceedings seeking to invalidate patents owned by or licensed to us or to obtain a declaratory judgment that their product or technology does not infringe our patents or patents licensed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third parties may initiate opposition or reexamination proceedings challenging the validity or scope of our patent rights, requiring us or our strategic partners and/or licensors to participate in such proceedings to defend the validity and scope of our patents;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there may be a challenge or dispute regarding inventorship or ownership of patents or trade secrets currently identified as being solely or co-owned by us or by a licensor who has granted a license to us;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USPTO may initiate an interference between patents or patent applications owned by or licensed to us and those of our competitors, requiring us or our strategic partners and/or licensors to participate in an interference proceeding to determine the priority of invention, which could jeopardize our patent rights; or</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third parties may seek approval to market biosimilar versions of our future approved products prior to expiration of relevant patents owned by or licensed to us, requiring us to defend our patents, including by filing lawsuits alleging patent infringement.</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These lawsuits and proceedings would be costly and could affect our results of operations and divert the attention of our managerial and scientific personnel. Adversaries in these proceedings may have the ability to dedicate substantially greater resources to prosecuting these legal actions than we or our licensors can. There is a risk that a court or administrative body would decide that our patents are invalid, unenforceable or not infringed or trade secrets not misappropriated by a third party’s activities, or that the scope of certain issued claims must be further limited. An adverse outcome in a litigation or proceeding involving our own patents or trade secrets could limit our ability to assert our patents or trade secrets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r>
        <w:rPr>
          <w:color w:val="000000"/>
        </w:rPr>
        <w:t xml:space="preserve"> </w:t>
      </w:r>
      <w:r>
        <w:rPr>
          <w:rFonts w:ascii="Times New Roman;serif" w:hAnsi="Times New Roman;serif"/>
          <w:b w:val="false"/>
          <w:color w:val="000000"/>
          <w:sz w:val="20"/>
        </w:rPr>
        <w:t>We may not be able to prevent, alone or with our licensors or licensees,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r>
        <w:rPr>
          <w:color w:val="000000"/>
        </w:rPr>
        <w:t xml:space="preserve"> </w:t>
      </w:r>
      <w:r>
        <w:rPr>
          <w:rFonts w:ascii="Times New Roman;serif" w:hAnsi="Times New Roman;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others may be able to develop a platform that is similar to, or better than, ours in a way that is not covered by the claims of our patents;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others may be able to make compounds that are similar to our product candidates but that are not covered by the claims of our patents;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might not have been the first to make the inventions covered by patents or pending patent applications;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might not have been the first to file patent applications for these inventions;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any patents that we obtain may not provide us with any competitive advantages or may ultimately be found invalid or unenforceable; or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may not develop additional proprietary technologies that are patentable or that afford meaningful trade secret protection. </w:t>
      </w:r>
    </w:p>
    <w:p>
      <w:pPr>
        <w:pStyle w:val="TextBody"/>
        <w:bidi w:val="0"/>
        <w:spacing w:lineRule="auto" w:line="288" w:before="240" w:after="283"/>
        <w:jc w:val="left"/>
        <w:rPr/>
      </w:pPr>
      <w:r>
        <w:rPr>
          <w:rFonts w:ascii="Times New Roman;serif" w:hAnsi="Times New Roman;serif"/>
          <w:b/>
          <w:i/>
          <w:color w:val="000000"/>
          <w:sz w:val="20"/>
          <w:shd w:fill="FFFFFF" w:val="clear"/>
        </w:rPr>
        <w:t xml:space="preserve">Patent terms may be inadequate to protect our competitive position on our or our </w:t>
      </w:r>
      <w:r>
        <w:rPr>
          <w:rFonts w:ascii="Times New Roman;serif" w:hAnsi="Times New Roman;serif"/>
          <w:b/>
          <w:i/>
          <w:color w:val="000000"/>
          <w:sz w:val="20"/>
        </w:rPr>
        <w:t>partnered</w:t>
      </w:r>
      <w:r>
        <w:rPr>
          <w:color w:val="000000"/>
          <w:shd w:fill="FFFFFF" w:val="clear"/>
        </w:rPr>
        <w:t xml:space="preserve"> </w:t>
      </w:r>
      <w:r>
        <w:rPr>
          <w:rFonts w:ascii="Times New Roman;serif" w:hAnsi="Times New Roman;serif"/>
          <w:b/>
          <w:i/>
          <w:color w:val="000000"/>
          <w:sz w:val="20"/>
          <w:shd w:fill="FFFFFF" w:val="clear"/>
        </w:rPr>
        <w:t xml:space="preserve">products or product candidates for an </w:t>
      </w:r>
      <w:r>
        <w:rPr>
          <w:rFonts w:ascii="Times New Roman;serif" w:hAnsi="Times New Roman;serif"/>
          <w:b/>
          <w:i/>
          <w:color w:val="000000"/>
          <w:sz w:val="20"/>
        </w:rPr>
        <w:t>adequate</w:t>
      </w:r>
      <w:r>
        <w:rPr>
          <w:color w:val="000000"/>
          <w:shd w:fill="FFFFFF" w:val="clear"/>
        </w:rPr>
        <w:t xml:space="preserve"> </w:t>
      </w:r>
      <w:r>
        <w:rPr>
          <w:rFonts w:ascii="Times New Roman;serif" w:hAnsi="Times New Roman;serif"/>
          <w:b/>
          <w:i/>
          <w:color w:val="000000"/>
          <w:sz w:val="20"/>
          <w:shd w:fill="FFFFFF" w:val="clear"/>
        </w:rPr>
        <w:t>amount of time.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Patents have a limited lifespan. In the United States, if all maintenance fees are timely paid, the expiration of a patent is generally 20 years from its earliest U.S. non-provisional filing date. Various extensions may be available, but the life of a patent, and the protection it affords, is limited. Even if patents covering our or our partnered products or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or our strategic partners with sufficient rights to exclude others from commercializing products similar or identical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ours. Further, judicial decisions in the United States raised questions regarding the award of patent term adjustment (“PTA”) for patents in families where related patents have issued without PTA. Thus, it cannot be said with certainty how PTA will be viewed in the future and whether patent expiration dates may be impacted.</w:t>
      </w:r>
    </w:p>
    <w:p>
      <w:pPr>
        <w:pStyle w:val="TextBody"/>
        <w:bidi w:val="0"/>
        <w:spacing w:lineRule="auto" w:line="288" w:before="240" w:after="283"/>
        <w:jc w:val="left"/>
        <w:rPr/>
      </w:pPr>
      <w:r>
        <w:rPr>
          <w:rFonts w:ascii="Times New Roman;serif" w:hAnsi="Times New Roman;serif"/>
          <w:b/>
          <w:i/>
          <w:color w:val="000000"/>
          <w:sz w:val="20"/>
        </w:rPr>
        <w:t>If we do not obtain protection under the Hatch-Waxman Amendments and similar legislation in other countries for extending the term of patents covering each of our or our</w:t>
      </w:r>
      <w:r>
        <w:rPr>
          <w:color w:val="000000"/>
        </w:rPr>
        <w:t xml:space="preserve"> </w:t>
      </w:r>
      <w:r>
        <w:rPr>
          <w:rFonts w:ascii="Times New Roman;serif" w:hAnsi="Times New Roman;serif"/>
          <w:b/>
          <w:i/>
          <w:color w:val="000000"/>
          <w:sz w:val="20"/>
        </w:rPr>
        <w:t>partnered products or product candidates, our business may be materially harmed.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Depending upon the timing, duration and conditions of FDA marketing approval of our or our partnered product candidates, one or more of our U.S. patents may be eligible for limited patent term extension under the Hatch-Waxman Amendments. The Hatch-Waxman Amendments permit a patent term extension of up to five years for a patent covering an approved product as compensation for effective patent term lost during product development and the FDA regulatory review process, subject to the limitation that the total remaining patent term after approval cannot exceed 14 years. However, we may not receive an extension if we or our strategic partners fail to apply within applicable deadlines, fail to apply prior to expiration of relevant patents or otherwise fail to satisfy applicable requirements. Moreover, the length of the extension could be less than we or our strategic partners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lineRule="auto" w:line="288" w:before="240" w:after="283"/>
        <w:jc w:val="left"/>
        <w:rPr/>
      </w:pPr>
      <w:r>
        <w:rPr>
          <w:rFonts w:ascii="Times New Roman;serif" w:hAnsi="Times New Roman;serif"/>
          <w:b/>
          <w:i/>
          <w:color w:val="000000"/>
          <w:sz w:val="20"/>
        </w:rPr>
        <w:t>If we are unable to protect the confidentiality of our proprietary information, the value of our technology and products could be adversely affected.</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In addition to patent protection, we also rely on other proprietary rights, including protection of trade secrets, and other proprietary information. For example, we treat our confidential and proprietary computational technologies, including unpatented know-how and other proprietary information, as trade secrets. We enter into confidentiality agreements with our employees, consultants, strategic partners and others upon the commencement of their relationships with us. These agreements provide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We cannot guarantee that we have entered into such agreements with each party that has or may have had access to, or houses or hosts, our trade secrets or proprietary information or that has been involved in the development of intellectual property. Further, despite such agreements, such inventions or confidential information may become disclosed or assigned to third parties. Monitoring unauthorized uses and disclosures is difficult and we do not know whether the steps we have taken to protect our proprietary technologies will be effective.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such technology or know-how or in related inventions. To the extent that an individual who is not obligated to assign rights in intellectual property to us is rightfully an inventor of intellectual property, we may need to obtain an assignment or a license to that intellectual property from that individual, that individual’s assignee, or a third party. Such assignment or license may not be available on commercially reasonable terms or at all.</w:t>
      </w:r>
      <w:r>
        <w:rPr>
          <w:color w:val="000000"/>
        </w:rPr>
        <w:t xml:space="preserve"> </w:t>
      </w:r>
      <w:r>
        <w:rPr>
          <w:rFonts w:ascii="Times New Roman;serif" w:hAnsi="Times New Roman;serif"/>
          <w:b w:val="false"/>
          <w:color w:val="000000"/>
          <w:sz w:val="20"/>
        </w:rPr>
        <w:t>We also seek to preserve the integrity and confidentiality of our data and trade secrets by maintaining physical security of our premises and physical and electronic security of our information technology systems and cloud storage sources, but such security measures may be breached, including through cyber-hacking or cyberattacks, and we may not have adequate remedies for any breach.</w:t>
      </w:r>
      <w:r>
        <w:rPr>
          <w:color w:val="000000"/>
        </w:rPr>
        <w:t xml:space="preserve"> </w:t>
      </w:r>
      <w:r>
        <w:rPr>
          <w:rFonts w:ascii="Times New Roman;serif" w:hAnsi="Times New Roman;serif"/>
          <w:b w:val="false"/>
          <w:color w:val="000000"/>
          <w:sz w:val="20"/>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r>
        <w:rPr>
          <w:color w:val="000000"/>
        </w:rPr>
        <w:t xml:space="preserve"> </w:t>
      </w:r>
      <w:r>
        <w:rPr>
          <w:rFonts w:ascii="Times New Roman;serif" w:hAnsi="Times New Roman;serif"/>
          <w:b w:val="false"/>
          <w:color w:val="000000"/>
          <w:sz w:val="20"/>
        </w:rPr>
        <w:t xml:space="preserve">As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Such trade secrets or other proprietary information could be awarded to a third party, and we could be required to obtain a license from such third party to commercialize our technology or products. Such license may not be available on commercially reasonable terms or at all. Even if we are successful in defending against these claims, litigation could result in substantial costs and be a distraction to management.</w:t>
      </w:r>
      <w:r>
        <w:rPr>
          <w:color w:val="000000"/>
        </w:rPr>
        <w:t xml:space="preserve"> </w:t>
      </w:r>
      <w:r>
        <w:rPr>
          <w:rFonts w:ascii="Times New Roman;serif" w:hAnsi="Times New Roman;serif"/>
          <w:b w:val="false"/>
          <w:color w:val="000000"/>
          <w:sz w:val="20"/>
        </w:rPr>
        <w:t>In July 2025, the FDA announced its intent to increase transparency by publicly releasing portions of Complete Response Letters (“CRLs”) issued to drug and biologic sponsors. While the FDA has stated that confidential information will be protected, it remains unclear how such disclosures will be implemented. Because CRLs often contain specific observations about study design, clinical endpoints, chemistry, manufacturing, and controls data, or other proprietary information, any public release could unintentionally disclose information that competitors may use to infer proprietary aspects of our or our strategic partners’ product candidates or platform technologies. This could compromise the confidentiality of our trade secrets and know-how or facilitate third-party efforts to design around or challenge the validity, enforceability, or scope of our patents, or accelerate the development of generics and biosimilars. If we are required to modify or limit the information shared with the FDA to mitigate such risks, it could increase costs, slow our regulatory interactions, or delay product approval timelines.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Periodic maintenance fees, renewal fees, annuity fees and various other governmental fees on patents or applications will be due to the USPTO and various non-U.S. patent offices at various points over the lifetime of our patents or applications. We have systems in place to remind us to pay these fees, and we rely on our outside patent annuity service to pay these fees when due. Additionally, the USPTO and various non-U.S.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spacing w:lineRule="auto" w:line="288" w:before="240" w:after="283"/>
        <w:jc w:val="left"/>
        <w:rPr/>
      </w:pPr>
      <w:r>
        <w:rPr>
          <w:rFonts w:ascii="Times New Roman;serif" w:hAnsi="Times New Roman;serif"/>
          <w:b/>
          <w:i/>
          <w:color w:val="000000"/>
          <w:sz w:val="20"/>
        </w:rPr>
        <w:t>We may be subject to claims challenging the inventorship of our patents and other intellectual property.</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are not currently experiencing any claims challenging the inventorship or ownership of our patents, we may in the future be subject to claims that former employees, strategic partners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w:t>
      </w:r>
    </w:p>
    <w:p>
      <w:pPr>
        <w:pStyle w:val="TextBody"/>
        <w:bidi w:val="0"/>
        <w:spacing w:lineRule="auto" w:line="288" w:before="240" w:after="283"/>
        <w:jc w:val="left"/>
        <w:rPr/>
      </w:pPr>
      <w:r>
        <w:rPr>
          <w:rFonts w:ascii="Times New Roman;serif" w:hAnsi="Times New Roman;serif"/>
          <w:b/>
          <w:i/>
          <w:color w:val="000000"/>
          <w:sz w:val="20"/>
        </w:rPr>
        <w:t>Patent protection and patent prosecution for some of our or our partnered product candidates may be dependent on, and the ability to assert patents and defend them against claims of invalidity may be maintained by, third parties.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times when certain patents that relate to our or our partnered product candidates or any approved products are controlled by our licensees or licensors.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candidates, or if patents covering any of our product candidates are asserted against infringers or defended against claims of invalidity or unenforceability in a manner that adversely affects such coverage, our and our strategic partners’ ability to develop and commercialize any such product candidate may be adversely affected and we may not be able to prevent competitors from making, using and selling competing products. </w:t>
      </w:r>
    </w:p>
    <w:p>
      <w:pPr>
        <w:pStyle w:val="TextBody"/>
        <w:bidi w:val="0"/>
        <w:spacing w:lineRule="auto" w:line="288" w:before="240" w:after="283"/>
        <w:jc w:val="left"/>
        <w:rPr/>
      </w:pPr>
      <w:r>
        <w:rPr>
          <w:rFonts w:ascii="Times New Roman;serif" w:hAnsi="Times New Roman;serif"/>
          <w:b/>
          <w:i/>
          <w:color w:val="000000"/>
          <w:sz w:val="20"/>
        </w:rPr>
        <w:t>Changes in patent laws or patent jurisprudence could diminish the value of patents in general, thereby impairing our ability to protect our products.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The patent positions of pharmaceutical and biotechnology companies can be highly uncertain and involve complex legal and factual questions for which important legal principles remain unresolved. Changes in patent laws or in the interpretations of patent laws in the United States and other countries may diminish the value of our intellectual property. We cannot predict the breadth of claims that may be allowed or found to be enforceable in our patents, in our strategic partners’ patents or in third-party patents.</w:t>
      </w:r>
      <w:r>
        <w:rPr>
          <w:color w:val="000000"/>
          <w:shd w:fill="FFFFFF" w:val="clear"/>
        </w:rPr>
        <w:t xml:space="preserve"> </w:t>
      </w:r>
      <w:r>
        <w:rPr>
          <w:rFonts w:ascii="Times New Roman;serif" w:hAnsi="Times New Roman;serif"/>
          <w:b w:val="false"/>
          <w:color w:val="000000"/>
          <w:sz w:val="20"/>
          <w:shd w:fill="FFFFFF" w:val="clear"/>
        </w:rPr>
        <w:t>U.S. Supreme Court rulings have either narrowed the scope of patent protection available in certain circumstances or weakened the rights of patent owners in certain situations. In addition to increasing uncertainty with regard to our ability to obtain patents in the future, this has created uncertainty with respect to the validity, scope and value of patents, once obtained.</w:t>
      </w:r>
      <w:r>
        <w:rPr>
          <w:color w:val="000000"/>
        </w:rPr>
        <w:t xml:space="preserve"> </w:t>
      </w:r>
      <w:r>
        <w:rPr>
          <w:rFonts w:ascii="Times New Roman;serif" w:hAnsi="Times New Roman;serif"/>
          <w:b w:val="false"/>
          <w:color w:val="000000"/>
          <w:sz w:val="20"/>
        </w:rPr>
        <w:t xml:space="preserve">In September 2011, the Leahy-Smith America Invents Act, also known as the America Invents Act (“AIA”), was signed into law.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files a patent application in the USPTO after March 16, 2013, but before us, could be awarded a patent covering a given invention, even if we had made the invention before it was made by the third party. This requires us to be cognizant of the time from invention to filing of a patent application. Depending on decisions by the U.S. Congress, the U.S. federal courts, the USPTO or similar authorities in non-U.S. jurisdictions, the laws and regulations governing patents could change in unpredictable ways that may weaken our and our licensors’ ability to obtain new patents or to enforce existing patents we and our licensors or strategic partners may obtain in the future. For example, the U.S. Supreme Court held in Amgen v. Sanofi (2023) that a functionally claimed genus was invalid for failing to comply with the enablement requirement of the Patent Act. As such, any of our patent rights with functional claims may be vulnerable to third-party challenges seeking to invalidate these claims for lacking enablement or adequate support in the specification.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40" w:after="283"/>
        <w:jc w:val="left"/>
        <w:rPr/>
      </w:pPr>
      <w:r>
        <w:rPr>
          <w:rFonts w:ascii="Times New Roman;serif" w:hAnsi="Times New Roman;serif"/>
          <w:b w:val="false"/>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As a result, we periodically review our patents and patent applications in light of our objectives and products to determine whether to continue prosecution and maintenance or to allow certain patents or patent applications to lapse. In addition, the laws of some countries do not protect intellectual property rights to the same extent as U.S. law.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effective or sufficient to prevent them from competing. </w:t>
      </w:r>
      <w:r>
        <w:rPr>
          <w:rFonts w:ascii="Times New Roman;serif" w:hAnsi="Times New Roman;serif"/>
          <w:b w:val="false"/>
          <w:color w:val="000000"/>
          <w:sz w:val="20"/>
          <w:shd w:fill="FFFFFF" w:val="clear"/>
        </w:rPr>
        <w:t>U.S. Supreme Court cases have narrowed the scope of what is considered patentable subject matter, for example, in the areas of software and diagnostic methods involving the association between treatment outcome and biomarkers. This could impact our ability to patent certain aspects of our technology in the United States.</w:t>
      </w:r>
      <w:r>
        <w:rPr>
          <w:color w:val="000000"/>
        </w:rPr>
        <w:t xml:space="preserve"> </w:t>
      </w:r>
      <w:r>
        <w:rPr>
          <w:rFonts w:ascii="Times New Roman;serif" w:hAnsi="Times New Roman;serif"/>
          <w:b w:val="false"/>
          <w:color w:val="000000"/>
          <w:sz w:val="20"/>
        </w:rPr>
        <w:t xml:space="preserve">Many companies have encountered significant problems in protecting and defending intellectual property rights in jurisdictions other than the United States. The legal systems of certain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non-U.S.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The requirements for patentability may differ in certain countries, which may make it more difficult for us to obtain sufficient claim scope to protect our products in those jurisdictions.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r>
        <w:rPr>
          <w:color w:val="000000"/>
        </w:rPr>
        <w:t xml:space="preserve"> </w:t>
      </w:r>
      <w:r>
        <w:rPr>
          <w:rFonts w:ascii="Times New Roman;serif" w:hAnsi="Times New Roman;serif"/>
          <w:b w:val="false"/>
          <w:color w:val="000000"/>
          <w:sz w:val="20"/>
        </w:rPr>
        <w:t xml:space="preserve">Geo-political actions could increase the uncertainties and costs surrounding the prosecution or maintenance of our patent applications or those of any current or future licensors or licensees and the maintenance, enforcement or defense of our issued patents or those of any current or future licensors or licensees. For example, in March 2025, the Chinese government issued regulations for implementation of the 2021 Anti-Foreign Sanctions Act. These regulations expand the Chinese government’s ability to seize certain assets, including intellectual property, of foreign entities in response to foreign sanctions, including those by the United States. Accordingly, our competitive position may be impaired, and our business, financial condition, results of operations and prospects may be adversely affected. In addition, the complexity and uncertainty of European patent laws have increased in recent years. In Europe, a new unitary patent system was introduced in June 2023, which will significantly impact European patents, including those granted before the introduction of this system. Under the unitary patent system, European applications have the option, upon grant of a patent, of becoming a Unitary Patent which is subject to the jurisdiction of the Unitary Patent Court (the </w:t>
      </w:r>
      <w:r>
        <w:rPr>
          <w:color w:val="000000"/>
          <w:shd w:fill="FFFFFF" w:val="clear"/>
        </w:rPr>
        <w:t>“</w:t>
      </w:r>
      <w:r>
        <w:rPr>
          <w:rFonts w:ascii="Times New Roman;serif" w:hAnsi="Times New Roman;serif"/>
          <w:b w:val="false"/>
          <w:color w:val="000000"/>
          <w:sz w:val="20"/>
        </w:rPr>
        <w:t>UPC</w:t>
      </w:r>
      <w:r>
        <w:rPr>
          <w:color w:val="000000"/>
          <w:shd w:fill="FFFFFF" w:val="clear"/>
        </w:rPr>
        <w:t>”</w:t>
      </w:r>
      <w:r>
        <w:rPr>
          <w:rFonts w:ascii="Times New Roman;serif" w:hAnsi="Times New Roman;serif"/>
          <w:b w:val="false"/>
          <w:color w:val="000000"/>
          <w:sz w:val="20"/>
        </w:rPr>
        <w:t>).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are potentially vulnerable to a single UPC-based revocation challenge that, if successful, could invalidate the patent in all countries who are signatories to the UPC. We cannot predict with certainty the long-term effects of any potential changes.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use open source software in connection with our internal research and development programs, which could negatively affect our ability to develop products and subject us to litigation or other actions.</w:t>
      </w:r>
    </w:p>
    <w:p>
      <w:pPr>
        <w:pStyle w:val="TextBody"/>
        <w:bidi w:val="0"/>
        <w:spacing w:lineRule="auto" w:line="288" w:before="240" w:after="283"/>
        <w:jc w:val="left"/>
        <w:rPr/>
      </w:pPr>
      <w:r>
        <w:rPr>
          <w:rFonts w:ascii="Times New Roman;serif" w:hAnsi="Times New Roman;serif"/>
          <w:b w:val="false"/>
          <w:color w:val="000000"/>
          <w:sz w:val="20"/>
        </w:rPr>
        <w:t>We use open source software in connection with our internal research and development programs. The terms of many open source licenses have not been interpreted by U.S. or non-U.S. courts, and there is a risk that these licenses could be construed in a way that could impose unanticipated conditions or restrictions on our ability to use this software. As a result, we could be subject to lawsuits by parties claiming ownership of what we believe to be open source software, or claiming that software we developed using such open source software is a derivative work of open source software and demanding the release of portions of our source code, or otherwise seeking to enforce the terms of the applicable open source license. Litigation could be costly for us to defend, have a negative effect on our financial condition and results of operations or require us to devote additional research and development resources to change our platform and offerings. If we were to combine our proprietary software with open source software in a certain manner, we could, under certain open source licenses, be required to release the source code of our proprietary software to the public. If we inappropriately use open source software, or if the license terms for open source software that we use change, we may be required to re-engineer our platform, incur additional costs, discontinue the use of some or all of our platform or take other remedial actions.</w:t>
      </w:r>
      <w:r>
        <w:rPr>
          <w:color w:val="000000"/>
        </w:rPr>
        <w:t xml:space="preserve"> </w:t>
      </w:r>
      <w:r>
        <w:rPr>
          <w:rFonts w:ascii="Times New Roman;serif" w:hAnsi="Times New Roman;serif"/>
          <w:b w:val="false"/>
          <w:color w:val="000000"/>
          <w:sz w:val="20"/>
        </w:rPr>
        <w:t>In addition to risks related to license requirements, usage of open source software can lead to greater risks than use of third-party commercial software, because open source licensors generally do not provide warranties or assurance of title or controls on origin of the software. Many of the risks associated with usage of open source software, such as the lack of warranties or assurances of title, cannot be eliminated, and if not properly addressed, could have an adverse effect on our business, financial condition and results of operations.</w:t>
      </w:r>
    </w:p>
    <w:p>
      <w:pPr>
        <w:pStyle w:val="TextBody"/>
        <w:bidi w:val="0"/>
        <w:spacing w:lineRule="auto" w:line="288" w:before="240" w:after="283"/>
        <w:jc w:val="left"/>
        <w:rPr/>
      </w:pPr>
      <w:r>
        <w:rPr>
          <w:rFonts w:ascii="Times New Roman;serif" w:hAnsi="Times New Roman;serif"/>
          <w:b/>
          <w:color w:val="000000"/>
          <w:sz w:val="20"/>
        </w:rPr>
        <w:t>Risks Related to Additional Legal and Compliance Matters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Our employees may engage in misconduct or other improper activities, including noncompliance with regulatory standards and requirements, insider trading, and noncompliance with our policies and procedures.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employee fraud or other misconduct. Misconduct by employees could include intentional failures to comply with FDA regulations, to provide accurate information to the FDA, to comply with federal and state health care fraud and abuse laws and regulations, to report financial information or data accurately or to disclose unauthorized activities to us. Employee misconduct could also involve the improper use of information obtained in the course of clinical trials, which could result in regulatory sanctions and serious harm to our reputation. We have adopted a Code of Conduct and Business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In addition, employees may become subject of allegations of gender discrimination and other misconduct that are not in compliance with our policies and procedures, which, regardless of the ultimate outcome, may result in adverse publicity that could materially harm our brand, reputation and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Our business and current and future relationships with customers and third-party payors in the United States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Healthcare providers, physicians and third-party payors in the United States and elsewhere play a primary role in the recommendation and prescription of zanidatamab and any product candidates for which we or our strategic partners obtain marketing approval. Our current and future arrangements with healthcare professionals, principal investigators, consultants, customers, third-party payors, and other entities may expose us to broadly applicable fraud and abuse and other healthcare laws and regulations, including the federal Anti-Kickback Statute and the federal False Claims Act, that may constrain the business or financial arrangements and relationships through which we conduct clinical research on product candidates. We may also be subject to transparency laws, such as the Sunshine Act, and federal and state privacy laws, as well as comparable or similar state and non-U.S. laws and regulations.</w:t>
      </w:r>
      <w:r>
        <w:rPr>
          <w:color w:val="000000"/>
        </w:rPr>
        <w:t xml:space="preserve"> </w:t>
      </w:r>
      <w:r>
        <w:rPr>
          <w:rFonts w:ascii="Times New Roman;serif" w:hAnsi="Times New Roman;serif"/>
          <w:b w:val="false"/>
          <w:color w:val="000000"/>
          <w:sz w:val="20"/>
        </w:rPr>
        <w:t>Efforts to ensure that our business arrangements with third parties will comply with applicable healthcare laws and regulations may involve substantial costs. Any failure or perceived failure by us to comply with such laws, regulations, or case law may result in governmental investigations or enforcement actions, litigation, claims and other proceedings, harm our reputation, and could result in significant liability as well as exclusion from participation in government healthcare programs such as Medicare and Medicaid. If any of the physicians or other providers or entities with whom we expect to do business, including our strategic partners, is found not to be in compliance with applicable laws, it may be subject to criminal, civil or administrative sanctions, including exclusions from participation in government healthcare programs, which could also materially affect our business.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 xml:space="preserve">Tax law </w:t>
      </w:r>
      <w:r>
        <w:rPr>
          <w:rFonts w:ascii="Times New Roman;serif" w:hAnsi="Times New Roman;serif"/>
          <w:b/>
          <w:i/>
          <w:color w:val="000000"/>
          <w:sz w:val="20"/>
          <w:shd w:fill="FFFFFF" w:val="clear"/>
        </w:rPr>
        <w:t>changes</w:t>
      </w:r>
      <w:r>
        <w:rPr>
          <w:color w:val="000000"/>
        </w:rPr>
        <w:t xml:space="preserve"> </w:t>
      </w:r>
      <w:r>
        <w:rPr>
          <w:rFonts w:ascii="Times New Roman;serif" w:hAnsi="Times New Roman;serif"/>
          <w:b/>
          <w:i/>
          <w:color w:val="000000"/>
          <w:sz w:val="20"/>
        </w:rPr>
        <w:t>could adversely affect our business and financial condition.</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income taxes in the United States and various non-U.S. jurisdictions. Our effective tax rate could be adversely affected by several factors, many of which are outside of our control, including enactment of new income, sales, use or other tax laws, statutes, rules, regulations, or ordinances or changes or modifications in existing tax laws, statutes, rules, regulations, or ordinances, or the interpretation of the same. For example, the recently enacted U.S. federal tax legislation commonly referred to as the One Big Beautiful Bill Act (the “OBBB Act”) has made many significant changes to the U.S. tax laws. We are currently evaluating the full impact of the OBBB Act on us. Future guidance from the Internal Revenue Service and other tax authorities with respect to current tax laws may affect us, and certain aspects of current tax laws could be repealed or modified in future legislation. In addition, it is uncertain if and to what extent various states will conform to such legislation or any newly enacted federal tax legislation. Changes in corporate tax rates, the realization of net deferred tax assets relating to our operations, the taxation of non-U.S. earnings, and the deductibility of expenses under past or future reform legislation could have a material impact on the value of our deferred tax assets, could result in significant one-time charges, and could increase our future tax expense.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comply with laws regulating the protection of the environment and health and human safety, our business could be adversely affected.</w:t>
      </w:r>
    </w:p>
    <w:p>
      <w:pPr>
        <w:pStyle w:val="TextBody"/>
        <w:bidi w:val="0"/>
        <w:spacing w:lineRule="auto" w:line="288" w:before="240" w:after="283"/>
        <w:jc w:val="left"/>
        <w:rPr/>
      </w:pPr>
      <w:r>
        <w:rPr>
          <w:rFonts w:ascii="Times New Roman;serif" w:hAnsi="Times New Roman;serif"/>
          <w:b w:val="false"/>
          <w:color w:val="000000"/>
          <w:sz w:val="20"/>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certain jurisdictions in which we operate to cover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are subject to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that can harm our business.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w:t>
      </w:r>
      <w:r>
        <w:rPr>
          <w:color w:val="000000"/>
          <w:shd w:fill="FFFFFF" w:val="clear"/>
        </w:rPr>
        <w:t xml:space="preserve"> </w:t>
      </w:r>
      <w:r>
        <w:rPr>
          <w:rFonts w:ascii="Times New Roman;serif" w:hAnsi="Times New Roman;serif"/>
          <w:b w:val="false"/>
          <w:color w:val="000000"/>
          <w:sz w:val="20"/>
          <w:shd w:fill="FFFFFF" w:val="clear"/>
        </w:rPr>
        <w:t>§201</w:t>
      </w:r>
      <w:r>
        <w:rPr>
          <w:rFonts w:ascii="Times New Roman;serif" w:hAnsi="Times New Roman;serif"/>
          <w:b w:val="false"/>
          <w:color w:val="000000"/>
          <w:sz w:val="20"/>
        </w:rPr>
        <w:t xml:space="preserve">, the U.S. Travel Act, the USA PATRIOT Act, the UK Bribery Act 2010, the Proceeds of Crime Act 2002,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currently engage third parties for clinical trials outside of the United States and we may in the future engage third parties to obtain necessary permits, licenses, patent registrations, and other regulatory approvals. We may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loss of export or import privileges, debarment, tax reassessments, litigation, reputational harm, and other consequences. Our failure, or that of our third-party manufacturers, to comply with applicable regulations could require replacing current third parties and result in supply delays, clinical holds, sanctions such as fines, injunctions, civil penalties, suspension or withdrawal of approvals, license revocations, seizures or recalls, operating restrictions, or criminal prosecutions, any of which could significantly and adversely affect supplies of our medicines and harm our business, financial condition, results of operations and growth prospects. </w:t>
      </w:r>
    </w:p>
    <w:p>
      <w:pPr>
        <w:pStyle w:val="TextBody"/>
        <w:bidi w:val="0"/>
        <w:spacing w:lineRule="auto" w:line="288" w:before="240" w:after="283"/>
        <w:jc w:val="left"/>
        <w:rPr/>
      </w:pPr>
      <w:r>
        <w:rPr>
          <w:rFonts w:ascii="Times New Roman;serif" w:hAnsi="Times New Roman;serif"/>
          <w:b/>
          <w:i/>
          <w:color w:val="000000"/>
          <w:sz w:val="20"/>
        </w:rPr>
        <w:t xml:space="preserve">Security breaches and incidents, loss of data and other disruptions could compromise sensitive information related to </w:t>
      </w:r>
      <w:r>
        <w:rPr>
          <w:rFonts w:ascii="Times New Roman;serif" w:hAnsi="Times New Roman;serif"/>
          <w:b/>
          <w:i/>
          <w:color w:val="000000"/>
          <w:sz w:val="20"/>
          <w:shd w:fill="FFFFFF" w:val="clear"/>
        </w:rPr>
        <w:t>our</w:t>
      </w:r>
      <w:r>
        <w:rPr>
          <w:color w:val="000000"/>
        </w:rPr>
        <w:t xml:space="preserve"> </w:t>
      </w:r>
      <w:r>
        <w:rPr>
          <w:rFonts w:ascii="Times New Roman;serif" w:hAnsi="Times New Roman;serif"/>
          <w:b/>
          <w:i/>
          <w:color w:val="000000"/>
          <w:sz w:val="20"/>
        </w:rPr>
        <w:t xml:space="preserve">business or protected health information or prevent us from accessing critical information and expose </w:t>
      </w:r>
      <w:r>
        <w:rPr>
          <w:rFonts w:ascii="Times New Roman;serif" w:hAnsi="Times New Roman;serif"/>
          <w:b/>
          <w:i/>
          <w:color w:val="000000"/>
          <w:sz w:val="20"/>
          <w:shd w:fill="FFFFFF" w:val="clear"/>
        </w:rPr>
        <w:t>us</w:t>
      </w:r>
      <w:r>
        <w:rPr>
          <w:color w:val="000000"/>
        </w:rPr>
        <w:t xml:space="preserve"> </w:t>
      </w:r>
      <w:r>
        <w:rPr>
          <w:rFonts w:ascii="Times New Roman;serif" w:hAnsi="Times New Roman;serif"/>
          <w:b/>
          <w:i/>
          <w:color w:val="000000"/>
          <w:sz w:val="20"/>
        </w:rPr>
        <w:t>to liability, which could adversely affect our business and our reputation.</w:t>
      </w:r>
    </w:p>
    <w:p>
      <w:pPr>
        <w:pStyle w:val="TextBody"/>
        <w:bidi w:val="0"/>
        <w:spacing w:lineRule="auto" w:line="288" w:before="240" w:after="283"/>
        <w:jc w:val="left"/>
        <w:rPr/>
      </w:pPr>
      <w:r>
        <w:rPr>
          <w:rFonts w:ascii="Times New Roman;serif" w:hAnsi="Times New Roman;serif"/>
          <w:b w:val="false"/>
          <w:color w:val="000000"/>
          <w:sz w:val="20"/>
        </w:rPr>
        <w:t>We and our service providers, including CROs, collect, store and otherwise process petabytes of sensitive data, including legally protected health information, personal information, intellectual property and proprietary business information owned or controlled by ourselves or our strategic partners. We face four primary risks relative to protecting this critical information: loss of access risk, inappropriate disclosure risk, inappropriate modification risk, and the risk of being unable to adequately monitor our controls over the first three risks. Although we take measures designed to protect sensitive information from unauthorized access or disclosure, our information technology and infrastructure, and those that our CROs and other third-party service providers may use, have in the past been subject to, and may be vulnerable to, cyber-attacks, malicious code, outages, or other security incidents, including those caused by inadvertent or intentional actions by employees, contractors, business partners, or other third parties. Any such incident or other matter could compromise systems and networks used in our business and lead to operational outages, interruptions, and unauthorized access to or loss of our data (including trade secrets or other confidential information, intellectual property, proprietary business information, and personal information) or data that is maintained or otherwise processed on our behalf, or other assets, which could result in financial, legal, business and reputational harm to us. Any such event, or the perception that such an event has occurred, could result in legal claims, demands and litigation or governmental investigations or other proceedings, liability under laws and regulations, including those that protect the privacy of personal information, such as the Health Insurance Portability and Accountability Act of 1996 (“HIPAA”), and regulatory penalties and other liabilities. Despite our efforts to improve security measures, our systems or those of our third-party service providers may still be vulnerable</w:t>
      </w:r>
      <w:r>
        <w:rPr>
          <w:color w:val="000000"/>
          <w:shd w:fill="FFFFFF" w:val="clear"/>
        </w:rPr>
        <w:t xml:space="preserve"> </w:t>
      </w:r>
      <w:r>
        <w:rPr>
          <w:rFonts w:ascii="Times New Roman;serif" w:hAnsi="Times New Roman;serif"/>
          <w:b w:val="false"/>
          <w:color w:val="000000"/>
          <w:sz w:val="20"/>
          <w:shd w:fill="FFFFFF" w:val="clear"/>
        </w:rPr>
        <w:t>to</w:t>
      </w:r>
      <w:r>
        <w:rPr>
          <w:color w:val="000000"/>
        </w:rPr>
        <w:t xml:space="preserve"> </w:t>
      </w:r>
      <w:r>
        <w:rPr>
          <w:rFonts w:ascii="Times New Roman;serif" w:hAnsi="Times New Roman;serif"/>
          <w:b w:val="false"/>
          <w:color w:val="000000"/>
          <w:sz w:val="20"/>
        </w:rPr>
        <w:t xml:space="preserve">security breaches, incidents, outages, interruptions, compromises, or vulnerabilities. We expect to continue to incur additional expenses on such matters, whether in response to actual or perceived security breaches or incidents, compromises, outages, interruptions, vulnerabilities or otherwise. Any loss, destruction, alteration, disclosure or dissemination of, or prevention of access, damage or unauthorized access to, our data or other data that is processed or maintained on our behalf could also disrupt our operations (including our ability to conduct our analyses, pay providers, conduct research and development activities, collect, process and prepare company financial information, provide information about any future products and manage the administrative aspects of our business) and damage our reputation, any of which could adversely affect our business. HIPAA imposes certain requirements relating to the privacy, security, transmission and breach reporting of individually identifiable health information. Prosecutors increasingly are using HIPAA-related theories of liability against drug manufacturers and their agents and we could be subject to criminal penalties if we knowingly obtain individually identifiable health information from a HIPAA-covered entity in a manner that is not authorized or permitted by HIPAA. Furthermore, HIPAA regulations impose specific reporting requirements to regulators, individuals impacted by the breach, and, in some cases, the media. Issuing such notifications can be costly, time and resource intensive, and can generate significant negative publicity. In addition to HIPAA, other applicable data privacy and security obligations may require us to notify relevant stakeholders of any security breaches or incidents that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unauthorized disclosure of personal information. Such disclosures are costly, and the disclosures or the failure to comply with such requirements could lead to adverse impacts. The loss, corruption or unavailability of clinical trial data could delay our or our strategic partners’ regulatory approval efforts and significantly increase our costs to recover or reproduce the data, and we rely on third parties for the manufacture of our product candidates and to conduct clinical trials, so similar events relating to their computer systems or their collection, storage or processing of data could also have a material adverse effect on our business. </w:t>
      </w:r>
    </w:p>
    <w:p>
      <w:pPr>
        <w:pStyle w:val="TextBody"/>
        <w:bidi w:val="0"/>
        <w:spacing w:lineRule="auto" w:line="288" w:before="240" w:after="283"/>
        <w:jc w:val="left"/>
        <w:rPr/>
      </w:pPr>
      <w:r>
        <w:rPr>
          <w:rFonts w:ascii="Times New Roman;serif" w:hAnsi="Times New Roman;serif"/>
          <w:b/>
          <w:i/>
          <w:color w:val="000000"/>
          <w:sz w:val="20"/>
        </w:rPr>
        <w:t xml:space="preserve">We are subject to stringent and changing obligations related to privacy and security. Our actual or perceived failure to comply </w:t>
      </w:r>
      <w:r>
        <w:rPr>
          <w:rFonts w:ascii="Times New Roman;serif" w:hAnsi="Times New Roman;serif"/>
          <w:b/>
          <w:i/>
          <w:color w:val="000000"/>
          <w:sz w:val="20"/>
          <w:shd w:fill="FFFFFF" w:val="clear"/>
        </w:rPr>
        <w:t>with</w:t>
      </w:r>
      <w:r>
        <w:rPr>
          <w:color w:val="000000"/>
        </w:rPr>
        <w:t xml:space="preserve"> </w:t>
      </w:r>
      <w:r>
        <w:rPr>
          <w:rFonts w:ascii="Times New Roman;serif" w:hAnsi="Times New Roman;serif"/>
          <w:b/>
          <w:i/>
          <w:color w:val="000000"/>
          <w:sz w:val="20"/>
        </w:rPr>
        <w:t xml:space="preserve">such obligations could lead to regulatory investigations or actions, litigation, fines and penalties, disruptions of our business operations, reputational harm and other adverse business consequences. </w:t>
      </w:r>
    </w:p>
    <w:p>
      <w:pPr>
        <w:pStyle w:val="TextBody"/>
        <w:bidi w:val="0"/>
        <w:spacing w:lineRule="auto" w:line="288" w:before="240" w:after="283"/>
        <w:jc w:val="left"/>
        <w:rPr/>
      </w:pPr>
      <w:r>
        <w:rPr>
          <w:rFonts w:ascii="Times New Roman;serif" w:hAnsi="Times New Roman;serif"/>
          <w:b w:val="false"/>
          <w:color w:val="000000"/>
          <w:sz w:val="20"/>
        </w:rPr>
        <w:t>Various U.S. state laws relating to the protection of personal information (including health and other data of patients, research subjects, and other individuals) may be more rigorous than, or impose additional requirements beyond those required by, HIPAA, and may increase our compliance obligations and costs. Many other privacy and security laws have been proposed at the federal level and in other states, certain of which impose obligations similar to the California Consumer Privacy Act (“CCPA”), which became effective in January 2020 and gives Californian consumers expanded rights to access and delete their personal information, opt out of certain personal information sharing and receive detailed information about how their personal information is used. The CCPA allows for statutory fines for noncompliance as well as a limited private right of action in connection with certain data breaches. Other privacy and security laws address specific subject matter, such as Washington’s My Health, My Data Act, which, among other things, provides for a private right of action. While exemptions to some of these laws may apply to portions of our business, these laws’ enactment and evolving interpretations may increase our compliance costs and potential liability. These or other proposed or enacted laws relating to privacy and security could similarly increase our compliance obligations and costs in the future. We</w:t>
      </w:r>
      <w:r>
        <w:rPr>
          <w:color w:val="000000"/>
          <w:shd w:fill="FFFFFF" w:val="clear"/>
        </w:rPr>
        <w:t xml:space="preserve"> </w:t>
      </w:r>
      <w:r>
        <w:rPr>
          <w:rFonts w:ascii="Times New Roman;serif" w:hAnsi="Times New Roman;serif"/>
          <w:b w:val="false"/>
          <w:color w:val="000000"/>
          <w:sz w:val="20"/>
        </w:rPr>
        <w:t>may also be subject to laws and regulations in non-U.S. countries covering privacy and security and the protection of health-related and other personal information.</w:t>
      </w:r>
      <w:r>
        <w:rPr>
          <w:color w:val="000000"/>
          <w:shd w:fill="FFFFFF" w:val="clear"/>
        </w:rPr>
        <w:t xml:space="preserve"> </w:t>
      </w:r>
      <w:r>
        <w:rPr>
          <w:rFonts w:ascii="Times New Roman;serif" w:hAnsi="Times New Roman;serif"/>
          <w:b w:val="false"/>
          <w:color w:val="000000"/>
          <w:sz w:val="20"/>
          <w:shd w:fill="FFFFFF" w:val="clear"/>
        </w:rPr>
        <w:t>For example, the</w:t>
      </w:r>
      <w:r>
        <w:rPr>
          <w:color w:val="000000"/>
        </w:rPr>
        <w:t xml:space="preserve"> </w:t>
      </w:r>
      <w:r>
        <w:rPr>
          <w:rFonts w:ascii="Times New Roman;serif" w:hAnsi="Times New Roman;serif"/>
          <w:b w:val="false"/>
          <w:color w:val="000000"/>
          <w:sz w:val="20"/>
        </w:rPr>
        <w:t>European Economic Area (“EEA”), the UK and Switzerland have</w:t>
      </w:r>
      <w:r>
        <w:rPr>
          <w:color w:val="000000"/>
          <w:shd w:fill="FFFFFF" w:val="clear"/>
        </w:rPr>
        <w:t xml:space="preserve"> </w:t>
      </w:r>
      <w:r>
        <w:rPr>
          <w:rFonts w:ascii="Times New Roman;serif" w:hAnsi="Times New Roman;serif"/>
          <w:b w:val="false"/>
          <w:color w:val="000000"/>
          <w:sz w:val="20"/>
          <w:shd w:fill="FFFFFF" w:val="clear"/>
        </w:rPr>
        <w:t>stringent privacy and data protection laws that impose significant compliance obligations.</w:t>
      </w:r>
      <w:r>
        <w:rPr>
          <w:color w:val="000000"/>
        </w:rPr>
        <w:t xml:space="preserve"> </w:t>
      </w: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General Data Protection Regulation 2016/679 (“GDPR”) applies to the processing of personal information and</w:t>
      </w:r>
      <w:r>
        <w:rPr>
          <w:color w:val="000000"/>
          <w:shd w:fill="FFFFFF" w:val="clear"/>
        </w:rPr>
        <w:t xml:space="preserve"> </w:t>
      </w:r>
      <w:r>
        <w:rPr>
          <w:rFonts w:ascii="Times New Roman;serif" w:hAnsi="Times New Roman;serif"/>
          <w:b w:val="false"/>
          <w:color w:val="000000"/>
          <w:sz w:val="20"/>
          <w:shd w:fill="FFFFFF" w:val="clear"/>
        </w:rPr>
        <w:t>imposes numerous requirements, including high standards for consent,</w:t>
      </w:r>
      <w:r>
        <w:rPr>
          <w:color w:val="000000"/>
        </w:rPr>
        <w:t xml:space="preserve"> </w:t>
      </w:r>
      <w:r>
        <w:rPr>
          <w:rFonts w:ascii="Times New Roman;serif" w:hAnsi="Times New Roman;serif"/>
          <w:b w:val="false"/>
          <w:color w:val="000000"/>
          <w:sz w:val="20"/>
        </w:rPr>
        <w:t>enhanced</w:t>
      </w:r>
      <w:r>
        <w:rPr>
          <w:color w:val="000000"/>
          <w:shd w:fill="FFFFFF" w:val="clear"/>
        </w:rPr>
        <w:t xml:space="preserve"> </w:t>
      </w:r>
      <w:r>
        <w:rPr>
          <w:rFonts w:ascii="Times New Roman;serif" w:hAnsi="Times New Roman;serif"/>
          <w:b w:val="false"/>
          <w:color w:val="000000"/>
          <w:sz w:val="20"/>
          <w:shd w:fill="FFFFFF" w:val="clear"/>
        </w:rPr>
        <w:t>disclosures</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strengthened individual rights, data breach notifications, limitations on retention and use, and additional obligations</w:t>
      </w:r>
      <w:r>
        <w:rPr>
          <w:color w:val="000000"/>
        </w:rPr>
        <w:t xml:space="preserve"> </w:t>
      </w:r>
      <w:r>
        <w:rPr>
          <w:rFonts w:ascii="Times New Roman;serif" w:hAnsi="Times New Roman;serif"/>
          <w:b w:val="false"/>
          <w:color w:val="000000"/>
          <w:sz w:val="20"/>
        </w:rPr>
        <w:t>for</w:t>
      </w:r>
      <w:r>
        <w:rPr>
          <w:color w:val="000000"/>
          <w:shd w:fill="FFFFFF" w:val="clear"/>
        </w:rPr>
        <w:t xml:space="preserve"> </w:t>
      </w:r>
      <w:r>
        <w:rPr>
          <w:rFonts w:ascii="Times New Roman;serif" w:hAnsi="Times New Roman;serif"/>
          <w:b w:val="false"/>
          <w:color w:val="000000"/>
          <w:sz w:val="20"/>
          <w:shd w:fill="FFFFFF" w:val="clear"/>
        </w:rPr>
        <w:t>third-party processors. The GDPR provides for fines of up to the greater of €20.0 million or 4% of total worldwide annual turnover</w:t>
      </w:r>
      <w:r>
        <w:rPr>
          <w:rFonts w:ascii="Times New Roman;serif" w:hAnsi="Times New Roman;serif"/>
          <w:b w:val="false"/>
          <w:color w:val="000000"/>
          <w:sz w:val="20"/>
        </w:rPr>
        <w:t>, as well as</w:t>
      </w:r>
      <w:r>
        <w:rPr>
          <w:color w:val="000000"/>
          <w:shd w:fill="FFFFFF" w:val="clear"/>
        </w:rPr>
        <w:t xml:space="preserve"> </w:t>
      </w:r>
      <w:r>
        <w:rPr>
          <w:rFonts w:ascii="Times New Roman;serif" w:hAnsi="Times New Roman;serif"/>
          <w:b w:val="false"/>
          <w:color w:val="000000"/>
          <w:sz w:val="20"/>
          <w:shd w:fill="FFFFFF" w:val="clear"/>
        </w:rPr>
        <w:t>other administrative penalties</w:t>
      </w:r>
      <w:r>
        <w:rPr>
          <w:color w:val="000000"/>
        </w:rPr>
        <w:t xml:space="preserve"> </w:t>
      </w:r>
      <w:r>
        <w:rPr>
          <w:rFonts w:ascii="Times New Roman;serif" w:hAnsi="Times New Roman;serif"/>
          <w:b w:val="false"/>
          <w:color w:val="000000"/>
          <w:sz w:val="20"/>
        </w:rPr>
        <w:t xml:space="preserve">and also permits relief and recovery under national and local laws. The UK has implemented similar legislation, referred to as the UK GDPR, with comparable fines, and has enacted the UK Data (Use and Access) Act 2025 (“DUAA”), which introduced targeted amendments and increased compliance complexity. The European Commission has renewed the UK’s adequacy decision through December 2031 after assessing the DUAA. The GDPR and laws in Switzerland and the UK generally restrict the transfer of personal information to countries outside the EEA, Switzerland, and the UK, such as the United States. We are not certified under the EU-U.S. Data Privacy Framework, and instead rely on other data transfer tools such as the EU standard contractual clauses (“EU SCCs”) and the UK addendum to the EU SCCs to transfer personal information to third countries outside the EEA and the UK, taking into consideration related obligations. To the extent we transfer personal information from other jurisdictions to the United States, we may not be able to implement or maintain an appropriate data transfer mechanism to continue such transfers. The U.S. Department of Justice also has issued rules regarding certain bulk sensitive personal data transfers. The interpretation of data transfer requirements, regulatory guidance and opinions, and other developments relating to cross-border data transfer may require us to implement additional contractual and technical safeguards for any personal information transferred out of the EEA, Switzerland, the UK, the United States, or other regions, which may increase compliance costs, lead to increased regulatory scrutiny or liability, and may require additional contractual negotiations, which may adversely impact our business, financial condition, and operating results. The EU has enacted numerous laws and regulations addressing cybersecurity, including substantial revisions to its Network and Information Security directive that EU member states are required to reflect in national law, and requirements for hosting health data will vary by jurisdiction within EEA countries and the UK, and we may be or become subject to other national healthcare regulations or regulatory requirements. The interpretation and application of consumer, health-related and privacy, data protection and security laws in the United States, the EEA, Switzerland, the UK and elsewhere are often uncertain, contradictory and in flux. Any failure or perceived failure to comply with federal, state or non-U.S. laws or regulations, contractual or other legal obligations related to privacy or security may result in claims, warnings, communications, requests or investigations from individuals, supervisory authorities or other legal or regulatory authorities in relation to our processing of personal information, and regulatory investigations or other proceedings.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and compliance procedures in a manner adverse to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may be subject to certain costs and inefficiencies as a result of our 2022 Redomicile Transactions.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became a Delaware corporation in October 2022 as a result of the Redomicile Transactions. In connection with the Redomicile Transactions, we agreed to use reasonable efforts to effect certain steps following the Redomicile Transactions, including the reorganization of certain subsidiaries. For business reasons, certain of these steps were not completed. While we are managing any tax and operational implications resulting from our current organizational structure, and we may pursue additional reorganizations in the future, certain tax and operational implications may persist. In addition, we incurred non-recurring costs associated with the Redomicile Transactions, and the associated reorganization of our corporate structure may result in additional and unforeseen expenses in the future. While it is expected that benefits of the Redomicile Transactions will offset these costs over time, this net benefit may not be achieved. These combined factors could adversely affect our business, financial condition and results of operations.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Employee Matters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retain key executives and to attract, retain and motivate qualified personnel.</w:t>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We are highly dependent on key members of our senior management team, including Kenneth Galbraith, the Chair of our board of directors, President, and Chief Executive Officer, Kristin Stafford, our Chief Financial Officer, Adam </w:t>
      </w:r>
      <w:r>
        <w:rPr>
          <w:rFonts w:ascii="Times New Roman;serif" w:hAnsi="Times New Roman;serif"/>
          <w:b w:val="false"/>
          <w:color w:val="000000"/>
          <w:sz w:val="20"/>
        </w:rPr>
        <w:t>Schayowitz</w:t>
      </w:r>
      <w:r>
        <w:rPr>
          <w:rFonts w:ascii="Times New Roman;serif" w:hAnsi="Times New Roman;serif"/>
          <w:b w:val="false"/>
          <w:color w:val="000000"/>
          <w:sz w:val="20"/>
          <w:shd w:fill="FFFFFF" w:val="clear"/>
        </w:rPr>
        <w:t>, our Head of Research and Development, Scott Platshon, our Chief Business Officer, Mark Hollywood, our Chief Operating Officer, Paul A. Moore, our Chief Scientific Officer, Sabeen Mekan, our Chief Medical Officer, and other key members of our senior management, scientific and clinical teams. Although we have entered into employment agreements with our executive officers, each of them may terminate their employment with us at any time. The loss of the services of our key senior managers and employees could impede the achievement of our research, development and strategic objectives and seriously harm our ability to successfully implement our business strategy.</w:t>
      </w:r>
      <w:r>
        <w:rPr>
          <w:color w:val="000000"/>
        </w:rPr>
        <w:t xml:space="preserve"> </w:t>
      </w:r>
      <w:r>
        <w:rPr>
          <w:rFonts w:ascii="Times New Roman;serif" w:hAnsi="Times New Roman;serif"/>
          <w:b w:val="false"/>
          <w:color w:val="000000"/>
          <w:sz w:val="20"/>
          <w:shd w:fill="FFFFFF" w:val="clear"/>
        </w:rPr>
        <w:t>Retention and any future recruitment of qualified scientific, technical and clinical personnel, as well as recruitment and retention of personnel with experience in successfully identifying and executing business development transactions, including in-licensing and acquisition transactions, will also be critical to our success. Intense competition for attracting key skill-sets and the impact of inflationary pressure on wages may limit our ability to attract, retain and motivate key personnel on acceptable terms. In addition, we rely on consultants and advisors, including scientific and clinical advisors, to assist us in formulating our research and development strategy, as well as helping us to identify strategic opportunities. Our consultants and advisors may be employed by employers other than us and may have commitments under consulting or advisory contracts with other entities that may limit their availability. If we are unable to continue to attract and retain high quality personnel, our ability to pursue our business strategy will be limited.</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As we advance our development and partnering plans and strategies, we may need to modify our organization, and we may experience difficulty in managing such change, which could disrupt our operations.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 had 243 full-time employees. As we advance our development and partnering plans and strategies in the future, we anticipate that we may need to modify our employ</w:t>
      </w:r>
      <w:r>
        <w:rPr>
          <w:rFonts w:ascii="Times New Roman;serif" w:hAnsi="Times New Roman;serif"/>
          <w:b w:val="false"/>
          <w:color w:val="000000"/>
          <w:sz w:val="20"/>
          <w:shd w:fill="FFFFFF" w:val="clear"/>
        </w:rPr>
        <w:t>ee base. Such changes may impose significant added responsibilities on members of management, and our management may need to divert a disproportionate amount of their attention away from our day-to-day activities and devote a substantial amount of time to managing any modification of our employee base. We may not be able to effectively manage a modification of our operations, which may result in weaknesses in our infrastructure, give rise to operational errors, loss of business opportunities, loss of employees and reduced productivity amongst remaining employees. Any organizational modification could require significant capital expenditures and may divert financial resources from other projects, such as the development of existing and additional product candidates. If our management is unable to effectively manage any needed organizational modifications, our expenses may be higher than expected, our ability to generate or grow revenue could be reduced and we may not be able to implement our business strategy.</w:t>
      </w:r>
      <w:r>
        <w:rPr>
          <w:color w:val="000000"/>
        </w:rPr>
        <w:t xml:space="preserve"> </w:t>
      </w:r>
    </w:p>
    <w:p>
      <w:pPr>
        <w:pStyle w:val="TextBody"/>
        <w:bidi w:val="0"/>
        <w:spacing w:lineRule="auto" w:line="288" w:before="240" w:after="283"/>
        <w:jc w:val="left"/>
        <w:rPr/>
      </w:pPr>
      <w:r>
        <w:rPr>
          <w:rFonts w:ascii="Times New Roman;serif" w:hAnsi="Times New Roman;serif"/>
          <w:b/>
          <w:color w:val="000000"/>
          <w:sz w:val="20"/>
        </w:rPr>
        <w:t>Risks Related to Our Common Stock</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stock price is likely to be volatile and the market price of our common stock may drop below the price paid by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Investors should consider an investment in our common stock as risky and invest only if they can withstand a significant loss and wide fluctuations in the market value of their investment. Investors may be unable to sell their common stock at or above the price they paid for such stock due to fluctuations in the market price of our common stock arising from changes in our operating performance or prospects. Factors that may cause the market price of our common stock to fluctuate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results and timing of our or our strategic partners’ clinical trials and clinical trials of our competitors’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failure or discontinuation of any of our or our strategic partners’ development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success of our strategic partnerships and our ability to enter into future partnerships;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achieve milestones and receive associated milestone and royalty payments pursuant to the terms of our strategic partnerships;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issues in manufacturing our or our partnered product candidates or future approved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regulatory developments or enforcement in the United States and other countries with respect to our or our partnered product candidates or our competitors’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competition from existing products or new products or technologies that may emerge;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developments or disputes concerning patents or other proprietary rights;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announcements by us, our strategic partners or our competitors of significant acquisitions, strategic partnerships, joint ventures, or capital commitments;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actions taken by industry or securities analysts that cover our company or common stock, including changes in estimates or recommendations, inaccurate or unfavorable research or a decision to drop coverage;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general market fluctuations in the valuation of companies in the biotechnology industry or otherwise perceived by investors to be comparable to us;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instances of stockholder activism, including unsolicited takeover proposals or proxy contests;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public concern over our or our partnered product candidates or any future approved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litigation;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future sales of our common stock or the perception that such sales could occur;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stock price and volume fluctuations attributable to inconsistent trading volume levels of our common stock;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additions or departures of key personnel;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execute on our key strategic priorities, including our recently adopted business strategy;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the structure of health care payment systems in the United States or other countries;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of zanidatamab or our or our partnered product candidates, if approved, to achieve commercial success;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economic and other external factors or other disasters or crises;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customs laws and regulations, tariffs and trade barriers, or the perception that any of them could occur;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period-to-period fluctuations in our financial condition and results of operations, including the timing of receipt of any milestone or other payments under commercialization or licensing agreements;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effectively address environmental, social, and governance matters affecting our business that are a focus of certain investors, environmental activists, the media, and governmental and nongovernmental organizations;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purchases under our share repurchase program;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other factors that may be unanticipated or out of our control. </w:t>
      </w:r>
    </w:p>
    <w:p>
      <w:pPr>
        <w:pStyle w:val="TextBody"/>
        <w:bidi w:val="0"/>
        <w:spacing w:lineRule="auto" w:line="288" w:before="240" w:after="283"/>
        <w:jc w:val="left"/>
        <w:rPr/>
      </w:pPr>
      <w:r>
        <w:rPr>
          <w:rFonts w:ascii="Times New Roman;serif" w:hAnsi="Times New Roman;serif"/>
          <w:b w:val="false"/>
          <w:color w:val="000000"/>
          <w:sz w:val="20"/>
        </w:rPr>
        <w:t>The stock market in general, and the stock of biopharmaceutical companies in particular, have experienced extreme price and volume fluctuations that have often been unrelated or disproportionate to the operating performance of the relevant companies, which has resulted in increased volatility and decreased stock prices for many companies notwithstanding the lack of a fundamental change in their underlying business models or prospects. Broad market and industry factors, including potentially worsening economic conditions and other adverse effects or developments, may negatively affect the market price of our common stock, regardless of our actual operating performance. Securities class action litigation has often been brought against companies following a decline in the market price of their securities. If we face such litigation, it could result in substantial costs and a diversion of management’s attention and resources, which could materially harm our business. The realization of any of the above risks or any of a broad range of other risks, including those described in this “Risk Factors” section, could have a material adverse effect on the market price of our common stock.</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An active trading market for our common stock may not be sustained.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active market for our common stock does not continue, it may be difficult for our stockholders to sell their stock without depressing the market price for the common stock or sell their common stock at or above the prices at which they acquired their common stock or sell their common stock at the time they would like to sell. Any inactive trading market for our common stock may also impair our ability to raise capital to continue to fund our operations by selling common stock and may impair our ability to acquire other companies or technologies by using our common stock as consideration. We may fail to meet the continued listing requirements of the Nasdaq Stock Market LLC (“Nasdaq”). If Nasdaq delists our shares of common stock from trading on its exchange, we could face significant material adverse consequences, including significant impairment of liquidity of our common stock, limited availability of market quotations, limited news and analyst coverage, and a loss of confidence of our strategic partners, employees and others. </w:t>
      </w:r>
    </w:p>
    <w:p>
      <w:pPr>
        <w:pStyle w:val="TextBody"/>
        <w:bidi w:val="0"/>
        <w:spacing w:lineRule="auto" w:line="288" w:before="240" w:after="283"/>
        <w:jc w:val="left"/>
        <w:rPr/>
      </w:pPr>
      <w:r>
        <w:rPr>
          <w:rFonts w:ascii="Times New Roman;serif" w:hAnsi="Times New Roman;serif"/>
          <w:b/>
          <w:i/>
          <w:color w:val="000000"/>
          <w:sz w:val="20"/>
        </w:rPr>
        <w:t>Our management team has broad discretion to use the net proceeds from our financing activities as well as funds received pursuant to our strategic collaborations, and its investment of these proceeds may not yield a favorable return. They may invest the proceeds in ways with which our stockholders disagree.</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Our management team has broad discretion in the applicatio</w:t>
      </w:r>
      <w:r>
        <w:rPr>
          <w:rFonts w:ascii="Times New Roman;serif" w:hAnsi="Times New Roman;serif"/>
          <w:b w:val="false"/>
          <w:color w:val="000000"/>
          <w:sz w:val="20"/>
          <w:shd w:fill="FFFFFF" w:val="clear"/>
        </w:rPr>
        <w:t xml:space="preserve">n of the proceeds we receive from our financing activities and from our strategic collaborations, and we could spend or invest the proceeds in ways with which our stockholders disagree. Accordingly, stockholders will need to rely on our management team’s judgment with respect to the use of these proceeds. The failure by management to apply these funds effectively could negatively affect our ability to operate and grow our business. </w:t>
      </w:r>
      <w:r>
        <w:rPr>
          <w:rFonts w:ascii="Times New Roman;serif" w:hAnsi="Times New Roman;serif"/>
          <w:b w:val="false"/>
          <w:color w:val="000000"/>
          <w:sz w:val="20"/>
        </w:rPr>
        <w:t>We cannot specify with certainty all of the particular uses for the net proceeds received from our fundraising efforts or for funds received pursuant to our strategic collaborations and our actual expenditures will depend upon numerous factors. Until the net proceeds are used, they may be placed in investments that do not produce significant income or that may lose value.</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do not anticipate paying cash dividends for the foreseeable future, and accordingly, stockholders must rely on stock appreciation for any return on their investment.</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paid any dividends on our common stock. We currently intend to retain our future earnings, if any, to fund the development and growth of our business and do not anticipate that we will declare or pay any cash dividends on our common stock in the foreseeable future. As a result, capital appreciation, if any, of our common stock will be the sole source of gain on investment in our common stock for the foreseeable future. Investors seeking cash dividends should not invest in our common stock. Any future determination to pay dividends will be at the discretion of our board of directors and will depend upon many factors, and, as a result, future dividends payable to investors are not guaranteed. </w:t>
      </w:r>
    </w:p>
    <w:p>
      <w:pPr>
        <w:pStyle w:val="TextBody"/>
        <w:bidi w:val="0"/>
        <w:spacing w:lineRule="auto" w:line="288" w:before="240" w:after="283"/>
        <w:jc w:val="left"/>
        <w:rPr/>
      </w:pPr>
      <w:r>
        <w:rPr>
          <w:rFonts w:ascii="Times New Roman;serif" w:hAnsi="Times New Roman;serif"/>
          <w:b/>
          <w:i/>
          <w:color w:val="000000"/>
          <w:sz w:val="20"/>
        </w:rPr>
        <w:t>Our principal stockholders, in aggregate, could exert substantial influence over us which could delay or prevent a change in corporate control or result in the entrenchment of management or the board of directors.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Our principal stockholders, being our stockholders that beneficially own 5% or more of our common stock, together with their affiliates and related persons, in aggregate</w:t>
      </w:r>
      <w:r>
        <w:rPr>
          <w:rFonts w:ascii="Times New Roman;serif" w:hAnsi="Times New Roman;serif"/>
          <w:b w:val="false"/>
          <w:color w:val="000000"/>
          <w:sz w:val="20"/>
        </w:rPr>
        <w:t>, owned approximately 49.7% of our outstanding common stock as of March 31, 2026. Our directors and executive officers together with their respective affiliates owned, in the aggregate, approximately 32.7% of our outstanding common stock as of March 31, 2026. Our principal stockholders, if acting together (with or without our directors and executive officers), may have the ability to exert substantial influence over the outcome of matters submitted to our stockholders for approval, including the election and removal of directors and any merger or sale of all or substantially all of our</w:t>
      </w:r>
      <w:r>
        <w:rPr>
          <w:color w:val="000000"/>
          <w:shd w:fill="FFFFFF" w:val="clear"/>
        </w:rPr>
        <w:t xml:space="preserve"> </w:t>
      </w:r>
      <w:r>
        <w:rPr>
          <w:rFonts w:ascii="Times New Roman;serif" w:hAnsi="Times New Roman;serif"/>
          <w:b w:val="false"/>
          <w:color w:val="000000"/>
          <w:sz w:val="20"/>
          <w:shd w:fill="FFFFFF" w:val="clear"/>
        </w:rPr>
        <w:t xml:space="preserve">assets. In addition, our principal stockholders, if acting together (with or without our directors and executive officers), may have the ability to exert substantial influence over the management and affairs of our company. Accordingly, this concentration of ownership could harm the market price of our common stock by: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delaying, deferring, or preventing a change in control;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entrenching our management or the board of directors;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impeding a merger, takeover, or other business combination involving us; or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discouraging a potential acquirer from making a tender offer or otherwise attempting to obtain control of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qualify as a smaller reporting company, and any decision on our part to comply only with certain reduced reporting and disclosure requirements applicable to such companies could make our common stock less attractive to investors.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an exemption from the requirement that our independent registered public accounting firm attest to the effectiveness of our internal control over financial reporting under Section 404. Opting to forego an attestation to the effectiveness of our internal control over financial reporting from our independent registered public accounting firm may have a detrimental impact on our ability to maintain the adequacy of our internal control over financial reporting, and any failure to maintain adequacy, or inability to produce accurate financial statements or other reports on a timely basis, could increase our operating costs and could materially impair our ability to operate our business. As a result of our decision to rely on certain of these disclosure exemptions, the information we provide stockholders will be different than the information that is available with respect to other public companies and some investors may find our shares of common stock less attractive, which may result in a less active trading market for our common stock and the market price of our common stock may be more volatile.</w:t>
      </w:r>
    </w:p>
    <w:p>
      <w:pPr>
        <w:pStyle w:val="TextBody"/>
        <w:bidi w:val="0"/>
        <w:spacing w:lineRule="auto" w:line="288" w:before="240" w:after="283"/>
        <w:jc w:val="left"/>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Under the Sarbanes-Oxley Act of 2002, we are required to establish and maintain effective internal control over financial reporting and adequate disclosure controls and procedures. Effective internal control over financial reporting is necessary for us to provide reliable financial reports and, together with adequate disclosure controls and procedures, are designed to prevent fraud.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Undetected material weaknesses in our internal controls could lead to financial statement restatements and require us to incur the expense of remediation.</w:t>
      </w:r>
      <w:r>
        <w:rPr>
          <w:color w:val="000000"/>
        </w:rPr>
        <w:t xml:space="preserve"> </w:t>
      </w:r>
      <w:r>
        <w:rPr>
          <w:rFonts w:ascii="Times New Roman;serif" w:hAnsi="Times New Roman;serif"/>
          <w:b w:val="false"/>
          <w:color w:val="000000"/>
          <w:sz w:val="20"/>
        </w:rPr>
        <w:t>If, during the evaluation and testing process of our internal controls, we identify one or more material weaknesses in our internal control over financial reporting, we will be unable to assert that our internal control over financial reporting is effective. We cannot assure you that there will not be material weaknesses in our internal controls over financial reporting in the future.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Furthermore, if we cannot provide reliable financial reports or prevent fraud, including as a result of remote working by our employees, our business and results of operations would likely be materially and adversely affected.</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Holders of our Exchangeable Shares are subject to additional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Redomicile Transactions, certain holders of common shares of our predecessor company exchanged their common shares for exchangeable shares (“Exchangeable Shares”) in the capital of our subsidiary Zymeworks ExchangeCo Ltd. (“ExchangeCo”). Exchangeable Shares are exchangeable at the option of the holder for shares of our common stock. Exchangeable Shares are subject to additional risks,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Exchangeable Shares are not and will not be listed on any stock exchange. There is no market through which the Exchangeable Shares may be sold, and holders may not be able to sell their Exchangeable Shares.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Holders of Exchangeable Shares who request an exchange may not receive shares of our common stock until a period of time after the applicable request is received. During this period, the market price of our common stock may increase or decrease. Any such increase or decrease would affect the value of the consideration to be received by such a holder of Exchangeable Shares upon a subsequent sale of shares of our common stock received in the exchange.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Exchangeable Shares may be subject to different tax consequences under Canadian law depending on whether the Exchangeable Shares are disposed of in a redemption or an acquisition by one of our subsidiaries, and such transaction may not be within the control of the holder.</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tax treatment of Exchangeable Shares for non-Canadian tax purposes, including U.S. federal income tax purposes, is uncertain.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pStyle w:val="TextBody"/>
        <w:bidi w:val="0"/>
        <w:spacing w:lineRule="auto" w:line="288" w:before="240" w:after="283"/>
        <w:jc w:val="left"/>
        <w:rPr/>
      </w:pPr>
      <w:r>
        <w:rPr>
          <w:rFonts w:ascii="Times New Roman;serif" w:hAnsi="Times New Roman;serif"/>
          <w:b w:val="false"/>
          <w:color w:val="000000"/>
          <w:sz w:val="20"/>
        </w:rPr>
        <w:t>Our amended and restated certificate of incorporation and amended and restated bylaws contain provisions that may make the acquisition of Zymeworks more difficult or delay or prevent changes in control of its management. Among other things, these provisions: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authorize our board of d</w:t>
      </w:r>
      <w:r>
        <w:rPr>
          <w:rFonts w:ascii="Times New Roman;serif" w:hAnsi="Times New Roman;serif"/>
          <w:b w:val="false"/>
          <w:color w:val="000000"/>
          <w:sz w:val="20"/>
        </w:rPr>
        <w:t>irectors to issue shares of preferred stock and determine the price and other terms of those shares, including preferences and voting rights, without stockholder approval;</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permit only the board of directors to establish the number of directors and fill vacancies and newly created directorships on the board, provided that the board of directors’ ability to increase the size of the board and fill vacancies and newly created directorships will be subject to the restrictions in our amended and restated certificate of incorporation and amended and restated bylaws;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that members of our board of directors serve in one of three staggered terms of three years each;</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our directors may only be removed by the affirmative vote of at least 66 2/3% of the voting power of the shares cast on such proposal;</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permit stockholders to only take actions at a duly called annual or special meeting and not by written consent;</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that stockholders give advance notice to nominate directors or submit proposals for consideration at stockholder meetings;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not provide for cumulative voting rights in the election of directors;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special meetings of Zymeworks’ stockholders may be called only by the board of directors, the chairperson of the board of directors, Zymeworks’ chief executive officer, president or the secretary upon request from holders of no less than 20% of our outstanding voting stock, subject to the limitations and requirements set forth in our amended and restated bylaws; and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a super-majority vote of stockholders to amend some of the provisions described above.</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Because we are incorporated in Delaware, we are governed by the provisions of Section 203 of the DGCL, which generally prohibits a Delaware corporation from engaging in any of a broad range of business combinations with any “interested stockholder” for a period of three years following the date on which the stockholder became an “interested stockholder” unless certain conditions are met.</w:t>
      </w:r>
      <w:r>
        <w:rPr>
          <w:color w:val="000000"/>
        </w:rPr>
        <w:t xml:space="preserve"> </w:t>
      </w:r>
      <w:r>
        <w:rPr>
          <w:rFonts w:ascii="Times New Roman;serif" w:hAnsi="Times New Roman;serif"/>
          <w:b w:val="false"/>
          <w:color w:val="000000"/>
          <w:sz w:val="20"/>
        </w:rPr>
        <w:t xml:space="preserve">These provisions, alone or together, could delay, discourage or prevent a transaction involving a change in control of Zymeworks. These provisions could also discourage proxy contests and make it more difficult for stockholders to elect directors of their choosing and to cause Zymeworks to take other corporate actions they desire, any of which, under certain circumstances, could limit the opportunity for our stockholders to receive a premium for their shares of common stock, and could also affect the price that some investors are willing to pay for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bylaws designate a state or federal court located within the State of Delaware as the exclusive forum for substantially all disputes between Zymeworks and its stockholders, and also provide that the federal district courts are the exclusive forum for resolving any complaint asserting a cause of action arising under the Securities Act, each of which could limit our stockholders’ ability to choose the judicial forum for disputes with Zymeworks or its directors, officers, stockholders or employees.</w:t>
      </w:r>
    </w:p>
    <w:p>
      <w:pPr>
        <w:pStyle w:val="TextBody"/>
        <w:bidi w:val="0"/>
        <w:spacing w:lineRule="auto" w:line="288" w:before="240" w:after="283"/>
        <w:jc w:val="left"/>
        <w:rPr/>
      </w:pPr>
      <w:r>
        <w:rPr>
          <w:rFonts w:ascii="Times New Roman;serif" w:hAnsi="Times New Roman;serif"/>
          <w:b w:val="false"/>
          <w:color w:val="000000"/>
          <w:sz w:val="20"/>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Zymeworks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r>
        <w:rPr>
          <w:color w:val="000000"/>
        </w:rPr>
        <w:t xml:space="preserve"> </w:t>
      </w:r>
      <w:r>
        <w:rPr>
          <w:rFonts w:ascii="Times New Roman;serif" w:hAnsi="Times New Roman;serif"/>
          <w:b w:val="false"/>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w:t>
      </w:r>
      <w:r>
        <w:rPr>
          <w:color w:val="000000"/>
        </w:rPr>
        <w:t xml:space="preserve"> </w:t>
      </w:r>
      <w:r>
        <w:rPr>
          <w:rFonts w:ascii="Times New Roman;serif" w:hAnsi="Times New Roman;serif"/>
          <w:b w:val="false"/>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r>
        <w:rPr>
          <w:color w:val="000000"/>
        </w:rPr>
        <w:t xml:space="preserve"> </w:t>
      </w:r>
      <w:r>
        <w:rPr>
          <w:rFonts w:ascii="Times New Roman;serif" w:hAnsi="Times New Roman;serif"/>
          <w:b w:val="false"/>
          <w:color w:val="000000"/>
          <w:sz w:val="20"/>
        </w:rPr>
        <w:t>The enforceability of similar exclusive forum provisions in other companies’ organizational documents have been challenged in legal proceedings, and, while certain courts have determined these provisions are enforceable,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which could harm our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There can be no assurance that we will repurchase additional shares of our common stock or that we will repurchase shares at favorable prices. </w:t>
      </w:r>
    </w:p>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our board of directors approved the 2025 Repurchase Program, pursuant to which we are authorized to repurchase up to $125.0 million of our common stock from time to time through open market transactions, or other means in accordance with Rule 10b5-1 and Rule 10b-18 under the Exchange Act. As of March 31, 2026, we have repurchased 3,626,383 shares of our common stock under the 2025 Repurchase Program. The timing, number of shares repurchased, and prices paid for any additional shares of stock repurchased under this program will depend on general business and market conditions as well as corporate and regulatory limitations, prevailing stock prices, and other considerations. Our 2025 Repurchase Program may be suspended or discontinued at any time, and does not obligate us to acquire any additional shares of common stock. Our ability to make share repurchases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As a result, there can be no guarantee around the timing of our share repurchases. Any failure to repurchase additional shares of stock, a reduction in the frequency of repurchases, or the completion of our 2025 Repurchase Program could have a negative effect on our reputation, investor confidence in us and our stock price. The existence of our 2025 Repurchase Program could cause our stock price to be higher than it otherwise would be and could potentially reduce the market liquidity for our stock. Although our 2025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Additionally, as part of our evolving business strategy, we intend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 xml:space="preserve">evaluate opportunities to return capital to our stockholders through additional potential share repurchases. However, there can be no assurance that implementation of our evolving business strategy will generate sufficient cash flows from royalties, milestones and other sources to enable such additional share repurchases and, as a result, our stockholders may not realize enhanced long-term stockholder value. Any use of our cash resources to repurchase our common stock will reduce the amount of cash we have available for investment in other parts of our business and we may not deploy our resources in a way that enhances stockholder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40" w:after="283"/>
        <w:jc w:val="left"/>
        <w:rPr/>
      </w:pPr>
      <w:r>
        <w:rPr>
          <w:rFonts w:ascii="Times New Roman;serif" w:hAnsi="Times New Roman;serif"/>
          <w:b w:val="false"/>
          <w:color w:val="000000"/>
          <w:sz w:val="20"/>
        </w:rPr>
        <w:t>On August 1, 2024, our board of directors authorized a stock repurchase program (</w:t>
      </w:r>
      <w:r>
        <w:rPr>
          <w:color w:val="000000"/>
          <w:shd w:fill="FFFFFF" w:val="clear"/>
        </w:rPr>
        <w:t>“</w:t>
      </w:r>
      <w:r>
        <w:rPr>
          <w:rFonts w:ascii="Times New Roman;serif" w:hAnsi="Times New Roman;serif"/>
          <w:b w:val="false"/>
          <w:color w:val="000000"/>
          <w:sz w:val="20"/>
        </w:rPr>
        <w:t>2024 Repurchase Program</w:t>
      </w:r>
      <w:r>
        <w:rPr>
          <w:color w:val="000000"/>
          <w:shd w:fill="FFFFFF" w:val="clear"/>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 whereby we could repurchase up to $60.0 million of our outstanding common stock. As of October 31, 2024, we completed the initial $30.0 million of the 2024 Repurchase Program, consisting of the repurchase of 2,545,402 shares at an average price per share of $11.79 (exclusive of commission expense and estimated e</w:t>
      </w:r>
      <w:r>
        <w:rPr>
          <w:rFonts w:ascii="Times New Roman;serif" w:hAnsi="Times New Roman;serif"/>
          <w:b w:val="false"/>
          <w:color w:val="000000"/>
          <w:sz w:val="20"/>
          <w:shd w:fill="FFFFFF" w:val="clear"/>
        </w:rPr>
        <w:t>xcise tax). As of November 10, 2025, we completed the remaining $30.0 million of the 2024 Repurchase Program, consisting of the repurchase of 1,856,907 shares at an average price per share of $16.15 (exclusive of commission expense and estimated excise tax).</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On November 16, 2025, our board of directors authorized a new stock repurchase program (the “2025 Repurchase Program”), whereby we may repurchase up to $125.0 million of our outstanding common stock. As of March 31, 2026, we repurchased an aggregate of $87.7 million, consisting of 3,626,383 shares at an average price per share of $24.19 (exclusive of commission expense and estimated excise tax).</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shares of common stock purchased under the authorization consisted of the following:</w:t>
      </w:r>
    </w:p>
    <w:tbl>
      <w:tblPr>
        <w:tblW w:w="10205" w:type="dxa"/>
        <w:jc w:val="left"/>
        <w:tblInd w:w="0" w:type="dxa"/>
        <w:tblLayout w:type="fixed"/>
        <w:tblCellMar>
          <w:top w:w="28" w:type="dxa"/>
          <w:left w:w="28" w:type="dxa"/>
          <w:bottom w:w="28" w:type="dxa"/>
          <w:right w:w="28" w:type="dxa"/>
        </w:tblCellMar>
      </w:tblPr>
      <w:tblGrid>
        <w:gridCol w:w="511"/>
        <w:gridCol w:w="387"/>
        <w:gridCol w:w="392"/>
        <w:gridCol w:w="724"/>
        <w:gridCol w:w="437"/>
        <w:gridCol w:w="438"/>
        <w:gridCol w:w="109"/>
        <w:gridCol w:w="109"/>
        <w:gridCol w:w="109"/>
        <w:gridCol w:w="284"/>
        <w:gridCol w:w="832"/>
        <w:gridCol w:w="147"/>
        <w:gridCol w:w="109"/>
        <w:gridCol w:w="109"/>
        <w:gridCol w:w="109"/>
        <w:gridCol w:w="396"/>
        <w:gridCol w:w="1832"/>
        <w:gridCol w:w="204"/>
        <w:gridCol w:w="109"/>
        <w:gridCol w:w="109"/>
        <w:gridCol w:w="109"/>
        <w:gridCol w:w="633"/>
        <w:gridCol w:w="1534"/>
        <w:gridCol w:w="473"/>
      </w:tblGrid>
      <w:tr>
        <w:trPr/>
        <w:tc>
          <w:tcPr>
            <w:tcW w:w="51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Period</w:t>
            </w:r>
          </w:p>
        </w:tc>
        <w:tc>
          <w:tcPr>
            <w:tcW w:w="15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Dollar value of shares that may yet be purchased under publicly announced plans or programs (in millions)</w:t>
            </w:r>
            <w:r>
              <w:rPr>
                <w:rFonts w:ascii="Times New Roman;serif" w:hAnsi="Times New Roman;serif"/>
                <w:b/>
                <w:color w:val="000000"/>
                <w:sz w:val="12"/>
              </w:rPr>
              <w:t>(2)</w:t>
            </w:r>
          </w:p>
        </w:tc>
      </w:tr>
      <w:tr>
        <w:trPr/>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January 1, 2026 - January 31, 2026</w:t>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1,214,257 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1,214,257 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February 1, 2026 - February 28, 2026</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934,941 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934,941 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March 1, 2026 - March 31, 2026</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1,045,968 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1,045,968 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3,195,166 </w:t>
            </w:r>
          </w:p>
        </w:tc>
        <w:tc>
          <w:tcPr>
            <w:tcW w:w="4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3,195,166 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left"/>
        <w:rPr>
          <w:rFonts w:ascii="Times New Roman;serif" w:hAnsi="Times New Roman;serif"/>
          <w:b w:val="false"/>
          <w:color w:val="000000"/>
          <w:sz w:val="18"/>
        </w:rPr>
      </w:pPr>
      <w:r>
        <w:rPr>
          <w:rFonts w:ascii="Times New Roman;serif" w:hAnsi="Times New Roman;serif"/>
          <w:b w:val="false"/>
          <w:color w:val="000000"/>
          <w:sz w:val="18"/>
        </w:rPr>
        <w:t>(1) Average price paid per share excludes commission expense and estimated excise tax.</w:t>
      </w:r>
    </w:p>
    <w:p>
      <w:pPr>
        <w:pStyle w:val="TextBody"/>
        <w:bidi w:val="0"/>
        <w:spacing w:lineRule="auto" w:line="252" w:before="6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(2) Dollar value of shares that may yet be purchased has been rounded to one decimal point.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our last fiscal quarter, no director or officer, as defined in Rule 16a-1(f) of the Exchange Act, adopted or terminated a “Rule 10b5-1 trading arrangement” or any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3175"/>
        <w:gridCol w:w="2678"/>
        <w:gridCol w:w="2705"/>
        <w:gridCol w:w="109"/>
        <w:gridCol w:w="109"/>
        <w:gridCol w:w="15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Certificate of Incorporation of the Company (incorporated by reference to Exhibit 3.1 to the Company’s Current Report on Form 8-K12B filed with the SEC on October 13,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erif" w:hAnsi="Times New Roman;serif"/>
                  <w:b w:val="false"/>
                  <w:color w:val="0000FF"/>
                  <w:sz w:val="20"/>
                  <w:u w:val="single"/>
                </w:rPr>
                <w:t>Amended and Restated Bylaws of the Company (incorporated by reference to Exhibit 3.1 to the Company’s Current Report on Form 8-K filed with the SEC on March 15,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Elimination of Series B Participating Preferred Stock of Zymeworks Inc. (incorporated by reference to Exhibit 3.1 to the Company’s Current Report on Form 8-K filed with the SEC on June 12,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Certificate of Designations of Special Voting Stock of the Company (incorporated by reference to Exhibit 3.2 to the Company’s Current Report on Form 8-K12B filed with the SEC on October 13,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60331xex101.htm">
              <w:r>
                <w:rPr>
                  <w:rStyle w:val="InternetLink"/>
                  <w:rFonts w:ascii="Times New Roman;serif" w:hAnsi="Times New Roman;serif"/>
                  <w:b w:val="false"/>
                  <w:color w:val="0000FF"/>
                  <w:sz w:val="20"/>
                  <w:u w:val="single"/>
                </w:rPr>
                <w:t>Sale Agreement by and among Zymeworks BC Inc., Zymeworks Royalty Limited Partnership, Zymeworks Inc., and Royalty Pharma Development Funding, LLC dated as of March 2,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yme-20260331xex102.htm">
              <w:r>
                <w:rPr>
                  <w:rStyle w:val="InternetLink"/>
                  <w:rFonts w:ascii="Times New Roman;serif" w:hAnsi="Times New Roman;serif"/>
                  <w:b w:val="false"/>
                  <w:color w:val="0000FF"/>
                  <w:sz w:val="20"/>
                  <w:u w:val="single"/>
                </w:rPr>
                <w:t>Loan Agreement by and among Zymeworks Royalty Limited Partnership Royalty Pharma Development Funding, LLC and the Lenders from time to time party thereto dated as of March 2,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E</w:t>
              </w:r>
            </w:hyperlink>
            <w:hyperlink r:id="rId8">
              <w:r>
                <w:rPr>
                  <w:rStyle w:val="InternetLink"/>
                  <w:rFonts w:ascii="Times New Roman;serif" w:hAnsi="Times New Roman;serif"/>
                  <w:b w:val="false"/>
                  <w:color w:val="000080"/>
                  <w:sz w:val="20"/>
                  <w:u w:val="single"/>
                </w:rPr>
                <w:t>mployment Agreement between Zymeworks Biopharmaceuticals Inc. and Kristin Stafford, effective April 1, 2026 (incorporated by reference to Exhibit 10.1 to the Company’s Current Report on Form 8-K filed with the SEC on April 1, 2026)</w:t>
              </w:r>
            </w:hyperlink>
            <w:r>
              <w:rPr>
                <w:rFonts w:ascii="Times New Roman;serif" w:hAnsi="Times New Roman;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yme-20260331xex104.htm">
              <w:r>
                <w:rPr>
                  <w:rStyle w:val="InternetLink"/>
                  <w:rFonts w:ascii="Times New Roman;serif" w:hAnsi="Times New Roman;serif"/>
                  <w:b w:val="false"/>
                  <w:color w:val="0000FF"/>
                  <w:sz w:val="20"/>
                  <w:u w:val="single"/>
                </w:rPr>
                <w:t>Employment Agreement between Zymeworks Biopharmaceuticals Inc. and Adam Schayowitz, effective April 9,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yme-20260331xex105.htm">
              <w:r>
                <w:rPr>
                  <w:rStyle w:val="InternetLink"/>
                  <w:rFonts w:ascii="Times New Roman;serif" w:hAnsi="Times New Roman;serif"/>
                  <w:b w:val="false"/>
                  <w:color w:val="0000FF"/>
                  <w:sz w:val="20"/>
                  <w:u w:val="single"/>
                </w:rPr>
                <w:t>Employment Agreement between Zymeworks Biopharmaceuticals Inc. and Scott Platshon, effective April 9,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Separation Agreement and Release, by and between Leone Patterson and Zymeworks Biopharmaceuticals, Inc., dated February 1, 2026 (incorporated by reference to Exhibit 10.59 of the Company's Annual Report on Form 10-K filed with the SEC on March 2, 2026)</w:t>
              </w:r>
            </w:hyperlink>
            <w:r>
              <w:rPr>
                <w:rFonts w:ascii="Times New Roman;serif" w:hAnsi="Times New Roman;serif"/>
                <w:b w:val="false"/>
                <w:color w:val="000000"/>
                <w:sz w:val="20"/>
              </w:rPr>
              <w:t xml:space="preserve">. </w:t>
            </w:r>
          </w:p>
          <w:p>
            <w:pPr>
              <w:pStyle w:val="TableContents"/>
              <w:bidi w:val="0"/>
              <w:spacing w:before="0" w:after="0"/>
              <w:jc w:val="left"/>
              <w:rPr/>
            </w:pPr>
            <w:r>
              <w:rPr/>
            </w:r>
          </w:p>
          <w:p>
            <w:pPr>
              <w:pStyle w:val="TableContents"/>
              <w:bidi w:val="0"/>
              <w:spacing w:before="0" w:after="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80"/>
                  <w:sz w:val="20"/>
                  <w:u w:val="single"/>
                </w:rPr>
                <w:t>Severance Agreement, Consultancy Agreement, and Assignment and Novation Agreement by and among Zymeworks Pharmaceuticals Limited, Zymeworks BC Inc., and Jeffrey Smith dated January 31, 2026</w:t>
              </w:r>
            </w:hyperlink>
            <w:hyperlink r:id="rId11">
              <w:r>
                <w:rPr>
                  <w:rStyle w:val="InternetLink"/>
                  <w:rFonts w:ascii="Times New Roman;serif" w:hAnsi="Times New Roman;serif"/>
                  <w:b w:val="false"/>
                  <w:color w:val="000080"/>
                  <w:sz w:val="20"/>
                  <w:u w:val="single"/>
                </w:rPr>
                <w:t xml:space="preserve"> (incorporated by reference to Exhibit 10.58 of the Company's Annual R</w:t>
              </w:r>
            </w:hyperlink>
            <w:hyperlink r:id="rId12">
              <w:r>
                <w:rPr>
                  <w:rStyle w:val="InternetLink"/>
                  <w:rFonts w:ascii="Times New Roman;serif" w:hAnsi="Times New Roman;serif"/>
                  <w:b w:val="false"/>
                  <w:color w:val="000080"/>
                  <w:sz w:val="20"/>
                  <w:u w:val="single"/>
                </w:rPr>
                <w:t>eport on Form 10-K filed with the SEC on March 2, 2026)</w:t>
              </w:r>
            </w:hyperlink>
            <w:hyperlink r:id="rId13">
              <w:r>
                <w:rPr>
                  <w:rStyle w:val="InternetLink"/>
                  <w:rFonts w:ascii="Times New Roman;serif" w:hAnsi="Times New Roman;serif"/>
                  <w:b w:val="false"/>
                  <w:color w:val="000080"/>
                  <w:sz w:val="20"/>
                  <w:u w:val="single"/>
                </w:rPr>
                <w:t>.</w:t>
              </w:r>
            </w:hyperlink>
          </w:p>
          <w:p>
            <w:pPr>
              <w:pStyle w:val="TableContents"/>
              <w:bidi w:val="0"/>
              <w:spacing w:before="0" w:after="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60331xex311.htm">
              <w:r>
                <w:rPr>
                  <w:rStyle w:val="InternetLink"/>
                  <w:rFonts w:ascii="Times New Roman;serif" w:hAnsi="Times New Roman;serif"/>
                  <w:b w:val="false"/>
                  <w:color w:val="0000FF"/>
                  <w:sz w:val="20"/>
                  <w:u w:val="single"/>
                </w:rPr>
                <w:t>Certification of Chief Executive Officer pursuant to Rule 13a-14(a) or 15d-14(a) of the Securities Exchange Act of 1934.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60331xex312.htm">
              <w:r>
                <w:rPr>
                  <w:rStyle w:val="InternetLink"/>
                  <w:rFonts w:ascii="Times New Roman;serif" w:hAnsi="Times New Roman;serif"/>
                  <w:b w:val="false"/>
                  <w:color w:val="0000FF"/>
                  <w:sz w:val="20"/>
                  <w:u w:val="single"/>
                </w:rPr>
                <w:t>Certification of Chief Financial Officer pursuant to Rule 13a-14(a) or 15d-14(a) of the Securities Exchange Act of 1934.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60331xex321.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60331xex322.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Quarterly Report on Form 10-Q for the period ended March 31, 2026, formatted in Inline XBRL (Inline eXtensible Business Reporting Language): (i) Condensed Consolidated Balance Sheets as of March 31, 2026 (unaudited) and December 31, 2025 (audited), (ii) Condensed Consolidated Statements of Loss and Comprehensive Loss for the three month periods ended March 31, 2026 and 2025 (unaudited), (iii) Condensed Consolidated Statement of Changes in Stockholders’ Equity for the three month periods ended March 31, 2026 and 2025 (unaudited), (iv) Condensed Consolidated Statements of Cash Flows for the three month periods ended March 31, 2026 and 2025 (unaudited) and (v) Notes to the Interim Condensed Consolidated Financial Statements (unaudited).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64"/>
        <w:gridCol w:w="3045"/>
        <w:gridCol w:w="3053"/>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Certain portions of this exhibit (indicated by “[***]”) have been omitted in accordance with Item 601(b)(10) of Regulation S-K because the omitted information is not material and the Company customarily and actually treats such omitted information as private or confidential.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68" w:before="0" w:after="0"/>
        <w:jc w:val="left"/>
        <w:rPr/>
      </w:pPr>
      <w:hyperlink w:anchor="i4f761c0bda3b424ab5e7f02bff6ad8b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290"/>
        <w:gridCol w:w="280"/>
        <w:gridCol w:w="280"/>
        <w:gridCol w:w="2474"/>
        <w:gridCol w:w="2456"/>
        <w:gridCol w:w="34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27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Galbraith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Galbraith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4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Chair of the Board of Directors, President and Chief Executive Officer (Principal Executive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27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Kristin Stafford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Kristin Stafford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4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(Principal Financial Officer and 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CERTAIN PORTIONS OF THIS EXHIBIT (INDICATED BY [***]) HAVE BEEN EXCLUDED PURSUANT TO ITEM 601(B)(10) OF REGULATION S-K BECAUSE THEY ARE BOTH NOT MATERIAL AND ARE THE TYPE THAT THE COMPANY TREATS AS PRIVATE AND CONFIDENTIAL.</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40" w:after="24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before="0" w:after="240"/>
        <w:jc w:val="center"/>
        <w:rPr/>
      </w:pPr>
      <w:r>
        <w:rPr/>
      </w:r>
    </w:p>
    <w:p>
      <w:pPr>
        <w:pStyle w:val="TextBody"/>
        <w:bidi w:val="0"/>
        <w:spacing w:before="300" w:after="240"/>
        <w:jc w:val="center"/>
        <w:rPr/>
      </w:pPr>
      <w:r>
        <w:rPr/>
      </w:r>
    </w:p>
    <w:p>
      <w:pPr>
        <w:pStyle w:val="TextBody"/>
        <w:bidi w:val="0"/>
        <w:spacing w:before="0" w:after="240"/>
        <w:jc w:val="center"/>
        <w:rPr/>
      </w:pPr>
      <w:r>
        <w:rPr/>
      </w:r>
    </w:p>
    <w:p>
      <w:pPr>
        <w:pStyle w:val="TextBody"/>
        <w:bidi w:val="0"/>
        <w:spacing w:lineRule="auto" w:line="240" w:before="0" w:after="240"/>
        <w:jc w:val="center"/>
        <w:rPr/>
      </w:pPr>
      <w:r>
        <w:rPr>
          <w:rFonts w:ascii="Times New Roman;serif" w:hAnsi="Times New Roman;serif"/>
          <w:b/>
          <w:color w:val="000000"/>
          <w:sz w:val="22"/>
        </w:rPr>
        <w:t xml:space="preserve">SALE AGREEMENT </w:t>
        <w:br/>
        <w:br/>
      </w:r>
      <w:r>
        <w:rPr>
          <w:rFonts w:ascii="Times New Roman;serif" w:hAnsi="Times New Roman;serif"/>
          <w:b w:val="false"/>
          <w:color w:val="000000"/>
          <w:sz w:val="22"/>
        </w:rPr>
        <w:t xml:space="preserve">dated as of March 2, 2026 </w:t>
        <w:br/>
        <w:br/>
        <w:t>between</w:t>
      </w:r>
    </w:p>
    <w:p>
      <w:pPr>
        <w:pStyle w:val="TextBody"/>
        <w:bidi w:val="0"/>
        <w:spacing w:lineRule="auto" w:line="288" w:before="0" w:after="240"/>
        <w:jc w:val="center"/>
        <w:rPr/>
      </w:pPr>
      <w:r>
        <w:rPr>
          <w:rFonts w:ascii="Times New Roman;serif" w:hAnsi="Times New Roman;serif"/>
          <w:b/>
          <w:color w:val="000000"/>
          <w:sz w:val="22"/>
        </w:rPr>
        <w:t>Zymeworks BC Inc.</w:t>
      </w:r>
      <w:r>
        <w:rPr>
          <w:rFonts w:ascii="Times New Roman;serif" w:hAnsi="Times New Roman;serif"/>
          <w:b w:val="false"/>
          <w:color w:val="000000"/>
          <w:sz w:val="22"/>
        </w:rPr>
        <w:t xml:space="preserve">, </w:t>
        <w:br/>
        <w:br/>
        <w:t>as Seller</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240"/>
        <w:jc w:val="center"/>
        <w:rPr/>
      </w:pPr>
      <w:r>
        <w:rPr>
          <w:rFonts w:ascii="Times New Roman;serif" w:hAnsi="Times New Roman;serif"/>
          <w:b/>
          <w:color w:val="000000"/>
          <w:sz w:val="22"/>
        </w:rPr>
        <w:t>Zymeworks Royalty Limited Partnership</w:t>
      </w:r>
      <w:r>
        <w:rPr>
          <w:rFonts w:ascii="Times New Roman;serif" w:hAnsi="Times New Roman;serif"/>
          <w:b w:val="false"/>
          <w:color w:val="000000"/>
          <w:sz w:val="22"/>
        </w:rPr>
        <w:t xml:space="preserve">, </w:t>
        <w:br/>
        <w:t>as Purchaser</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240"/>
        <w:jc w:val="center"/>
        <w:rPr/>
      </w:pPr>
      <w:r>
        <w:rPr>
          <w:rFonts w:ascii="Times New Roman;serif" w:hAnsi="Times New Roman;serif"/>
          <w:b w:val="false"/>
          <w:color w:val="000000"/>
          <w:sz w:val="22"/>
        </w:rPr>
        <w:t xml:space="preserve">Solely for purposes of Article VII, </w:t>
      </w:r>
      <w:r>
        <w:rPr>
          <w:rFonts w:ascii="Times New Roman;serif" w:hAnsi="Times New Roman;serif"/>
          <w:b/>
          <w:color w:val="000000"/>
          <w:sz w:val="22"/>
        </w:rPr>
        <w:t>Zymeworks Inc.</w:t>
      </w:r>
      <w:r>
        <w:rPr>
          <w:rFonts w:ascii="Times New Roman;serif" w:hAnsi="Times New Roman;serif"/>
          <w:b w:val="false"/>
          <w:color w:val="000000"/>
          <w:sz w:val="22"/>
        </w:rPr>
        <w:t>,</w:t>
        <w:br/>
        <w:t>as Parent</w:t>
        <w:br/>
        <w:br/>
        <w:t>and</w:t>
      </w:r>
    </w:p>
    <w:p>
      <w:pPr>
        <w:pStyle w:val="TextBody"/>
        <w:bidi w:val="0"/>
        <w:spacing w:lineRule="auto" w:line="288" w:before="0" w:after="240"/>
        <w:jc w:val="center"/>
        <w:rPr/>
      </w:pPr>
      <w:r>
        <w:rPr>
          <w:rFonts w:ascii="Times New Roman;serif" w:hAnsi="Times New Roman;serif"/>
          <w:b w:val="false"/>
          <w:color w:val="000000"/>
          <w:sz w:val="22"/>
        </w:rPr>
        <w:t xml:space="preserve">Solely for purposes of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2.02(c)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V</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br/>
        <w:t>Article VII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w:t>
      </w:r>
      <w:r>
        <w:rPr>
          <w:rFonts w:ascii="Times New Roman;serif" w:hAnsi="Times New Roman;serif"/>
          <w:b/>
          <w:color w:val="000000"/>
          <w:sz w:val="22"/>
        </w:rPr>
        <w:t>Royalty Pharma Development Funding,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Page</w:t>
      </w:r>
    </w:p>
    <w:tbl>
      <w:tblPr>
        <w:tblW w:w="10111" w:type="dxa"/>
        <w:jc w:val="left"/>
        <w:tblInd w:w="0" w:type="dxa"/>
        <w:tblLayout w:type="fixed"/>
        <w:tblCellMar>
          <w:top w:w="28" w:type="dxa"/>
          <w:left w:w="28" w:type="dxa"/>
          <w:bottom w:w="28" w:type="dxa"/>
          <w:right w:w="28" w:type="dxa"/>
        </w:tblCellMar>
      </w:tblPr>
      <w:tblGrid>
        <w:gridCol w:w="3519"/>
        <w:gridCol w:w="3087"/>
        <w:gridCol w:w="3114"/>
        <w:gridCol w:w="114"/>
        <w:gridCol w:w="114"/>
        <w:gridCol w:w="163"/>
      </w:tblGrid>
      <w:tr>
        <w:trPr/>
        <w:tc>
          <w:tcPr>
            <w:tcW w:w="3519"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3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f543406b9fc450689481713a0bc3033">
              <w:r>
                <w:rPr>
                  <w:rStyle w:val="InternetLink"/>
                  <w:rFonts w:ascii="Times New Roman;serif" w:hAnsi="Times New Roman;serif"/>
                  <w:b w:val="false"/>
                  <w:strike w:val="false"/>
                  <w:dstrike w:val="false"/>
                  <w:color w:val="000000"/>
                  <w:sz w:val="22"/>
                  <w:u w:val="none"/>
                  <w:effect w:val="none"/>
                </w:rPr>
                <w:t>ARTICLE I.    </w:t>
                <w:br/>
                <w:b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543406b9fc450689481713a0bc3033">
              <w:r>
                <w:rPr>
                  <w:rStyle w:val="InternetLink"/>
                  <w:rFonts w:ascii="Times New Roman;serif" w:hAnsi="Times New Roman;serif"/>
                  <w:b w:val="false"/>
                  <w:strike w:val="false"/>
                  <w:dstrike w:val="false"/>
                  <w:color w:val="000000"/>
                  <w:sz w:val="22"/>
                  <w:u w:val="none"/>
                  <w:effect w:val="none"/>
                </w:rPr>
                <w:t>1</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167e556e2b2346448361940feed2ff9c">
              <w:r>
                <w:rPr>
                  <w:rStyle w:val="InternetLink"/>
                  <w:rFonts w:ascii="Times New Roman;serif" w:hAnsi="Times New Roman;serif"/>
                  <w:b w:val="false"/>
                  <w:strike w:val="false"/>
                  <w:dstrike w:val="false"/>
                  <w:color w:val="000000"/>
                  <w:sz w:val="22"/>
                  <w:u w:val="none"/>
                  <w:effect w:val="none"/>
                </w:rPr>
                <w:t>Section 1.01.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7e556e2b2346448361940feed2ff9c">
              <w:r>
                <w:rPr>
                  <w:rStyle w:val="InternetLink"/>
                  <w:rFonts w:ascii="Times New Roman;serif" w:hAnsi="Times New Roman;serif"/>
                  <w:b w:val="false"/>
                  <w:strike w:val="false"/>
                  <w:dstrike w:val="false"/>
                  <w:color w:val="000000"/>
                  <w:sz w:val="22"/>
                  <w:u w:val="none"/>
                  <w:effect w:val="none"/>
                </w:rPr>
                <w:t>1</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9a73377c50f840df981d4d6f46645a9b">
              <w:r>
                <w:rPr>
                  <w:rStyle w:val="InternetLink"/>
                  <w:rFonts w:ascii="Times New Roman;serif" w:hAnsi="Times New Roman;serif"/>
                  <w:b w:val="false"/>
                  <w:strike w:val="false"/>
                  <w:dstrike w:val="false"/>
                  <w:color w:val="000000"/>
                  <w:sz w:val="22"/>
                  <w:u w:val="none"/>
                  <w:effect w:val="none"/>
                </w:rPr>
                <w:t>Section 1.02.    General Interpretive Principles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73377c50f840df981d4d6f46645a9b">
              <w:r>
                <w:rPr>
                  <w:rStyle w:val="InternetLink"/>
                  <w:rFonts w:ascii="Times New Roman;serif" w:hAnsi="Times New Roman;serif"/>
                  <w:b w:val="false"/>
                  <w:strike w:val="false"/>
                  <w:dstrike w:val="false"/>
                  <w:color w:val="000000"/>
                  <w:sz w:val="22"/>
                  <w:u w:val="none"/>
                  <w:effect w:val="none"/>
                </w:rPr>
                <w:t>4</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ad61672c9dd49e1a120ea14096f89db">
              <w:r>
                <w:rPr>
                  <w:rStyle w:val="InternetLink"/>
                  <w:rFonts w:ascii="Times New Roman;serif" w:hAnsi="Times New Roman;serif"/>
                  <w:b w:val="false"/>
                  <w:strike w:val="false"/>
                  <w:dstrike w:val="false"/>
                  <w:color w:val="000000"/>
                  <w:sz w:val="22"/>
                  <w:u w:val="none"/>
                  <w:effect w:val="none"/>
                </w:rPr>
                <w:t>ARTICLE II.    </w:t>
                <w:br/>
                <w:br/>
                <w:t>SALE AND ASSIGNMENT OF THE TRANSFERRED ASSETS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d61672c9dd49e1a120ea14096f89db">
              <w:r>
                <w:rPr>
                  <w:rStyle w:val="InternetLink"/>
                  <w:rFonts w:ascii="Times New Roman;serif" w:hAnsi="Times New Roman;serif"/>
                  <w:b w:val="false"/>
                  <w:strike w:val="false"/>
                  <w:dstrike w:val="false"/>
                  <w:color w:val="000000"/>
                  <w:sz w:val="22"/>
                  <w:u w:val="none"/>
                  <w:effect w:val="none"/>
                </w:rPr>
                <w:t>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3e405a5d34d7481f97c9cb59bf7513d0">
              <w:r>
                <w:rPr>
                  <w:rStyle w:val="InternetLink"/>
                  <w:rFonts w:ascii="Times New Roman;serif" w:hAnsi="Times New Roman;serif"/>
                  <w:b w:val="false"/>
                  <w:strike w:val="false"/>
                  <w:dstrike w:val="false"/>
                  <w:color w:val="000000"/>
                  <w:sz w:val="22"/>
                  <w:u w:val="none"/>
                  <w:effect w:val="none"/>
                </w:rPr>
                <w:t>Section 2.01.    Sale and Assignment of Transferred Royalty Interest on the Closing Date.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405a5d34d7481f97c9cb59bf7513d0">
              <w:r>
                <w:rPr>
                  <w:rStyle w:val="InternetLink"/>
                  <w:rFonts w:ascii="Times New Roman;serif" w:hAnsi="Times New Roman;serif"/>
                  <w:b w:val="false"/>
                  <w:strike w:val="false"/>
                  <w:dstrike w:val="false"/>
                  <w:color w:val="000000"/>
                  <w:sz w:val="22"/>
                  <w:u w:val="none"/>
                  <w:effect w:val="none"/>
                </w:rPr>
                <w:t>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4f5d66c02bea4d09ac2ccc72ba8b0579">
              <w:r>
                <w:rPr>
                  <w:rStyle w:val="InternetLink"/>
                  <w:rFonts w:ascii="Times New Roman;serif" w:hAnsi="Times New Roman;serif"/>
                  <w:b w:val="false"/>
                  <w:strike w:val="false"/>
                  <w:dstrike w:val="false"/>
                  <w:color w:val="000000"/>
                  <w:sz w:val="22"/>
                  <w:u w:val="none"/>
                  <w:effect w:val="none"/>
                </w:rPr>
                <w:t>Section 2.02.    Required Financing Statements; Marking of Records; Notice and Instruction Letters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5d66c02bea4d09ac2ccc72ba8b0579">
              <w:r>
                <w:rPr>
                  <w:rStyle w:val="InternetLink"/>
                  <w:rFonts w:ascii="Times New Roman;serif" w:hAnsi="Times New Roman;serif"/>
                  <w:b w:val="false"/>
                  <w:strike w:val="false"/>
                  <w:dstrike w:val="false"/>
                  <w:color w:val="000000"/>
                  <w:sz w:val="22"/>
                  <w:u w:val="none"/>
                  <w:effect w:val="none"/>
                </w:rPr>
                <w:t>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e9ef5bd8af0941b2a776773f3134128a">
              <w:r>
                <w:rPr>
                  <w:rStyle w:val="InternetLink"/>
                  <w:rFonts w:ascii="Times New Roman;serif" w:hAnsi="Times New Roman;serif"/>
                  <w:b w:val="false"/>
                  <w:strike w:val="false"/>
                  <w:dstrike w:val="false"/>
                  <w:color w:val="000000"/>
                  <w:sz w:val="22"/>
                  <w:u w:val="none"/>
                  <w:effect w:val="none"/>
                </w:rPr>
                <w:t>Section 2.03.    General Provisions Regarding the Sale and Transfer of the Transferred Royalty Interest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ef5bd8af0941b2a776773f3134128a">
              <w:r>
                <w:rPr>
                  <w:rStyle w:val="InternetLink"/>
                  <w:rFonts w:ascii="Times New Roman;serif" w:hAnsi="Times New Roman;serif"/>
                  <w:b w:val="false"/>
                  <w:strike w:val="false"/>
                  <w:dstrike w:val="false"/>
                  <w:color w:val="000000"/>
                  <w:sz w:val="22"/>
                  <w:u w:val="none"/>
                  <w:effect w:val="none"/>
                </w:rPr>
                <w:t>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bce2bf99c9de4d769f64ceb829cb49dc">
              <w:r>
                <w:rPr>
                  <w:rStyle w:val="InternetLink"/>
                  <w:rFonts w:ascii="Times New Roman;serif" w:hAnsi="Times New Roman;serif"/>
                  <w:b w:val="false"/>
                  <w:strike w:val="false"/>
                  <w:dstrike w:val="false"/>
                  <w:color w:val="000000"/>
                  <w:sz w:val="22"/>
                  <w:u w:val="none"/>
                  <w:effect w:val="none"/>
                </w:rPr>
                <w:t>Section 2.04.    Intent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e2bf99c9de4d769f64ceb829cb49dc">
              <w:r>
                <w:rPr>
                  <w:rStyle w:val="InternetLink"/>
                  <w:rFonts w:ascii="Times New Roman;serif" w:hAnsi="Times New Roman;serif"/>
                  <w:b w:val="false"/>
                  <w:strike w:val="false"/>
                  <w:dstrike w:val="false"/>
                  <w:color w:val="000000"/>
                  <w:sz w:val="22"/>
                  <w:u w:val="none"/>
                  <w:effect w:val="none"/>
                </w:rPr>
                <w:t>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1e02af6c1464bad94faa7c67963b326">
              <w:r>
                <w:rPr>
                  <w:rStyle w:val="InternetLink"/>
                  <w:rFonts w:ascii="Times New Roman;serif" w:hAnsi="Times New Roman;serif"/>
                  <w:b w:val="false"/>
                  <w:strike w:val="false"/>
                  <w:dstrike w:val="false"/>
                  <w:color w:val="000000"/>
                  <w:sz w:val="22"/>
                  <w:u w:val="none"/>
                  <w:effect w:val="none"/>
                </w:rPr>
                <w:t>ARTICLE III.    </w:t>
                <w:br/>
                <w:br/>
                <w:t>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02af6c1464bad94faa7c67963b326">
              <w:r>
                <w:rPr>
                  <w:rStyle w:val="InternetLink"/>
                  <w:rFonts w:ascii="Times New Roman;serif" w:hAnsi="Times New Roman;serif"/>
                  <w:b w:val="false"/>
                  <w:strike w:val="false"/>
                  <w:dstrike w:val="false"/>
                  <w:color w:val="000000"/>
                  <w:sz w:val="22"/>
                  <w:u w:val="none"/>
                  <w:effect w:val="none"/>
                </w:rPr>
                <w:t>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bbbe020d59fa4c1eba6a2d6f839b71c5">
              <w:r>
                <w:rPr>
                  <w:rStyle w:val="InternetLink"/>
                  <w:rFonts w:ascii="Times New Roman;serif" w:hAnsi="Times New Roman;serif"/>
                  <w:b w:val="false"/>
                  <w:strike w:val="false"/>
                  <w:dstrike w:val="false"/>
                  <w:color w:val="000000"/>
                  <w:sz w:val="22"/>
                  <w:u w:val="none"/>
                  <w:effect w:val="none"/>
                </w:rPr>
                <w:t>Section 3.01.    Loan Agreement Representations and Warranties of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e020d59fa4c1eba6a2d6f839b71c5">
              <w:r>
                <w:rPr>
                  <w:rStyle w:val="InternetLink"/>
                  <w:rFonts w:ascii="Times New Roman;serif" w:hAnsi="Times New Roman;serif"/>
                  <w:b w:val="false"/>
                  <w:strike w:val="false"/>
                  <w:dstrike w:val="false"/>
                  <w:color w:val="000000"/>
                  <w:sz w:val="22"/>
                  <w:u w:val="none"/>
                  <w:effect w:val="none"/>
                </w:rPr>
                <w:t>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d6c17ac6df0242f5bc3e81996daabeb7">
              <w:r>
                <w:rPr>
                  <w:rStyle w:val="InternetLink"/>
                  <w:rFonts w:ascii="Times New Roman;serif" w:hAnsi="Times New Roman;serif"/>
                  <w:b w:val="false"/>
                  <w:strike w:val="false"/>
                  <w:dstrike w:val="false"/>
                  <w:color w:val="000000"/>
                  <w:sz w:val="22"/>
                  <w:u w:val="none"/>
                  <w:effect w:val="none"/>
                </w:rPr>
                <w:t>Section 3.02.    Survival of 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c17ac6df0242f5bc3e81996daabeb7">
              <w:r>
                <w:rPr>
                  <w:rStyle w:val="InternetLink"/>
                  <w:rFonts w:ascii="Times New Roman;serif" w:hAnsi="Times New Roman;serif"/>
                  <w:b w:val="false"/>
                  <w:strike w:val="false"/>
                  <w:dstrike w:val="false"/>
                  <w:color w:val="000000"/>
                  <w:sz w:val="22"/>
                  <w:u w:val="none"/>
                  <w:effect w:val="none"/>
                </w:rPr>
                <w:t>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4c7da9b840340acb1313e0be0d030aa">
              <w:r>
                <w:rPr>
                  <w:rStyle w:val="InternetLink"/>
                  <w:rFonts w:ascii="Times New Roman;serif" w:hAnsi="Times New Roman;serif"/>
                  <w:b w:val="false"/>
                  <w:strike w:val="false"/>
                  <w:dstrike w:val="false"/>
                  <w:color w:val="000000"/>
                  <w:sz w:val="22"/>
                  <w:u w:val="none"/>
                  <w:effect w:val="none"/>
                </w:rPr>
                <w:t>ARTICLE IV.    </w:t>
                <w:br/>
                <w:br/>
                <w:t>COVENANTS OF THE SELLER AND PURCHASER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7da9b840340acb1313e0be0d030aa">
              <w:r>
                <w:rPr>
                  <w:rStyle w:val="InternetLink"/>
                  <w:rFonts w:ascii="Times New Roman;serif" w:hAnsi="Times New Roman;serif"/>
                  <w:b w:val="false"/>
                  <w:strike w:val="false"/>
                  <w:dstrike w:val="false"/>
                  <w:color w:val="000000"/>
                  <w:sz w:val="22"/>
                  <w:u w:val="none"/>
                  <w:effect w:val="none"/>
                </w:rPr>
                <w:t>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0ed630e984734a46921ea46e12e5dac2">
              <w:r>
                <w:rPr>
                  <w:rStyle w:val="InternetLink"/>
                  <w:rFonts w:ascii="Times New Roman;serif" w:hAnsi="Times New Roman;serif"/>
                  <w:b w:val="false"/>
                  <w:strike w:val="false"/>
                  <w:dstrike w:val="false"/>
                  <w:color w:val="000000"/>
                  <w:sz w:val="22"/>
                  <w:u w:val="none"/>
                  <w:effect w:val="none"/>
                </w:rPr>
                <w:t>Section 4.01.    Seller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d630e984734a46921ea46e12e5dac2">
              <w:r>
                <w:rPr>
                  <w:rStyle w:val="InternetLink"/>
                  <w:rFonts w:ascii="Times New Roman;serif" w:hAnsi="Times New Roman;serif"/>
                  <w:b w:val="false"/>
                  <w:strike w:val="false"/>
                  <w:dstrike w:val="false"/>
                  <w:color w:val="000000"/>
                  <w:sz w:val="22"/>
                  <w:u w:val="none"/>
                  <w:effect w:val="none"/>
                </w:rPr>
                <w:t>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2b4259d79b3e4b60b9ab0e7c668d659a">
              <w:r>
                <w:rPr>
                  <w:rStyle w:val="InternetLink"/>
                  <w:rFonts w:ascii="Times New Roman;serif" w:hAnsi="Times New Roman;serif"/>
                  <w:b w:val="false"/>
                  <w:strike w:val="false"/>
                  <w:dstrike w:val="false"/>
                  <w:color w:val="000000"/>
                  <w:sz w:val="22"/>
                  <w:u w:val="none"/>
                  <w:effect w:val="none"/>
                </w:rPr>
                <w:t>Section 4.02.    Purchaser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4259d79b3e4b60b9ab0e7c668d659a">
              <w:r>
                <w:rPr>
                  <w:rStyle w:val="InternetLink"/>
                  <w:rFonts w:ascii="Times New Roman;serif" w:hAnsi="Times New Roman;serif"/>
                  <w:b w:val="false"/>
                  <w:strike w:val="false"/>
                  <w:dstrike w:val="false"/>
                  <w:color w:val="000000"/>
                  <w:sz w:val="22"/>
                  <w:u w:val="none"/>
                  <w:effect w:val="none"/>
                </w:rPr>
                <w:t>14</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d8293b8ae3c84919be3a2d8ebcfe1e8a">
              <w:r>
                <w:rPr>
                  <w:rStyle w:val="InternetLink"/>
                  <w:rFonts w:ascii="Times New Roman;serif" w:hAnsi="Times New Roman;serif"/>
                  <w:b w:val="false"/>
                  <w:strike w:val="false"/>
                  <w:dstrike w:val="false"/>
                  <w:color w:val="000000"/>
                  <w:sz w:val="22"/>
                  <w:u w:val="none"/>
                  <w:effect w:val="none"/>
                </w:rPr>
                <w:t>Section 4.03.    Consequences of Material Breach</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293b8ae3c84919be3a2d8ebcfe1e8a">
              <w:r>
                <w:rPr>
                  <w:rStyle w:val="InternetLink"/>
                  <w:rFonts w:ascii="Times New Roman;serif" w:hAnsi="Times New Roman;serif"/>
                  <w:b w:val="false"/>
                  <w:strike w:val="false"/>
                  <w:dstrike w:val="false"/>
                  <w:color w:val="000000"/>
                  <w:sz w:val="22"/>
                  <w:u w:val="none"/>
                  <w:effect w:val="none"/>
                </w:rPr>
                <w:t>15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b72e159378b4b54a818648077c648a1">
              <w:r>
                <w:rPr>
                  <w:rStyle w:val="InternetLink"/>
                  <w:rFonts w:ascii="Times New Roman;serif" w:hAnsi="Times New Roman;serif"/>
                  <w:b w:val="false"/>
                  <w:strike w:val="false"/>
                  <w:dstrike w:val="false"/>
                  <w:color w:val="000000"/>
                  <w:sz w:val="22"/>
                  <w:u w:val="none"/>
                  <w:effect w:val="none"/>
                </w:rPr>
                <w:t>ARTICLE V.    </w:t>
                <w:br/>
                <w:br/>
                <w:t>ADDITIONAL COVENANTS OF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72e159378b4b54a818648077c648a1">
              <w:r>
                <w:rPr>
                  <w:rStyle w:val="InternetLink"/>
                  <w:rFonts w:ascii="Times New Roman;serif" w:hAnsi="Times New Roman;serif"/>
                  <w:b w:val="false"/>
                  <w:strike w:val="false"/>
                  <w:dstrike w:val="false"/>
                  <w:color w:val="000000"/>
                  <w:sz w:val="22"/>
                  <w:u w:val="none"/>
                  <w:effect w:val="none"/>
                </w:rPr>
                <w:t>15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613c5e79dfcb4da6a27710155f7dc7bf">
              <w:r>
                <w:rPr>
                  <w:rStyle w:val="InternetLink"/>
                  <w:rFonts w:ascii="Times New Roman;serif" w:hAnsi="Times New Roman;serif"/>
                  <w:b w:val="false"/>
                  <w:strike w:val="false"/>
                  <w:dstrike w:val="false"/>
                  <w:color w:val="000000"/>
                  <w:sz w:val="22"/>
                  <w:u w:val="none"/>
                  <w:effect w:val="none"/>
                </w:rPr>
                <w:t>Section 5.01.    Appointment of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3c5e79dfcb4da6a27710155f7dc7bf">
              <w:r>
                <w:rPr>
                  <w:rStyle w:val="InternetLink"/>
                  <w:rFonts w:ascii="Times New Roman;serif" w:hAnsi="Times New Roman;serif"/>
                  <w:b w:val="false"/>
                  <w:strike w:val="false"/>
                  <w:dstrike w:val="false"/>
                  <w:color w:val="000000"/>
                  <w:sz w:val="22"/>
                  <w:u w:val="none"/>
                  <w:effect w:val="none"/>
                </w:rPr>
                <w:t>15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d299ba7408314141b5abc7519d1cd170">
              <w:r>
                <w:rPr>
                  <w:rStyle w:val="InternetLink"/>
                  <w:rFonts w:ascii="Times New Roman;serif" w:hAnsi="Times New Roman;serif"/>
                  <w:b w:val="false"/>
                  <w:strike w:val="false"/>
                  <w:dstrike w:val="false"/>
                  <w:color w:val="000000"/>
                  <w:sz w:val="22"/>
                  <w:u w:val="none"/>
                  <w:effect w:val="none"/>
                </w:rPr>
                <w:t>Section 5.02.    Compliance with the Loan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99ba7408314141b5abc7519d1cd170">
              <w:r>
                <w:rPr>
                  <w:rStyle w:val="InternetLink"/>
                  <w:rFonts w:ascii="Times New Roman;serif" w:hAnsi="Times New Roman;serif"/>
                  <w:b w:val="false"/>
                  <w:strike w:val="false"/>
                  <w:dstrike w:val="false"/>
                  <w:color w:val="000000"/>
                  <w:sz w:val="22"/>
                  <w:u w:val="none"/>
                  <w:effect w:val="none"/>
                </w:rPr>
                <w:t>15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6edc14b43a0c414b9b8c659dfea7f66b">
              <w:r>
                <w:rPr>
                  <w:rStyle w:val="InternetLink"/>
                  <w:rFonts w:ascii="Times New Roman;serif" w:hAnsi="Times New Roman;serif"/>
                  <w:b w:val="false"/>
                  <w:strike w:val="false"/>
                  <w:dstrike w:val="false"/>
                  <w:color w:val="000000"/>
                  <w:sz w:val="22"/>
                  <w:u w:val="none"/>
                  <w:effect w:val="none"/>
                </w:rPr>
                <w:t>Section 5.03.    Agent 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dc14b43a0c414b9b8c659dfea7f66b">
              <w:r>
                <w:rPr>
                  <w:rStyle w:val="InternetLink"/>
                  <w:rFonts w:ascii="Times New Roman;serif" w:hAnsi="Times New Roman;serif"/>
                  <w:b w:val="false"/>
                  <w:strike w:val="false"/>
                  <w:dstrike w:val="false"/>
                  <w:color w:val="000000"/>
                  <w:sz w:val="22"/>
                  <w:u w:val="none"/>
                  <w:effect w:val="none"/>
                </w:rPr>
                <w:t>16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c9006850c1874526803c156f40af67d9">
              <w:r>
                <w:rPr>
                  <w:rStyle w:val="InternetLink"/>
                  <w:rFonts w:ascii="Times New Roman;serif" w:hAnsi="Times New Roman;serif"/>
                  <w:b w:val="false"/>
                  <w:strike w:val="false"/>
                  <w:dstrike w:val="false"/>
                  <w:color w:val="000000"/>
                  <w:sz w:val="22"/>
                  <w:u w:val="none"/>
                  <w:effect w:val="none"/>
                </w:rPr>
                <w:t>Section 5.04.    Replacement of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006850c1874526803c156f40af67d9">
              <w:r>
                <w:rPr>
                  <w:rStyle w:val="InternetLink"/>
                  <w:rFonts w:ascii="Times New Roman;serif" w:hAnsi="Times New Roman;serif"/>
                  <w:b w:val="false"/>
                  <w:strike w:val="false"/>
                  <w:dstrike w:val="false"/>
                  <w:color w:val="000000"/>
                  <w:sz w:val="22"/>
                  <w:u w:val="none"/>
                  <w:effect w:val="none"/>
                </w:rPr>
                <w:t>16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d739f9ad5e84daabfe2ea9f1de5b2ae">
              <w:r>
                <w:rPr>
                  <w:rStyle w:val="InternetLink"/>
                  <w:rFonts w:ascii="Times New Roman;serif" w:hAnsi="Times New Roman;serif"/>
                  <w:b w:val="false"/>
                  <w:strike w:val="false"/>
                  <w:dstrike w:val="false"/>
                  <w:color w:val="000000"/>
                  <w:sz w:val="22"/>
                  <w:u w:val="none"/>
                  <w:effect w:val="none"/>
                </w:rPr>
                <w:t>ARTICLE VI.    </w:t>
                <w:br/>
                <w:br/>
                <w:t>TERMINATION;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39f9ad5e84daabfe2ea9f1de5b2ae">
              <w:r>
                <w:rPr>
                  <w:rStyle w:val="InternetLink"/>
                  <w:rFonts w:ascii="Times New Roman;serif" w:hAnsi="Times New Roman;serif"/>
                  <w:b w:val="false"/>
                  <w:strike w:val="false"/>
                  <w:dstrike w:val="false"/>
                  <w:color w:val="000000"/>
                  <w:sz w:val="22"/>
                  <w:u w:val="none"/>
                  <w:effect w:val="none"/>
                </w:rPr>
                <w:t>17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34a15fe73e18475ab9934cb144ec1d54">
              <w:r>
                <w:rPr>
                  <w:rStyle w:val="InternetLink"/>
                  <w:rFonts w:ascii="Times New Roman;serif" w:hAnsi="Times New Roman;serif"/>
                  <w:b w:val="false"/>
                  <w:strike w:val="false"/>
                  <w:dstrike w:val="false"/>
                  <w:color w:val="000000"/>
                  <w:sz w:val="22"/>
                  <w:u w:val="none"/>
                  <w:effect w:val="none"/>
                </w:rPr>
                <w:t>Section 6.01.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a15fe73e18475ab9934cb144ec1d54">
              <w:r>
                <w:rPr>
                  <w:rStyle w:val="InternetLink"/>
                  <w:rFonts w:ascii="Times New Roman;serif" w:hAnsi="Times New Roman;serif"/>
                  <w:b w:val="false"/>
                  <w:strike w:val="false"/>
                  <w:dstrike w:val="false"/>
                  <w:color w:val="000000"/>
                  <w:sz w:val="22"/>
                  <w:u w:val="none"/>
                  <w:effect w:val="none"/>
                </w:rPr>
                <w:t>17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a96f66ef57dc48958b577c944e34f192">
              <w:r>
                <w:rPr>
                  <w:rStyle w:val="InternetLink"/>
                  <w:rFonts w:ascii="Times New Roman;serif" w:hAnsi="Times New Roman;serif"/>
                  <w:b w:val="false"/>
                  <w:strike w:val="false"/>
                  <w:dstrike w:val="false"/>
                  <w:color w:val="000000"/>
                  <w:sz w:val="22"/>
                  <w:u w:val="none"/>
                  <w:effect w:val="none"/>
                </w:rPr>
                <w:t>Section 6.02.    Effect of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6f66ef57dc48958b577c944e34f192">
              <w:r>
                <w:rPr>
                  <w:rStyle w:val="InternetLink"/>
                  <w:rFonts w:ascii="Times New Roman;serif" w:hAnsi="Times New Roman;serif"/>
                  <w:b w:val="false"/>
                  <w:strike w:val="false"/>
                  <w:dstrike w:val="false"/>
                  <w:color w:val="000000"/>
                  <w:sz w:val="22"/>
                  <w:u w:val="none"/>
                  <w:effect w:val="none"/>
                </w:rPr>
                <w:t>17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55f01f1e8209453e844215896a72ee11">
              <w:r>
                <w:rPr>
                  <w:rStyle w:val="InternetLink"/>
                  <w:rFonts w:ascii="Times New Roman;serif" w:hAnsi="Times New Roman;serif"/>
                  <w:b w:val="false"/>
                  <w:strike w:val="false"/>
                  <w:dstrike w:val="false"/>
                  <w:color w:val="000000"/>
                  <w:sz w:val="22"/>
                  <w:u w:val="none"/>
                  <w:effect w:val="none"/>
                </w:rPr>
                <w:t>Section 6.03.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f01f1e8209453e844215896a72ee11">
              <w:r>
                <w:rPr>
                  <w:rStyle w:val="InternetLink"/>
                  <w:rFonts w:ascii="Times New Roman;serif" w:hAnsi="Times New Roman;serif"/>
                  <w:b w:val="false"/>
                  <w:strike w:val="false"/>
                  <w:dstrike w:val="false"/>
                  <w:color w:val="000000"/>
                  <w:sz w:val="22"/>
                  <w:u w:val="none"/>
                  <w:effect w:val="none"/>
                </w:rPr>
                <w:t>17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96193f1b264445e8ed04ecadc56597a">
              <w:r>
                <w:rPr>
                  <w:rStyle w:val="InternetLink"/>
                  <w:rFonts w:ascii="Times New Roman;serif" w:hAnsi="Times New Roman;serif"/>
                  <w:b w:val="false"/>
                  <w:strike w:val="false"/>
                  <w:dstrike w:val="false"/>
                  <w:color w:val="000000"/>
                  <w:sz w:val="22"/>
                  <w:u w:val="none"/>
                  <w:effect w:val="none"/>
                </w:rPr>
                <w:t>ARTICLE VII.    </w:t>
                <w:br/>
                <w:br/>
                <w:t>INDEMNIFICATION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6193f1b264445e8ed04ecadc56597a">
              <w:r>
                <w:rPr>
                  <w:rStyle w:val="InternetLink"/>
                  <w:rFonts w:ascii="Times New Roman;serif" w:hAnsi="Times New Roman;serif"/>
                  <w:b w:val="false"/>
                  <w:strike w:val="false"/>
                  <w:dstrike w:val="false"/>
                  <w:color w:val="000000"/>
                  <w:sz w:val="22"/>
                  <w:u w:val="none"/>
                  <w:effect w:val="none"/>
                </w:rPr>
                <w:t>17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f920ee3e58264febb6941e44b59203fb">
              <w:r>
                <w:rPr>
                  <w:rStyle w:val="InternetLink"/>
                  <w:rFonts w:ascii="Times New Roman;serif" w:hAnsi="Times New Roman;serif"/>
                  <w:b w:val="false"/>
                  <w:strike w:val="false"/>
                  <w:dstrike w:val="false"/>
                  <w:color w:val="000000"/>
                  <w:sz w:val="22"/>
                  <w:u w:val="none"/>
                  <w:effect w:val="none"/>
                </w:rPr>
                <w:t>Section 7.01.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20ee3e58264febb6941e44b59203fb">
              <w:r>
                <w:rPr>
                  <w:rStyle w:val="InternetLink"/>
                  <w:rFonts w:ascii="Times New Roman;serif" w:hAnsi="Times New Roman;serif"/>
                  <w:b w:val="false"/>
                  <w:strike w:val="false"/>
                  <w:dstrike w:val="false"/>
                  <w:color w:val="000000"/>
                  <w:sz w:val="22"/>
                  <w:u w:val="none"/>
                  <w:effect w:val="none"/>
                </w:rPr>
                <w:t>17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442f122dae24a1b9512a5b28badbb95">
              <w:r>
                <w:rPr>
                  <w:rStyle w:val="InternetLink"/>
                  <w:rFonts w:ascii="Times New Roman;serif" w:hAnsi="Times New Roman;serif"/>
                  <w:b w:val="false"/>
                  <w:strike w:val="false"/>
                  <w:dstrike w:val="false"/>
                  <w:color w:val="000000"/>
                  <w:sz w:val="22"/>
                  <w:u w:val="none"/>
                  <w:effect w:val="none"/>
                </w:rPr>
                <w:t>ARTICLE VIII.    </w:t>
                <w:br/>
                <w:br/>
                <w:t>MISCELLANEOUS PROVISIONS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42f122dae24a1b9512a5b28badbb95">
              <w:r>
                <w:rPr>
                  <w:rStyle w:val="InternetLink"/>
                  <w:rFonts w:ascii="Times New Roman;serif" w:hAnsi="Times New Roman;serif"/>
                  <w:b w:val="false"/>
                  <w:strike w:val="false"/>
                  <w:dstrike w:val="false"/>
                  <w:color w:val="000000"/>
                  <w:sz w:val="22"/>
                  <w:u w:val="none"/>
                  <w:effect w:val="none"/>
                </w:rPr>
                <w:t>19</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tbl>
      <w:tblPr>
        <w:tblW w:w="6991" w:type="dxa"/>
        <w:jc w:val="left"/>
        <w:tblInd w:w="0" w:type="dxa"/>
        <w:tblLayout w:type="fixed"/>
        <w:tblCellMar>
          <w:top w:w="28" w:type="dxa"/>
          <w:left w:w="28" w:type="dxa"/>
          <w:bottom w:w="28" w:type="dxa"/>
          <w:right w:w="28" w:type="dxa"/>
        </w:tblCellMar>
      </w:tblPr>
      <w:tblGrid>
        <w:gridCol w:w="2392"/>
        <w:gridCol w:w="2104"/>
        <w:gridCol w:w="2104"/>
        <w:gridCol w:w="114"/>
        <w:gridCol w:w="114"/>
        <w:gridCol w:w="163"/>
      </w:tblGrid>
      <w:tr>
        <w:trPr/>
        <w:tc>
          <w:tcPr>
            <w:tcW w:w="2392"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fafdcd1efa7348d798c443d6a68d0644">
              <w:r>
                <w:rPr>
                  <w:rStyle w:val="InternetLink"/>
                  <w:rFonts w:ascii="Times New Roman;serif" w:hAnsi="Times New Roman;serif"/>
                  <w:b w:val="false"/>
                  <w:strike w:val="false"/>
                  <w:dstrike w:val="false"/>
                  <w:color w:val="000000"/>
                  <w:sz w:val="22"/>
                  <w:u w:val="none"/>
                  <w:effect w:val="none"/>
                </w:rPr>
                <w:t>Section 8.01.    Amendment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dcd1efa7348d798c443d6a68d0644">
              <w:r>
                <w:rPr>
                  <w:rStyle w:val="InternetLink"/>
                  <w:rFonts w:ascii="Times New Roman;serif" w:hAnsi="Times New Roman;serif"/>
                  <w:b w:val="false"/>
                  <w:strike w:val="false"/>
                  <w:dstrike w:val="false"/>
                  <w:color w:val="000000"/>
                  <w:sz w:val="22"/>
                  <w:u w:val="none"/>
                  <w:effect w:val="none"/>
                </w:rPr>
                <w:t>19</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9c12b939fa724a9fbd489d4751a47478">
              <w:r>
                <w:rPr>
                  <w:rStyle w:val="InternetLink"/>
                  <w:rFonts w:ascii="Times New Roman;serif" w:hAnsi="Times New Roman;serif"/>
                  <w:b w:val="false"/>
                  <w:strike w:val="false"/>
                  <w:dstrike w:val="false"/>
                  <w:color w:val="000000"/>
                  <w:sz w:val="22"/>
                  <w:u w:val="none"/>
                  <w:effect w:val="none"/>
                </w:rPr>
                <w:t>Section 8.02.    Governing Law; Waiver of Trial by Jury; Jurisdiction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12b939fa724a9fbd489d4751a47478">
              <w:r>
                <w:rPr>
                  <w:rStyle w:val="InternetLink"/>
                  <w:rFonts w:ascii="Times New Roman;serif" w:hAnsi="Times New Roman;serif"/>
                  <w:b w:val="false"/>
                  <w:strike w:val="false"/>
                  <w:dstrike w:val="false"/>
                  <w:color w:val="000000"/>
                  <w:sz w:val="22"/>
                  <w:u w:val="none"/>
                  <w:effect w:val="none"/>
                </w:rPr>
                <w:t>19</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e1fc086314cd4935a8bccfc1970fcba5">
              <w:r>
                <w:rPr>
                  <w:rStyle w:val="InternetLink"/>
                  <w:rFonts w:ascii="Times New Roman;serif" w:hAnsi="Times New Roman;serif"/>
                  <w:b w:val="false"/>
                  <w:strike w:val="false"/>
                  <w:dstrike w:val="false"/>
                  <w:color w:val="000000"/>
                  <w:sz w:val="22"/>
                  <w:u w:val="none"/>
                  <w:effect w:val="none"/>
                </w:rPr>
                <w:t>Section 8.03.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fc086314cd4935a8bccfc1970fcba5">
              <w:r>
                <w:rPr>
                  <w:rStyle w:val="InternetLink"/>
                  <w:rFonts w:ascii="Times New Roman;serif" w:hAnsi="Times New Roman;serif"/>
                  <w:b w:val="false"/>
                  <w:strike w:val="false"/>
                  <w:dstrike w:val="false"/>
                  <w:color w:val="000000"/>
                  <w:sz w:val="22"/>
                  <w:u w:val="none"/>
                  <w:effect w:val="none"/>
                </w:rPr>
                <w:t>19</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2a552d6c2fce4202b1e451abc6e9cef7">
              <w:r>
                <w:rPr>
                  <w:rStyle w:val="InternetLink"/>
                  <w:rFonts w:ascii="Times New Roman;serif" w:hAnsi="Times New Roman;serif"/>
                  <w:b w:val="false"/>
                  <w:strike w:val="false"/>
                  <w:dstrike w:val="false"/>
                  <w:color w:val="000000"/>
                  <w:sz w:val="22"/>
                  <w:u w:val="none"/>
                  <w:effect w:val="none"/>
                </w:rPr>
                <w:t>Section 8.04.    Severability of Provisions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552d6c2fce4202b1e451abc6e9cef7">
              <w:r>
                <w:rPr>
                  <w:rStyle w:val="InternetLink"/>
                  <w:rFonts w:ascii="Times New Roman;serif" w:hAnsi="Times New Roman;serif"/>
                  <w:b w:val="false"/>
                  <w:strike w:val="false"/>
                  <w:dstrike w:val="false"/>
                  <w:color w:val="000000"/>
                  <w:sz w:val="22"/>
                  <w:u w:val="none"/>
                  <w:effect w:val="none"/>
                </w:rPr>
                <w:t>20</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bca75452a84a4bacb28513d5fcb708f8">
              <w:r>
                <w:rPr>
                  <w:rStyle w:val="InternetLink"/>
                  <w:rFonts w:ascii="Times New Roman;serif" w:hAnsi="Times New Roman;serif"/>
                  <w:b w:val="false"/>
                  <w:strike w:val="false"/>
                  <w:dstrike w:val="false"/>
                  <w:color w:val="000000"/>
                  <w:sz w:val="22"/>
                  <w:u w:val="none"/>
                  <w:effect w:val="none"/>
                </w:rPr>
                <w:t>Section 8.05.    Assignment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a75452a84a4bacb28513d5fcb708f8">
              <w:r>
                <w:rPr>
                  <w:rStyle w:val="InternetLink"/>
                  <w:rFonts w:ascii="Times New Roman;serif" w:hAnsi="Times New Roman;serif"/>
                  <w:b w:val="false"/>
                  <w:strike w:val="false"/>
                  <w:dstrike w:val="false"/>
                  <w:color w:val="000000"/>
                  <w:sz w:val="22"/>
                  <w:u w:val="none"/>
                  <w:effect w:val="none"/>
                </w:rPr>
                <w:t>21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fa7b0dd22c574b278e648cd8a388b5ba">
              <w:r>
                <w:rPr>
                  <w:rStyle w:val="InternetLink"/>
                  <w:rFonts w:ascii="Times New Roman;serif" w:hAnsi="Times New Roman;serif"/>
                  <w:b w:val="false"/>
                  <w:strike w:val="false"/>
                  <w:dstrike w:val="false"/>
                  <w:color w:val="000000"/>
                  <w:sz w:val="22"/>
                  <w:u w:val="none"/>
                  <w:effect w:val="none"/>
                </w:rPr>
                <w:t>Section 8.06.    Further Assurances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7b0dd22c574b278e648cd8a388b5ba">
              <w:r>
                <w:rPr>
                  <w:rStyle w:val="InternetLink"/>
                  <w:rFonts w:ascii="Times New Roman;serif" w:hAnsi="Times New Roman;serif"/>
                  <w:b w:val="false"/>
                  <w:strike w:val="false"/>
                  <w:dstrike w:val="false"/>
                  <w:color w:val="000000"/>
                  <w:sz w:val="22"/>
                  <w:u w:val="none"/>
                  <w:effect w:val="none"/>
                </w:rPr>
                <w:t>21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8c2027ada27d4d2980bf19f633e11652">
              <w:r>
                <w:rPr>
                  <w:rStyle w:val="InternetLink"/>
                  <w:rFonts w:ascii="Times New Roman;serif" w:hAnsi="Times New Roman;serif"/>
                  <w:b w:val="false"/>
                  <w:strike w:val="false"/>
                  <w:dstrike w:val="false"/>
                  <w:color w:val="000000"/>
                  <w:sz w:val="22"/>
                  <w:u w:val="none"/>
                  <w:effect w:val="none"/>
                </w:rPr>
                <w:t>Section 8.07.    Waiver; Cumulative Remedies; Waiver of Immunities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2027ada27d4d2980bf19f633e11652">
              <w:r>
                <w:rPr>
                  <w:rStyle w:val="InternetLink"/>
                  <w:rFonts w:ascii="Times New Roman;serif" w:hAnsi="Times New Roman;serif"/>
                  <w:b w:val="false"/>
                  <w:strike w:val="false"/>
                  <w:dstrike w:val="false"/>
                  <w:color w:val="000000"/>
                  <w:sz w:val="22"/>
                  <w:u w:val="none"/>
                  <w:effect w:val="none"/>
                </w:rPr>
                <w:t>21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ef790c1ff82e465db81772bc5940af77">
              <w:r>
                <w:rPr>
                  <w:rStyle w:val="InternetLink"/>
                  <w:rFonts w:ascii="Times New Roman;serif" w:hAnsi="Times New Roman;serif"/>
                  <w:b w:val="false"/>
                  <w:strike w:val="false"/>
                  <w:dstrike w:val="false"/>
                  <w:color w:val="000000"/>
                  <w:sz w:val="22"/>
                  <w:u w:val="none"/>
                  <w:effect w:val="none"/>
                </w:rPr>
                <w:t>Section 8.08.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790c1ff82e465db81772bc5940af77">
              <w:r>
                <w:rPr>
                  <w:rStyle w:val="InternetLink"/>
                  <w:rFonts w:ascii="Times New Roman;serif" w:hAnsi="Times New Roman;serif"/>
                  <w:b w:val="false"/>
                  <w:strike w:val="false"/>
                  <w:dstrike w:val="false"/>
                  <w:color w:val="000000"/>
                  <w:sz w:val="22"/>
                  <w:u w:val="none"/>
                  <w:effect w:val="none"/>
                </w:rPr>
                <w:t>21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52c5d115571a4a48a1ab4a5c3ce3d51f">
              <w:r>
                <w:rPr>
                  <w:rStyle w:val="InternetLink"/>
                  <w:rFonts w:ascii="Times New Roman;serif" w:hAnsi="Times New Roman;serif"/>
                  <w:b w:val="false"/>
                  <w:strike w:val="false"/>
                  <w:dstrike w:val="false"/>
                  <w:color w:val="000000"/>
                  <w:sz w:val="22"/>
                  <w:u w:val="none"/>
                  <w:effect w:val="none"/>
                </w:rPr>
                <w:t>Section 8.09.    Binding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c5d115571a4a48a1ab4a5c3ce3d51f">
              <w:r>
                <w:rPr>
                  <w:rStyle w:val="InternetLink"/>
                  <w:rFonts w:ascii="Times New Roman;serif" w:hAnsi="Times New Roman;serif"/>
                  <w:b w:val="false"/>
                  <w:strike w:val="false"/>
                  <w:dstrike w:val="false"/>
                  <w:color w:val="000000"/>
                  <w:sz w:val="22"/>
                  <w:u w:val="none"/>
                  <w:effect w:val="none"/>
                </w:rPr>
                <w:t>21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2c379dcba7394e8e9830be6ae3393f89">
              <w:r>
                <w:rPr>
                  <w:rStyle w:val="InternetLink"/>
                  <w:rFonts w:ascii="Times New Roman;serif" w:hAnsi="Times New Roman;serif"/>
                  <w:b w:val="false"/>
                  <w:strike w:val="false"/>
                  <w:dstrike w:val="false"/>
                  <w:color w:val="000000"/>
                  <w:sz w:val="22"/>
                  <w:u w:val="none"/>
                  <w:effect w:val="none"/>
                </w:rPr>
                <w:t>Section 8.10.    Merger and Integration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379dcba7394e8e9830be6ae3393f89">
              <w:r>
                <w:rPr>
                  <w:rStyle w:val="InternetLink"/>
                  <w:rFonts w:ascii="Times New Roman;serif" w:hAnsi="Times New Roman;serif"/>
                  <w:b w:val="false"/>
                  <w:strike w:val="false"/>
                  <w:dstrike w:val="false"/>
                  <w:color w:val="000000"/>
                  <w:sz w:val="22"/>
                  <w:u w:val="none"/>
                  <w:effect w:val="none"/>
                </w:rPr>
                <w:t>21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27a03b0d70274a89b853fbb6b0460e13">
              <w:r>
                <w:rPr>
                  <w:rStyle w:val="InternetLink"/>
                  <w:rFonts w:ascii="Times New Roman;serif" w:hAnsi="Times New Roman;serif"/>
                  <w:b w:val="false"/>
                  <w:strike w:val="false"/>
                  <w:dstrike w:val="false"/>
                  <w:color w:val="000000"/>
                  <w:sz w:val="22"/>
                  <w:u w:val="none"/>
                  <w:effect w:val="none"/>
                </w:rPr>
                <w:t>Section 8.11.    Headings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a03b0d70274a89b853fbb6b0460e13">
              <w:r>
                <w:rPr>
                  <w:rStyle w:val="InternetLink"/>
                  <w:rFonts w:ascii="Times New Roman;serif" w:hAnsi="Times New Roman;serif"/>
                  <w:b w:val="false"/>
                  <w:strike w:val="false"/>
                  <w:dstrike w:val="false"/>
                  <w:color w:val="000000"/>
                  <w:sz w:val="22"/>
                  <w:u w:val="none"/>
                  <w:effect w:val="none"/>
                </w:rPr>
                <w:t>21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cdfcadd8b98d415394ef8c1ecc5c02ee">
              <w:r>
                <w:rPr>
                  <w:rStyle w:val="InternetLink"/>
                  <w:rFonts w:ascii="Times New Roman;serif" w:hAnsi="Times New Roman;serif"/>
                  <w:b w:val="false"/>
                  <w:strike w:val="false"/>
                  <w:dstrike w:val="false"/>
                  <w:color w:val="000000"/>
                  <w:sz w:val="22"/>
                  <w:u w:val="none"/>
                  <w:effect w:val="none"/>
                </w:rPr>
                <w:t>Section 8.12.    Schedules and Exhibits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fcadd8b98d415394ef8c1ecc5c02ee">
              <w:r>
                <w:rPr>
                  <w:rStyle w:val="InternetLink"/>
                  <w:rFonts w:ascii="Times New Roman;serif" w:hAnsi="Times New Roman;serif"/>
                  <w:b w:val="false"/>
                  <w:strike w:val="false"/>
                  <w:dstrike w:val="false"/>
                  <w:color w:val="000000"/>
                  <w:sz w:val="22"/>
                  <w:u w:val="none"/>
                  <w:effect w:val="none"/>
                </w:rPr>
                <w:t>21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31a224969eb44a78a76273ef8ddc6bc5">
              <w:r>
                <w:rPr>
                  <w:rStyle w:val="InternetLink"/>
                  <w:rFonts w:ascii="Times New Roman;serif" w:hAnsi="Times New Roman;serif"/>
                  <w:b w:val="false"/>
                  <w:strike w:val="false"/>
                  <w:dstrike w:val="false"/>
                  <w:color w:val="000000"/>
                  <w:sz w:val="22"/>
                  <w:u w:val="none"/>
                  <w:effect w:val="none"/>
                </w:rPr>
                <w:t>Section 8.13.    Non-Petition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a224969eb44a78a76273ef8ddc6bc5">
              <w:r>
                <w:rPr>
                  <w:rStyle w:val="InternetLink"/>
                  <w:rFonts w:ascii="Times New Roman;serif" w:hAnsi="Times New Roman;serif"/>
                  <w:b w:val="false"/>
                  <w:strike w:val="false"/>
                  <w:dstrike w:val="false"/>
                  <w:color w:val="000000"/>
                  <w:sz w:val="22"/>
                  <w:u w:val="none"/>
                  <w:effect w:val="none"/>
                </w:rPr>
                <w:t>21</w:t>
              </w:r>
            </w:hyperlink>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36aa21763b424a2db8259ed222ef1290">
              <w:r>
                <w:rPr>
                  <w:rStyle w:val="InternetLink"/>
                  <w:rFonts w:ascii="Times New Roman;serif" w:hAnsi="Times New Roman;serif"/>
                  <w:b w:val="false"/>
                  <w:strike w:val="false"/>
                  <w:dstrike w:val="false"/>
                  <w:color w:val="000000"/>
                  <w:sz w:val="22"/>
                  <w:u w:val="none"/>
                  <w:effect w:val="none"/>
                </w:rPr>
                <w:t>Section 8.14.    Third Party Beneficiaries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a21763b424a2db8259ed222ef1290">
              <w:r>
                <w:rPr>
                  <w:rStyle w:val="InternetLink"/>
                  <w:rFonts w:ascii="Times New Roman;serif" w:hAnsi="Times New Roman;serif"/>
                  <w:b w:val="false"/>
                  <w:strike w:val="false"/>
                  <w:dstrike w:val="false"/>
                  <w:color w:val="000000"/>
                  <w:sz w:val="22"/>
                  <w:u w:val="none"/>
                  <w:effect w:val="none"/>
                </w:rPr>
                <w:t>21</w:t>
              </w:r>
            </w:hyperlink>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Exhibit A-1    Form of Jazz Notice and Instruction Letter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Exhibit A-2    Form of BeOne Notice and Instruction Letter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Exhibit B    Form of Bill of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 xml:space="preserve">SALE AGREEMENT </w:t>
      </w:r>
      <w:r>
        <w:rPr>
          <w:rFonts w:ascii="Times New Roman;serif" w:hAnsi="Times New Roman;serif"/>
          <w:b w:val="false"/>
          <w:color w:val="000000"/>
          <w:sz w:val="22"/>
        </w:rPr>
        <w:t>(this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March 2, 2026, is entered between Zymeworks BC Inc., a corporation organized and existing under the laws of British Columbia (“</w:t>
      </w:r>
      <w:r>
        <w:rPr>
          <w:rFonts w:ascii="Times New Roman;serif" w:hAnsi="Times New Roman;serif"/>
          <w:b w:val="false"/>
          <w:color w:val="000000"/>
          <w:sz w:val="22"/>
          <w:u w:val="single"/>
        </w:rPr>
        <w:t>Seller</w:t>
      </w:r>
      <w:r>
        <w:rPr>
          <w:color w:val="000000"/>
        </w:rPr>
        <w:t>”</w:t>
      </w:r>
      <w:r>
        <w:rPr>
          <w:rFonts w:ascii="Times New Roman;serif" w:hAnsi="Times New Roman;serif"/>
          <w:b w:val="false"/>
          <w:color w:val="000000"/>
          <w:sz w:val="22"/>
        </w:rPr>
        <w:t>), and Zymeworks Royalty Limited Partnership, a British Columbia limited partnership (“</w:t>
      </w:r>
      <w:r>
        <w:rPr>
          <w:rFonts w:ascii="Times New Roman;serif" w:hAnsi="Times New Roman;serif"/>
          <w:b w:val="false"/>
          <w:color w:val="000000"/>
          <w:sz w:val="22"/>
          <w:u w:val="single"/>
        </w:rPr>
        <w:t>Purchaser</w:t>
      </w:r>
      <w:r>
        <w:rPr>
          <w:color w:val="000000"/>
        </w:rPr>
        <w:t>”</w:t>
      </w:r>
      <w:r>
        <w:rPr>
          <w:rFonts w:ascii="Times New Roman;serif" w:hAnsi="Times New Roman;serif"/>
          <w:b w:val="false"/>
          <w:color w:val="000000"/>
          <w:sz w:val="22"/>
        </w:rPr>
        <w:t>), by its general partner, Zymeworks General Partner ULC, solely for the purposes of Article VII, Zymeworks Inc.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xml:space="preserve">), and, solely for purposes of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2.02(c)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III</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VIII</w:t>
      </w:r>
      <w:r>
        <w:rPr>
          <w:rFonts w:ascii="Times New Roman;serif" w:hAnsi="Times New Roman;serif"/>
          <w:b w:val="false"/>
          <w:color w:val="000000"/>
          <w:sz w:val="22"/>
        </w:rPr>
        <w:t>, Royalty Pharma Development Funding, LLC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RECITALS: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Seller desires to sell, assign, transfer and convey to Purchaser all of its right, title and interest in and to the Transferred Royalty Interest on the Closing Date in exchange for receiving from Purchaser the Purchase Price;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Purchaser desires to purchase and acquire all of Seller’s right, title and interest in and to the Transferred Royalty Interest on the Closing Date in exchange for paying to Seller the Purchase Price;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from and after the Closing Date, Purchaser desires Seller to perform certain duties, on behalf of Purchaser, with each Covered Agreement Counterparty (as defined in the Loan Agreement) under the Covered Agreements (as defined in the Loan Agreement) and to enforce, on Purchaser’s behalf, the Covered Agreements (including the collection and enforcement of the payment of the Transferred Royalty Interest under the Covered Agreements from time to time), and Seller desires to perform such limited actions on Purchaser’s behalf.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contained herein, and other good and valuable consideration, the receipt and adequacy of which is hereby acknowledged, the parties hereto agree as follows:</w:t>
      </w:r>
    </w:p>
    <w:p>
      <w:pPr>
        <w:pStyle w:val="TextBody"/>
        <w:bidi w:val="0"/>
        <w:spacing w:lineRule="auto" w:line="240" w:before="0" w:after="240"/>
        <w:jc w:val="center"/>
        <w:rPr/>
      </w:pPr>
      <w:bookmarkStart w:id="2" w:name="i9f543406b9fc450689481713a0bc3033"/>
      <w:bookmarkEnd w:id="2"/>
      <w:r>
        <w:rPr>
          <w:rFonts w:ascii="Times New Roman;serif" w:hAnsi="Times New Roman;serif"/>
          <w:b w:val="false"/>
          <w:color w:val="000000"/>
          <w:sz w:val="22"/>
        </w:rPr>
        <w:t>ARTICLE I.</w:t>
      </w:r>
      <w:r>
        <w:rPr>
          <w:rFonts w:ascii="Times New Roman;serif" w:hAnsi="Times New Roman;serif"/>
          <w:b w:val="false"/>
          <w:color w:val="000000"/>
          <w:sz w:val="22"/>
        </w:rPr>
        <w:br/>
        <w:br/>
        <w:t>DEFINITIONS</w:t>
      </w:r>
    </w:p>
    <w:p>
      <w:pPr>
        <w:pStyle w:val="TextBody"/>
        <w:bidi w:val="0"/>
        <w:spacing w:lineRule="auto" w:line="240" w:before="0" w:after="0"/>
        <w:ind w:left="0" w:right="0" w:firstLine="720"/>
        <w:jc w:val="both"/>
        <w:rPr/>
      </w:pPr>
      <w:bookmarkStart w:id="3" w:name="i167e556e2b2346448361940feed2ff9c"/>
      <w:bookmarkEnd w:id="3"/>
      <w:r>
        <w:rPr>
          <w:rFonts w:ascii="Times New Roman;serif" w:hAnsi="Times New Roman;serif"/>
          <w:b w:val="false"/>
          <w:color w:val="000000"/>
          <w:sz w:val="22"/>
        </w:rPr>
        <w:t>Section 1.01.</w:t>
      </w:r>
      <w:r>
        <w:rPr>
          <w:rFonts w:ascii="Times New Roman;serif" w:hAnsi="Times New Roman;serif"/>
          <w:b w:val="false"/>
          <w:color w:val="000000"/>
          <w:sz w:val="22"/>
          <w:u w:val="single"/>
        </w:rPr>
        <w:t>Definitions</w:t>
      </w:r>
      <w:r>
        <w:rPr>
          <w:rFonts w:ascii="Times New Roman;serif" w:hAnsi="Times New Roman;serif"/>
          <w:b w:val="false"/>
          <w:color w:val="000000"/>
          <w:sz w:val="22"/>
        </w:rPr>
        <w:t xml:space="preserve">. Unless otherwise defined in this Agreement (including in this </w:t>
      </w:r>
      <w:r>
        <w:rPr>
          <w:rFonts w:ascii="Times New Roman;serif" w:hAnsi="Times New Roman;serif"/>
          <w:b w:val="false"/>
          <w:color w:val="000000"/>
          <w:sz w:val="22"/>
          <w:u w:val="single"/>
        </w:rPr>
        <w:t>Section 1.01</w:t>
      </w:r>
      <w:r>
        <w:rPr>
          <w:rFonts w:ascii="Times New Roman;serif" w:hAnsi="Times New Roman;serif"/>
          <w:b w:val="false"/>
          <w:color w:val="000000"/>
          <w:sz w:val="22"/>
        </w:rPr>
        <w:t>), capitalized terms used herein, including in the exhibits hereto, shall have the meanings set forth in the Loan Agreement.</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2"/>
          <w:u w:val="single"/>
        </w:rPr>
        <w:t>Agent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5.01</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Agent Termination Event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5.04</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BeOne Net Sales</w:t>
      </w:r>
      <w:r>
        <w:rPr>
          <w:color w:val="000000"/>
        </w:rPr>
        <w:t xml:space="preserve">” </w:t>
      </w:r>
      <w:r>
        <w:rPr>
          <w:rFonts w:ascii="Times New Roman;serif" w:hAnsi="Times New Roman;serif"/>
          <w:b w:val="false"/>
          <w:color w:val="000000"/>
          <w:sz w:val="22"/>
        </w:rPr>
        <w:t>has the meaning ascribed to the term “Net Sales” in Section 1.41 (Net Sales) of the BeOne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BeOne Notice and Instruction Letter</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2.02(c</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BeOne Transferred Royalties</w:t>
      </w:r>
      <w:r>
        <w:rPr>
          <w:color w:val="000000"/>
        </w:rPr>
        <w:t xml:space="preserve">” </w:t>
      </w:r>
      <w:r>
        <w:rPr>
          <w:rFonts w:ascii="Times New Roman;serif" w:hAnsi="Times New Roman;serif"/>
          <w:b w:val="false"/>
          <w:color w:val="000000"/>
          <w:sz w:val="22"/>
        </w:rPr>
        <w:t>means, for each calendar year commencing on or after January 1, 2026, during the BeOne Royalty Term:</w:t>
      </w:r>
    </w:p>
    <w:p>
      <w:pPr>
        <w:pStyle w:val="TextBody"/>
        <w:bidi w:val="0"/>
        <w:spacing w:lineRule="auto" w:line="240" w:before="0" w:after="240"/>
        <w:ind w:left="0" w:right="0" w:firstLine="1440"/>
        <w:jc w:val="both"/>
        <w:rPr/>
      </w:pPr>
      <w:bookmarkStart w:id="4" w:name="ie08b3262924143bfbb599b998e1d20a9"/>
      <w:bookmarkEnd w:id="4"/>
      <w:r>
        <w:rPr>
          <w:rFonts w:ascii="Times New Roman;serif" w:hAnsi="Times New Roman;serif"/>
          <w:b w:val="false"/>
          <w:color w:val="000000"/>
          <w:sz w:val="22"/>
        </w:rPr>
        <w:t>(a)</w:t>
      </w:r>
      <w:r>
        <w:rPr>
          <w:rFonts w:ascii="Times New Roman;serif" w:hAnsi="Times New Roman;serif"/>
          <w:b w:val="false"/>
          <w:color w:val="000000"/>
          <w:sz w:val="22"/>
        </w:rPr>
        <w:t xml:space="preserve">an amount equal to the aggregate BeOne Net Sales of Licensed Products in the BeOne Territory occurring during such calendar year (or applicable portion thereof, with respect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final calendar year) multiplied by the applicable royalty rates set forth below, in each case subject to any applicable Permitted Royalty Reductions, if any, which Permitted Royalty Reductions shall be applied on a </w:t>
      </w:r>
      <w:r>
        <w:rPr>
          <w:rFonts w:ascii="Times New Roman;serif" w:hAnsi="Times New Roman;serif"/>
          <w:b w:val="false"/>
          <w:i/>
          <w:color w:val="000000"/>
          <w:sz w:val="22"/>
        </w:rPr>
        <w:t xml:space="preserve">pro rata </w:t>
      </w:r>
      <w:r>
        <w:rPr>
          <w:rFonts w:ascii="Times New Roman;serif" w:hAnsi="Times New Roman;serif"/>
          <w:b w:val="false"/>
          <w:color w:val="000000"/>
          <w:sz w:val="22"/>
        </w:rPr>
        <w:t>basis based on the relative ownership of the royalty between the Seller and the Purchaser as of the Closing Date (provided that, for clarity, in no case may more than 30% of any Permitted Royalty Reduction be applied to the applicable royalty rates set forth below, including if the Seller has disposed of any portion of its retained interest in, or agreed to reduce any of, the Zani Royalties):</w:t>
      </w:r>
    </w:p>
    <w:tbl>
      <w:tblPr>
        <w:tblW w:w="10205" w:type="dxa"/>
        <w:jc w:val="left"/>
        <w:tblInd w:w="0" w:type="dxa"/>
        <w:tblLayout w:type="fixed"/>
        <w:tblCellMar>
          <w:top w:w="28" w:type="dxa"/>
          <w:left w:w="28" w:type="dxa"/>
          <w:bottom w:w="28" w:type="dxa"/>
          <w:right w:w="28" w:type="dxa"/>
        </w:tblCellMar>
      </w:tblPr>
      <w:tblGrid>
        <w:gridCol w:w="3188"/>
        <w:gridCol w:w="2801"/>
        <w:gridCol w:w="2814"/>
        <w:gridCol w:w="409"/>
        <w:gridCol w:w="409"/>
        <w:gridCol w:w="584"/>
      </w:tblGrid>
      <w:tr>
        <w:trPr/>
        <w:tc>
          <w:tcPr>
            <w:tcW w:w="3188"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8803" w:type="dxa"/>
            <w:gridSpan w:val="3"/>
            <w:tcBorders>
              <w:top w:val="single" w:sz="6" w:space="0" w:color="000000"/>
              <w:left w:val="single" w:sz="6"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Calendar Year, Net Sales of Licensed Products (as defined in the BeOne Agreement) in the BeOne</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Territory</w:t>
            </w:r>
          </w:p>
        </w:tc>
        <w:tc>
          <w:tcPr>
            <w:tcW w:w="1402"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Royalty Rate</w:t>
            </w:r>
          </w:p>
        </w:tc>
      </w:tr>
      <w:tr>
        <w:trPr/>
        <w:tc>
          <w:tcPr>
            <w:tcW w:w="880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1. [***]</w:t>
            </w:r>
          </w:p>
        </w:tc>
        <w:tc>
          <w:tcPr>
            <w:tcW w:w="140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880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2. [***]</w:t>
            </w:r>
          </w:p>
        </w:tc>
        <w:tc>
          <w:tcPr>
            <w:tcW w:w="140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880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3. [***]</w:t>
            </w:r>
          </w:p>
        </w:tc>
        <w:tc>
          <w:tcPr>
            <w:tcW w:w="140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880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4. [***]</w:t>
            </w:r>
          </w:p>
        </w:tc>
        <w:tc>
          <w:tcPr>
            <w:tcW w:w="1402" w:type="dxa"/>
            <w:gridSpan w:val="3"/>
            <w:tcBorders>
              <w:top w:val="single" w:sz="6" w:space="0" w:color="000000"/>
              <w:left w:val="single" w:sz="6" w:space="0" w:color="000000"/>
              <w:right w:val="single" w:sz="6" w:space="0" w:color="000000"/>
            </w:tcBorders>
            <w:tcMar>
              <w:top w:w="30" w:type="dxa"/>
              <w:bottom w:w="0" w:type="dxa"/>
              <w:right w:w="75"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880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5. [***]</w:t>
            </w:r>
          </w:p>
        </w:tc>
        <w:tc>
          <w:tcPr>
            <w:tcW w:w="1402" w:type="dxa"/>
            <w:gridSpan w:val="3"/>
            <w:tcBorders>
              <w:top w:val="single" w:sz="6" w:space="0" w:color="000000"/>
              <w:left w:val="single" w:sz="6" w:space="0" w:color="000000"/>
              <w:bottom w:val="single" w:sz="6" w:space="0" w:color="000000"/>
              <w:right w:val="single" w:sz="6" w:space="0" w:color="000000"/>
            </w:tcBorders>
            <w:tcMar>
              <w:top w:w="30" w:type="dxa"/>
              <w:bottom w:w="30" w:type="dxa"/>
              <w:right w:w="75"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lineRule="auto" w:line="240" w:before="0" w:after="240"/>
        <w:ind w:left="0" w:right="0" w:firstLine="1440"/>
        <w:jc w:val="both"/>
        <w:rPr/>
      </w:pPr>
      <w:bookmarkStart w:id="5" w:name="i1dec6b3ad85b41b5ace06197c7d0016c"/>
      <w:bookmarkEnd w:id="5"/>
      <w:r>
        <w:rPr>
          <w:rFonts w:ascii="Times New Roman;serif" w:hAnsi="Times New Roman;serif"/>
          <w:b w:val="false"/>
          <w:color w:val="000000"/>
          <w:sz w:val="22"/>
        </w:rPr>
        <w:t>(b)</w:t>
      </w:r>
      <w:r>
        <w:rPr>
          <w:rFonts w:ascii="Times New Roman;serif" w:hAnsi="Times New Roman;serif"/>
          <w:b w:val="false"/>
          <w:color w:val="000000"/>
          <w:sz w:val="22"/>
        </w:rPr>
        <w:t>any payments or amounts payable to Seller under Section 9.10(b) of the BeOne Agreement in respect of the amounts referred to in the preceding clause (a);</w:t>
      </w:r>
    </w:p>
    <w:p>
      <w:pPr>
        <w:pStyle w:val="TextBody"/>
        <w:bidi w:val="0"/>
        <w:spacing w:lineRule="auto" w:line="240" w:before="0" w:after="240"/>
        <w:ind w:left="0" w:right="0" w:firstLine="1440"/>
        <w:jc w:val="both"/>
        <w:rPr/>
      </w:pPr>
      <w:bookmarkStart w:id="6" w:name="i7f96a92fc835472ba50f95e21fb863a1"/>
      <w:bookmarkEnd w:id="6"/>
      <w:r>
        <w:rPr>
          <w:rFonts w:ascii="Times New Roman;serif" w:hAnsi="Times New Roman;serif"/>
          <w:b w:val="false"/>
          <w:color w:val="000000"/>
          <w:sz w:val="22"/>
        </w:rPr>
        <w:t>(c)</w:t>
      </w:r>
      <w:r>
        <w:rPr>
          <w:rFonts w:ascii="Times New Roman;serif" w:hAnsi="Times New Roman;serif"/>
          <w:b w:val="false"/>
          <w:color w:val="000000"/>
          <w:sz w:val="22"/>
        </w:rPr>
        <w:t>any payments, proceeds or amounts payable to Seller under Section 14.3(d) of the BeOne Agreement in respect of the amounts referred to in the preceding clause (a);</w:t>
      </w:r>
    </w:p>
    <w:p>
      <w:pPr>
        <w:pStyle w:val="TextBody"/>
        <w:bidi w:val="0"/>
        <w:spacing w:lineRule="auto" w:line="240" w:before="0" w:after="240"/>
        <w:ind w:left="0" w:right="0" w:firstLine="1440"/>
        <w:jc w:val="both"/>
        <w:rPr/>
      </w:pPr>
      <w:bookmarkStart w:id="7" w:name="i67a3fa208db142ab96ef1da764b0fb4b"/>
      <w:bookmarkEnd w:id="7"/>
      <w:r>
        <w:rPr>
          <w:rFonts w:ascii="Times New Roman;serif" w:hAnsi="Times New Roman;serif"/>
          <w:b w:val="false"/>
          <w:color w:val="000000"/>
          <w:sz w:val="22"/>
        </w:rPr>
        <w:t>(d)</w:t>
      </w:r>
      <w:r>
        <w:rPr>
          <w:rFonts w:ascii="Times New Roman;serif" w:hAnsi="Times New Roman;serif"/>
          <w:b w:val="false"/>
          <w:color w:val="000000"/>
          <w:sz w:val="22"/>
        </w:rPr>
        <w:t>any payments or amounts payable to Seller in lieu of or that compensate for a reduction in such payments of the foregoing clauses (a)–(c) (including (i) under Section 13.1 of the BeOne Agreement and (ii) pursuant to 11 U.S. Code § 365(n) or the comparable provisions of the CCAA and the BIA); and</w:t>
      </w:r>
    </w:p>
    <w:p>
      <w:pPr>
        <w:pStyle w:val="TextBody"/>
        <w:bidi w:val="0"/>
        <w:spacing w:lineRule="auto" w:line="240" w:before="0" w:after="240"/>
        <w:ind w:left="0" w:right="0" w:firstLine="1440"/>
        <w:jc w:val="both"/>
        <w:rPr/>
      </w:pPr>
      <w:bookmarkStart w:id="8" w:name="iaebeb9c7fb084aff903bee5d87e8b280"/>
      <w:bookmarkEnd w:id="8"/>
      <w:r>
        <w:rPr>
          <w:rFonts w:ascii="Times New Roman;serif" w:hAnsi="Times New Roman;serif"/>
          <w:b w:val="false"/>
          <w:color w:val="000000"/>
          <w:sz w:val="22"/>
        </w:rPr>
        <w:t>(e)</w:t>
      </w:r>
      <w:r>
        <w:rPr>
          <w:rFonts w:ascii="Times New Roman;serif" w:hAnsi="Times New Roman;serif"/>
          <w:b w:val="false"/>
          <w:color w:val="000000"/>
          <w:sz w:val="22"/>
        </w:rPr>
        <w:t>any and all interest payments to Seller under Section 9.9 of the BeOne Agreement assessed on any payments or amounts described in the foregoing clauses (a)-(d).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BeOne Royalty Term</w:t>
      </w:r>
      <w:r>
        <w:rPr>
          <w:color w:val="000000"/>
        </w:rPr>
        <w:t xml:space="preserve">” </w:t>
      </w:r>
      <w:r>
        <w:rPr>
          <w:rFonts w:ascii="Times New Roman;serif" w:hAnsi="Times New Roman;serif"/>
          <w:b w:val="false"/>
          <w:color w:val="000000"/>
          <w:sz w:val="22"/>
        </w:rPr>
        <w:t>has the meaning ascribed to the term “Royalty Term” in Section 9.5(b) (Royalty Term) of the BeOne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BeOne Territory</w:t>
      </w:r>
      <w:r>
        <w:rPr>
          <w:color w:val="000000"/>
        </w:rPr>
        <w:t xml:space="preserve">” </w:t>
      </w:r>
      <w:r>
        <w:rPr>
          <w:rFonts w:ascii="Times New Roman;serif" w:hAnsi="Times New Roman;serif"/>
          <w:b w:val="false"/>
          <w:color w:val="000000"/>
          <w:sz w:val="22"/>
        </w:rPr>
        <w:t>has the meaning ascribed to the term “Territory” in Section 1.54 (Territory) of the BeOne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has the meaning ascribed to such term in each of the Covered Agreements.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Definitive Monetization Agreement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4.01(r)</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Indemnified Party</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Jazz Net Sales</w:t>
      </w:r>
      <w:r>
        <w:rPr>
          <w:color w:val="000000"/>
        </w:rPr>
        <w:t xml:space="preserve">” </w:t>
      </w:r>
      <w:r>
        <w:rPr>
          <w:rFonts w:ascii="Times New Roman;serif" w:hAnsi="Times New Roman;serif"/>
          <w:b w:val="false"/>
          <w:color w:val="000000"/>
          <w:sz w:val="22"/>
        </w:rPr>
        <w:t>has the meaning ascribed to the term “Net Sales” in Section 1.53 (Net Sales) of the Jazz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Jazz Notice and Instruction Letter</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2.02(c</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Jazz Transferred Royalties</w:t>
      </w:r>
      <w:r>
        <w:rPr>
          <w:color w:val="000000"/>
        </w:rPr>
        <w:t xml:space="preserve">” </w:t>
      </w:r>
      <w:r>
        <w:rPr>
          <w:rFonts w:ascii="Times New Roman;serif" w:hAnsi="Times New Roman;serif"/>
          <w:b w:val="false"/>
          <w:color w:val="000000"/>
          <w:sz w:val="22"/>
        </w:rPr>
        <w:t>means, for each calendar year commencing on or after January 1, 2026, during the Jazz Royalty Term:</w:t>
      </w:r>
    </w:p>
    <w:p>
      <w:pPr>
        <w:pStyle w:val="TextBody"/>
        <w:bidi w:val="0"/>
        <w:spacing w:lineRule="auto" w:line="240" w:before="0" w:after="240"/>
        <w:ind w:left="0" w:right="0" w:firstLine="1440"/>
        <w:jc w:val="both"/>
        <w:rPr/>
      </w:pPr>
      <w:bookmarkStart w:id="9" w:name="if06ae556e0ba4e6f8e48e3b316db1bb4"/>
      <w:bookmarkEnd w:id="9"/>
      <w:r>
        <w:rPr>
          <w:rFonts w:ascii="Times New Roman;serif" w:hAnsi="Times New Roman;serif"/>
          <w:b w:val="false"/>
          <w:color w:val="000000"/>
          <w:sz w:val="22"/>
        </w:rPr>
        <w:t>(a)</w:t>
      </w:r>
      <w:r>
        <w:rPr>
          <w:rFonts w:ascii="Times New Roman;serif" w:hAnsi="Times New Roman;serif"/>
          <w:b w:val="false"/>
          <w:color w:val="000000"/>
          <w:sz w:val="22"/>
        </w:rPr>
        <w:t xml:space="preserve">an amount equal to the aggregate Jazz Net Sales of Licensed Products in the Jazz Territory occurring during such calendar year (or applicable portion thereof, with respect to the final calendar year) multiplied by the applicable royalty rates set forth below, in each case subject to any applicable Permitted Royalty Reductions, if any, which Permitted Royalty Reductions shall be applied on a </w:t>
      </w:r>
      <w:r>
        <w:rPr>
          <w:rFonts w:ascii="Times New Roman;serif" w:hAnsi="Times New Roman;serif"/>
          <w:b w:val="false"/>
          <w:i/>
          <w:color w:val="000000"/>
          <w:sz w:val="22"/>
        </w:rPr>
        <w:t xml:space="preserve">pro rata </w:t>
      </w:r>
      <w:r>
        <w:rPr>
          <w:rFonts w:ascii="Times New Roman;serif" w:hAnsi="Times New Roman;serif"/>
          <w:b w:val="false"/>
          <w:color w:val="000000"/>
          <w:sz w:val="22"/>
        </w:rPr>
        <w:t>basis based on the relative ownership of the royalty between the Seller and the Purchaser as of the Closing Date (provided that, for clarity, in no case may more than 30% of any Permitted Royalty Reduction be applied to the applicable royalty rates set forth below, including if the Seller has disposed of any portion of its retained interest in, or agreed to reduce any of, the Zani Royalties):</w:t>
      </w:r>
    </w:p>
    <w:tbl>
      <w:tblPr>
        <w:tblW w:w="10205" w:type="dxa"/>
        <w:jc w:val="left"/>
        <w:tblInd w:w="0" w:type="dxa"/>
        <w:tblLayout w:type="fixed"/>
        <w:tblCellMar>
          <w:top w:w="28" w:type="dxa"/>
          <w:left w:w="28" w:type="dxa"/>
          <w:bottom w:w="28" w:type="dxa"/>
          <w:right w:w="28" w:type="dxa"/>
        </w:tblCellMar>
      </w:tblPr>
      <w:tblGrid>
        <w:gridCol w:w="1634"/>
        <w:gridCol w:w="1433"/>
        <w:gridCol w:w="1433"/>
        <w:gridCol w:w="1433"/>
        <w:gridCol w:w="1433"/>
        <w:gridCol w:w="1467"/>
        <w:gridCol w:w="213"/>
        <w:gridCol w:w="213"/>
        <w:gridCol w:w="213"/>
        <w:gridCol w:w="213"/>
        <w:gridCol w:w="213"/>
        <w:gridCol w:w="307"/>
      </w:tblGrid>
      <w:tr>
        <w:trPr/>
        <w:tc>
          <w:tcPr>
            <w:tcW w:w="163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8833"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Calendar Year, Net Sales of Licensed Products (as defined in the Jazz Agreement) in the Jazz Territory</w:t>
            </w:r>
          </w:p>
        </w:tc>
        <w:tc>
          <w:tcPr>
            <w:tcW w:w="1372"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Royalty Rate</w:t>
            </w:r>
          </w:p>
        </w:tc>
      </w:tr>
      <w:tr>
        <w:trPr/>
        <w:tc>
          <w:tcPr>
            <w:tcW w:w="8833"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1. [***]</w:t>
            </w:r>
          </w:p>
        </w:tc>
        <w:tc>
          <w:tcPr>
            <w:tcW w:w="1372" w:type="dxa"/>
            <w:gridSpan w:val="6"/>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8833"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2. [***]</w:t>
            </w:r>
          </w:p>
        </w:tc>
        <w:tc>
          <w:tcPr>
            <w:tcW w:w="1372" w:type="dxa"/>
            <w:gridSpan w:val="6"/>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8833"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3. [***]</w:t>
            </w:r>
          </w:p>
        </w:tc>
        <w:tc>
          <w:tcPr>
            <w:tcW w:w="1372" w:type="dxa"/>
            <w:gridSpan w:val="6"/>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8833"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4. [***]</w:t>
            </w:r>
          </w:p>
        </w:tc>
        <w:tc>
          <w:tcPr>
            <w:tcW w:w="1372" w:type="dxa"/>
            <w:gridSpan w:val="6"/>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50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5. [***]</w:t>
            </w:r>
          </w:p>
        </w:tc>
        <w:tc>
          <w:tcPr>
            <w:tcW w:w="4972"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733" w:type="dxa"/>
            <w:gridSpan w:val="3"/>
            <w:tcBorders>
              <w:top w:val="single" w:sz="4"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6. [***]</w:t>
            </w:r>
          </w:p>
        </w:tc>
        <w:tc>
          <w:tcPr>
            <w:tcW w:w="4972"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733"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240"/>
        <w:ind w:left="0" w:right="0" w:firstLine="1440"/>
        <w:jc w:val="both"/>
        <w:rPr/>
      </w:pPr>
      <w:bookmarkStart w:id="10" w:name="ia893dcbfad1e457f8ac36de523aeec50"/>
      <w:bookmarkEnd w:id="10"/>
      <w:r>
        <w:rPr>
          <w:rFonts w:ascii="Times New Roman;serif" w:hAnsi="Times New Roman;serif"/>
          <w:b w:val="false"/>
          <w:color w:val="000000"/>
          <w:sz w:val="22"/>
        </w:rPr>
        <w:t>(b)</w:t>
      </w:r>
      <w:r>
        <w:rPr>
          <w:rFonts w:ascii="Times New Roman;serif" w:hAnsi="Times New Roman;serif"/>
          <w:b w:val="false"/>
          <w:color w:val="000000"/>
          <w:sz w:val="22"/>
        </w:rPr>
        <w:t>any payments or amounts payable to Seller under Section 9.10(b) of the Jazz Agreement in respect of the amounts referred to in the preceding clause (a);</w:t>
      </w:r>
    </w:p>
    <w:p>
      <w:pPr>
        <w:pStyle w:val="TextBody"/>
        <w:bidi w:val="0"/>
        <w:spacing w:lineRule="auto" w:line="240" w:before="0" w:after="240"/>
        <w:ind w:left="0" w:right="0" w:firstLine="1440"/>
        <w:jc w:val="both"/>
        <w:rPr/>
      </w:pPr>
      <w:bookmarkStart w:id="11" w:name="ia98742616ae44696a1062a18064b0b56"/>
      <w:bookmarkEnd w:id="11"/>
      <w:r>
        <w:rPr>
          <w:rFonts w:ascii="Times New Roman;serif" w:hAnsi="Times New Roman;serif"/>
          <w:b w:val="false"/>
          <w:color w:val="000000"/>
          <w:sz w:val="22"/>
        </w:rPr>
        <w:t>(c)</w:t>
      </w:r>
      <w:r>
        <w:rPr>
          <w:rFonts w:ascii="Times New Roman;serif" w:hAnsi="Times New Roman;serif"/>
          <w:b w:val="false"/>
          <w:color w:val="000000"/>
          <w:sz w:val="22"/>
        </w:rPr>
        <w:t>any payments or amounts payable to Seller under Section 14.4(d) of the Jazz Agreement in respect of the amounts referred to in the preceding clause (a);</w:t>
      </w:r>
    </w:p>
    <w:p>
      <w:pPr>
        <w:pStyle w:val="TextBody"/>
        <w:bidi w:val="0"/>
        <w:spacing w:lineRule="auto" w:line="240" w:before="0" w:after="240"/>
        <w:ind w:left="0" w:right="0" w:firstLine="1440"/>
        <w:jc w:val="both"/>
        <w:rPr/>
      </w:pPr>
      <w:bookmarkStart w:id="12" w:name="i0aee7f0c7b434353b30cccc5170dc649"/>
      <w:bookmarkEnd w:id="12"/>
      <w:r>
        <w:rPr>
          <w:rFonts w:ascii="Times New Roman;serif" w:hAnsi="Times New Roman;serif"/>
          <w:b w:val="false"/>
          <w:color w:val="000000"/>
          <w:sz w:val="22"/>
        </w:rPr>
        <w:t>(d)</w:t>
      </w:r>
      <w:r>
        <w:rPr>
          <w:rFonts w:ascii="Times New Roman;serif" w:hAnsi="Times New Roman;serif"/>
          <w:b w:val="false"/>
          <w:color w:val="000000"/>
          <w:sz w:val="22"/>
        </w:rPr>
        <w:t>any other payments or amounts payable to Seller in lieu of or that compensate for a reduction in such payments of the foregoing clauses (a)–(c) (including (i) under Section 13.1 of the Jazz Agreement and (ii) pursuant to 11 U.S. Code § 365(n) or the comparable provisions of the CCAA and the BIA); and</w:t>
      </w:r>
    </w:p>
    <w:p>
      <w:pPr>
        <w:pStyle w:val="TextBody"/>
        <w:bidi w:val="0"/>
        <w:spacing w:lineRule="auto" w:line="240" w:before="0" w:after="240"/>
        <w:ind w:left="0" w:right="0" w:firstLine="1440"/>
        <w:jc w:val="both"/>
        <w:rPr/>
      </w:pPr>
      <w:bookmarkStart w:id="13" w:name="i941fd355b10342bf9d06dba97c57be00"/>
      <w:bookmarkEnd w:id="13"/>
      <w:r>
        <w:rPr>
          <w:rFonts w:ascii="Times New Roman;serif" w:hAnsi="Times New Roman;serif"/>
          <w:b w:val="false"/>
          <w:color w:val="000000"/>
          <w:sz w:val="22"/>
        </w:rPr>
        <w:t>(e)</w:t>
      </w:r>
      <w:r>
        <w:rPr>
          <w:rFonts w:ascii="Times New Roman;serif" w:hAnsi="Times New Roman;serif"/>
          <w:b w:val="false"/>
          <w:color w:val="000000"/>
          <w:sz w:val="22"/>
        </w:rPr>
        <w:t>any and all interest payments to Seller under Section 9.9 of the Jazz Agreement assessed on any payments or amounts described in the foregoing clauses (a)-(d).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Jazz Royalty Term</w:t>
      </w:r>
      <w:r>
        <w:rPr>
          <w:color w:val="000000"/>
        </w:rPr>
        <w:t xml:space="preserve">” </w:t>
      </w:r>
      <w:r>
        <w:rPr>
          <w:rFonts w:ascii="Times New Roman;serif" w:hAnsi="Times New Roman;serif"/>
          <w:b w:val="false"/>
          <w:color w:val="000000"/>
          <w:sz w:val="22"/>
        </w:rPr>
        <w:t>has the meaning ascribed to the term “Royalty Term” in Section 9.6(b) (Royalty Term) of the Jazz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Jazz Territory</w:t>
      </w:r>
      <w:r>
        <w:rPr>
          <w:color w:val="000000"/>
        </w:rPr>
        <w:t xml:space="preserve">” </w:t>
      </w:r>
      <w:r>
        <w:rPr>
          <w:rFonts w:ascii="Times New Roman;serif" w:hAnsi="Times New Roman;serif"/>
          <w:b w:val="false"/>
          <w:color w:val="000000"/>
          <w:sz w:val="22"/>
        </w:rPr>
        <w:t>has the meaning ascribed to the term “Territory” in Section 1.67 (Territory) of the Jazz Agreement.</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Know-How</w:t>
      </w:r>
      <w:r>
        <w:rPr>
          <w:color w:val="000000"/>
        </w:rPr>
        <w:t xml:space="preserve">” </w:t>
      </w:r>
      <w:r>
        <w:rPr>
          <w:rFonts w:ascii="Times New Roman;serif" w:hAnsi="Times New Roman;serif"/>
          <w:b w:val="false"/>
          <w:color w:val="000000"/>
          <w:sz w:val="22"/>
        </w:rPr>
        <w:t>has the meaning ascribed to such term in each of the Covered Agreements.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Licensed Products</w:t>
      </w:r>
      <w:r>
        <w:rPr>
          <w:color w:val="000000"/>
        </w:rPr>
        <w:t xml:space="preserve">” </w:t>
      </w:r>
      <w:r>
        <w:rPr>
          <w:rFonts w:ascii="Times New Roman;serif" w:hAnsi="Times New Roman;serif"/>
          <w:b w:val="false"/>
          <w:color w:val="000000"/>
          <w:sz w:val="22"/>
        </w:rPr>
        <w:t>has the meaning ascribed to such term in each of the Covered Agreements.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 Agreement</w:t>
      </w:r>
      <w:r>
        <w:rPr>
          <w:color w:val="000000"/>
        </w:rPr>
        <w:t xml:space="preserve">” </w:t>
      </w:r>
      <w:r>
        <w:rPr>
          <w:rFonts w:ascii="Times New Roman;serif" w:hAnsi="Times New Roman;serif"/>
          <w:b w:val="false"/>
          <w:color w:val="000000"/>
          <w:sz w:val="22"/>
        </w:rPr>
        <w:t>means that certain Loan Agreement, dated as of the date hereof, among Purchaser, as Borrower, the lenders from time to time party thereto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Administrative Agent, as administrative agent for the Lenders, as such Loan Agreement may be amended, restated, supplemented or otherwise modified from time to time, in accordance with the terms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Losses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LP-Specific Zyme IP</w:t>
      </w:r>
      <w:r>
        <w:rPr>
          <w:color w:val="000000"/>
        </w:rPr>
        <w:t xml:space="preserve">” </w:t>
      </w:r>
      <w:r>
        <w:rPr>
          <w:rFonts w:ascii="Times New Roman;serif" w:hAnsi="Times New Roman;serif"/>
          <w:b w:val="false"/>
          <w:color w:val="000000"/>
          <w:sz w:val="22"/>
        </w:rPr>
        <w:t xml:space="preserve">means all Zymeworks IP, excluding all Patent Rights and Know How controlled by Seller or any of its affiliates that cover, claim, or are embodied in, the Zymeworks Platform; it being understood that the Patent Rights set forth on Part II of </w:t>
      </w:r>
      <w:r>
        <w:rPr>
          <w:rFonts w:ascii="Times New Roman;serif" w:hAnsi="Times New Roman;serif"/>
          <w:b w:val="false"/>
          <w:color w:val="000000"/>
          <w:sz w:val="22"/>
          <w:u w:val="single"/>
        </w:rPr>
        <w:t>Schedule 7.01(ee)</w:t>
      </w:r>
      <w:r>
        <w:rPr>
          <w:color w:val="000000"/>
        </w:rPr>
        <w:t xml:space="preserve"> </w:t>
      </w:r>
      <w:r>
        <w:rPr>
          <w:rFonts w:ascii="Times New Roman;serif" w:hAnsi="Times New Roman;serif"/>
          <w:b w:val="false"/>
          <w:color w:val="000000"/>
          <w:sz w:val="22"/>
        </w:rPr>
        <w:t>of the Loan Agreement include the LP-Specific Zyme IP.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Notice and Instruction Letters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2.02(c</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Patent Rights</w:t>
      </w:r>
      <w:r>
        <w:rPr>
          <w:color w:val="000000"/>
        </w:rPr>
        <w:t xml:space="preserve">” </w:t>
      </w:r>
      <w:r>
        <w:rPr>
          <w:rFonts w:ascii="Times New Roman;serif" w:hAnsi="Times New Roman;serif"/>
          <w:b w:val="false"/>
          <w:color w:val="000000"/>
          <w:sz w:val="22"/>
        </w:rPr>
        <w:t>has the meaning ascribed to such term in each of the Covered Agreements.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Royalty Reductions</w:t>
      </w:r>
      <w:r>
        <w:rPr>
          <w:color w:val="000000"/>
        </w:rPr>
        <w:t xml:space="preserve">” </w:t>
      </w:r>
      <w:r>
        <w:rPr>
          <w:rFonts w:ascii="Times New Roman;serif" w:hAnsi="Times New Roman;serif"/>
          <w:b w:val="false"/>
          <w:color w:val="000000"/>
          <w:sz w:val="22"/>
        </w:rPr>
        <w:t>means any reduction to the Agreed Payments pursuant to Section 9.5(c) of the BeOne Agreement or Section 9.6(c) of the Jazz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Purchase Price</w:t>
      </w:r>
      <w:r>
        <w:rPr>
          <w:color w:val="000000"/>
        </w:rPr>
        <w:t xml:space="preserve">” </w:t>
      </w:r>
      <w:r>
        <w:rPr>
          <w:rFonts w:ascii="Times New Roman;serif" w:hAnsi="Times New Roman;serif"/>
          <w:b w:val="false"/>
          <w:color w:val="000000"/>
          <w:sz w:val="22"/>
        </w:rPr>
        <w:t>means an amount equal to the aggregate amount of Term Loans funded on the Closing Date under the Loan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Recharacterization</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2.04(b)</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Sell</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w:t>
      </w:r>
      <w:r>
        <w:rPr>
          <w:color w:val="000000"/>
        </w:rPr>
        <w:t xml:space="preserve">” </w:t>
      </w:r>
      <w:r>
        <w:rPr>
          <w:rFonts w:ascii="Times New Roman;serif" w:hAnsi="Times New Roman;serif"/>
          <w:b w:val="false"/>
          <w:color w:val="000000"/>
          <w:sz w:val="22"/>
        </w:rPr>
        <w:t>has the meaning set forth in</w:t>
      </w:r>
      <w:r>
        <w:rPr>
          <w:color w:val="000000"/>
          <w:u w:val="single"/>
        </w:rPr>
        <w:t xml:space="preserve">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120"/>
        <w:ind w:left="0" w:right="0" w:firstLine="1440"/>
        <w:jc w:val="both"/>
        <w:rPr/>
      </w:pPr>
      <w:r>
        <w:rPr>
          <w:color w:val="000000"/>
        </w:rPr>
        <w:t>“</w:t>
      </w:r>
      <w:r>
        <w:rPr>
          <w:rFonts w:ascii="Times New Roman;serif" w:hAnsi="Times New Roman;serif"/>
          <w:b w:val="false"/>
          <w:color w:val="000000"/>
          <w:sz w:val="22"/>
          <w:u w:val="single"/>
        </w:rPr>
        <w:t>Transferred Royalty Interest</w:t>
      </w:r>
      <w:r>
        <w:rPr>
          <w:color w:val="000000"/>
        </w:rPr>
        <w:t xml:space="preserve">” </w:t>
      </w:r>
      <w:r>
        <w:rPr>
          <w:rFonts w:ascii="Times New Roman;serif" w:hAnsi="Times New Roman;serif"/>
          <w:b w:val="false"/>
          <w:color w:val="000000"/>
          <w:sz w:val="22"/>
        </w:rPr>
        <w:t>means (a) the Jazz Transferred Royalties and (b) the BeOne Transferred Royalties, collectively, until the Purchaser has received an aggregate amount equal to the TRI Cap.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TRI Cap</w:t>
      </w:r>
      <w:r>
        <w:rPr>
          <w:color w:val="000000"/>
        </w:rPr>
        <w:t xml:space="preserve">” </w:t>
      </w:r>
      <w:r>
        <w:rPr>
          <w:rFonts w:ascii="Times New Roman;serif" w:hAnsi="Times New Roman;serif"/>
          <w:b w:val="false"/>
          <w:color w:val="000000"/>
          <w:sz w:val="22"/>
        </w:rPr>
        <w:t>means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Zymeworks IP</w:t>
      </w:r>
      <w:r>
        <w:rPr>
          <w:color w:val="000000"/>
        </w:rPr>
        <w:t xml:space="preserve">” </w:t>
      </w:r>
      <w:r>
        <w:rPr>
          <w:rFonts w:ascii="Times New Roman;serif" w:hAnsi="Times New Roman;serif"/>
          <w:b w:val="false"/>
          <w:color w:val="000000"/>
          <w:sz w:val="22"/>
        </w:rPr>
        <w:t>has the meaning ascribed to such term in each of the Covered Agreements.</w:t>
      </w:r>
    </w:p>
    <w:p>
      <w:pPr>
        <w:pStyle w:val="TextBody"/>
        <w:bidi w:val="0"/>
        <w:spacing w:lineRule="auto" w:line="288" w:before="0" w:after="180"/>
        <w:ind w:left="0" w:right="0" w:firstLine="1440"/>
        <w:jc w:val="both"/>
        <w:rPr/>
      </w:pPr>
      <w:r>
        <w:rPr>
          <w:color w:val="000000"/>
        </w:rPr>
        <w:t>“</w:t>
      </w:r>
      <w:r>
        <w:rPr>
          <w:rFonts w:ascii="Times New Roman;serif" w:hAnsi="Times New Roman;serif"/>
          <w:b w:val="false"/>
          <w:color w:val="000000"/>
          <w:sz w:val="22"/>
          <w:u w:val="single"/>
        </w:rPr>
        <w:t>Zymeworks Platform</w:t>
      </w:r>
      <w:r>
        <w:rPr>
          <w:color w:val="000000"/>
        </w:rPr>
        <w:t xml:space="preserve">” </w:t>
      </w:r>
      <w:r>
        <w:rPr>
          <w:rFonts w:ascii="Times New Roman;serif" w:hAnsi="Times New Roman;serif"/>
          <w:b w:val="false"/>
          <w:color w:val="000000"/>
          <w:sz w:val="22"/>
        </w:rPr>
        <w:t>has the meaning ascribed to such term in each of the Covered Agreements.</w:t>
      </w:r>
    </w:p>
    <w:p>
      <w:pPr>
        <w:pStyle w:val="TextBody"/>
        <w:bidi w:val="0"/>
        <w:spacing w:lineRule="auto" w:line="240" w:before="0" w:after="120"/>
        <w:ind w:left="0" w:right="0" w:firstLine="720"/>
        <w:jc w:val="both"/>
        <w:rPr/>
      </w:pPr>
      <w:bookmarkStart w:id="14" w:name="i9a73377c50f840df981d4d6f46645a9b"/>
      <w:bookmarkEnd w:id="14"/>
      <w:r>
        <w:rPr>
          <w:rFonts w:ascii="Times New Roman;serif" w:hAnsi="Times New Roman;serif"/>
          <w:b w:val="false"/>
          <w:color w:val="000000"/>
          <w:sz w:val="22"/>
        </w:rPr>
        <w:t>Section 1.02.</w:t>
      </w:r>
      <w:r>
        <w:rPr>
          <w:rFonts w:ascii="Times New Roman;serif" w:hAnsi="Times New Roman;serif"/>
          <w:b w:val="false"/>
          <w:color w:val="000000"/>
          <w:sz w:val="22"/>
          <w:u w:val="single"/>
        </w:rPr>
        <w:t>General Interpretive Principles</w:t>
      </w:r>
      <w:r>
        <w:rPr>
          <w:rFonts w:ascii="Times New Roman;serif" w:hAnsi="Times New Roman;serif"/>
          <w:b w:val="false"/>
          <w:color w:val="000000"/>
          <w:sz w:val="22"/>
        </w:rPr>
        <w:t>. For purposes of this Agreement except as otherwise expressly provided or unless the context otherwise requires:</w:t>
      </w:r>
    </w:p>
    <w:p>
      <w:pPr>
        <w:pStyle w:val="TextBody"/>
        <w:bidi w:val="0"/>
        <w:spacing w:lineRule="auto" w:line="240" w:before="240" w:after="240"/>
        <w:ind w:left="0" w:right="0" w:firstLine="1440"/>
        <w:jc w:val="both"/>
        <w:rPr/>
      </w:pPr>
      <w:bookmarkStart w:id="15" w:name="if954b3e9594747cdb198fb15a635ab81"/>
      <w:bookmarkEnd w:id="15"/>
      <w:r>
        <w:rPr>
          <w:rFonts w:ascii="Times New Roman;serif" w:hAnsi="Times New Roman;serif"/>
          <w:b w:val="false"/>
          <w:color w:val="000000"/>
          <w:sz w:val="22"/>
        </w:rPr>
        <w:t>(a)</w:t>
      </w:r>
      <w:r>
        <w:rPr>
          <w:rFonts w:ascii="Times New Roman;serif" w:hAnsi="Times New Roman;serif"/>
          <w:b w:val="false"/>
          <w:color w:val="000000"/>
          <w:sz w:val="22"/>
        </w:rPr>
        <w:t>the terms defined in this Agreement have the meanings assigned to them in this Agreement and include the plural as well as the singular, and the use of any gender herein shall be deemed to include the other gender;</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240"/>
        <w:ind w:left="0" w:right="0" w:firstLine="1440"/>
        <w:jc w:val="both"/>
        <w:rPr/>
      </w:pPr>
      <w:bookmarkStart w:id="16" w:name="idc37fb73c44b418195d2e54389a1cd04"/>
      <w:bookmarkEnd w:id="16"/>
      <w:r>
        <w:rPr>
          <w:rFonts w:ascii="Times New Roman;serif" w:hAnsi="Times New Roman;serif"/>
          <w:b w:val="false"/>
          <w:color w:val="000000"/>
          <w:sz w:val="22"/>
        </w:rPr>
        <w:t>(b)</w:t>
      </w:r>
      <w:r>
        <w:rPr>
          <w:rFonts w:ascii="Times New Roman;serif" w:hAnsi="Times New Roman;serif"/>
          <w:b w:val="false"/>
          <w:color w:val="000000"/>
          <w:sz w:val="22"/>
        </w:rPr>
        <w:t>accounting terms not otherwise defined herein have the meanings assigned to them in accordance with GAAP;</w:t>
      </w:r>
    </w:p>
    <w:p>
      <w:pPr>
        <w:pStyle w:val="TextBody"/>
        <w:bidi w:val="0"/>
        <w:spacing w:lineRule="auto" w:line="240" w:before="0" w:after="240"/>
        <w:ind w:left="0" w:right="0" w:firstLine="1440"/>
        <w:jc w:val="both"/>
        <w:rPr/>
      </w:pPr>
      <w:bookmarkStart w:id="17" w:name="i74f795eaf09a429aa9f6f204a80ba957"/>
      <w:bookmarkEnd w:id="17"/>
      <w:r>
        <w:rPr>
          <w:rFonts w:ascii="Times New Roman;serif" w:hAnsi="Times New Roman;serif"/>
          <w:b w:val="false"/>
          <w:color w:val="000000"/>
          <w:sz w:val="22"/>
        </w:rPr>
        <w:t>(c)</w:t>
      </w:r>
      <w:r>
        <w:rPr>
          <w:rFonts w:ascii="Times New Roman;serif" w:hAnsi="Times New Roman;serif"/>
          <w:b w:val="false"/>
          <w:color w:val="000000"/>
          <w:sz w:val="22"/>
        </w:rPr>
        <w:t>unless otherwise specified, references to an agreement or other document include references to such agreement or document as from time to time amended, restated, reformed, supplemented or otherwise modified in accordance with the terms thereof (subject to any restrictions on such amendments, restatements, reformations, supplements or modifications set forth herein or in any of the other Transaction Documents) and include any annexes, exhibits and schedules attached thereto;</w:t>
      </w:r>
    </w:p>
    <w:p>
      <w:pPr>
        <w:pStyle w:val="TextBody"/>
        <w:bidi w:val="0"/>
        <w:spacing w:lineRule="auto" w:line="240" w:before="0" w:after="240"/>
        <w:ind w:left="0" w:right="0" w:firstLine="1440"/>
        <w:jc w:val="both"/>
        <w:rPr/>
      </w:pPr>
      <w:bookmarkStart w:id="18" w:name="ia6d2f8e4f6654cb692269805c652674b"/>
      <w:bookmarkEnd w:id="18"/>
      <w:r>
        <w:rPr>
          <w:rFonts w:ascii="Times New Roman;serif" w:hAnsi="Times New Roman;serif"/>
          <w:b w:val="false"/>
          <w:color w:val="000000"/>
          <w:sz w:val="22"/>
        </w:rPr>
        <w:t>(d)</w:t>
      </w:r>
      <w:r>
        <w:rPr>
          <w:rFonts w:ascii="Times New Roman;serif" w:hAnsi="Times New Roman;serif"/>
          <w:b w:val="false"/>
          <w:color w:val="000000"/>
          <w:sz w:val="22"/>
        </w:rPr>
        <w:t>references to any Applicable Law shall include such Applicable Law as from time to time in effect, including any amendment, modification, codification, replacement or reenactment thereof or any substitution therefor;</w:t>
      </w:r>
    </w:p>
    <w:p>
      <w:pPr>
        <w:pStyle w:val="TextBody"/>
        <w:bidi w:val="0"/>
        <w:spacing w:lineRule="auto" w:line="240" w:before="0" w:after="240"/>
        <w:ind w:left="0" w:right="0" w:firstLine="1440"/>
        <w:jc w:val="both"/>
        <w:rPr/>
      </w:pPr>
      <w:bookmarkStart w:id="19" w:name="i30eb31659d6442ba8e8c9e2e465dc7c5"/>
      <w:bookmarkEnd w:id="19"/>
      <w:r>
        <w:rPr>
          <w:rFonts w:ascii="Times New Roman;serif" w:hAnsi="Times New Roman;serif"/>
          <w:b w:val="false"/>
          <w:color w:val="000000"/>
          <w:sz w:val="22"/>
        </w:rPr>
        <w:t>(e)</w:t>
      </w:r>
      <w:r>
        <w:rPr>
          <w:rFonts w:ascii="Times New Roman;serif" w:hAnsi="Times New Roman;serif"/>
          <w:b w:val="false"/>
          <w:color w:val="000000"/>
          <w:sz w:val="22"/>
        </w:rPr>
        <w:t>references herein to “Articles”, “Sections”, “Subsections”, “paragraphs”, and other subdivisions without reference to a document are to designated Articles, Sections, Subsections, paragraphs and other subdivisions of this Agreement;</w:t>
      </w:r>
    </w:p>
    <w:p>
      <w:pPr>
        <w:pStyle w:val="TextBody"/>
        <w:bidi w:val="0"/>
        <w:spacing w:lineRule="auto" w:line="240" w:before="0" w:after="240"/>
        <w:ind w:left="0" w:right="0" w:firstLine="1440"/>
        <w:jc w:val="both"/>
        <w:rPr/>
      </w:pPr>
      <w:bookmarkStart w:id="20" w:name="ieaa5d4bc98854504a309b42578a4dd05"/>
      <w:bookmarkEnd w:id="20"/>
      <w:r>
        <w:rPr>
          <w:rFonts w:ascii="Times New Roman;serif" w:hAnsi="Times New Roman;serif"/>
          <w:b w:val="false"/>
          <w:color w:val="000000"/>
          <w:sz w:val="22"/>
        </w:rPr>
        <w:t>(f)</w:t>
      </w:r>
      <w:r>
        <w:rPr>
          <w:rFonts w:ascii="Times New Roman;serif" w:hAnsi="Times New Roman;serif"/>
          <w:b w:val="false"/>
          <w:color w:val="000000"/>
          <w:sz w:val="22"/>
        </w:rPr>
        <w:t>a reference to a Subsection without further reference to a Section is a reference to such Subsection as contained in the same Section in which the reference appears, and this rule shall also apply to paragraphs and other subdivisions;</w:t>
      </w:r>
    </w:p>
    <w:p>
      <w:pPr>
        <w:pStyle w:val="TextBody"/>
        <w:bidi w:val="0"/>
        <w:spacing w:lineRule="auto" w:line="240" w:before="0" w:after="240"/>
        <w:ind w:left="0" w:right="0" w:firstLine="1440"/>
        <w:jc w:val="both"/>
        <w:rPr/>
      </w:pPr>
      <w:bookmarkStart w:id="21" w:name="i3925694bbeb2435ca931d321cea5f647"/>
      <w:bookmarkEnd w:id="21"/>
      <w:r>
        <w:rPr>
          <w:rFonts w:ascii="Times New Roman;serif" w:hAnsi="Times New Roman;serif"/>
          <w:b w:val="false"/>
          <w:color w:val="000000"/>
          <w:sz w:val="22"/>
        </w:rPr>
        <w:t>(g)</w:t>
      </w:r>
      <w:r>
        <w:rPr>
          <w:rFonts w:ascii="Times New Roman;serif" w:hAnsi="Times New Roman;serif"/>
          <w:b w:val="false"/>
          <w:color w:val="000000"/>
          <w:sz w:val="22"/>
        </w:rPr>
        <w:t>the words “herein”, “hereof”, “hereunder” and other words of similar import refer to this Agreement as a whole and not to any particular provision;</w:t>
      </w:r>
    </w:p>
    <w:p>
      <w:pPr>
        <w:pStyle w:val="TextBody"/>
        <w:bidi w:val="0"/>
        <w:spacing w:lineRule="auto" w:line="240" w:before="0" w:after="240"/>
        <w:ind w:left="0" w:right="0" w:firstLine="1440"/>
        <w:jc w:val="both"/>
        <w:rPr/>
      </w:pPr>
      <w:bookmarkStart w:id="22" w:name="i8c0c4c209d2b4c90a0ffe1df9cfaacca"/>
      <w:bookmarkEnd w:id="22"/>
      <w:r>
        <w:rPr>
          <w:rFonts w:ascii="Times New Roman;serif" w:hAnsi="Times New Roman;serif"/>
          <w:b w:val="false"/>
          <w:color w:val="000000"/>
          <w:sz w:val="22"/>
        </w:rPr>
        <w:t>(h)</w:t>
      </w:r>
      <w:r>
        <w:rPr>
          <w:rFonts w:ascii="Times New Roman;serif" w:hAnsi="Times New Roman;serif"/>
          <w:b w:val="false"/>
          <w:color w:val="000000"/>
          <w:sz w:val="22"/>
        </w:rPr>
        <w:t>the term “or” will be interpreted in the inclusive sense commonly associated with the term “and/or”, and</w:t>
      </w:r>
    </w:p>
    <w:p>
      <w:pPr>
        <w:pStyle w:val="TextBody"/>
        <w:bidi w:val="0"/>
        <w:spacing w:lineRule="auto" w:line="240" w:before="0" w:after="240"/>
        <w:ind w:left="0" w:right="0" w:firstLine="1440"/>
        <w:jc w:val="both"/>
        <w:rPr/>
      </w:pPr>
      <w:bookmarkStart w:id="23" w:name="ibbc3bad9f2bb407aa536cf5cfef5851d"/>
      <w:bookmarkEnd w:id="23"/>
      <w:r>
        <w:rPr>
          <w:rFonts w:ascii="Times New Roman;serif" w:hAnsi="Times New Roman;serif"/>
          <w:b w:val="false"/>
          <w:color w:val="000000"/>
          <w:sz w:val="22"/>
        </w:rPr>
        <w:t>(i)</w:t>
      </w:r>
      <w:r>
        <w:rPr>
          <w:rFonts w:ascii="Times New Roman;serif" w:hAnsi="Times New Roman;serif"/>
          <w:b w:val="false"/>
          <w:color w:val="000000"/>
          <w:sz w:val="22"/>
        </w:rPr>
        <w:t>the term “include” or “including” shall mean without limitation by reason of enumeration.</w:t>
      </w:r>
    </w:p>
    <w:p>
      <w:pPr>
        <w:pStyle w:val="TextBody"/>
        <w:bidi w:val="0"/>
        <w:spacing w:lineRule="auto" w:line="240" w:before="420" w:after="240"/>
        <w:jc w:val="center"/>
        <w:rPr/>
      </w:pPr>
      <w:bookmarkStart w:id="24" w:name="i2ad61672c9dd49e1a120ea14096f89db"/>
      <w:bookmarkEnd w:id="24"/>
      <w:r>
        <w:rPr>
          <w:rFonts w:ascii="Times New Roman;serif" w:hAnsi="Times New Roman;serif"/>
          <w:b w:val="false"/>
          <w:color w:val="000000"/>
          <w:sz w:val="22"/>
        </w:rPr>
        <w:t>ARTICLE II.</w:t>
      </w:r>
      <w:r>
        <w:rPr>
          <w:rFonts w:ascii="Times New Roman;serif" w:hAnsi="Times New Roman;serif"/>
          <w:b w:val="false"/>
          <w:color w:val="000000"/>
          <w:sz w:val="22"/>
        </w:rPr>
        <w:br/>
        <w:br/>
        <w:t>SALE AND ASSIGNMENT OF THE TRANSFERRED ASSETS</w:t>
      </w:r>
    </w:p>
    <w:p>
      <w:pPr>
        <w:pStyle w:val="TextBody"/>
        <w:bidi w:val="0"/>
        <w:spacing w:lineRule="auto" w:line="240" w:before="300" w:after="283"/>
        <w:ind w:left="0" w:right="0" w:firstLine="720"/>
        <w:jc w:val="both"/>
        <w:rPr/>
      </w:pPr>
      <w:bookmarkStart w:id="25" w:name="i3e405a5d34d7481f97c9cb59bf7513d0"/>
      <w:bookmarkEnd w:id="25"/>
      <w:r>
        <w:rPr>
          <w:rFonts w:ascii="Times New Roman;serif" w:hAnsi="Times New Roman;serif"/>
          <w:b w:val="false"/>
          <w:color w:val="000000"/>
          <w:sz w:val="22"/>
        </w:rPr>
        <w:t>Section 2.01.</w:t>
      </w:r>
      <w:r>
        <w:rPr>
          <w:rFonts w:ascii="Times New Roman;serif" w:hAnsi="Times New Roman;serif"/>
          <w:b w:val="false"/>
          <w:color w:val="000000"/>
          <w:sz w:val="22"/>
          <w:u w:val="single"/>
        </w:rPr>
        <w:t>Sale and Assignment of Transferred Royalty Interest on the Closing Date.</w:t>
      </w:r>
      <w:r>
        <w:rPr>
          <w:color w:val="000000"/>
        </w:rPr>
        <w:t xml:space="preserve"> </w:t>
      </w:r>
    </w:p>
    <w:p>
      <w:pPr>
        <w:pStyle w:val="TextBody"/>
        <w:bidi w:val="0"/>
        <w:spacing w:lineRule="auto" w:line="240" w:before="240" w:after="240"/>
        <w:ind w:left="0" w:right="0" w:firstLine="1440"/>
        <w:jc w:val="both"/>
        <w:rPr/>
      </w:pPr>
      <w:bookmarkStart w:id="26" w:name="ib49591be5bcc483086cc0dc0a761e26c"/>
      <w:bookmarkEnd w:id="26"/>
      <w:r>
        <w:rPr>
          <w:rFonts w:ascii="Times New Roman;serif" w:hAnsi="Times New Roman;serif"/>
          <w:b w:val="false"/>
          <w:color w:val="000000"/>
          <w:sz w:val="22"/>
        </w:rPr>
        <w:t>(a)</w:t>
      </w:r>
      <w:r>
        <w:rPr>
          <w:rFonts w:ascii="Times New Roman;serif" w:hAnsi="Times New Roman;serif"/>
          <w:b w:val="false"/>
          <w:color w:val="000000"/>
          <w:sz w:val="22"/>
        </w:rPr>
        <w:t>On the Closing Date, and subject to Section 2.01(b), Seller shall sell, transfer, assign and otherwise convey (collectively, “</w:t>
      </w:r>
      <w:r>
        <w:rPr>
          <w:rFonts w:ascii="Times New Roman;serif" w:hAnsi="Times New Roman;serif"/>
          <w:b w:val="false"/>
          <w:color w:val="000000"/>
          <w:sz w:val="22"/>
          <w:u w:val="single"/>
        </w:rPr>
        <w:t>Sell</w:t>
      </w:r>
      <w:r>
        <w:rPr>
          <w:color w:val="000000"/>
        </w:rPr>
        <w:t>”</w:t>
      </w:r>
      <w:r>
        <w:rPr>
          <w:rFonts w:ascii="Times New Roman;serif" w:hAnsi="Times New Roman;serif"/>
          <w:b w:val="false"/>
          <w:color w:val="000000"/>
          <w:sz w:val="22"/>
        </w:rPr>
        <w:t>) to Purchaser, and Purchaser shall purchase, acquire and accept from Seller, without recourse except to the extent provided in this Agreement, all of Seller’s rights, title and interest in and to the Transferred Royalty Interest free and clear of any and all Liens.</w:t>
      </w:r>
    </w:p>
    <w:p>
      <w:pPr>
        <w:pStyle w:val="TextBody"/>
        <w:bidi w:val="0"/>
        <w:spacing w:lineRule="auto" w:line="240" w:before="240" w:after="240"/>
        <w:ind w:left="0" w:right="0" w:firstLine="1440"/>
        <w:jc w:val="both"/>
        <w:rPr/>
      </w:pPr>
      <w:bookmarkStart w:id="27" w:name="i4ba0d046a1d14ce18a9861b9f5fd7cf3"/>
      <w:bookmarkEnd w:id="27"/>
      <w:r>
        <w:rPr>
          <w:rFonts w:ascii="Times New Roman;serif" w:hAnsi="Times New Roman;serif"/>
          <w:b w:val="false"/>
          <w:color w:val="000000"/>
          <w:sz w:val="22"/>
        </w:rPr>
        <w:t>(b)</w:t>
      </w:r>
      <w:r>
        <w:rPr>
          <w:rFonts w:ascii="Times New Roman;serif" w:hAnsi="Times New Roman;serif"/>
          <w:b w:val="false"/>
          <w:color w:val="000000"/>
          <w:sz w:val="22"/>
        </w:rPr>
        <w:t>In full consideration of the sale, transfer, assignment and conveyance of the Transferred Royalty Interest to Purchaser, Purchaser shall pay (or cause to be paid) the Purchase Price to Seller on the Closing Date, by transferring (or causing to be transferred) an amount equal to the Purchase Price to Seller to the account of Seller specified by it in writing.</w:t>
      </w:r>
    </w:p>
    <w:p>
      <w:pPr>
        <w:pStyle w:val="TextBody"/>
        <w:bidi w:val="0"/>
        <w:spacing w:lineRule="auto" w:line="240" w:before="0" w:after="0"/>
        <w:ind w:left="0" w:right="0" w:firstLine="720"/>
        <w:jc w:val="both"/>
        <w:rPr/>
      </w:pPr>
      <w:bookmarkStart w:id="28" w:name="i4f5d66c02bea4d09ac2ccc72ba8b0579"/>
      <w:bookmarkEnd w:id="28"/>
      <w:r>
        <w:rPr>
          <w:rFonts w:ascii="Times New Roman;serif" w:hAnsi="Times New Roman;serif"/>
          <w:b w:val="false"/>
          <w:color w:val="000000"/>
          <w:sz w:val="22"/>
        </w:rPr>
        <w:t>Section 2.02.</w:t>
      </w:r>
      <w:r>
        <w:rPr>
          <w:rFonts w:ascii="Times New Roman;serif" w:hAnsi="Times New Roman;serif"/>
          <w:b w:val="false"/>
          <w:color w:val="000000"/>
          <w:sz w:val="22"/>
          <w:u w:val="single"/>
        </w:rPr>
        <w:t>Required Financing Statements; Marking of Records; Notice and Instruction Letters</w:t>
      </w:r>
      <w:r>
        <w:rPr>
          <w:rFonts w:ascii="Times New Roman;serif" w:hAnsi="Times New Roman;serif"/>
          <w:b w:val="false"/>
          <w:color w:val="000000"/>
          <w:sz w:val="22"/>
        </w:rPr>
        <w:t xml:space="preserve">. </w:t>
      </w:r>
    </w:p>
    <w:p>
      <w:pPr>
        <w:pStyle w:val="TextBody"/>
        <w:bidi w:val="0"/>
        <w:spacing w:lineRule="auto" w:line="240" w:before="180" w:after="240"/>
        <w:ind w:left="0" w:right="0" w:firstLine="1440"/>
        <w:jc w:val="both"/>
        <w:rPr/>
      </w:pPr>
      <w:bookmarkStart w:id="29" w:name="if2d8e11acf504c59955e63de3e5575ca"/>
      <w:bookmarkEnd w:id="29"/>
      <w:r>
        <w:rPr>
          <w:rFonts w:ascii="Times New Roman;serif" w:hAnsi="Times New Roman;serif"/>
          <w:b w:val="false"/>
          <w:color w:val="000000"/>
          <w:sz w:val="22"/>
        </w:rPr>
        <w:t>(a)</w:t>
      </w:r>
      <w:r>
        <w:rPr>
          <w:rFonts w:ascii="Times New Roman;serif" w:hAnsi="Times New Roman;serif"/>
          <w:b w:val="false"/>
          <w:color w:val="000000"/>
          <w:sz w:val="22"/>
        </w:rPr>
        <w:t xml:space="preserve">All financing statements (or documents of similar import) shall meet the requirements of Applicable Law. Seller irrevocably authorizes Purchaser and Administrative Agent at any time and from time to time in the sole discretion of Purchaser or Administrative Agent, and appoints Purchaser and Administrative Agent as its attorney-in-fact, to act on behalf of Seller (i) to execute on behalf of Seller as debtor and to file financing statements necessary or appropriate in Purchaser or Administrative Agent’s sole discretion to perfect and to maintain the perfection and priority of the interest of Purchaser in the Transferred Royalty Interest, and (ii) to file a carbon, photographic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180" w:after="240"/>
        <w:jc w:val="both"/>
        <w:rPr>
          <w:rFonts w:ascii="Times New Roman;serif" w:hAnsi="Times New Roman;serif"/>
          <w:b w:val="false"/>
          <w:color w:val="000000"/>
          <w:sz w:val="22"/>
        </w:rPr>
      </w:pPr>
      <w:r>
        <w:rPr>
          <w:rFonts w:ascii="Times New Roman;serif" w:hAnsi="Times New Roman;serif"/>
          <w:b w:val="false"/>
          <w:color w:val="000000"/>
          <w:sz w:val="22"/>
        </w:rPr>
        <w:t>reproduction of this Agreement or any financing statement with respect to the Transferred Royalty Interest as a financing statement in such offices as Purchaser or its assigns in their sole discretion deem necessary or appropriate to perfect and to maintain the perfection and priority of Purchaser’s interests in the Transferred Royalty Interest. Purchaser shall provide Seller with copies of any such filings. This appointment is coupled with an interest and, during the Term, is irrevocable.</w:t>
      </w:r>
    </w:p>
    <w:p>
      <w:pPr>
        <w:pStyle w:val="TextBody"/>
        <w:bidi w:val="0"/>
        <w:spacing w:lineRule="auto" w:line="240" w:before="0" w:after="240"/>
        <w:ind w:left="0" w:right="0" w:firstLine="1440"/>
        <w:jc w:val="both"/>
        <w:rPr/>
      </w:pPr>
      <w:bookmarkStart w:id="30" w:name="ic4305f75013340be84276d486484ba1b"/>
      <w:bookmarkEnd w:id="30"/>
      <w:r>
        <w:rPr>
          <w:rFonts w:ascii="Times New Roman;serif" w:hAnsi="Times New Roman;serif"/>
          <w:b w:val="false"/>
          <w:color w:val="000000"/>
          <w:sz w:val="22"/>
        </w:rPr>
        <w:t>(b)</w:t>
      </w:r>
      <w:r>
        <w:rPr>
          <w:rFonts w:ascii="Times New Roman;serif" w:hAnsi="Times New Roman;serif"/>
          <w:b w:val="false"/>
          <w:color w:val="000000"/>
          <w:sz w:val="22"/>
        </w:rPr>
        <w:t>In view of the intention of the parties hereto that the assignment and transfer of the Transferred Royalty Interest made hereunder shall constitute an outright sale of the Transferred Royalty Interest, rather than a loan secured thereby, in connection with the transfer and conveyance of the Transferred Royalty Interest, Seller has, at its own expense, caused its records to be marked on the Closing Date to show that the Transferred Royalty Interest has been transferred to Purchaser in accordance with this Agreement.</w:t>
      </w:r>
    </w:p>
    <w:p>
      <w:pPr>
        <w:pStyle w:val="TextBody"/>
        <w:bidi w:val="0"/>
        <w:spacing w:lineRule="auto" w:line="240" w:before="0" w:after="240"/>
        <w:ind w:left="0" w:right="0" w:firstLine="1440"/>
        <w:jc w:val="both"/>
        <w:rPr/>
      </w:pPr>
      <w:bookmarkStart w:id="31" w:name="i631ef99943404ea99276e1392cddb7ef"/>
      <w:bookmarkEnd w:id="31"/>
      <w:r>
        <w:rPr>
          <w:rFonts w:ascii="Times New Roman;serif" w:hAnsi="Times New Roman;serif"/>
          <w:b w:val="false"/>
          <w:color w:val="000000"/>
          <w:sz w:val="22"/>
        </w:rPr>
        <w:t>(c)</w:t>
      </w:r>
      <w:r>
        <w:rPr>
          <w:rFonts w:ascii="Times New Roman;serif" w:hAnsi="Times New Roman;serif"/>
          <w:b w:val="false"/>
          <w:color w:val="000000"/>
          <w:sz w:val="22"/>
        </w:rPr>
        <w:t xml:space="preserve">Promptly, and in any event [***] Business Days following the establishment of the Collection Account with the Escrow Agent, Seller and Purchaser shall execute and deliver (i) to Jazz, a notice and instruction letter substantially in the form attached hereto as </w:t>
      </w:r>
      <w:r>
        <w:rPr>
          <w:rFonts w:ascii="Times New Roman;serif" w:hAnsi="Times New Roman;serif"/>
          <w:b w:val="false"/>
          <w:color w:val="000000"/>
          <w:sz w:val="22"/>
          <w:u w:val="single"/>
        </w:rPr>
        <w:t xml:space="preserve">Exhibit A-1 </w:t>
      </w:r>
      <w:r>
        <w:rPr>
          <w:rFonts w:ascii="Times New Roman;serif" w:hAnsi="Times New Roman;serif"/>
          <w:b w:val="false"/>
          <w:color w:val="000000"/>
          <w:sz w:val="22"/>
        </w:rPr>
        <w:t>(the “</w:t>
      </w:r>
      <w:r>
        <w:rPr>
          <w:rFonts w:ascii="Times New Roman;serif" w:hAnsi="Times New Roman;serif"/>
          <w:b w:val="false"/>
          <w:color w:val="000000"/>
          <w:sz w:val="22"/>
          <w:u w:val="single"/>
        </w:rPr>
        <w:t>Jazz Notice and Instruction Letter</w:t>
      </w:r>
      <w:r>
        <w:rPr>
          <w:color w:val="000000"/>
        </w:rPr>
        <w:t>”</w:t>
      </w:r>
      <w:r>
        <w:rPr>
          <w:rFonts w:ascii="Times New Roman;serif" w:hAnsi="Times New Roman;serif"/>
          <w:b w:val="false"/>
          <w:color w:val="000000"/>
          <w:sz w:val="22"/>
        </w:rPr>
        <w:t xml:space="preserve">), and (ii) to the BeOne Parties, a notice and instruction letter substantially in the form attached hereto as </w:t>
      </w:r>
      <w:r>
        <w:rPr>
          <w:rFonts w:ascii="Times New Roman;serif" w:hAnsi="Times New Roman;serif"/>
          <w:b w:val="false"/>
          <w:color w:val="000000"/>
          <w:sz w:val="22"/>
          <w:u w:val="single"/>
        </w:rPr>
        <w:t>Exhibit A-2</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BeOne Notice and Instruction Letter</w:t>
      </w:r>
      <w:r>
        <w:rPr>
          <w:color w:val="000000"/>
        </w:rPr>
        <w:t xml:space="preserve">” </w:t>
      </w:r>
      <w:r>
        <w:rPr>
          <w:rFonts w:ascii="Times New Roman;serif" w:hAnsi="Times New Roman;serif"/>
          <w:b w:val="false"/>
          <w:color w:val="000000"/>
          <w:sz w:val="22"/>
        </w:rPr>
        <w:t>and, together with the Jazz Notice and Instruction Letter, the “</w:t>
      </w:r>
      <w:r>
        <w:rPr>
          <w:rFonts w:ascii="Times New Roman;serif" w:hAnsi="Times New Roman;serif"/>
          <w:b w:val="false"/>
          <w:color w:val="000000"/>
          <w:sz w:val="22"/>
          <w:u w:val="single"/>
        </w:rPr>
        <w:t>Notice and Instruction Letters</w:t>
      </w:r>
      <w:r>
        <w:rPr>
          <w:color w:val="000000"/>
        </w:rPr>
        <w:t>”</w:t>
      </w:r>
      <w:r>
        <w:rPr>
          <w:rFonts w:ascii="Times New Roman;serif" w:hAnsi="Times New Roman;serif"/>
          <w:b w:val="false"/>
          <w:color w:val="000000"/>
          <w:sz w:val="22"/>
        </w:rPr>
        <w:t>). Seller shall not revoke, amend, modify, supplement, restate, waive, cancel or terminate the Notice and Instruction Letters or any instruction to a Covered Agreement Counterparty regarding payments in respect of the Transferred Royalty Interest to the Collection Account without the prior written consent of Purchaser and the Administrative Agent, unless and until Payment in Full has been made.</w:t>
      </w:r>
    </w:p>
    <w:p>
      <w:pPr>
        <w:pStyle w:val="TextBody"/>
        <w:bidi w:val="0"/>
        <w:spacing w:lineRule="auto" w:line="240" w:before="0" w:after="240"/>
        <w:ind w:left="0" w:right="0" w:firstLine="1440"/>
        <w:jc w:val="both"/>
        <w:rPr/>
      </w:pPr>
      <w:bookmarkStart w:id="32" w:name="i48738f08581f4e11b4d55ff93cb1b5e7"/>
      <w:bookmarkEnd w:id="32"/>
      <w:r>
        <w:rPr>
          <w:rFonts w:ascii="Times New Roman;serif" w:hAnsi="Times New Roman;serif"/>
          <w:b w:val="false"/>
          <w:color w:val="000000"/>
          <w:sz w:val="22"/>
        </w:rPr>
        <w:t>(d)</w:t>
      </w:r>
      <w:r>
        <w:rPr>
          <w:rFonts w:ascii="Times New Roman;serif" w:hAnsi="Times New Roman;serif"/>
          <w:b w:val="false"/>
          <w:color w:val="000000"/>
          <w:sz w:val="22"/>
        </w:rPr>
        <w:t>On the Closing Date, Seller and Purchaser shall execute and deliver the Bill of Sale attached hereto as Exhibit B.</w:t>
      </w:r>
    </w:p>
    <w:p>
      <w:pPr>
        <w:pStyle w:val="TextBody"/>
        <w:bidi w:val="0"/>
        <w:spacing w:lineRule="auto" w:line="240" w:before="0" w:after="0"/>
        <w:ind w:left="0" w:right="0" w:firstLine="720"/>
        <w:jc w:val="both"/>
        <w:rPr/>
      </w:pPr>
      <w:bookmarkStart w:id="33" w:name="ie9ef5bd8af0941b2a776773f3134128a"/>
      <w:bookmarkEnd w:id="33"/>
      <w:r>
        <w:rPr>
          <w:rFonts w:ascii="Times New Roman;serif" w:hAnsi="Times New Roman;serif"/>
          <w:b w:val="false"/>
          <w:color w:val="000000"/>
          <w:sz w:val="22"/>
        </w:rPr>
        <w:t>Section 2.03.</w:t>
      </w:r>
      <w:r>
        <w:rPr>
          <w:rFonts w:ascii="Times New Roman;serif" w:hAnsi="Times New Roman;serif"/>
          <w:b w:val="false"/>
          <w:color w:val="000000"/>
          <w:sz w:val="22"/>
          <w:u w:val="single"/>
        </w:rPr>
        <w:t>General Provisions Regarding the Sale and Transfer of the Transferred Royalty Interest</w:t>
      </w:r>
      <w:r>
        <w:rPr>
          <w:rFonts w:ascii="Times New Roman;serif" w:hAnsi="Times New Roman;serif"/>
          <w:b w:val="false"/>
          <w:color w:val="000000"/>
          <w:sz w:val="22"/>
        </w:rPr>
        <w:t xml:space="preserve">. </w:t>
      </w:r>
    </w:p>
    <w:p>
      <w:pPr>
        <w:pStyle w:val="TextBody"/>
        <w:bidi w:val="0"/>
        <w:spacing w:lineRule="auto" w:line="288" w:before="180" w:after="240"/>
        <w:ind w:left="0" w:right="0" w:firstLine="1440"/>
        <w:jc w:val="both"/>
        <w:rPr/>
      </w:pPr>
      <w:r>
        <w:rPr>
          <w:rFonts w:ascii="Times New Roman;serif" w:hAnsi="Times New Roman;serif"/>
          <w:b w:val="false"/>
          <w:color w:val="000000"/>
          <w:sz w:val="22"/>
        </w:rPr>
        <w:t xml:space="preserve">Except as set forth in </w:t>
      </w:r>
      <w:r>
        <w:rPr>
          <w:rFonts w:ascii="Times New Roman;serif" w:hAnsi="Times New Roman;serif"/>
          <w:b w:val="false"/>
          <w:color w:val="000000"/>
          <w:sz w:val="22"/>
          <w:u w:val="single"/>
        </w:rPr>
        <w:t>Section 4.03</w:t>
      </w:r>
      <w:r>
        <w:rPr>
          <w:rFonts w:ascii="Times New Roman;serif" w:hAnsi="Times New Roman;serif"/>
          <w:b w:val="false"/>
          <w:color w:val="000000"/>
          <w:sz w:val="22"/>
        </w:rPr>
        <w:t>, the sale and assignment of the Transferred Royalty Interest pursuant to this Agreement shall be without recourse to Seller; it being understood that Seller shall be liable to Purchaser and, in accordance with the terms hereof, Administrative Agent and the Lenders, for all representations, warranties, covenants and indemnities made by Seller pursuant to the terms of this Agreement.</w:t>
      </w:r>
    </w:p>
    <w:p>
      <w:pPr>
        <w:pStyle w:val="TextBody"/>
        <w:bidi w:val="0"/>
        <w:spacing w:lineRule="auto" w:line="240" w:before="0" w:after="0"/>
        <w:ind w:left="0" w:right="0" w:firstLine="720"/>
        <w:jc w:val="both"/>
        <w:rPr/>
      </w:pPr>
      <w:bookmarkStart w:id="34" w:name="ibce2bf99c9de4d769f64ceb829cb49dc"/>
      <w:bookmarkEnd w:id="34"/>
      <w:r>
        <w:rPr>
          <w:rFonts w:ascii="Times New Roman;serif" w:hAnsi="Times New Roman;serif"/>
          <w:b w:val="false"/>
          <w:color w:val="000000"/>
          <w:sz w:val="22"/>
        </w:rPr>
        <w:t>Section 2.04.</w:t>
      </w:r>
      <w:r>
        <w:rPr>
          <w:rFonts w:ascii="Times New Roman;serif" w:hAnsi="Times New Roman;serif"/>
          <w:b w:val="false"/>
          <w:color w:val="000000"/>
          <w:sz w:val="22"/>
          <w:u w:val="single"/>
        </w:rPr>
        <w:t>Intent</w:t>
      </w:r>
      <w:r>
        <w:rPr>
          <w:rFonts w:ascii="Times New Roman;serif" w:hAnsi="Times New Roman;serif"/>
          <w:b w:val="false"/>
          <w:color w:val="000000"/>
          <w:sz w:val="22"/>
        </w:rPr>
        <w:t>.</w:t>
      </w:r>
    </w:p>
    <w:p>
      <w:pPr>
        <w:pStyle w:val="TextBody"/>
        <w:bidi w:val="0"/>
        <w:spacing w:lineRule="auto" w:line="240" w:before="180" w:after="240"/>
        <w:ind w:left="0" w:right="0" w:firstLine="1440"/>
        <w:jc w:val="both"/>
        <w:rPr/>
      </w:pPr>
      <w:bookmarkStart w:id="35" w:name="if706522d491d42f1a7d7279beae1195b"/>
      <w:bookmarkEnd w:id="35"/>
      <w:r>
        <w:rPr>
          <w:rFonts w:ascii="Times New Roman;serif" w:hAnsi="Times New Roman;serif"/>
          <w:b w:val="false"/>
          <w:color w:val="000000"/>
          <w:sz w:val="22"/>
        </w:rPr>
        <w:t>(a)</w:t>
      </w:r>
      <w:r>
        <w:rPr>
          <w:rFonts w:ascii="Times New Roman;serif" w:hAnsi="Times New Roman;serif"/>
          <w:b w:val="false"/>
          <w:color w:val="000000"/>
          <w:sz w:val="22"/>
        </w:rPr>
        <w:t xml:space="preserve">Seller and Purchaser intend that the sale and transfer by Seller to Purchaser of the Transferred Royalty Interest pursuant to </w:t>
      </w:r>
      <w:r>
        <w:rPr>
          <w:rFonts w:ascii="Times New Roman;serif" w:hAnsi="Times New Roman;serif"/>
          <w:b w:val="false"/>
          <w:color w:val="000000"/>
          <w:sz w:val="22"/>
          <w:u w:val="single"/>
        </w:rPr>
        <w:t>Section 2.01</w:t>
      </w:r>
      <w:r>
        <w:rPr>
          <w:color w:val="000000"/>
        </w:rPr>
        <w:t xml:space="preserve"> </w:t>
      </w:r>
      <w:r>
        <w:rPr>
          <w:rFonts w:ascii="Times New Roman;serif" w:hAnsi="Times New Roman;serif"/>
          <w:b w:val="false"/>
          <w:color w:val="000000"/>
          <w:sz w:val="22"/>
        </w:rPr>
        <w:t>hereof shall be true, absolute and irrevocable, shall constitute a valid transfer and conveyance by Seller of the Transferred Royalty Interest, and shall provide Purchaser with the full benefits of ownership of the Transferred Royalty Interest, and that the Transferred Royalty Interest shall be removed from the estate of Seller and shall not be part of Seller’s estate in the event of the insolvency or bankruptcy of Seller.</w:t>
      </w:r>
    </w:p>
    <w:p>
      <w:pPr>
        <w:pStyle w:val="TextBody"/>
        <w:bidi w:val="0"/>
        <w:spacing w:lineRule="auto" w:line="240" w:before="0" w:after="240"/>
        <w:ind w:left="0" w:right="0" w:firstLine="1440"/>
        <w:jc w:val="both"/>
        <w:rPr/>
      </w:pPr>
      <w:bookmarkStart w:id="36" w:name="i271d4e6febc44fbea1e53ee0d1209f74"/>
      <w:bookmarkEnd w:id="36"/>
      <w:r>
        <w:rPr>
          <w:rFonts w:ascii="Times New Roman;serif" w:hAnsi="Times New Roman;serif"/>
          <w:b w:val="false"/>
          <w:color w:val="000000"/>
          <w:sz w:val="22"/>
        </w:rPr>
        <w:t>(b)</w:t>
      </w:r>
      <w:r>
        <w:rPr>
          <w:rFonts w:ascii="Times New Roman;serif" w:hAnsi="Times New Roman;serif"/>
          <w:b w:val="false"/>
          <w:color w:val="000000"/>
          <w:sz w:val="22"/>
        </w:rPr>
        <w:t xml:space="preserve">Without limiting the provisions of </w:t>
      </w:r>
      <w:r>
        <w:rPr>
          <w:rFonts w:ascii="Times New Roman;serif" w:hAnsi="Times New Roman;serif"/>
          <w:b w:val="false"/>
          <w:color w:val="000000"/>
          <w:sz w:val="22"/>
          <w:u w:val="single"/>
        </w:rPr>
        <w:t>Section 2.04(a)</w:t>
      </w:r>
      <w:r>
        <w:rPr>
          <w:rFonts w:ascii="Times New Roman;serif" w:hAnsi="Times New Roman;serif"/>
          <w:b w:val="false"/>
          <w:color w:val="000000"/>
          <w:sz w:val="22"/>
        </w:rPr>
        <w:t>, as a precaution to address the possibility that, notwithstanding that Seller and Purchaser expressly intend and expect that the sale, assignment, transfer, and conveyance of the Transferred Royalty Interest hereunder shall be a true, absolute and irrevocable sale and assignment for all purposes, to protect the interest of Purchaser in the event that such sale and assignment is recharacterized as other than a true sale, or such sale or transfer will for any reason be ineffective or unenforceable as such, as determined in a judicial, administrative or other proceeding (any of the foregoing being a “</w:t>
      </w:r>
      <w:r>
        <w:rPr>
          <w:rFonts w:ascii="Times New Roman;serif" w:hAnsi="Times New Roman;serif"/>
          <w:b w:val="false"/>
          <w:color w:val="000000"/>
          <w:sz w:val="22"/>
          <w:u w:val="single"/>
        </w:rPr>
        <w:t>Recharacterization</w:t>
      </w:r>
      <w:r>
        <w:rPr>
          <w:color w:val="000000"/>
        </w:rPr>
        <w:t>”</w:t>
      </w:r>
      <w:r>
        <w:rPr>
          <w:rFonts w:ascii="Times New Roman;serif" w:hAnsi="Times New Roman;serif"/>
          <w:b w:val="false"/>
          <w:color w:val="000000"/>
          <w:sz w:val="22"/>
        </w:rPr>
        <w:t xml:space="preserve">), Seller does hereby grant to Purchaser a continuing security interest (which shall be of first priority) in all of Seller’s right, title and interest in and to the Transferred Royalty Interest, whether now or hereafter existing, and any and all “proceeds” thereof (as such term is defined in the UCC or PPSA, as applicable), in each case, for the benefit of Purchaser as security for the payment of the Term Loans together with the performance when due of all of Purchaser’s obligations now or hereafter existing under this Agreement and the other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Transaction Documents, which security interest will, upon the filing of a duly prepared financing statement in the appropriate filing office, be perfected and prior to all other Liens on the rights of Seller to the Transferred Royalty Interest. In the event of a Recharacterization, Purchaser will have, in addition to the rights and remedies which it may have under this Agreement, all other rights and remedies provided to a secured creditor after default under the UCC, PPSA, and other Applicable Law, which rights and remedies will be cumulative. This Agreement shall constitute a security agreement in respect of such security interest.</w:t>
      </w:r>
    </w:p>
    <w:p>
      <w:pPr>
        <w:pStyle w:val="TextBody"/>
        <w:bidi w:val="0"/>
        <w:spacing w:lineRule="auto" w:line="240" w:before="0" w:after="240"/>
        <w:ind w:left="0" w:right="0" w:firstLine="1440"/>
        <w:jc w:val="both"/>
        <w:rPr/>
      </w:pPr>
      <w:bookmarkStart w:id="37" w:name="i8e84c4a99b4a464da7b6e6ed922c6ad6"/>
      <w:bookmarkEnd w:id="37"/>
      <w:r>
        <w:rPr>
          <w:rFonts w:ascii="Times New Roman;serif" w:hAnsi="Times New Roman;serif"/>
          <w:b w:val="false"/>
          <w:color w:val="000000"/>
          <w:sz w:val="22"/>
        </w:rPr>
        <w:t>(c)</w:t>
      </w:r>
      <w:r>
        <w:rPr>
          <w:rFonts w:ascii="Times New Roman;serif" w:hAnsi="Times New Roman;serif"/>
          <w:b w:val="false"/>
          <w:color w:val="000000"/>
          <w:sz w:val="22"/>
        </w:rPr>
        <w:t>Seller and Purchaser intend that their operations and business would not be substantively consolidated in the event of an Insolvency Event with respect to Seller and that the separate existence of Seller and Purchaser would not be disregarded in the event of any Insolvency Event with respect to Seller. Purchaser and Seller acknowledge that the Organizational Documents of Purchaser contain provisions intended to maintain the separate existence and identity of Purchaser from the Seller and the parties agree that they will duly observe such provisions and Applicable Law in support of such separate existence and identity.</w:t>
      </w:r>
    </w:p>
    <w:p>
      <w:pPr>
        <w:pStyle w:val="TextBody"/>
        <w:bidi w:val="0"/>
        <w:spacing w:lineRule="auto" w:line="240" w:before="360" w:after="240"/>
        <w:jc w:val="center"/>
        <w:rPr/>
      </w:pPr>
      <w:bookmarkStart w:id="38" w:name="i61e02af6c1464bad94faa7c67963b326"/>
      <w:bookmarkEnd w:id="38"/>
      <w:r>
        <w:rPr>
          <w:rFonts w:ascii="Times New Roman;serif" w:hAnsi="Times New Roman;serif"/>
          <w:b w:val="false"/>
          <w:color w:val="000000"/>
          <w:sz w:val="22"/>
        </w:rPr>
        <w:t>ARTICLE III.</w:t>
      </w:r>
      <w:r>
        <w:rPr>
          <w:rFonts w:ascii="Times New Roman;serif" w:hAnsi="Times New Roman;serif"/>
          <w:b w:val="false"/>
          <w:color w:val="000000"/>
          <w:sz w:val="22"/>
        </w:rPr>
        <w:br/>
        <w:br/>
        <w:t>REPRESENTATIONS AND WARRANTIES</w:t>
      </w:r>
    </w:p>
    <w:p>
      <w:pPr>
        <w:pStyle w:val="TextBody"/>
        <w:bidi w:val="0"/>
        <w:spacing w:lineRule="auto" w:line="240" w:before="0" w:after="0"/>
        <w:ind w:left="0" w:right="0" w:firstLine="720"/>
        <w:jc w:val="both"/>
        <w:rPr/>
      </w:pPr>
      <w:bookmarkStart w:id="39" w:name="ibbbe020d59fa4c1eba6a2d6f839b71c5"/>
      <w:bookmarkEnd w:id="39"/>
      <w:r>
        <w:rPr>
          <w:rFonts w:ascii="Times New Roman;serif" w:hAnsi="Times New Roman;serif"/>
          <w:b w:val="false"/>
          <w:color w:val="000000"/>
          <w:sz w:val="22"/>
        </w:rPr>
        <w:t>Section 3.01.</w:t>
      </w:r>
      <w:r>
        <w:rPr>
          <w:rFonts w:ascii="Times New Roman;serif" w:hAnsi="Times New Roman;serif"/>
          <w:b w:val="false"/>
          <w:color w:val="000000"/>
          <w:sz w:val="22"/>
          <w:u w:val="single"/>
        </w:rPr>
        <w:t>Loan Agreement Representations and Warranties of Seller</w:t>
      </w:r>
      <w:r>
        <w:rPr>
          <w:rFonts w:ascii="Times New Roman;serif" w:hAnsi="Times New Roman;serif"/>
          <w:b w:val="false"/>
          <w:color w:val="000000"/>
          <w:sz w:val="22"/>
        </w:rPr>
        <w:t>. Seller represents and warrants to Purchaser, the Administrative Agent and the Lenders that the representations and warranties set forth under Section 7.01 of the Loan Agreement are true and correct and such representations and warranties are incorporated herein by reference and made by Seller as though set forth in full herein. Purchaser has relied upon such representations and warranties in accepting the conveyance of the Transferred Royalty Interest and Administrative Agent and the Lenders have relied upon such representations and warranties in making the Term Loans.</w:t>
      </w:r>
    </w:p>
    <w:p>
      <w:pPr>
        <w:pStyle w:val="TextBody"/>
        <w:bidi w:val="0"/>
        <w:spacing w:lineRule="auto" w:line="240" w:before="240" w:after="283"/>
        <w:ind w:left="0" w:right="0" w:firstLine="720"/>
        <w:jc w:val="both"/>
        <w:rPr/>
      </w:pPr>
      <w:bookmarkStart w:id="40" w:name="id6c17ac6df0242f5bc3e81996daabeb7"/>
      <w:bookmarkEnd w:id="40"/>
      <w:r>
        <w:rPr>
          <w:rFonts w:ascii="Times New Roman;serif" w:hAnsi="Times New Roman;serif"/>
          <w:b w:val="false"/>
          <w:color w:val="000000"/>
          <w:sz w:val="22"/>
        </w:rPr>
        <w:t>Section 3.02.</w:t>
      </w:r>
      <w:r>
        <w:rPr>
          <w:rFonts w:ascii="Times New Roman;serif" w:hAnsi="Times New Roman;serif"/>
          <w:b w:val="false"/>
          <w:color w:val="000000"/>
          <w:sz w:val="22"/>
          <w:u w:val="single"/>
        </w:rPr>
        <w:t>Survival of Representations and Warranties</w:t>
      </w:r>
      <w:r>
        <w:rPr>
          <w:rFonts w:ascii="Times New Roman;serif" w:hAnsi="Times New Roman;serif"/>
          <w:b w:val="false"/>
          <w:color w:val="000000"/>
          <w:sz w:val="22"/>
        </w:rPr>
        <w:t>. All representations and warranties by Seller contained in this Agreement shall survive the execution, delivery and acceptance thereof by the parties and the closing of the transactions contemplated in this Agreement and continue in effect until Payment in Full has been made.</w:t>
      </w:r>
    </w:p>
    <w:p>
      <w:pPr>
        <w:pStyle w:val="TextBody"/>
        <w:bidi w:val="0"/>
        <w:spacing w:lineRule="auto" w:line="240" w:before="360" w:after="300"/>
        <w:jc w:val="center"/>
        <w:rPr/>
      </w:pPr>
      <w:bookmarkStart w:id="41" w:name="i44c7da9b840340acb1313e0be0d030aa"/>
      <w:bookmarkEnd w:id="41"/>
      <w:r>
        <w:rPr>
          <w:rFonts w:ascii="Times New Roman;serif" w:hAnsi="Times New Roman;serif"/>
          <w:b w:val="false"/>
          <w:color w:val="000000"/>
          <w:sz w:val="22"/>
        </w:rPr>
        <w:t>ARTICLE IV.</w:t>
      </w:r>
      <w:r>
        <w:rPr>
          <w:rFonts w:ascii="Times New Roman;serif" w:hAnsi="Times New Roman;serif"/>
          <w:b w:val="false"/>
          <w:color w:val="000000"/>
          <w:sz w:val="22"/>
        </w:rPr>
        <w:br/>
        <w:br/>
        <w:t>COVENANTS OF THE SELLER AND PURCHASER</w:t>
      </w:r>
    </w:p>
    <w:p>
      <w:pPr>
        <w:pStyle w:val="TextBody"/>
        <w:bidi w:val="0"/>
        <w:spacing w:lineRule="auto" w:line="240" w:before="240" w:after="283"/>
        <w:ind w:left="0" w:right="0" w:firstLine="720"/>
        <w:jc w:val="both"/>
        <w:rPr/>
      </w:pPr>
      <w:bookmarkStart w:id="42" w:name="i0ed630e984734a46921ea46e12e5dac2"/>
      <w:bookmarkEnd w:id="42"/>
      <w:r>
        <w:rPr>
          <w:rFonts w:ascii="Times New Roman;serif" w:hAnsi="Times New Roman;serif"/>
          <w:b w:val="false"/>
          <w:color w:val="000000"/>
          <w:sz w:val="22"/>
        </w:rPr>
        <w:t>Section 4.01.</w:t>
      </w:r>
      <w:r>
        <w:rPr>
          <w:rFonts w:ascii="Times New Roman;serif" w:hAnsi="Times New Roman;serif"/>
          <w:b w:val="false"/>
          <w:color w:val="000000"/>
          <w:sz w:val="22"/>
          <w:u w:val="single"/>
        </w:rPr>
        <w:t>Seller Covenants</w:t>
      </w:r>
      <w:r>
        <w:rPr>
          <w:rFonts w:ascii="Times New Roman;serif" w:hAnsi="Times New Roman;serif"/>
          <w:b w:val="false"/>
          <w:color w:val="000000"/>
          <w:sz w:val="22"/>
        </w:rPr>
        <w:t>. Seller hereby covenants and agrees with Purchaser, in connection with the sale, assignment and transfer of the Transferred Royalty Interest, as follows.</w:t>
      </w:r>
    </w:p>
    <w:p>
      <w:pPr>
        <w:pStyle w:val="TextBody"/>
        <w:bidi w:val="0"/>
        <w:spacing w:lineRule="auto" w:line="240" w:before="180" w:after="240"/>
        <w:ind w:left="0" w:right="0" w:firstLine="1440"/>
        <w:jc w:val="both"/>
        <w:rPr/>
      </w:pPr>
      <w:bookmarkStart w:id="43" w:name="i73625e71398845f5b45d3cafd4fb70b1"/>
      <w:bookmarkEnd w:id="43"/>
      <w:r>
        <w:rPr>
          <w:rFonts w:ascii="Times New Roman;serif" w:hAnsi="Times New Roman;serif"/>
          <w:b w:val="false"/>
          <w:color w:val="000000"/>
          <w:sz w:val="22"/>
        </w:rPr>
        <w:t>(a)</w:t>
      </w:r>
      <w:r>
        <w:rPr>
          <w:rFonts w:ascii="Times New Roman;serif" w:hAnsi="Times New Roman;serif"/>
          <w:b w:val="false"/>
          <w:color w:val="000000"/>
          <w:sz w:val="22"/>
          <w:u w:val="single"/>
        </w:rPr>
        <w:t>Financial Statements and Information</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44" w:name="ife309b03c8824615b472d3e504edfc21"/>
      <w:bookmarkEnd w:id="44"/>
      <w:r>
        <w:rPr>
          <w:rFonts w:ascii="Times New Roman;serif" w:hAnsi="Times New Roman;serif"/>
          <w:b w:val="false"/>
          <w:color w:val="000000"/>
          <w:sz w:val="22"/>
        </w:rPr>
        <w:t>(i)Seller will facilitate Purchaser undertakings regarding, the certificates, notices, correspondence and other information set forth in Section 8.03 of the Loan Agreement.</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45" w:name="i3314a249618f4c4eb4c9656fd63164f5"/>
      <w:bookmarkEnd w:id="45"/>
      <w:r>
        <w:rPr>
          <w:rFonts w:ascii="Times New Roman;serif" w:hAnsi="Times New Roman;serif"/>
          <w:b w:val="false"/>
          <w:color w:val="000000"/>
          <w:sz w:val="22"/>
        </w:rPr>
        <w:t>(ii)Seller acknowledges the rights of the Administrative Agent and the Lenders set forth in Section 8.03(e) of the Loan Agreement and agrees, following the exercise of by the Administrative Agent or any Lender of such rights pursuant to Section 8.03(e), to allow the Administrative Agent or such Lender to visit the offices and properties of the Seller where books and records relating to or pertaining to the Transferred Royalty Interest are kept and maintained, in each case, as may be required for Purchaser to discharge its obligations thereunder.</w:t>
      </w:r>
    </w:p>
    <w:p>
      <w:pPr>
        <w:pStyle w:val="TextBody"/>
        <w:bidi w:val="0"/>
        <w:spacing w:lineRule="auto" w:line="240" w:before="0" w:after="240"/>
        <w:ind w:left="0" w:right="0" w:firstLine="1440"/>
        <w:jc w:val="both"/>
        <w:rPr/>
      </w:pPr>
      <w:bookmarkStart w:id="46" w:name="i6c1d4562de014eafadb2a27912a92b04"/>
      <w:bookmarkEnd w:id="46"/>
      <w:r>
        <w:rPr>
          <w:rFonts w:ascii="Times New Roman;serif" w:hAnsi="Times New Roman;serif"/>
          <w:b w:val="false"/>
          <w:color w:val="000000"/>
          <w:sz w:val="22"/>
        </w:rPr>
        <w:t>(b)</w:t>
      </w:r>
      <w:r>
        <w:rPr>
          <w:rFonts w:ascii="Times New Roman;serif" w:hAnsi="Times New Roman;serif"/>
          <w:b w:val="false"/>
          <w:color w:val="000000"/>
          <w:sz w:val="22"/>
          <w:u w:val="single"/>
        </w:rPr>
        <w:t>Disclosure</w:t>
      </w:r>
      <w:r>
        <w:rPr>
          <w:rFonts w:ascii="Times New Roman;serif" w:hAnsi="Times New Roman;serif"/>
          <w:b w:val="false"/>
          <w:color w:val="000000"/>
          <w:sz w:val="22"/>
        </w:rPr>
        <w:t xml:space="preserve">. All written information supplied by or on behalf of Seller to Purchaser pursuant to this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 xml:space="preserve">(other than pursuant to </w:t>
      </w:r>
      <w:r>
        <w:rPr>
          <w:rFonts w:ascii="Times New Roman;serif" w:hAnsi="Times New Roman;serif"/>
          <w:b w:val="false"/>
          <w:color w:val="000000"/>
          <w:sz w:val="22"/>
          <w:u w:val="single"/>
        </w:rPr>
        <w:t>Sections 8.03(a)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8.03(b)</w:t>
      </w:r>
      <w:r>
        <w:rPr>
          <w:color w:val="000000"/>
        </w:rPr>
        <w:t xml:space="preserve"> </w:t>
      </w:r>
      <w:r>
        <w:rPr>
          <w:rFonts w:ascii="Times New Roman;serif" w:hAnsi="Times New Roman;serif"/>
          <w:b w:val="false"/>
          <w:color w:val="000000"/>
          <w:sz w:val="22"/>
        </w:rPr>
        <w:t xml:space="preserve">of the Loan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Agreement) shall be accurate and complete in all material respects as of its date or the date so supplied and the financial statements provided pursuant to </w:t>
      </w:r>
      <w:r>
        <w:rPr>
          <w:rFonts w:ascii="Times New Roman;serif" w:hAnsi="Times New Roman;serif"/>
          <w:b w:val="false"/>
          <w:color w:val="000000"/>
          <w:sz w:val="22"/>
          <w:u w:val="single"/>
        </w:rPr>
        <w:t>Sections 8.03(a)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8.03(b)</w:t>
      </w:r>
      <w:r>
        <w:rPr>
          <w:color w:val="000000"/>
        </w:rPr>
        <w:t xml:space="preserve"> </w:t>
      </w:r>
      <w:r>
        <w:rPr>
          <w:rFonts w:ascii="Times New Roman;serif" w:hAnsi="Times New Roman;serif"/>
          <w:b w:val="false"/>
          <w:color w:val="000000"/>
          <w:sz w:val="22"/>
        </w:rPr>
        <w:t xml:space="preserve">of the Loan Agreement fairly present in all material respects the financial positions and results of operations as of the dates indicated therein. For the avoidance of doubt, Seller makes no representations or warranties regarding the accuracy or completeness of any information it receives from a Third Party that it is required to furnish to Purchaser pursuant to this </w:t>
      </w:r>
      <w:r>
        <w:rPr>
          <w:rFonts w:ascii="Times New Roman;serif" w:hAnsi="Times New Roman;serif"/>
          <w:b w:val="false"/>
          <w:color w:val="000000"/>
          <w:sz w:val="22"/>
          <w:u w:val="single"/>
        </w:rPr>
        <w:t>Section 4.01</w:t>
      </w:r>
      <w:r>
        <w:rPr>
          <w:rFonts w:ascii="Times New Roman;serif" w:hAnsi="Times New Roman;serif"/>
          <w:b w:val="false"/>
          <w:color w:val="000000"/>
          <w:sz w:val="22"/>
        </w:rPr>
        <w:t>, unless to the Knowledge of Seller such information is inaccurate or incomplete, in which case Seller shall specify such inaccuracy or incompleteness.</w:t>
      </w:r>
    </w:p>
    <w:p>
      <w:pPr>
        <w:pStyle w:val="TextBody"/>
        <w:bidi w:val="0"/>
        <w:spacing w:lineRule="auto" w:line="240" w:before="0" w:after="240"/>
        <w:ind w:left="0" w:right="0" w:firstLine="1440"/>
        <w:jc w:val="both"/>
        <w:rPr/>
      </w:pPr>
      <w:bookmarkStart w:id="47" w:name="ic24f1e1f171a4772af14c664e17c026f"/>
      <w:bookmarkEnd w:id="47"/>
      <w:r>
        <w:rPr>
          <w:rFonts w:ascii="Times New Roman;serif" w:hAnsi="Times New Roman;serif"/>
          <w:b w:val="false"/>
          <w:color w:val="000000"/>
          <w:sz w:val="22"/>
        </w:rPr>
        <w:t>(c)</w:t>
      </w:r>
      <w:r>
        <w:rPr>
          <w:rFonts w:ascii="Times New Roman;serif" w:hAnsi="Times New Roman;serif"/>
          <w:b w:val="false"/>
          <w:color w:val="000000"/>
          <w:sz w:val="22"/>
          <w:u w:val="single"/>
        </w:rPr>
        <w:t>Books and Records</w:t>
      </w:r>
      <w:r>
        <w:rPr>
          <w:rFonts w:ascii="Times New Roman;serif" w:hAnsi="Times New Roman;serif"/>
          <w:b w:val="false"/>
          <w:color w:val="000000"/>
          <w:sz w:val="22"/>
        </w:rPr>
        <w:t>. Seller shall keep proper books, records and accounts in which entries in conformity with sound business practices and all requirements of Applicable Law to it shall be made of all dealings and transactions in relation to its business, assets and activities and as shall permit the preparation of the consolidated financial statements of Seller in accordance with GAAP.</w:t>
      </w:r>
    </w:p>
    <w:p>
      <w:pPr>
        <w:pStyle w:val="TextBody"/>
        <w:bidi w:val="0"/>
        <w:spacing w:lineRule="auto" w:line="240" w:before="0" w:after="240"/>
        <w:ind w:left="0" w:right="0" w:firstLine="1440"/>
        <w:jc w:val="both"/>
        <w:rPr/>
      </w:pPr>
      <w:bookmarkStart w:id="48" w:name="i73b75fcd48e846a5a5b7fca0e0592187"/>
      <w:bookmarkEnd w:id="48"/>
      <w:r>
        <w:rPr>
          <w:rFonts w:ascii="Times New Roman;serif" w:hAnsi="Times New Roman;serif"/>
          <w:b w:val="false"/>
          <w:color w:val="000000"/>
          <w:sz w:val="22"/>
        </w:rPr>
        <w:t>(d)</w:t>
      </w:r>
      <w:r>
        <w:rPr>
          <w:rFonts w:ascii="Times New Roman;serif" w:hAnsi="Times New Roman;serif"/>
          <w:b w:val="false"/>
          <w:color w:val="000000"/>
          <w:sz w:val="22"/>
          <w:u w:val="single"/>
        </w:rPr>
        <w:t>Governmental Authorizations; Compliance with Laws</w:t>
      </w:r>
      <w:r>
        <w:rPr>
          <w:rFonts w:ascii="Times New Roman;serif" w:hAnsi="Times New Roman;serif"/>
          <w:b w:val="false"/>
          <w:color w:val="000000"/>
          <w:sz w:val="22"/>
        </w:rPr>
        <w:t>. Seller shall obtain, make and keep in full force and effect all authorizations from and registrations with Governmental Authorities that may be required for the validity or enforceability against Seller of this Agreement and the other Transaction Documents to which it is a party. Seller shall comply with all Applicable Laws with respect to the Transferred Royalty Interest, except where the failure to comply would not reasonably be expected to result in a Material Adverse Effect.</w:t>
      </w:r>
    </w:p>
    <w:p>
      <w:pPr>
        <w:pStyle w:val="TextBody"/>
        <w:bidi w:val="0"/>
        <w:spacing w:lineRule="auto" w:line="240" w:before="0" w:after="240"/>
        <w:ind w:left="0" w:right="0" w:firstLine="1440"/>
        <w:jc w:val="both"/>
        <w:rPr/>
      </w:pPr>
      <w:bookmarkStart w:id="49" w:name="i2a4566c99ac34a638d5a2dca0df2b43c"/>
      <w:bookmarkEnd w:id="49"/>
      <w:r>
        <w:rPr>
          <w:rFonts w:ascii="Times New Roman;serif" w:hAnsi="Times New Roman;serif"/>
          <w:b w:val="false"/>
          <w:color w:val="000000"/>
          <w:sz w:val="22"/>
        </w:rPr>
        <w:t>(e)</w:t>
      </w:r>
      <w:r>
        <w:rPr>
          <w:rFonts w:ascii="Times New Roman;serif" w:hAnsi="Times New Roman;serif"/>
          <w:b w:val="false"/>
          <w:color w:val="000000"/>
          <w:sz w:val="22"/>
          <w:u w:val="single"/>
        </w:rPr>
        <w:t>Conveyance of Transferred Royalty Interest; Security Interests</w:t>
      </w:r>
      <w:r>
        <w:rPr>
          <w:rFonts w:ascii="Times New Roman;serif" w:hAnsi="Times New Roman;serif"/>
          <w:b w:val="false"/>
          <w:color w:val="000000"/>
          <w:sz w:val="22"/>
        </w:rPr>
        <w:t>. Except for the transfers and conveyances hereunder and any Permitted Liens, Seller will not sell, contribute, pledge, assign, dispose of or transfer to any other Person, or grant, create, incur, assume or suffer to exist any Lien on the Transferred Royalty Interest, and Seller shall defend the right, title, and interest of Purchaser in and to the Transferred Royalty Interest, against all claims of third parties claiming through or under Seller. Seller acknowledges and agrees that, having assigned and transferred the Transferred Royalty Interest to Purchaser, Seller shall not, without the prior written consent of Administrative Agent, waive, modify, amend or terminate any provision of, or grant any consent, or take (or fail to take) any other action, under either of the corresponding Covered Agreements or any Related Agreement that would, individually or in the aggregate, reasonably be expected to result in a Material Adverse Effect.</w:t>
      </w:r>
    </w:p>
    <w:p>
      <w:pPr>
        <w:pStyle w:val="TextBody"/>
        <w:bidi w:val="0"/>
        <w:spacing w:lineRule="auto" w:line="240" w:before="0" w:after="240"/>
        <w:ind w:left="0" w:right="0" w:firstLine="1440"/>
        <w:jc w:val="both"/>
        <w:rPr/>
      </w:pPr>
      <w:bookmarkStart w:id="50" w:name="i07648e4bc18b4cc99e72109f3119ced2"/>
      <w:bookmarkEnd w:id="50"/>
      <w:r>
        <w:rPr>
          <w:rFonts w:ascii="Times New Roman;serif" w:hAnsi="Times New Roman;serif"/>
          <w:b w:val="false"/>
          <w:color w:val="000000"/>
          <w:sz w:val="22"/>
        </w:rPr>
        <w:t>(f)</w:t>
      </w:r>
      <w:r>
        <w:rPr>
          <w:rFonts w:ascii="Times New Roman;serif" w:hAnsi="Times New Roman;serif"/>
          <w:b w:val="false"/>
          <w:color w:val="000000"/>
          <w:sz w:val="22"/>
          <w:u w:val="single"/>
        </w:rPr>
        <w:t>Notices</w:t>
      </w:r>
      <w:r>
        <w:rPr>
          <w:rFonts w:ascii="Times New Roman;serif" w:hAnsi="Times New Roman;serif"/>
          <w:b w:val="false"/>
          <w:color w:val="000000"/>
          <w:sz w:val="22"/>
        </w:rPr>
        <w:t>. Seller shall promptly:</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51" w:name="i1d46973723c14220862e8651682bf7e3"/>
      <w:bookmarkEnd w:id="51"/>
      <w:r>
        <w:rPr>
          <w:rFonts w:ascii="Times New Roman;serif" w:hAnsi="Times New Roman;serif"/>
          <w:b w:val="false"/>
          <w:color w:val="000000"/>
          <w:sz w:val="22"/>
        </w:rPr>
        <w:t>(i)within [***] of obtaining Knowledge of such occurrence, give written Notice to, as applicable, Purchaser and Administrative Agent of each Default, Event of Default, or Agent Termination Event, or each other event or change in circumstance that has or would reasonably be expected to have a Material Adverse Effect; provided that in any of the foregoing situations where Seller knows a press release or other public disclosure is to be made by Seller or any of its Affiliates, Seller shall use all commercially reasonable efforts to provide such information to Purchaser and Administrative Agent as early as possible but in no event later than simultaneously with such release or other public disclosure;</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52" w:name="i3b2e7f0765a24205be6b26dc4badc626"/>
      <w:bookmarkEnd w:id="52"/>
      <w:r>
        <w:rPr>
          <w:rFonts w:ascii="Times New Roman;serif" w:hAnsi="Times New Roman;serif"/>
          <w:b w:val="false"/>
          <w:color w:val="000000"/>
          <w:sz w:val="22"/>
        </w:rPr>
        <w:t>(ii)within [***] upon obtaining Knowledge thereof, give written Notice to Purchaser and Administrative Agent of any litigation or proceedings to which Seller is a party or which would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53" w:name="id91c6c0b7a53415d82c3f08c18cf85f9"/>
      <w:bookmarkEnd w:id="53"/>
      <w:r>
        <w:rPr>
          <w:rFonts w:ascii="Times New Roman;serif" w:hAnsi="Times New Roman;serif"/>
          <w:b w:val="false"/>
          <w:color w:val="000000"/>
          <w:sz w:val="22"/>
        </w:rPr>
        <w:t>(iii)within [***] upon obtaining Knowledge thereof, give written Notice to Purchaser and Administrative Agent of any litigation or proceedings challenging the validity of any Covered Agreement, any Related Agreement, the Transaction Documents or any of the transactions contemplated therein;</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54" w:name="i0f60184057f04ff4bf9f1bfa1c863afe"/>
      <w:bookmarkEnd w:id="54"/>
      <w:r>
        <w:rPr>
          <w:rFonts w:ascii="Times New Roman;serif" w:hAnsi="Times New Roman;serif"/>
          <w:b w:val="false"/>
          <w:color w:val="000000"/>
          <w:sz w:val="22"/>
        </w:rPr>
        <w:t>(iv)within [***] upon obtaining Knowledge thereof, give written Notice to Purchaser and Administrative Agent of any representation or warranty made or deemed made by Seller in any of the Transaction Documents or in any certificate delivered pursuant thereto proven to be untrue, inaccurate or incomplete in any material respect on the date made or deemed made;</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55" w:name="i04bc374bcf4a4dfb954017ea1ced5820"/>
      <w:bookmarkEnd w:id="55"/>
      <w:r>
        <w:rPr>
          <w:rFonts w:ascii="Times New Roman;serif" w:hAnsi="Times New Roman;serif"/>
          <w:b w:val="false"/>
          <w:color w:val="000000"/>
          <w:sz w:val="22"/>
        </w:rPr>
        <w:t>(v)within [***] of receipt thereof, deliver to Purchaser and Administrative Agent all notices, reports, updates and other data or information (A) pertaining to the Zani Royalties (including all JSC materials and notices under each Covered Agreement), the Licensed Products or Zymeworks IP, in each case, that would reasonably be expected to be material to an owner of all or any portion of the Zani Royalties, (B) received from any Third Party which relate to events or circumstances that would reasonably be expected to have a Material Adverse Effect or that could reasonably be expected to be material to an owner of all or any portion of the Zani Royalties, or (C) that Administrative Agent reasonably requests in respect of the Zani Royalties, the Licensed Products or Zymeworks IP.</w:t>
      </w:r>
    </w:p>
    <w:p>
      <w:pPr>
        <w:pStyle w:val="TextBody"/>
        <w:bidi w:val="0"/>
        <w:spacing w:lineRule="auto" w:line="240" w:before="0" w:after="240"/>
        <w:ind w:left="0" w:right="0" w:firstLine="1440"/>
        <w:jc w:val="both"/>
        <w:rPr/>
      </w:pPr>
      <w:bookmarkStart w:id="56" w:name="if29616b6d5a447e1879c195d34f31e0d"/>
      <w:bookmarkEnd w:id="56"/>
      <w:r>
        <w:rPr>
          <w:rFonts w:ascii="Times New Roman;serif" w:hAnsi="Times New Roman;serif"/>
          <w:b w:val="false"/>
          <w:color w:val="000000"/>
          <w:sz w:val="22"/>
        </w:rPr>
        <w:t>(g)</w:t>
      </w:r>
      <w:r>
        <w:rPr>
          <w:rFonts w:ascii="Times New Roman;serif" w:hAnsi="Times New Roman;serif"/>
          <w:b w:val="false"/>
          <w:color w:val="000000"/>
          <w:sz w:val="22"/>
          <w:u w:val="single"/>
        </w:rPr>
        <w:t>Material Correspondence</w:t>
      </w:r>
      <w:r>
        <w:rPr>
          <w:rFonts w:ascii="Times New Roman;serif" w:hAnsi="Times New Roman;serif"/>
          <w:b w:val="false"/>
          <w:color w:val="000000"/>
          <w:sz w:val="22"/>
        </w:rPr>
        <w:t>. Seller shall send to Purchaser and Administrative Agent a copy of any correspondence pertaining to the Zani Royalties, the Licensed Products or the Zymeworks IP or that would reasonably be expected to have a Material Adverse Effect (the “</w:t>
      </w:r>
      <w:r>
        <w:rPr>
          <w:rFonts w:ascii="Times New Roman;serif" w:hAnsi="Times New Roman;serif"/>
          <w:b w:val="false"/>
          <w:color w:val="000000"/>
          <w:sz w:val="22"/>
          <w:u w:val="single"/>
        </w:rPr>
        <w:t>Material Correspondence</w:t>
      </w:r>
      <w:r>
        <w:rPr>
          <w:color w:val="000000"/>
        </w:rPr>
        <w:t>”</w:t>
      </w:r>
      <w:r>
        <w:rPr>
          <w:rFonts w:ascii="Times New Roman;serif" w:hAnsi="Times New Roman;serif"/>
          <w:b w:val="false"/>
          <w:color w:val="000000"/>
          <w:sz w:val="22"/>
        </w:rPr>
        <w:t>) that Seller proposes to deliver to a Covered Agreement Counterparty or Related Agreement counterparty or any of its Affiliates, at least [***] (or such shorter period if required under the terms of the applicable Covered Agreement or Related Agreement, as applicable) prior to the proposed date for providing such Material Correspondence. Seller shall thereafter act reasonably regarding such Material Correspondence and matters related thereto. In no event shall Seller or its Affiliates send any Material Correspondence to a Covered Agreement Counterparty or Related Agreement counterparty that would reasonably be expected to result in a Material Adverse Effect, except with the prior written consent of Purchaser and Administrative Agent.</w:t>
      </w:r>
    </w:p>
    <w:p>
      <w:pPr>
        <w:pStyle w:val="TextBody"/>
        <w:bidi w:val="0"/>
        <w:spacing w:lineRule="auto" w:line="240" w:before="0" w:after="240"/>
        <w:ind w:left="0" w:right="0" w:firstLine="1440"/>
        <w:jc w:val="both"/>
        <w:rPr/>
      </w:pPr>
      <w:bookmarkStart w:id="57" w:name="i1c30e871feac4ba486abc29bc931b750"/>
      <w:bookmarkEnd w:id="57"/>
      <w:r>
        <w:rPr>
          <w:rFonts w:ascii="Times New Roman;serif" w:hAnsi="Times New Roman;serif"/>
          <w:b w:val="false"/>
          <w:color w:val="000000"/>
          <w:sz w:val="22"/>
        </w:rPr>
        <w:t>(h)</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 Seller shall timely file all tax returns required to be filed by it and timely pay, discharge or otherwise satisfy all material taxes of any kind imposed on or in respect of its income or assets as the same shall become due and payable, and, in any event, before any Lien on the Transferred Royalty Interest exists as a result of nonpayment, other than Permitted Liens, and except for taxes that are being contested in good faith by appropriate proceedings and for which Seller has set aside on its books adequate reserves.</w:t>
      </w:r>
    </w:p>
    <w:p>
      <w:pPr>
        <w:pStyle w:val="TextBody"/>
        <w:bidi w:val="0"/>
        <w:spacing w:lineRule="auto" w:line="240" w:before="0" w:after="240"/>
        <w:ind w:left="0" w:right="0" w:firstLine="1440"/>
        <w:jc w:val="both"/>
        <w:rPr/>
      </w:pPr>
      <w:bookmarkStart w:id="58" w:name="i16e94b7890164967bd2cdcbeb157d160"/>
      <w:bookmarkEnd w:id="58"/>
      <w:r>
        <w:rPr>
          <w:rFonts w:ascii="Times New Roman;serif" w:hAnsi="Times New Roman;serif"/>
          <w:b w:val="false"/>
          <w:color w:val="000000"/>
          <w:sz w:val="22"/>
        </w:rPr>
        <w:t>(i)</w:t>
      </w:r>
      <w:r>
        <w:rPr>
          <w:rFonts w:ascii="Times New Roman;serif" w:hAnsi="Times New Roman;serif"/>
          <w:b w:val="false"/>
          <w:color w:val="000000"/>
          <w:sz w:val="22"/>
          <w:u w:val="single"/>
        </w:rPr>
        <w:t>Covered Agreements; Turnover</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59" w:name="ib150343f9d6d414284561298bc151332"/>
      <w:bookmarkEnd w:id="59"/>
      <w:r>
        <w:rPr>
          <w:rFonts w:ascii="Times New Roman;serif" w:hAnsi="Times New Roman;serif"/>
          <w:b w:val="false"/>
          <w:color w:val="000000"/>
          <w:sz w:val="22"/>
        </w:rPr>
        <w:t>(i)Seller acknowledges and agrees that, having retained all obligations of Seller under the Covered Agreements and the Related Agreements, it shall fully perform, as and when due, all of its obligations under the Covered Agreements and the Related Agreements. Seller shall not forgive, release or compromise any portion of the Transferred Royalty Interest payable under any Covered Agreement.</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60" w:name="i78b49acda74c46c6a5ea56ebf9642827"/>
      <w:bookmarkEnd w:id="60"/>
      <w:r>
        <w:rPr>
          <w:rFonts w:ascii="Times New Roman;serif" w:hAnsi="Times New Roman;serif"/>
          <w:b w:val="false"/>
          <w:color w:val="000000"/>
          <w:sz w:val="22"/>
        </w:rPr>
        <w:t>(ii)Seller shall not enter into or deliver any Contracts (or make or propose any amendments, modifications waivers or notices in connection with any contracts or arrangements) related to the Zani Royalties that would, individually or in the aggregate reasonably be expected to result in a Material Adverse Effect, or otherwise take any action or fail to act with the specific intention to undermine the Transferred Royalty Interest.</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61" w:name="i4020b94677ca4d1588f49739e5fc0edb"/>
      <w:bookmarkEnd w:id="61"/>
      <w:r>
        <w:rPr>
          <w:rFonts w:ascii="Times New Roman;serif" w:hAnsi="Times New Roman;serif"/>
          <w:b w:val="false"/>
          <w:color w:val="000000"/>
          <w:sz w:val="22"/>
        </w:rPr>
        <w:t>(iii)Seller shall promptly (and in any event within [***]), following receipt thereof from Jazz pursuant to Section 9.5(c) of the Jazz Agreement or from either of the BeOne Parties pursuant to Section 9.4(b) of the BeOne Agreement, deliver or cause to be delivered to Purchaser a true copy of each Agreed Report for such fiscal quarter, each together with a certificate of a Senior Officer of Seller, certifying that to the Knowledge of Seller such Agreed Report is a true, correct and complete copy of such Agreed Report as provided to Seller by the respective Covered Agreement Counterparty, and any supporting documentation provided to Seller in connection with an Agreed Report.</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62" w:name="i4a5657d05a154d09b77015612628652e"/>
      <w:bookmarkEnd w:id="62"/>
      <w:r>
        <w:rPr>
          <w:rFonts w:ascii="Times New Roman;serif" w:hAnsi="Times New Roman;serif"/>
          <w:b w:val="false"/>
          <w:color w:val="000000"/>
          <w:sz w:val="22"/>
        </w:rPr>
        <w:t xml:space="preserve">(iv)If any amount is paid to Seller under the Covered Agreements on account of the Transferred Royalty Interest on or after the Closing Date and prior to Payment in Full, Seller shall have no right, title or interest in such amount and shall hold such amount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 trust for Purchaser, shall segregate such amount from other funds of Seller, and shall, within [***]of receipt of such amount by Seller, deposit such amount in the exact form received by Seller in the Collection Account.</w:t>
      </w:r>
    </w:p>
    <w:p>
      <w:pPr>
        <w:pStyle w:val="TextBody"/>
        <w:bidi w:val="0"/>
        <w:spacing w:lineRule="auto" w:line="240" w:before="0" w:after="240"/>
        <w:ind w:left="0" w:right="0" w:firstLine="720"/>
        <w:jc w:val="both"/>
        <w:rPr/>
      </w:pPr>
      <w:bookmarkStart w:id="63" w:name="iecea079825fd461a996127243bcb65ae"/>
      <w:bookmarkEnd w:id="63"/>
      <w:r>
        <w:rPr>
          <w:rFonts w:ascii="Times New Roman;serif" w:hAnsi="Times New Roman;serif"/>
          <w:b w:val="false"/>
          <w:color w:val="000000"/>
          <w:sz w:val="22"/>
        </w:rPr>
        <w:t xml:space="preserve">(v)If Seller fails to timely comply with its obligations under </w:t>
      </w:r>
      <w:r>
        <w:rPr>
          <w:rFonts w:ascii="Times New Roman;serif" w:hAnsi="Times New Roman;serif"/>
          <w:b w:val="false"/>
          <w:color w:val="000000"/>
          <w:sz w:val="22"/>
          <w:u w:val="single"/>
        </w:rPr>
        <w:t>Section 4.01(i)(iv)</w:t>
      </w:r>
      <w:r>
        <w:rPr>
          <w:rFonts w:ascii="Times New Roman;serif" w:hAnsi="Times New Roman;serif"/>
          <w:b w:val="false"/>
          <w:color w:val="000000"/>
          <w:sz w:val="22"/>
        </w:rPr>
        <w:t>, then all amounts not timely paid by the due date provided therein shall accrue interest from and including the date such amount was due through but excluding the date such payment in full (together with all interest thereon) is made to the applicable party; provided, however, that interest shall not accrue for (x) any non-Business Day(s) immediately preceding the date of such payment in full, or (y) any Business Day(s) immediately preceding the date of such payment in full (or immediately preceding any non-Business Day(s) described in clause (x), if applicable) to the extent Seller demonstrates, with reasonable supporting documentation, that the failure of funds to be received on such day(s) resulted solely from a delay in the processing or settlement of a duly initiated payment by the relevant banking institution(s), and not from any act or omission of Seller. Such interest shall accrue at a rate, [***], and shall be paid to the Administrative Agent and Lenders.</w:t>
      </w:r>
    </w:p>
    <w:p>
      <w:pPr>
        <w:pStyle w:val="TextBody"/>
        <w:bidi w:val="0"/>
        <w:spacing w:lineRule="auto" w:line="240" w:before="0" w:after="240"/>
        <w:ind w:left="0" w:right="0" w:firstLine="1440"/>
        <w:jc w:val="both"/>
        <w:rPr/>
      </w:pPr>
      <w:bookmarkStart w:id="64" w:name="icb0d28eaa9c44052b22e51e757c72f59"/>
      <w:bookmarkEnd w:id="64"/>
      <w:r>
        <w:rPr>
          <w:rFonts w:ascii="Times New Roman;serif" w:hAnsi="Times New Roman;serif"/>
          <w:b w:val="false"/>
          <w:color w:val="000000"/>
          <w:sz w:val="22"/>
        </w:rPr>
        <w:t>(j)</w:t>
      </w:r>
      <w:r>
        <w:rPr>
          <w:rFonts w:ascii="Times New Roman;serif" w:hAnsi="Times New Roman;serif"/>
          <w:b w:val="false"/>
          <w:color w:val="000000"/>
          <w:sz w:val="22"/>
          <w:u w:val="single"/>
        </w:rPr>
        <w:t>Royalty Reductions</w:t>
      </w:r>
      <w:r>
        <w:rPr>
          <w:rFonts w:ascii="Times New Roman;serif" w:hAnsi="Times New Roman;serif"/>
          <w:b w:val="false"/>
          <w:color w:val="000000"/>
          <w:sz w:val="22"/>
        </w:rPr>
        <w:t>. If a Covered Agreement Counterparty exercises any reduction pursuant to Section 9.5(c) of the BeOne Agreement or Section 9.6(c) of the Jazz Agreement or otherwise (each, a “Royalty Reduction”), as applicable, against any Agreed Payment that is not (a) a Permitted Royalty Reduction or (b) a breach by such Covered Agreement Counterparty of its payment obligations under its corresponding Covered Agreement, such Royalty Reduction shall not reduce the amount of any Transferred Royalty Interest payments to which Purchaser is entitled, and if such Royalty Reduction reduces any payment of the Transferred Royalty Interest to less than the full amount otherwise required under this Agreement and the Covered Agreements, then Seller shall promptly (and in any event within [***] following the payment of the Transferred Royalty Interest amounts affected by such Royalty Reduction) make a true-up payment to Purchaser in the Collection Account such that the Purchaser receives the full amount of such Transferred Royalty Interest payments that would have been payable to Purchaser had such Royalty Reduction not occurred. Seller agrees to notify Purchaser and the Administrative Agent in writing as promptly as possible (and in any event within [***]) of becoming aware of any actual or potential Royalty Reductions, including Permitted Royalty Reductions.</w:t>
      </w:r>
    </w:p>
    <w:p>
      <w:pPr>
        <w:pStyle w:val="TextBody"/>
        <w:bidi w:val="0"/>
        <w:spacing w:lineRule="auto" w:line="240" w:before="0" w:after="240"/>
        <w:ind w:left="0" w:right="0" w:firstLine="1440"/>
        <w:jc w:val="both"/>
        <w:rPr/>
      </w:pPr>
      <w:bookmarkStart w:id="65" w:name="icbec8ee77374440f839de2dbbab281d1"/>
      <w:bookmarkEnd w:id="65"/>
      <w:r>
        <w:rPr>
          <w:rFonts w:ascii="Times New Roman;serif" w:hAnsi="Times New Roman;serif"/>
          <w:b w:val="false"/>
          <w:color w:val="000000"/>
          <w:sz w:val="22"/>
        </w:rPr>
        <w:t>(k)</w:t>
      </w:r>
      <w:r>
        <w:rPr>
          <w:rFonts w:ascii="Times New Roman;serif" w:hAnsi="Times New Roman;serif"/>
          <w:b w:val="false"/>
          <w:color w:val="000000"/>
          <w:sz w:val="22"/>
          <w:u w:val="single"/>
        </w:rPr>
        <w:t>Amendments of Covered Agreements</w:t>
      </w:r>
      <w:r>
        <w:rPr>
          <w:rFonts w:ascii="Times New Roman;serif" w:hAnsi="Times New Roman;serif"/>
          <w:b w:val="false"/>
          <w:color w:val="000000"/>
          <w:sz w:val="22"/>
        </w:rPr>
        <w:t>. If (a) Seller, a Covered Agreement Counterparty or a counterparty to any Related Agreement proposes to amend or modify any Covered Agreement or Related Agreement or provide a consent or waiver thereunder, or (b) Seller proposes otherwise to take any action under any Covered Agreement or Related Agreement [***] then in each case Seller shall (i) send to Purchaser and Administrative Agent a copy of any such proposed amendment, modification, consent, or waiver, or a description of such any other action that the Seller proposes to take under such Covered Agreement or Related Agreement, at least [***] prior to the proposed date for providing such document to the applicable Covered Agreement Counterparty or Related Agreement counterparty or taking such action (however, if such amendment, modification, consent, waiver or other action is for a reduction in the royalties or for a Covered Agreement Counterparty or its Affiliates to acquire, whether by amendment or acquisition, the Zymeworks IP or the Seller’s retained interest in the Zani Royalties as of the date hereof, at least [***] prior) and (ii) keep the Purchaser and Administrative Agent reasonably informed regarding any material developments regarding such document or action and consider any reasonable comments and requests from Purchaser and Administrative Agent regarding such document or action in good faith. No such amendment, modification, consent, waiver or action taken shall reduce any Transferred Royalty Interest amounts payable to Purchaser or have or reasonably be expected to have a Material Adverse Effect, without the prior written consent of Purchaser and Administrative Agent. Promptly and in any event within [***] of receipt by Seller of any final amendment, modification, supplement or waiver of any Covered Agreement or Related Agreement, Seller shall furnish a copy of the same to Purchaser and Administrative Agent.</w:t>
      </w:r>
    </w:p>
    <w:p>
      <w:pPr>
        <w:pStyle w:val="TextBody"/>
        <w:bidi w:val="0"/>
        <w:spacing w:lineRule="auto" w:line="240" w:before="0" w:after="240"/>
        <w:ind w:left="0" w:right="0" w:firstLine="1440"/>
        <w:jc w:val="both"/>
        <w:rPr/>
      </w:pPr>
      <w:bookmarkStart w:id="66" w:name="i288eb19537bd47e890fa151bb8749a4a"/>
      <w:bookmarkEnd w:id="66"/>
      <w:r>
        <w:rPr>
          <w:rFonts w:ascii="Times New Roman;serif" w:hAnsi="Times New Roman;serif"/>
          <w:b w:val="false"/>
          <w:color w:val="000000"/>
          <w:sz w:val="22"/>
        </w:rPr>
        <w:t>(l)</w:t>
      </w:r>
      <w:r>
        <w:rPr>
          <w:rFonts w:ascii="Times New Roman;serif" w:hAnsi="Times New Roman;serif"/>
          <w:b w:val="false"/>
          <w:color w:val="000000"/>
          <w:sz w:val="22"/>
          <w:u w:val="single"/>
        </w:rPr>
        <w:t>Breach of Covered Agreements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67" w:name="ic52ed981bf444c5ba8891d8abb8545a2"/>
      <w:bookmarkEnd w:id="67"/>
      <w:r>
        <w:rPr>
          <w:rFonts w:ascii="Times New Roman;serif" w:hAnsi="Times New Roman;serif"/>
          <w:b w:val="false"/>
          <w:color w:val="000000"/>
          <w:sz w:val="22"/>
        </w:rPr>
        <w:t xml:space="preserve">(i)Promptly (and in any event within [***]) after Seller’s receipt of any written notice from a Covered Agreement Counterparty or a Related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counterparty of an alleged breach or default under a Covered Agreement or a Related Agreement by Seller, Seller shall give written notice thereof to Purchaser and Administrative Agent, including delivering to Purchaser and Administrative Agent a copy of any such written notice. Seller shall use commercially reasonable efforts to cure any material breach or default by Seller under such Covered Agreement or Related Agreement, as applicable, and shall give written notice to Purchaser and Administrative Agent upon curing any such breach or default. Promptly (and in any event within [***]) after Seller becomes aware of, or comes to believe in good faith that there has been, a breach of a Covered Agreement or a Related Agreement by a Covered Agreement Counterparty or a counterparty to such Related Agreement, Seller shall provide notice of such breach to Purchaser and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68" w:name="i168bfe4054664cf096f69f22d7620026"/>
      <w:bookmarkEnd w:id="68"/>
      <w:r>
        <w:rPr>
          <w:rFonts w:ascii="Times New Roman;serif" w:hAnsi="Times New Roman;serif"/>
          <w:b w:val="false"/>
          <w:color w:val="000000"/>
          <w:sz w:val="22"/>
        </w:rPr>
        <w:t>(ii)Seller shall keep the Purchaser and Administrative Agent reasonably informed regarding the timing, manner and conduct of any enforcement of such Covered Agreement Counterparty’s or Related Agreement counterparty’s obligations under such Covered Agreement or Related Agreement and shall consider in good faith all of Purchaser’s and Administrative Agent’s reasonable comments and suggestions regarding such enforcement. Seller shall not take any action (or fail to take any action) regarding any alleged breach or default that would reasonably be expected to result in a Material Adverse Effect without the prior written consent of Purchaser and Administrative Agent.</w:t>
      </w:r>
    </w:p>
    <w:p>
      <w:pPr>
        <w:pStyle w:val="TextBody"/>
        <w:bidi w:val="0"/>
        <w:spacing w:lineRule="auto" w:line="240" w:before="0" w:after="240"/>
        <w:ind w:left="0" w:right="0" w:firstLine="1440"/>
        <w:jc w:val="both"/>
        <w:rPr/>
      </w:pPr>
      <w:bookmarkStart w:id="69" w:name="ia2dfa24b41a74d17aa504fce244608be"/>
      <w:bookmarkEnd w:id="69"/>
      <w:r>
        <w:rPr>
          <w:rFonts w:ascii="Times New Roman;serif" w:hAnsi="Times New Roman;serif"/>
          <w:b w:val="false"/>
          <w:color w:val="000000"/>
          <w:sz w:val="22"/>
        </w:rPr>
        <w:t>(m)</w:t>
      </w:r>
      <w:r>
        <w:rPr>
          <w:rFonts w:ascii="Times New Roman;serif" w:hAnsi="Times New Roman;serif"/>
          <w:b w:val="false"/>
          <w:color w:val="000000"/>
          <w:sz w:val="22"/>
          <w:u w:val="single"/>
        </w:rPr>
        <w:t>Inspections and Audits of Covered Agreement Counterparties</w:t>
      </w:r>
      <w:r>
        <w:rPr>
          <w:rFonts w:ascii="Times New Roman;serif" w:hAnsi="Times New Roman;serif"/>
          <w:b w:val="false"/>
          <w:color w:val="000000"/>
          <w:sz w:val="22"/>
        </w:rPr>
        <w:t xml:space="preserve">. If any of Seller, Purchaser or Administrative Agent desires to cause an inspection as provided under Section 9.10(b) of each Covered Agreement, then Seller, Purchaser and Administrative Agent agree to consult in good faith with each other in connection therewith. Following such consultation, Seller may, or if requested by Purchaser or Administrative Agent, shall, promptly provide written notice to such Covered Agreement Counterparty to cause such an inspection. Seller shall, for purposes of Section 9.10(b) of each Covered Agreement, select such independent certified public accounting firm as is reasonably acceptable to Seller, Purchaser and Administrative Agent (which shall be deemed to be the case, as long as such independent certified public accountant is reasonably acceptable to such Covered Agreement Counterparty as required by Section 9.10(b) of the applicable Covered Agreement). Each of Purchaser and Seller shall be responsible for its pro rata portion of the expense of any inspection or audit undertaken by either Purchaser or Seller (including the fees and expenses of such independent certified public accounting firm designated for such purpose) that would otherwise be borne by Seller pursuant to the Covered Agreement (if and as such expenses are actually incurred by Seller); provided that, in the event an audit is requested by Administrative Agent, Administrative Agent shall be responsible for Purchaser’s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portion of the expenses. Seller shall deliver to Purchaser and Administrative Agent a copy of the results of any audit conducted pursuant to Section 9.10(b) of the applicable Covered Agreement within [***] following Seller’s receipt thereof. If an audit reveals an underpayment by the applicable Covered Agreement Counterparty in respect of the Transferred Royalty Interest, then the Transferred Royalty Interest shall include the amount paid by such Covered Agreement Counterparty to the Collection Account to compensate for such underpayment in accordance with Section 9.10(b) of the applicable Covered Agreement, with interest thereon as set forth in Section 9.9 of the applicable Covered Agreement.</w:t>
      </w:r>
    </w:p>
    <w:p>
      <w:pPr>
        <w:pStyle w:val="TextBody"/>
        <w:bidi w:val="0"/>
        <w:spacing w:lineRule="auto" w:line="240" w:before="0" w:after="240"/>
        <w:ind w:left="0" w:right="0" w:firstLine="1440"/>
        <w:jc w:val="both"/>
        <w:rPr/>
      </w:pPr>
      <w:bookmarkStart w:id="70" w:name="if857a4a232b74d2894c934d223accc80"/>
      <w:bookmarkEnd w:id="70"/>
      <w:r>
        <w:rPr>
          <w:rFonts w:ascii="Times New Roman;serif" w:hAnsi="Times New Roman;serif"/>
          <w:b w:val="false"/>
          <w:color w:val="000000"/>
          <w:sz w:val="22"/>
        </w:rPr>
        <w:t>(n)</w:t>
      </w:r>
      <w:r>
        <w:rPr>
          <w:rFonts w:ascii="Times New Roman;serif" w:hAnsi="Times New Roman;serif"/>
          <w:b w:val="false"/>
          <w:color w:val="000000"/>
          <w:sz w:val="22"/>
          <w:u w:val="single"/>
        </w:rPr>
        <w:t>Termination of License Agreement</w:t>
      </w:r>
      <w:r>
        <w:rPr>
          <w:rFonts w:ascii="Times New Roman;serif" w:hAnsi="Times New Roman;serif"/>
          <w:b w:val="false"/>
          <w:color w:val="000000"/>
          <w:sz w:val="22"/>
        </w:rPr>
        <w:t xml:space="preserve">. Seller shall not, without the prior written consent of Purchaser and Administrative Agent, (A) exercise any right to terminate a Covered Agreement or a Related Agreement, in whole or in part, (B) agree with a Covered Agreement Counterparty or a Related Agreement counterparty to terminate a Covered Agreement or Related Agreement, in whole or in part, or (C) take, or permit any Affiliate to take, any action that would reasonably be expected to give a Covered Agreement Counterparty or Related Agreement counterparty the right to terminate a Covered Agreement or Related Agreement, in whole or in part. In the event that, prior to Payment in Full, a Covered Agreement is terminated in its entirety prior to the expiration of the BeOne Royalty Term or the Jazz Royalty Term, as applicable: (A) Seller shall use commercially reasonable efforts to act as reasonably instructed by Purchaser and Administrative Agent to negotiate and enter into a license, assignment or transfer agreement with the applicable Covered Agreement Counterparty for the regulatory approvals, data and patent rights owned or controlled by the applicable Covered Agreement Counterparty, in each case, that are necessary or useful to develop, manufacture, commercialize, use, market, sell, offer for sale, import, distribute or otherwise exploit the Licensed Products; and (B) Seller shall use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commercially reasonable efforts to negotiate and enter into, a license under the applicable Zymeworks IP in the applicable Territory covered by such terminated Covered Agreement with a third party, pursuant to which such third party will be granted rights to develop, manufacture, commercialize, use, market, sell, offer for sale, import, distribute or otherwise exploit the Licensed Products in the applicable Territory for any purpose to the extent that Covered Agreement Counterparty would have been permitted under the applicable Covered Agreement, subject to rights retained by the Covered Agreement Counterparty following such termination, on terms (including financial terms) that are, in the aggregate, not materially less favorable to Seller, Purchaser and Administrative Agent and Lenders (taking into account the transactions under this Agreement and the other Transaction Documents) than those contained in the applicable Covered Agreement (such a replacement licensing arrangement, a “</w:t>
      </w:r>
      <w:r>
        <w:rPr>
          <w:rFonts w:ascii="Times New Roman;serif" w:hAnsi="Times New Roman;serif"/>
          <w:b w:val="false"/>
          <w:color w:val="000000"/>
          <w:sz w:val="22"/>
          <w:u w:val="single"/>
        </w:rPr>
        <w:t>New Arrangement</w:t>
      </w:r>
      <w:r>
        <w:rPr>
          <w:color w:val="000000"/>
        </w:rPr>
        <w:t>”</w:t>
      </w:r>
      <w:r>
        <w:rPr>
          <w:rFonts w:ascii="Times New Roman;serif" w:hAnsi="Times New Roman;serif"/>
          <w:b w:val="false"/>
          <w:color w:val="000000"/>
          <w:sz w:val="22"/>
        </w:rPr>
        <w:t>). Seller and Purchaser shall each provide reasonable assistance to and cooperate with the other party in connection with the negotiation of, and entry into, the license agreement relating to such New Arrangement, which shall not become effective earlier than the effective date of such termination of the applicable Covered Agreement (the “</w:t>
      </w:r>
      <w:r>
        <w:rPr>
          <w:rFonts w:ascii="Times New Roman;serif" w:hAnsi="Times New Roman;serif"/>
          <w:b w:val="false"/>
          <w:color w:val="000000"/>
          <w:sz w:val="22"/>
          <w:u w:val="single"/>
        </w:rPr>
        <w:t>New License Agreement</w:t>
      </w:r>
      <w:r>
        <w:rPr>
          <w:color w:val="000000"/>
        </w:rPr>
        <w:t>”</w:t>
      </w:r>
      <w:r>
        <w:rPr>
          <w:rFonts w:ascii="Times New Roman;serif" w:hAnsi="Times New Roman;serif"/>
          <w:b w:val="false"/>
          <w:color w:val="000000"/>
          <w:sz w:val="22"/>
        </w:rPr>
        <w:t xml:space="preserve">). Thereafter, the New License Agreement shall be included for all purposes in the definition of “Covered Agreement” under this Agreement and the other Transaction Documents, any payments that are equivalent to the Agreed Payments due under such New License Agreement and any rights similar shall be included for all purposes under this Agreement and the other Transaction Documents, and the Seller’s rights and obligations under this Agreement in respect of Covered Agreements shall apply in respect of its rights and obligations under the New License Agreement </w:t>
      </w:r>
      <w:r>
        <w:rPr>
          <w:rFonts w:ascii="Times New Roman;serif" w:hAnsi="Times New Roman;serif"/>
          <w:b w:val="false"/>
          <w:i/>
          <w:color w:val="000000"/>
          <w:sz w:val="22"/>
        </w:rPr>
        <w:t>mutatis mutandis</w:t>
      </w:r>
      <w:r>
        <w:rPr>
          <w:rFonts w:ascii="Times New Roman;serif" w:hAnsi="Times New Roman;serif"/>
          <w:b w:val="false"/>
          <w:color w:val="000000"/>
          <w:sz w:val="22"/>
        </w:rPr>
        <w:t>, in each case without any further action by the parties hereto to amend this Agreement or the other Transaction Documents.</w:t>
      </w:r>
    </w:p>
    <w:p>
      <w:pPr>
        <w:pStyle w:val="TextBody"/>
        <w:bidi w:val="0"/>
        <w:spacing w:lineRule="auto" w:line="240" w:before="0" w:after="240"/>
        <w:ind w:left="0" w:right="0" w:firstLine="1440"/>
        <w:jc w:val="both"/>
        <w:rPr/>
      </w:pPr>
      <w:bookmarkStart w:id="71" w:name="ia91e9829c0c048e29b0ce05e32768222"/>
      <w:bookmarkEnd w:id="71"/>
      <w:r>
        <w:rPr>
          <w:rFonts w:ascii="Times New Roman;serif" w:hAnsi="Times New Roman;serif"/>
          <w:b w:val="false"/>
          <w:color w:val="000000"/>
          <w:sz w:val="22"/>
        </w:rPr>
        <w:t>(o)</w:t>
      </w:r>
      <w:r>
        <w:rPr>
          <w:rFonts w:ascii="Times New Roman;serif" w:hAnsi="Times New Roman;serif"/>
          <w:b w:val="false"/>
          <w:color w:val="000000"/>
          <w:sz w:val="22"/>
          <w:u w:val="single"/>
        </w:rPr>
        <w:t>In-License Agreements</w:t>
      </w:r>
      <w:r>
        <w:rPr>
          <w:rFonts w:ascii="Times New Roman;serif" w:hAnsi="Times New Roman;serif"/>
          <w:b w:val="false"/>
          <w:color w:val="000000"/>
          <w:sz w:val="22"/>
        </w:rPr>
        <w:t>. Seller shall provide Purchaser and Administrative Agent with executed copies of any material in-licenses of Patent Rights or Know-How entered into by Seller or any of its Affiliates and included in the licenses granted under Zymeworks IP pursuant to the Covered Agreements, within [***] of execution thereof. Upon execution of the new material in- license, such license shall be included for all purposes in the definition of “In-License Agreement”, and “Related Agreement”, in each case, under this Agreement and the other Transaction Documents.</w:t>
      </w:r>
    </w:p>
    <w:p>
      <w:pPr>
        <w:pStyle w:val="TextBody"/>
        <w:bidi w:val="0"/>
        <w:spacing w:lineRule="auto" w:line="240" w:before="0" w:after="240"/>
        <w:ind w:left="0" w:right="0" w:firstLine="1440"/>
        <w:jc w:val="both"/>
        <w:rPr/>
      </w:pPr>
      <w:bookmarkStart w:id="72" w:name="ic23d00c5414d49a89bb36cfc406904fc"/>
      <w:bookmarkEnd w:id="72"/>
      <w:r>
        <w:rPr>
          <w:rFonts w:ascii="Times New Roman;serif" w:hAnsi="Times New Roman;serif"/>
          <w:b w:val="false"/>
          <w:color w:val="000000"/>
          <w:sz w:val="22"/>
        </w:rPr>
        <w:t>(p)</w:t>
      </w:r>
      <w:r>
        <w:rPr>
          <w:rFonts w:ascii="Times New Roman;serif" w:hAnsi="Times New Roman;serif"/>
          <w:b w:val="false"/>
          <w:color w:val="000000"/>
          <w:sz w:val="22"/>
          <w:u w:val="single"/>
        </w:rPr>
        <w:t>Restriction on Liens, Monetizations or Transfers to Licensees</w:t>
      </w:r>
      <w:r>
        <w:rPr>
          <w:rFonts w:ascii="Times New Roman;serif" w:hAnsi="Times New Roman;serif"/>
          <w:b w:val="false"/>
          <w:color w:val="000000"/>
          <w:sz w:val="22"/>
        </w:rPr>
        <w:t>. The Seller shall not (A) sell, transfer or otherwise dispose of (directly or indirectly), or grant, create, incur, assume or permit to exist any Lien (excluding Liens created under the Covered Agreements) on any of its interest in any of the LP-Specific Zyme IP, any Licensed Product, any Covered Agreement or any Related Agreement (B) enter into a Definitive Monetization Agreement, or (C) permit any Covered Agreement Counterparty or any of its Affiliates to acquire, whether by amendment to a Covered Agreement or any other means, other than indirectly by acquisition of the Seller, more than fifty percent (50%) of the Seller’s retained interest in the Zani Royalties as of the date hereof; provided that:</w:t>
      </w:r>
    </w:p>
    <w:p>
      <w:pPr>
        <w:pStyle w:val="TextBody"/>
        <w:bidi w:val="0"/>
        <w:spacing w:lineRule="auto" w:line="240" w:before="0" w:after="240"/>
        <w:ind w:left="0" w:right="0" w:firstLine="720"/>
        <w:jc w:val="both"/>
        <w:rPr/>
      </w:pPr>
      <w:bookmarkStart w:id="73" w:name="i8b1b605d79bb4f8b850be57b9c106875"/>
      <w:bookmarkEnd w:id="73"/>
      <w:r>
        <w:rPr>
          <w:rFonts w:ascii="Times New Roman;serif" w:hAnsi="Times New Roman;serif"/>
          <w:b w:val="false"/>
          <w:color w:val="000000"/>
          <w:sz w:val="22"/>
        </w:rPr>
        <w:t>(i)Seller may (x) grant, create, incur, assume or permit to exist any Lien on any of its interest in any of the LP-Specific Zyme IP, any Licensed Product, any Covered Agreement or any Related Agreement, or (y) enter into a Definitive Monetization Agreement if, Seller causes the Person in whose favor such Lien is granted (a “</w:t>
      </w:r>
      <w:r>
        <w:rPr>
          <w:rFonts w:ascii="Times New Roman;serif" w:hAnsi="Times New Roman;serif"/>
          <w:b w:val="false"/>
          <w:color w:val="000000"/>
          <w:sz w:val="22"/>
          <w:u w:val="single"/>
        </w:rPr>
        <w:t>Lien Party</w:t>
      </w:r>
      <w:r>
        <w:rPr>
          <w:color w:val="000000"/>
        </w:rPr>
        <w:t>”</w:t>
      </w:r>
      <w:r>
        <w:rPr>
          <w:rFonts w:ascii="Times New Roman;serif" w:hAnsi="Times New Roman;serif"/>
          <w:b w:val="false"/>
          <w:color w:val="000000"/>
          <w:sz w:val="22"/>
        </w:rPr>
        <w:t>), or the counterparty to such Definitive Monetization Agreement, as applicable, to execute and deliver [***];</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74" w:name="i8920576abf014a3b92aca4e04d840fbe"/>
      <w:bookmarkEnd w:id="74"/>
      <w:r>
        <w:rPr>
          <w:rFonts w:ascii="Times New Roman;serif" w:hAnsi="Times New Roman;serif"/>
          <w:b w:val="false"/>
          <w:color w:val="000000"/>
          <w:sz w:val="22"/>
        </w:rPr>
        <w:t>(ii)Seller may enter into a license agreement or similar arrangement with a Third Party, including any Covered Agreement Counterparty, under the LP-Specific Zyme IP to research, develop, manufacture, have manufactured, use, sell, have sold, import and otherwise commercialize an antibody drug conjugate that is not a Licensed Product;</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75" w:name="i8877f40865bc4fdcbea28486c604ee9d"/>
      <w:bookmarkEnd w:id="75"/>
      <w:r>
        <w:rPr>
          <w:rFonts w:ascii="Times New Roman;serif" w:hAnsi="Times New Roman;serif"/>
          <w:b w:val="false"/>
          <w:color w:val="000000"/>
          <w:sz w:val="22"/>
        </w:rPr>
        <w:t>(iii)Seller may permit a Covered Agreement Counterparty to acquire more than fifty percent (50%) of Seller’s retained interest in the Zani Royalties as of the date hereof if Seller causes such Covered Agreement Counterparty to enter into an assumption agreement with, and in form and substance reasonably acceptable to, Purchaser and Administrative Agent, pursuant to which such Covered Agreement Counterparty assumes all of the obligations of Seller to Purchaser and Administrative Agent and Lenders under the Transaction Documents with respect to the applicable Licensed Products; and</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76" w:name="icf4a6a4cc7844ca0a1732bb7b8d1e3b9"/>
      <w:bookmarkEnd w:id="76"/>
      <w:r>
        <w:rPr>
          <w:rFonts w:ascii="Times New Roman;serif" w:hAnsi="Times New Roman;serif"/>
          <w:b w:val="false"/>
          <w:color w:val="000000"/>
          <w:sz w:val="22"/>
        </w:rPr>
        <w:t>(iv)Seller may consummate any transaction or series of related transactions, including by way of merger, consolidation, recapitalization, reorganization, or otherwise, that results in (x) a sale, transfer, conveyance, or other disposition of all or substantially all of the assets of Seller, or (y) a sale, transfer, or other disposition of all or substantially all of the issued and outstanding equity interests of Seller, in each case of (x) or (y) if the purchaser delivers a writing to, and in favor of, the Administrative Agent through which the ultimate parent of such purchaser agrees to assume all of the obligations of Seller to Purchaser and Administrative Agent and Lenders under the Transaction Documents.</w:t>
      </w:r>
    </w:p>
    <w:p>
      <w:pPr>
        <w:pStyle w:val="TextBody"/>
        <w:bidi w:val="0"/>
        <w:spacing w:lineRule="auto" w:line="240" w:before="0" w:after="240"/>
        <w:ind w:left="0" w:right="0" w:firstLine="1440"/>
        <w:jc w:val="both"/>
        <w:rPr/>
      </w:pPr>
      <w:bookmarkStart w:id="77" w:name="idf50ef54dda747eb87f36a61fa556eb7"/>
      <w:bookmarkEnd w:id="77"/>
      <w:r>
        <w:rPr>
          <w:rFonts w:ascii="Times New Roman;serif" w:hAnsi="Times New Roman;serif"/>
          <w:b w:val="false"/>
          <w:color w:val="000000"/>
          <w:sz w:val="22"/>
        </w:rPr>
        <w:t>(q)</w:t>
      </w:r>
      <w:r>
        <w:rPr>
          <w:rFonts w:ascii="Times New Roman;serif" w:hAnsi="Times New Roman;serif"/>
          <w:b w:val="false"/>
          <w:color w:val="000000"/>
          <w:sz w:val="22"/>
          <w:u w:val="single"/>
        </w:rPr>
        <w:t>Enforcement; Defense; Prosecution and Maintenance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78" w:name="ie3d653d581c04fd1b01a75121569887c"/>
      <w:bookmarkEnd w:id="78"/>
      <w:r>
        <w:rPr>
          <w:rFonts w:ascii="Times New Roman;serif" w:hAnsi="Times New Roman;serif"/>
          <w:b w:val="false"/>
          <w:color w:val="000000"/>
          <w:sz w:val="22"/>
        </w:rPr>
        <w:t>(i)Seller shall promptly inform Purchaser and Administrative Agent of any suspected infringement by a Third Party of any of the Zymeworks IP or if any Third Party alleges that the development, manufacture, commercialization, use, marketing, sale, offer for sale, importation, distribution or other exploitation of a Licensed Product infringes the intellectual property rights of a Third Party. Seller shall (i) keep Purchaser and Administrative Agent reasonably informed with respect to any such infringement and all pleadings and other documents filed in connection with any action, claim, suit or proceeding commenced related to the same and (ii) notify Purchaser and Administrative Agent of any material developments in any action, claim, suit or proceeding resulting from such infringement that are delivered by or to Covered Agreement Counterparty or Seller under Sections 14.3 and 14.4 of the BeOne Agreement and Sections 14.4 and 14.5 of the Jazz Agreement as soon as practicable following such delivery.</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79" w:name="i9534b6c8d959428a9141f3f2bfd47514"/>
      <w:bookmarkEnd w:id="79"/>
      <w:r>
        <w:rPr>
          <w:rFonts w:ascii="Times New Roman;serif" w:hAnsi="Times New Roman;serif"/>
          <w:b w:val="false"/>
          <w:color w:val="000000"/>
          <w:sz w:val="22"/>
        </w:rPr>
        <w:t>(ii)If Seller has the right to join or assume the defense or pursuit of an enforcement action pursuant to Sections 14.3 and 14.4 of the BeOne Agreement and Sections 14.4 and 14.5 of the Jazz Agreement, Seller shall act reasonably in connection therewith and not take any action or refrain from taking any action in a manner that would reasonably be expected to result in or cause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80" w:name="i8e9a92f899ad4112bdc2adb4f1acf91b"/>
      <w:bookmarkEnd w:id="80"/>
      <w:r>
        <w:rPr>
          <w:rFonts w:ascii="Times New Roman;serif" w:hAnsi="Times New Roman;serif"/>
          <w:b w:val="false"/>
          <w:color w:val="000000"/>
          <w:sz w:val="22"/>
        </w:rPr>
        <w:t>(iii)Seller shall satisfy, at its own expense, its prosecution obligations under Section 14.2 of the BeOne Agreement and Section 14.3 of the Jazz Agreement. To the extent the Seller does not control the prosecution and maintenance obligations under Section 14.2 of the BeOne Agreement and Section 14.3 of the Jazz Agreement, the Seller shall, to the extent permitted under the terms of the applicable Covered Agreement, use commercially reasonable efforts to cause the Covered Agreement Counterparty to satisfy its prosecution and maintenance obligations thereunder and Seller shall at its own expense exercise its consulting, request, consent, approval or similar rights.</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81" w:name="i343959330a2b4351969dfbee36bd68fd"/>
      <w:bookmarkEnd w:id="81"/>
      <w:r>
        <w:rPr>
          <w:rFonts w:ascii="Times New Roman;serif" w:hAnsi="Times New Roman;serif"/>
          <w:b w:val="false"/>
          <w:color w:val="000000"/>
          <w:sz w:val="22"/>
        </w:rPr>
        <w:t>(iv)The proceeds resulting from any enforcement actions under Section 14.3 of the BeOne Agreement and Section 14.4 of the Jazz Agreement shall be allocated between Seller and Purchaser (which for the avoidance of doubt shall include the Administrative Agent) as though such proceeds constituted Zani Royalties.</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82" w:name="i0d5d249e6b834aceb0b70711446a7e80"/>
      <w:bookmarkEnd w:id="82"/>
      <w:r>
        <w:rPr>
          <w:rFonts w:ascii="Times New Roman;serif" w:hAnsi="Times New Roman;serif"/>
          <w:b w:val="false"/>
          <w:color w:val="000000"/>
          <w:sz w:val="22"/>
        </w:rPr>
        <w:t>(v)Without Administrative Agent’s prior written consent, Seller shall not engage in any conduct, or omit to perform any necessary act, the result of which would invalidate or render unpatentable or unenforceable any claims of any Licensed Patents in a manner that would reasonably be expected to have a Material Adverse Effect.</w:t>
      </w:r>
    </w:p>
    <w:p>
      <w:pPr>
        <w:pStyle w:val="TextBody"/>
        <w:bidi w:val="0"/>
        <w:spacing w:lineRule="auto" w:line="240" w:before="0" w:after="240"/>
        <w:ind w:left="0" w:right="0" w:firstLine="1440"/>
        <w:jc w:val="both"/>
        <w:rPr/>
      </w:pPr>
      <w:bookmarkStart w:id="83" w:name="i5c2c40cd2aa94303b18564d60df4ef70"/>
      <w:bookmarkEnd w:id="83"/>
      <w:r>
        <w:rPr>
          <w:rFonts w:ascii="Times New Roman;serif" w:hAnsi="Times New Roman;serif"/>
          <w:b w:val="false"/>
          <w:color w:val="000000"/>
          <w:sz w:val="22"/>
        </w:rPr>
        <w:t>(r)</w:t>
      </w:r>
      <w:r>
        <w:rPr>
          <w:rFonts w:ascii="Times New Roman;serif" w:hAnsi="Times New Roman;serif"/>
          <w:b w:val="false"/>
          <w:color w:val="000000"/>
          <w:sz w:val="22"/>
          <w:u w:val="single"/>
        </w:rPr>
        <w:t>Notice of Monetizations</w:t>
      </w:r>
      <w:r>
        <w:rPr>
          <w:rFonts w:ascii="Times New Roman;serif" w:hAnsi="Times New Roman;serif"/>
          <w:b w:val="false"/>
          <w:color w:val="000000"/>
          <w:sz w:val="22"/>
        </w:rPr>
        <w:t>. Seller agrees to notify Purchaser and Administrative Agent in writing at least [***] prior to entering into a definitive agreement with a Third Party to assign, convey, monetize (including in a sale or financing transaction), impose a Lien upon or otherwise transfer or encumber any or all of its retained interest in the Zani Royalties (a “</w:t>
      </w:r>
      <w:r>
        <w:rPr>
          <w:rFonts w:ascii="Times New Roman;serif" w:hAnsi="Times New Roman;serif"/>
          <w:b w:val="false"/>
          <w:color w:val="000000"/>
          <w:sz w:val="22"/>
          <w:u w:val="single"/>
        </w:rPr>
        <w:t>Definitive Monetization Agreement</w:t>
      </w:r>
      <w:r>
        <w:rPr>
          <w:color w:val="000000"/>
        </w:rPr>
        <w:t>”</w:t>
      </w:r>
      <w:r>
        <w:rPr>
          <w:rFonts w:ascii="Times New Roman;serif" w:hAnsi="Times New Roman;serif"/>
          <w:b w:val="false"/>
          <w:color w:val="000000"/>
          <w:sz w:val="22"/>
        </w:rPr>
        <w:t>).</w:t>
      </w:r>
      <w:r>
        <w:rPr>
          <w:color w:val="000000"/>
          <w:u w:val="single"/>
        </w:rPr>
        <w:t xml:space="preserve"> </w:t>
      </w:r>
    </w:p>
    <w:p>
      <w:pPr>
        <w:pStyle w:val="TextBody"/>
        <w:bidi w:val="0"/>
        <w:spacing w:lineRule="auto" w:line="240" w:before="0" w:after="240"/>
        <w:ind w:left="0" w:right="0" w:firstLine="1440"/>
        <w:jc w:val="both"/>
        <w:rPr/>
      </w:pPr>
      <w:bookmarkStart w:id="84" w:name="if636b320e6204890b6462d2c2a495dde"/>
      <w:bookmarkEnd w:id="84"/>
      <w:r>
        <w:rPr>
          <w:rFonts w:ascii="Times New Roman;serif" w:hAnsi="Times New Roman;serif"/>
          <w:b w:val="false"/>
          <w:color w:val="000000"/>
          <w:sz w:val="22"/>
        </w:rPr>
        <w:t>(s)</w:t>
      </w:r>
      <w:r>
        <w:rPr>
          <w:rFonts w:ascii="Times New Roman;serif" w:hAnsi="Times New Roman;serif"/>
          <w:b w:val="false"/>
          <w:color w:val="000000"/>
          <w:sz w:val="22"/>
          <w:u w:val="single"/>
        </w:rPr>
        <w:t>Security Documents; Further Assurances</w:t>
      </w:r>
      <w:r>
        <w:rPr>
          <w:rFonts w:ascii="Times New Roman;serif" w:hAnsi="Times New Roman;serif"/>
          <w:b w:val="false"/>
          <w:color w:val="000000"/>
          <w:sz w:val="22"/>
        </w:rPr>
        <w:t xml:space="preserve">. Seller shall promptly, upon the reasonable request of Purchaser or Administrative Agent, at Seller’s sole cost and expense, (a) execute,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acknowledge and deliver, or cause the execution, acknowledgment and delivery of, and thereafter register, file or record, or cause to be registered, filed or recorded, in an appropriate governmental office, any document or instrument supplemental to or confirmatory of the Loan Documents or otherwise deemed by Purchaser or Administrative Agent reasonably necessary or desirable for the continued validity, perfection and priority of the assignment of the Transferred Royalty Interest or the Liens thereon secured pursuant to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 xml:space="preserve">subject to no other Liens except as permitted by the applicable Loan Document, or obtain any consents or waivers as may be necessary or appropriate in connection therewith; (b) deliver or cause to be delivered to Purchaser and Administrative Agent from time to time such other documentation, consents, authorizations, approvals and orders in form and substance reasonably satisfactory to Purchaser and Administrative Agent as Purchaser or Administrative Agent shall reasonably deem necessary to perfect or maintain the assignment of the Transferred Royalty Interest or the Liens thereon secured pursuant to </w:t>
      </w:r>
      <w:r>
        <w:rPr>
          <w:rFonts w:ascii="Times New Roman;serif" w:hAnsi="Times New Roman;serif"/>
          <w:b w:val="false"/>
          <w:color w:val="000000"/>
          <w:sz w:val="22"/>
          <w:u w:val="single"/>
        </w:rPr>
        <w:t>Section 2.04</w:t>
      </w:r>
      <w:r>
        <w:rPr>
          <w:rFonts w:ascii="Times New Roman;serif" w:hAnsi="Times New Roman;serif"/>
          <w:b w:val="false"/>
          <w:color w:val="000000"/>
          <w:sz w:val="22"/>
        </w:rPr>
        <w:t>; and (c) upon the exercise by Purchaser or Administrative Agent of any power, right, privilege or remedy pursuant to any Loan Document which requires any consent, approval, registration, qualification or authorization of any Governmental Authority execute and deliver all applications, certifications, instruments and other documents and papers that Purchaser or Administrative Agent may require. In addition, Seller shall promptly, at its sole cost and expense, execute and deliver to Purchaser and Administrative Agent such further instruments and documents, and take such further action, as Purchaser or Administrative Agent may, at any time and from time to time, reasonably request in order to carry out the intent and purpose of this Agreement and the other Transaction Documents to which it is a party and to establish and protect the rights, interests and remedies created, or intended to be created, in favor of Purchaser and Administrative Agent hereby and thereby.</w:t>
      </w:r>
    </w:p>
    <w:p>
      <w:pPr>
        <w:pStyle w:val="TextBody"/>
        <w:bidi w:val="0"/>
        <w:spacing w:lineRule="auto" w:line="240" w:before="0" w:after="240"/>
        <w:ind w:left="0" w:right="0" w:firstLine="1440"/>
        <w:jc w:val="both"/>
        <w:rPr/>
      </w:pPr>
      <w:bookmarkStart w:id="85" w:name="i0cc85249cc1a4da0a1e36771bbb54931"/>
      <w:bookmarkEnd w:id="85"/>
      <w:r>
        <w:rPr>
          <w:rFonts w:ascii="Times New Roman;serif" w:hAnsi="Times New Roman;serif"/>
          <w:b w:val="false"/>
          <w:color w:val="000000"/>
          <w:sz w:val="22"/>
        </w:rPr>
        <w:t>(t)</w:t>
      </w:r>
      <w:r>
        <w:rPr>
          <w:rFonts w:ascii="Times New Roman;serif" w:hAnsi="Times New Roman;serif"/>
          <w:b w:val="false"/>
          <w:color w:val="000000"/>
          <w:sz w:val="22"/>
          <w:u w:val="single"/>
        </w:rPr>
        <w:t>Certain Purchaser Covenants and Organizational Documents</w:t>
      </w:r>
      <w:r>
        <w:rPr>
          <w:rFonts w:ascii="Times New Roman;serif" w:hAnsi="Times New Roman;serif"/>
          <w:b w:val="false"/>
          <w:color w:val="000000"/>
          <w:sz w:val="22"/>
        </w:rPr>
        <w:t>. Prior to the Payment in Full, Purchaser confirms that it shall be managed and operated in a manner consistent with the negative covenants contained in Section 9.01 of the Loan Agreement and the Organizational Documents of Purchaser.</w:t>
      </w:r>
    </w:p>
    <w:p>
      <w:pPr>
        <w:pStyle w:val="TextBody"/>
        <w:bidi w:val="0"/>
        <w:spacing w:lineRule="auto" w:line="240" w:before="0" w:after="240"/>
        <w:ind w:left="0" w:right="0" w:firstLine="1440"/>
        <w:jc w:val="both"/>
        <w:rPr/>
      </w:pPr>
      <w:bookmarkStart w:id="86" w:name="ib9c479cbdede4efc8d447b7ee1f9a97d"/>
      <w:bookmarkEnd w:id="86"/>
      <w:r>
        <w:rPr>
          <w:rFonts w:ascii="Times New Roman;serif" w:hAnsi="Times New Roman;serif"/>
          <w:b w:val="false"/>
          <w:color w:val="000000"/>
          <w:sz w:val="22"/>
        </w:rPr>
        <w:t>(u)</w:t>
      </w:r>
      <w:r>
        <w:rPr>
          <w:rFonts w:ascii="Times New Roman;serif" w:hAnsi="Times New Roman;serif"/>
          <w:b w:val="false"/>
          <w:color w:val="000000"/>
          <w:sz w:val="22"/>
          <w:u w:val="single"/>
        </w:rPr>
        <w:t>Capital Contributions</w:t>
      </w:r>
      <w:r>
        <w:rPr>
          <w:rFonts w:ascii="Times New Roman;serif" w:hAnsi="Times New Roman;serif"/>
          <w:b w:val="false"/>
          <w:color w:val="000000"/>
          <w:sz w:val="22"/>
        </w:rPr>
        <w:t>. Prior to Payment in Full, Seller will limit capital contributions to Purchaser to no more than [***], unless Administrative Agent provides consent; provided that the foregoing shall not create an obligation to effect capital contributions, which shall be in Seller’s sole discretion, and provided further that the following shall not be included in such limits and shall be permitted without restriction: (i) capital contributions to effect Payment in Full, and (ii) capital contributions necessary to pay Lender Expenses then due and payable. Notwithstanding the foregoing, prior to Payment in Full, Seller shall make capital contributions to Purchaser from time to time to fund Purchaser’s expenses incurred in the ordinary course of business.</w:t>
      </w:r>
    </w:p>
    <w:p>
      <w:pPr>
        <w:pStyle w:val="TextBody"/>
        <w:bidi w:val="0"/>
        <w:spacing w:lineRule="auto" w:line="240" w:before="0" w:after="240"/>
        <w:ind w:left="0" w:right="0" w:firstLine="1440"/>
        <w:jc w:val="both"/>
        <w:rPr/>
      </w:pPr>
      <w:bookmarkStart w:id="87" w:name="i5197fd576bd64f88ac38e96506b5002c"/>
      <w:bookmarkEnd w:id="87"/>
      <w:r>
        <w:rPr>
          <w:rFonts w:ascii="Times New Roman;serif" w:hAnsi="Times New Roman;serif"/>
          <w:b w:val="false"/>
          <w:color w:val="000000"/>
          <w:sz w:val="22"/>
        </w:rPr>
        <w:t>(v)</w:t>
      </w:r>
      <w:r>
        <w:rPr>
          <w:rFonts w:ascii="Times New Roman;serif" w:hAnsi="Times New Roman;serif"/>
          <w:b w:val="false"/>
          <w:color w:val="000000"/>
          <w:sz w:val="22"/>
          <w:u w:val="single"/>
        </w:rPr>
        <w:t>Investment Company Act</w:t>
      </w:r>
      <w:r>
        <w:rPr>
          <w:rFonts w:ascii="Times New Roman;serif" w:hAnsi="Times New Roman;serif"/>
          <w:b w:val="false"/>
          <w:color w:val="000000"/>
          <w:sz w:val="22"/>
        </w:rPr>
        <w:t>. Neither Seller nor Parent shall be or become an investment company subject to registration under the Investment Company Act of 1940.</w:t>
      </w:r>
    </w:p>
    <w:p>
      <w:pPr>
        <w:pStyle w:val="TextBody"/>
        <w:bidi w:val="0"/>
        <w:spacing w:lineRule="auto" w:line="240" w:before="0" w:after="0"/>
        <w:ind w:left="0" w:right="0" w:firstLine="720"/>
        <w:jc w:val="both"/>
        <w:rPr/>
      </w:pPr>
      <w:bookmarkStart w:id="88" w:name="i2b4259d79b3e4b60b9ab0e7c668d659a"/>
      <w:bookmarkEnd w:id="88"/>
      <w:r>
        <w:rPr>
          <w:rFonts w:ascii="Times New Roman;serif" w:hAnsi="Times New Roman;serif"/>
          <w:b w:val="false"/>
          <w:color w:val="000000"/>
          <w:sz w:val="22"/>
        </w:rPr>
        <w:t>Section 4.02.</w:t>
      </w:r>
      <w:r>
        <w:rPr>
          <w:rFonts w:ascii="Times New Roman;serif" w:hAnsi="Times New Roman;serif"/>
          <w:b w:val="false"/>
          <w:color w:val="000000"/>
          <w:sz w:val="22"/>
          <w:u w:val="single"/>
        </w:rPr>
        <w:t>Purchaser Covenants</w:t>
      </w:r>
      <w:r>
        <w:rPr>
          <w:rFonts w:ascii="Times New Roman;serif" w:hAnsi="Times New Roman;serif"/>
          <w:b w:val="false"/>
          <w:color w:val="000000"/>
          <w:sz w:val="22"/>
        </w:rPr>
        <w:t>. Purchaser hereby covenants and agrees with Seller as follows.</w:t>
      </w:r>
    </w:p>
    <w:p>
      <w:pPr>
        <w:pStyle w:val="TextBody"/>
        <w:bidi w:val="0"/>
        <w:spacing w:lineRule="auto" w:line="240" w:before="0" w:after="240"/>
        <w:ind w:left="0" w:right="0" w:firstLine="1440"/>
        <w:jc w:val="both"/>
        <w:rPr/>
      </w:pPr>
      <w:bookmarkStart w:id="89" w:name="i494b1dd08610407ba9cb9d2760d191f3"/>
      <w:bookmarkEnd w:id="89"/>
      <w:r>
        <w:rPr>
          <w:rFonts w:ascii="Times New Roman;serif" w:hAnsi="Times New Roman;serif"/>
          <w:b w:val="false"/>
          <w:color w:val="000000"/>
          <w:sz w:val="22"/>
        </w:rPr>
        <w:t>(a)</w:t>
      </w:r>
      <w:r>
        <w:rPr>
          <w:rFonts w:ascii="Times New Roman;serif" w:hAnsi="Times New Roman;serif"/>
          <w:b w:val="false"/>
          <w:color w:val="000000"/>
          <w:sz w:val="22"/>
          <w:u w:val="single"/>
        </w:rPr>
        <w:t>No Merger, Amalgamation, Consolidation, Reorganization or Dissolution of Purchaser</w:t>
      </w:r>
      <w:r>
        <w:rPr>
          <w:rFonts w:ascii="Times New Roman;serif" w:hAnsi="Times New Roman;serif"/>
          <w:b w:val="false"/>
          <w:color w:val="000000"/>
          <w:sz w:val="22"/>
        </w:rPr>
        <w:t>. Purchaser shall not merge, amalgamate or consolidate with any other entity and shall not enter into any other transaction that results in a reorganization of Purchaser or dissolve.</w:t>
      </w:r>
    </w:p>
    <w:p>
      <w:pPr>
        <w:pStyle w:val="TextBody"/>
        <w:bidi w:val="0"/>
        <w:spacing w:lineRule="auto" w:line="240" w:before="0" w:after="240"/>
        <w:ind w:left="0" w:right="0" w:firstLine="1440"/>
        <w:jc w:val="both"/>
        <w:rPr/>
      </w:pPr>
      <w:bookmarkStart w:id="90" w:name="i91b614f2a2f74863b86d8c97b4cbed2e"/>
      <w:bookmarkEnd w:id="90"/>
      <w:r>
        <w:rPr>
          <w:rFonts w:ascii="Times New Roman;serif" w:hAnsi="Times New Roman;serif"/>
          <w:b w:val="false"/>
          <w:color w:val="000000"/>
          <w:sz w:val="22"/>
        </w:rPr>
        <w:t>(b)</w:t>
      </w:r>
      <w:r>
        <w:rPr>
          <w:rFonts w:ascii="Times New Roman;serif" w:hAnsi="Times New Roman;serif"/>
          <w:b w:val="false"/>
          <w:color w:val="000000"/>
          <w:sz w:val="22"/>
          <w:u w:val="single"/>
        </w:rPr>
        <w:t>Limitations on Additional Indebtedness of Purchaser</w:t>
      </w:r>
      <w:r>
        <w:rPr>
          <w:rFonts w:ascii="Times New Roman;serif" w:hAnsi="Times New Roman;serif"/>
          <w:b w:val="false"/>
          <w:color w:val="000000"/>
          <w:sz w:val="22"/>
        </w:rPr>
        <w:t>. Purchaser shall not incur any Indebtedness other than Indebtedness under or permitted by the Loan Agreement.</w:t>
      </w:r>
    </w:p>
    <w:p>
      <w:pPr>
        <w:pStyle w:val="TextBody"/>
        <w:bidi w:val="0"/>
        <w:spacing w:lineRule="auto" w:line="240" w:before="0" w:after="240"/>
        <w:ind w:left="0" w:right="0" w:firstLine="1440"/>
        <w:jc w:val="both"/>
        <w:rPr/>
      </w:pPr>
      <w:bookmarkStart w:id="91" w:name="id96680c481e946a18f4cf765453a353d"/>
      <w:bookmarkEnd w:id="91"/>
      <w:r>
        <w:rPr>
          <w:rFonts w:ascii="Times New Roman;serif" w:hAnsi="Times New Roman;serif"/>
          <w:b w:val="false"/>
          <w:color w:val="000000"/>
          <w:sz w:val="22"/>
        </w:rPr>
        <w:t>(c)</w:t>
      </w:r>
      <w:r>
        <w:rPr>
          <w:rFonts w:ascii="Times New Roman;serif" w:hAnsi="Times New Roman;serif"/>
          <w:b w:val="false"/>
          <w:color w:val="000000"/>
          <w:sz w:val="22"/>
          <w:u w:val="single"/>
        </w:rPr>
        <w:t>Books and Records</w:t>
      </w:r>
      <w:r>
        <w:rPr>
          <w:rFonts w:ascii="Times New Roman;serif" w:hAnsi="Times New Roman;serif"/>
          <w:b w:val="false"/>
          <w:color w:val="000000"/>
          <w:sz w:val="22"/>
        </w:rPr>
        <w:t>. Purchaser shall keep proper books, records and accounts in which entries in conformity with sound business practices and all requirements of Applicable Law applicable to it shall be made of all dealings and transactions in relation to its business, assets and activities and as shall permit the preparation of the consolidated financial statements of Purchaser in accordance with GAAP.</w:t>
      </w:r>
    </w:p>
    <w:p>
      <w:pPr>
        <w:pStyle w:val="TextBody"/>
        <w:bidi w:val="0"/>
        <w:spacing w:lineRule="auto" w:line="240" w:before="0" w:after="240"/>
        <w:ind w:left="0" w:right="0" w:firstLine="1440"/>
        <w:jc w:val="both"/>
        <w:rPr/>
      </w:pPr>
      <w:bookmarkStart w:id="92" w:name="ib0d7533eedda484bb4eda0b36ea3f2f9"/>
      <w:bookmarkEnd w:id="92"/>
      <w:r>
        <w:rPr>
          <w:rFonts w:ascii="Times New Roman;serif" w:hAnsi="Times New Roman;serif"/>
          <w:b w:val="false"/>
          <w:color w:val="000000"/>
          <w:sz w:val="22"/>
        </w:rPr>
        <w:t>(d)</w:t>
      </w:r>
      <w:r>
        <w:rPr>
          <w:rFonts w:ascii="Times New Roman;serif" w:hAnsi="Times New Roman;serif"/>
          <w:b w:val="false"/>
          <w:color w:val="000000"/>
          <w:sz w:val="22"/>
          <w:u w:val="single"/>
        </w:rPr>
        <w:t>Governmental Authorizations</w:t>
      </w:r>
      <w:r>
        <w:rPr>
          <w:rFonts w:ascii="Times New Roman;serif" w:hAnsi="Times New Roman;serif"/>
          <w:b w:val="false"/>
          <w:color w:val="000000"/>
          <w:sz w:val="22"/>
        </w:rPr>
        <w:t xml:space="preserve">. Purchaser shall obtain, make and keep in full force and effect all authorizations from and registrations with Governmental Authorities that may be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required for the validity or enforceability against Purchaser of this Agreement and the other Transaction Documents to which it is a party.</w:t>
      </w:r>
    </w:p>
    <w:p>
      <w:pPr>
        <w:pStyle w:val="TextBody"/>
        <w:bidi w:val="0"/>
        <w:spacing w:lineRule="auto" w:line="240" w:before="0" w:after="0"/>
        <w:ind w:left="0" w:right="0" w:firstLine="720"/>
        <w:jc w:val="both"/>
        <w:rPr/>
      </w:pPr>
      <w:bookmarkStart w:id="93" w:name="id8293b8ae3c84919be3a2d8ebcfe1e8a"/>
      <w:bookmarkEnd w:id="93"/>
      <w:r>
        <w:rPr>
          <w:rFonts w:ascii="Times New Roman;serif" w:hAnsi="Times New Roman;serif"/>
          <w:b w:val="false"/>
          <w:color w:val="000000"/>
          <w:sz w:val="22"/>
        </w:rPr>
        <w:t>Section 4.03.</w:t>
      </w:r>
      <w:r>
        <w:rPr>
          <w:rFonts w:ascii="Times New Roman;serif" w:hAnsi="Times New Roman;serif"/>
          <w:b w:val="false"/>
          <w:color w:val="000000"/>
          <w:sz w:val="22"/>
          <w:u w:val="single"/>
        </w:rPr>
        <w:t>Consequences of Material Breach</w:t>
      </w:r>
      <w:r>
        <w:rPr>
          <w:rFonts w:ascii="Times New Roman;serif" w:hAnsi="Times New Roman;serif"/>
          <w:b w:val="false"/>
          <w:color w:val="000000"/>
          <w:sz w:val="22"/>
        </w:rPr>
        <w:t xml:space="preserve">. </w:t>
      </w:r>
    </w:p>
    <w:p>
      <w:pPr>
        <w:pStyle w:val="TextBody"/>
        <w:bidi w:val="0"/>
        <w:spacing w:lineRule="auto" w:line="240" w:before="240" w:after="240"/>
        <w:ind w:left="0" w:right="0" w:firstLine="1440"/>
        <w:jc w:val="both"/>
        <w:rPr/>
      </w:pPr>
      <w:bookmarkStart w:id="94" w:name="i19d6271a0708466d9c50ed44aad27bdb"/>
      <w:bookmarkEnd w:id="94"/>
      <w:r>
        <w:rPr>
          <w:rFonts w:ascii="Times New Roman;serif" w:hAnsi="Times New Roman;serif"/>
          <w:b w:val="false"/>
          <w:color w:val="000000"/>
          <w:sz w:val="22"/>
        </w:rPr>
        <w:t>(a)</w:t>
      </w:r>
      <w:r>
        <w:rPr>
          <w:rFonts w:ascii="Times New Roman;serif" w:hAnsi="Times New Roman;serif"/>
          <w:b w:val="false"/>
          <w:color w:val="000000"/>
          <w:sz w:val="22"/>
        </w:rPr>
        <w:t xml:space="preserve">Each of Seller and Purchaser hereby acknowledges and agrees that damages may be difficult to establish and Administrative Agent and Lenders will have no adequate remedy at law if a breach by Seller of this Agreement has occurred and is continuing. In any such event, the parties agree that Administrative Agent shall have the right, in addition to any other rights it may have (whether at law or in equity), to seek specific performance by Seller of this Agreement and to pursue any other equitable remedies, including an injunction, without being required to prove actual damages or post any bond. In furtherance of the foregoing, Seller hereby designates, makes, constitutes and appoints Administrative Agent, and each of its designees or agents, as its true and lawful attorney-in-fact (coupled with an interest), irrevocably until Payment in Full, and with power of substitution, and with authority to take any and all appropriate action and to execute any and all documents and instruments that may be necessary to cause this Agreement to be specifically performed by Seller and to seek an injunction against any pending or proposed violation of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of this Agreement or to correct or prevent the continuation of any such material breach by Seller.</w:t>
      </w:r>
    </w:p>
    <w:p>
      <w:pPr>
        <w:pStyle w:val="TextBody"/>
        <w:bidi w:val="0"/>
        <w:spacing w:lineRule="auto" w:line="240" w:before="0" w:after="240"/>
        <w:ind w:left="0" w:right="0" w:firstLine="1440"/>
        <w:jc w:val="both"/>
        <w:rPr/>
      </w:pPr>
      <w:bookmarkStart w:id="95" w:name="i1ddf5a066c894e048d7e8269bfa910e2"/>
      <w:bookmarkEnd w:id="95"/>
      <w:r>
        <w:rPr>
          <w:rFonts w:ascii="Times New Roman;serif" w:hAnsi="Times New Roman;serif"/>
          <w:b w:val="false"/>
          <w:color w:val="000000"/>
          <w:sz w:val="22"/>
        </w:rPr>
        <w:t>(b)</w:t>
      </w:r>
      <w:r>
        <w:rPr>
          <w:rFonts w:ascii="Times New Roman;serif" w:hAnsi="Times New Roman;serif"/>
          <w:b w:val="false"/>
          <w:color w:val="000000"/>
          <w:sz w:val="22"/>
        </w:rPr>
        <w:t xml:space="preserve">THE POWER OF ATTORNEY GRANTED IN THIS </w:t>
      </w:r>
      <w:r>
        <w:rPr>
          <w:rFonts w:ascii="Times New Roman;serif" w:hAnsi="Times New Roman;serif"/>
          <w:b w:val="false"/>
          <w:color w:val="000000"/>
          <w:sz w:val="22"/>
          <w:u w:val="single"/>
        </w:rPr>
        <w:t>Section 4.03</w:t>
      </w:r>
      <w:r>
        <w:rPr>
          <w:color w:val="000000"/>
        </w:rPr>
        <w:t xml:space="preserve"> </w:t>
      </w:r>
      <w:r>
        <w:rPr>
          <w:rFonts w:ascii="Times New Roman;serif" w:hAnsi="Times New Roman;serif"/>
          <w:b w:val="false"/>
          <w:color w:val="000000"/>
          <w:sz w:val="22"/>
        </w:rPr>
        <w:t>IS COUPLED WITH AN INTEREST AND SHALL BE IRREVOCABLE UNTIL PAYMENT IN FULL. THIS POWER OF ATTORNEY IS CONFERRED ON THE ADMINISTRATIVE AGENT SOLELY TO PROTECT, PRESERVE AND REALIZE UPON ITS RIGHTS UNDER THIS AGREEMENT AND SHALL NOT IMPOSE ANY DUTY UPON THE ADMINISTRATIVE AGENT TO EXERCISE ANY SUCH POWERS.</w:t>
      </w:r>
    </w:p>
    <w:p>
      <w:pPr>
        <w:pStyle w:val="TextBody"/>
        <w:bidi w:val="0"/>
        <w:spacing w:lineRule="auto" w:line="240" w:before="0" w:after="240"/>
        <w:jc w:val="center"/>
        <w:rPr/>
      </w:pPr>
      <w:bookmarkStart w:id="96" w:name="i0b72e159378b4b54a818648077c648a1"/>
      <w:bookmarkEnd w:id="96"/>
      <w:r>
        <w:rPr>
          <w:rFonts w:ascii="Times New Roman;serif" w:hAnsi="Times New Roman;serif"/>
          <w:b w:val="false"/>
          <w:color w:val="000000"/>
          <w:sz w:val="22"/>
        </w:rPr>
        <w:t>ARTICLE V.</w:t>
      </w:r>
      <w:r>
        <w:rPr>
          <w:rFonts w:ascii="Times New Roman;serif" w:hAnsi="Times New Roman;serif"/>
          <w:b w:val="false"/>
          <w:color w:val="000000"/>
          <w:sz w:val="22"/>
        </w:rPr>
        <w:br/>
        <w:br/>
        <w:t>ADDITIONAL COVENANTS OF SELLER</w:t>
      </w:r>
    </w:p>
    <w:p>
      <w:pPr>
        <w:pStyle w:val="TextBody"/>
        <w:bidi w:val="0"/>
        <w:spacing w:lineRule="auto" w:line="240" w:before="0" w:after="0"/>
        <w:ind w:left="0" w:right="0" w:firstLine="720"/>
        <w:jc w:val="both"/>
        <w:rPr/>
      </w:pPr>
      <w:bookmarkStart w:id="97" w:name="i613c5e79dfcb4da6a27710155f7dc7bf"/>
      <w:bookmarkEnd w:id="97"/>
      <w:r>
        <w:rPr>
          <w:rFonts w:ascii="Times New Roman;serif" w:hAnsi="Times New Roman;serif"/>
          <w:b w:val="false"/>
          <w:color w:val="000000"/>
          <w:sz w:val="22"/>
        </w:rPr>
        <w:t>Section 5.01.</w:t>
      </w:r>
      <w:r>
        <w:rPr>
          <w:rFonts w:ascii="Times New Roman;serif" w:hAnsi="Times New Roman;serif"/>
          <w:b w:val="false"/>
          <w:color w:val="000000"/>
          <w:sz w:val="22"/>
          <w:u w:val="single"/>
        </w:rPr>
        <w:t>Appointment of Agent</w:t>
      </w:r>
      <w:r>
        <w:rPr>
          <w:rFonts w:ascii="Times New Roman;serif" w:hAnsi="Times New Roman;serif"/>
          <w:b w:val="false"/>
          <w:color w:val="000000"/>
          <w:sz w:val="22"/>
        </w:rPr>
        <w:t>. Purchaser hereby appoints Seller its agent (the “</w:t>
      </w:r>
      <w:r>
        <w:rPr>
          <w:rFonts w:ascii="Times New Roman;serif" w:hAnsi="Times New Roman;serif"/>
          <w:b w:val="false"/>
          <w:color w:val="000000"/>
          <w:sz w:val="22"/>
          <w:u w:val="single"/>
        </w:rPr>
        <w:t>Agent</w:t>
      </w:r>
      <w:r>
        <w:rPr>
          <w:color w:val="000000"/>
        </w:rPr>
        <w:t>”</w:t>
      </w:r>
      <w:r>
        <w:rPr>
          <w:rFonts w:ascii="Times New Roman;serif" w:hAnsi="Times New Roman;serif"/>
          <w:b w:val="false"/>
          <w:color w:val="000000"/>
          <w:sz w:val="22"/>
        </w:rPr>
        <w:t>) to perform the duties described this Article V at Purchaser’s direction with respect to the Transferred Royalty Interest.</w:t>
      </w:r>
    </w:p>
    <w:p>
      <w:pPr>
        <w:pStyle w:val="TextBody"/>
        <w:bidi w:val="0"/>
        <w:spacing w:lineRule="auto" w:line="240" w:before="0" w:after="240"/>
        <w:ind w:left="0" w:right="0" w:firstLine="1440"/>
        <w:jc w:val="both"/>
        <w:rPr/>
      </w:pPr>
      <w:bookmarkStart w:id="98" w:name="i55c3977ef7cd46dbb78d5d5e31a227b7"/>
      <w:bookmarkEnd w:id="98"/>
      <w:r>
        <w:rPr>
          <w:rFonts w:ascii="Times New Roman;serif" w:hAnsi="Times New Roman;serif"/>
          <w:b w:val="false"/>
          <w:color w:val="000000"/>
          <w:sz w:val="22"/>
        </w:rPr>
        <w:t>(a)</w:t>
      </w:r>
      <w:r>
        <w:rPr>
          <w:rFonts w:ascii="Times New Roman;serif" w:hAnsi="Times New Roman;serif"/>
          <w:b w:val="false"/>
          <w:color w:val="000000"/>
          <w:sz w:val="22"/>
        </w:rPr>
        <w:t>Specifically, as the Agent, Seller shall take such actions as are necessary to enforce, protect and defend the rights of Purchaser under the Covered Agreements and the Related Agreements in good faith, with reasonable care, in accordance with Applicable Law, in compliance with Purchaser’s obligations under the Transaction Documents, and using substantially the same degree of diligence and skill that Seller uses for itself to perform the Covered Agreements and Related Agreements and its other agreements similar to the Covered Agreements and the Related Agreements; provided that Seller shall not, without the prior written consent of the Administrative Agent and the Purchaser, be authorized to grant any consents under this Agreement on behalf of Purchaser, or waive any rights of Purchaser under this Agreement, the Covered Agreements or the Related Agreements. Seller, as Agent on behalf of Purchaser, shall maintain any licenses or authorizations necessary to service the Transferred Royalty Interest and any Covered Agreements.</w:t>
      </w:r>
    </w:p>
    <w:p>
      <w:pPr>
        <w:pStyle w:val="TextBody"/>
        <w:bidi w:val="0"/>
        <w:spacing w:lineRule="auto" w:line="240" w:before="0" w:after="240"/>
        <w:ind w:left="0" w:right="0" w:firstLine="1440"/>
        <w:jc w:val="both"/>
        <w:rPr/>
      </w:pPr>
      <w:bookmarkStart w:id="99" w:name="i9c01e7818ffe4f4b8ef58adf98378816"/>
      <w:bookmarkEnd w:id="99"/>
      <w:r>
        <w:rPr>
          <w:rFonts w:ascii="Times New Roman;serif" w:hAnsi="Times New Roman;serif"/>
          <w:b w:val="false"/>
          <w:color w:val="000000"/>
          <w:sz w:val="22"/>
        </w:rPr>
        <w:t>(b)</w:t>
      </w:r>
      <w:r>
        <w:rPr>
          <w:rFonts w:ascii="Times New Roman;serif" w:hAnsi="Times New Roman;serif"/>
          <w:b w:val="false"/>
          <w:color w:val="000000"/>
          <w:sz w:val="22"/>
        </w:rPr>
        <w:t xml:space="preserve">Seller’s appointment as Agent hereunder is irrevocable until Payment in Full. Seller shall not resign, withdraw from, abandon or otherwise terminate its role as Agent, or cease to perform any of its duties and obligations as Agent hereunder, without the prior written consent of Purchaser and Administrative Agent (such consent to be in their sole discretion). Any purported resignation, withdrawal or abandonment by Seller as Agent in violation of this </w:t>
      </w:r>
      <w:r>
        <w:rPr>
          <w:rFonts w:ascii="Times New Roman;serif" w:hAnsi="Times New Roman;serif"/>
          <w:b w:val="false"/>
          <w:color w:val="000000"/>
          <w:sz w:val="22"/>
          <w:u w:val="single"/>
        </w:rPr>
        <w:t>Section 5.01(b)</w:t>
      </w:r>
      <w:r>
        <w:rPr>
          <w:color w:val="000000"/>
        </w:rPr>
        <w:t xml:space="preserve"> </w:t>
      </w:r>
      <w:r>
        <w:rPr>
          <w:rFonts w:ascii="Times New Roman;serif" w:hAnsi="Times New Roman;serif"/>
          <w:b w:val="false"/>
          <w:color w:val="000000"/>
          <w:sz w:val="22"/>
        </w:rPr>
        <w:t>shall be null and void and of no force or effect.</w:t>
      </w:r>
    </w:p>
    <w:p>
      <w:pPr>
        <w:pStyle w:val="TextBody"/>
        <w:bidi w:val="0"/>
        <w:spacing w:lineRule="auto" w:line="240"/>
        <w:ind w:left="0" w:right="0" w:firstLine="720"/>
        <w:jc w:val="both"/>
        <w:rPr/>
      </w:pPr>
      <w:bookmarkStart w:id="100" w:name="id299ba7408314141b5abc7519d1cd170"/>
      <w:bookmarkEnd w:id="100"/>
      <w:r>
        <w:rPr>
          <w:rFonts w:ascii="Times New Roman;serif" w:hAnsi="Times New Roman;serif"/>
          <w:b w:val="false"/>
          <w:color w:val="000000"/>
          <w:sz w:val="22"/>
        </w:rPr>
        <w:t>Section 5.02.</w:t>
      </w:r>
      <w:r>
        <w:rPr>
          <w:rFonts w:ascii="Times New Roman;serif" w:hAnsi="Times New Roman;serif"/>
          <w:b w:val="false"/>
          <w:color w:val="000000"/>
          <w:sz w:val="22"/>
          <w:u w:val="single"/>
        </w:rPr>
        <w:t>Compliance with the Loan Agreement</w:t>
      </w:r>
      <w:r>
        <w:rPr>
          <w:rFonts w:ascii="Times New Roman;serif" w:hAnsi="Times New Roman;serif"/>
          <w:b w:val="false"/>
          <w:color w:val="000000"/>
          <w:sz w:val="22"/>
        </w:rPr>
        <w:t xml:space="preserve">. Notwithstanding anything to the contrary herein, Seller’s actions as the Agent hereunder shall at all times be subject to the terms of the Loan Agreement. Seller and Purchaser agree that neither Seller nor Purchaser shall take any action with respect to the Covered Agreements or the Related Agreements that is inconsistent with the terms of the Loan Agreement, the obligations of Purchaser thereunder, or the rights of Administrative Agent or the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thereunder. For the avoidance of doubt, neither Seller nor Purchaser shall take any action without the consent of Administrative Agent or consultation with Administrative Agent, as applicable, where such consent or consultation, as applicable, is required pursuant to the Loan Agreement or this Agreement.</w:t>
      </w:r>
    </w:p>
    <w:p>
      <w:pPr>
        <w:pStyle w:val="TextBody"/>
        <w:bidi w:val="0"/>
        <w:spacing w:lineRule="auto" w:line="240" w:before="240" w:after="283"/>
        <w:ind w:left="0" w:right="0" w:firstLine="720"/>
        <w:jc w:val="both"/>
        <w:rPr/>
      </w:pPr>
      <w:bookmarkStart w:id="101" w:name="i6edc14b43a0c414b9b8c659dfea7f66b"/>
      <w:bookmarkEnd w:id="101"/>
      <w:r>
        <w:rPr>
          <w:rFonts w:ascii="Times New Roman;serif" w:hAnsi="Times New Roman;serif"/>
          <w:b w:val="false"/>
          <w:color w:val="000000"/>
          <w:sz w:val="22"/>
        </w:rPr>
        <w:t>Section 5.03.</w:t>
      </w:r>
      <w:r>
        <w:rPr>
          <w:rFonts w:ascii="Times New Roman;serif" w:hAnsi="Times New Roman;serif"/>
          <w:b w:val="false"/>
          <w:color w:val="000000"/>
          <w:sz w:val="22"/>
          <w:u w:val="single"/>
        </w:rPr>
        <w:t>Agent Actions</w:t>
      </w:r>
      <w:r>
        <w:rPr>
          <w:rFonts w:ascii="Times New Roman;serif" w:hAnsi="Times New Roman;serif"/>
          <w:b w:val="false"/>
          <w:color w:val="000000"/>
          <w:sz w:val="22"/>
        </w:rPr>
        <w:t xml:space="preserve">. In addition to (and not in limitation of) the provision of </w:t>
      </w:r>
      <w:r>
        <w:rPr>
          <w:rFonts w:ascii="Times New Roman;serif" w:hAnsi="Times New Roman;serif"/>
          <w:b w:val="false"/>
          <w:color w:val="000000"/>
          <w:sz w:val="22"/>
          <w:u w:val="single"/>
        </w:rPr>
        <w:t>Section 5.01</w:t>
      </w:r>
      <w:r>
        <w:rPr>
          <w:rFonts w:ascii="Times New Roman;serif" w:hAnsi="Times New Roman;serif"/>
          <w:b w:val="false"/>
          <w:color w:val="000000"/>
          <w:sz w:val="22"/>
        </w:rPr>
        <w:t>, Seller shall perform the following:</w:t>
      </w:r>
    </w:p>
    <w:p>
      <w:pPr>
        <w:pStyle w:val="TextBody"/>
        <w:bidi w:val="0"/>
        <w:spacing w:lineRule="auto" w:line="240" w:before="240" w:after="240"/>
        <w:ind w:left="0" w:right="0" w:firstLine="1440"/>
        <w:jc w:val="both"/>
        <w:rPr/>
      </w:pPr>
      <w:bookmarkStart w:id="102" w:name="i791ed97557c542198e675ffb573cb247"/>
      <w:bookmarkEnd w:id="102"/>
      <w:r>
        <w:rPr>
          <w:rFonts w:ascii="Times New Roman;serif" w:hAnsi="Times New Roman;serif"/>
          <w:b w:val="false"/>
          <w:color w:val="000000"/>
          <w:sz w:val="22"/>
        </w:rPr>
        <w:t>(a)</w:t>
      </w:r>
      <w:r>
        <w:rPr>
          <w:rFonts w:ascii="Times New Roman;serif" w:hAnsi="Times New Roman;serif"/>
          <w:b w:val="false"/>
          <w:color w:val="000000"/>
          <w:sz w:val="22"/>
        </w:rPr>
        <w:t>take such actions as are necessary to enforce, protect and defend the rights of Purchaser under the Covered Agreements and the Related Agreements in good faith, with reasonable care, in accordance with Applicable Law, in compliance with Purchaser’s obligations under the Transaction Documents, and using substantially the same degree of diligence and skill that Seller uses for itself to perform the Covered Agreements and Related Agreements and its other agreements similar to the Covered Agreements and the Related Agreements;</w:t>
      </w:r>
    </w:p>
    <w:p>
      <w:pPr>
        <w:pStyle w:val="TextBody"/>
        <w:bidi w:val="0"/>
        <w:spacing w:lineRule="auto" w:line="240" w:before="0" w:after="240"/>
        <w:ind w:left="0" w:right="0" w:firstLine="1440"/>
        <w:jc w:val="both"/>
        <w:rPr/>
      </w:pPr>
      <w:bookmarkStart w:id="103" w:name="ibc98f64f76c7437fb32556db116f8e2e"/>
      <w:bookmarkEnd w:id="103"/>
      <w:r>
        <w:rPr>
          <w:rFonts w:ascii="Times New Roman;serif" w:hAnsi="Times New Roman;serif"/>
          <w:b w:val="false"/>
          <w:color w:val="000000"/>
          <w:sz w:val="22"/>
        </w:rPr>
        <w:t>(b)</w:t>
      </w:r>
      <w:r>
        <w:rPr>
          <w:rFonts w:ascii="Times New Roman;serif" w:hAnsi="Times New Roman;serif"/>
          <w:b w:val="false"/>
          <w:color w:val="000000"/>
          <w:sz w:val="22"/>
        </w:rPr>
        <w:t>review all written documents, notices and other written communications under the Covered Agreements and the Related Agreements and provide such copies to Administrative Agent as are required under the Loan Agreement, together with any responses as Purchaser may be required to provide, if any, in respect thereof;</w:t>
      </w:r>
    </w:p>
    <w:p>
      <w:pPr>
        <w:pStyle w:val="TextBody"/>
        <w:bidi w:val="0"/>
        <w:spacing w:lineRule="auto" w:line="240" w:before="0" w:after="240"/>
        <w:ind w:left="0" w:right="0" w:firstLine="1440"/>
        <w:jc w:val="both"/>
        <w:rPr/>
      </w:pPr>
      <w:bookmarkStart w:id="104" w:name="i2943b8966f8545d5a5b6f6305d96b1e9"/>
      <w:bookmarkEnd w:id="104"/>
      <w:r>
        <w:rPr>
          <w:rFonts w:ascii="Times New Roman;serif" w:hAnsi="Times New Roman;serif"/>
          <w:b w:val="false"/>
          <w:color w:val="000000"/>
          <w:sz w:val="22"/>
        </w:rPr>
        <w:t>(c)</w:t>
      </w:r>
      <w:r>
        <w:rPr>
          <w:rFonts w:ascii="Times New Roman;serif" w:hAnsi="Times New Roman;serif"/>
          <w:b w:val="false"/>
          <w:color w:val="000000"/>
          <w:sz w:val="22"/>
        </w:rPr>
        <w:t>monitor the performance of each Covered Agreement Counterparty under its corresponding Covered Agreement and of each Related Agreement counterparty under its corresponding Related Agreement, and take such actions as may be necessary to enforce the rights of Purchaser thereunder and collect amounts due to Purchaser thereunder, on behalf of Purchaser, and procure and supervise the services of any third parties necessary or appropriate in connection with the monitoring, enforcement, collection and remittance of the proceeds of the Transferred Royalty Interest;</w:t>
      </w:r>
    </w:p>
    <w:p>
      <w:pPr>
        <w:pStyle w:val="TextBody"/>
        <w:bidi w:val="0"/>
        <w:spacing w:lineRule="auto" w:line="240" w:before="0" w:after="240"/>
        <w:ind w:left="0" w:right="0" w:firstLine="1440"/>
        <w:jc w:val="both"/>
        <w:rPr/>
      </w:pPr>
      <w:bookmarkStart w:id="105" w:name="id84aa95726794439b3c3d92bbfc384b7"/>
      <w:bookmarkEnd w:id="105"/>
      <w:r>
        <w:rPr>
          <w:rFonts w:ascii="Times New Roman;serif" w:hAnsi="Times New Roman;serif"/>
          <w:b w:val="false"/>
          <w:color w:val="000000"/>
          <w:sz w:val="22"/>
        </w:rPr>
        <w:t>(d)</w:t>
      </w:r>
      <w:r>
        <w:rPr>
          <w:rFonts w:ascii="Times New Roman;serif" w:hAnsi="Times New Roman;serif"/>
          <w:b w:val="false"/>
          <w:color w:val="000000"/>
          <w:sz w:val="22"/>
        </w:rPr>
        <w:t>maintain the Collection Account in accordance with Purchaser’s obligations under the Loan Agreement and the related Escrow Agreement, and maintain and enforce, on behalf of Purchaser, the instructions to any Covered Agreement Counterparty to pay amounts in respect of the Transferred Royalty Interest due to Purchaser under any Covered Agreement into the Collection Account;</w:t>
      </w:r>
    </w:p>
    <w:p>
      <w:pPr>
        <w:pStyle w:val="TextBody"/>
        <w:bidi w:val="0"/>
        <w:spacing w:lineRule="auto" w:line="240" w:before="0" w:after="240"/>
        <w:ind w:left="0" w:right="0" w:firstLine="1440"/>
        <w:jc w:val="both"/>
        <w:rPr/>
      </w:pPr>
      <w:bookmarkStart w:id="106" w:name="ie50bfb8cdfe8413bab1fa25583862df7"/>
      <w:bookmarkEnd w:id="106"/>
      <w:r>
        <w:rPr>
          <w:rFonts w:ascii="Times New Roman;serif" w:hAnsi="Times New Roman;serif"/>
          <w:b w:val="false"/>
          <w:color w:val="000000"/>
          <w:sz w:val="22"/>
        </w:rPr>
        <w:t>(e)</w:t>
      </w:r>
      <w:r>
        <w:rPr>
          <w:rFonts w:ascii="Times New Roman;serif" w:hAnsi="Times New Roman;serif"/>
          <w:b w:val="false"/>
          <w:color w:val="000000"/>
          <w:sz w:val="22"/>
        </w:rPr>
        <w:t>identify and forward as required under the Loan Agreement any payments that are to be made to the Collection Account but when made are made to Purchaser, Seller or any misdirected account, and, in consultation with Administrative Agent, effect the transfer thereof as required under the Loan Agreement;</w:t>
      </w:r>
    </w:p>
    <w:p>
      <w:pPr>
        <w:pStyle w:val="TextBody"/>
        <w:bidi w:val="0"/>
        <w:spacing w:lineRule="auto" w:line="240" w:before="0" w:after="240"/>
        <w:ind w:left="0" w:right="0" w:firstLine="1440"/>
        <w:jc w:val="both"/>
        <w:rPr/>
      </w:pPr>
      <w:bookmarkStart w:id="107" w:name="i026bfd8a489d4fbaa914cb7ab8475ec0"/>
      <w:bookmarkEnd w:id="107"/>
      <w:r>
        <w:rPr>
          <w:rFonts w:ascii="Times New Roman;serif" w:hAnsi="Times New Roman;serif"/>
          <w:b w:val="false"/>
          <w:color w:val="000000"/>
          <w:sz w:val="22"/>
        </w:rPr>
        <w:t>(f)</w:t>
      </w:r>
      <w:r>
        <w:rPr>
          <w:rFonts w:ascii="Times New Roman;serif" w:hAnsi="Times New Roman;serif"/>
          <w:b w:val="false"/>
          <w:color w:val="000000"/>
          <w:sz w:val="22"/>
        </w:rPr>
        <w:t>make on behalf of Purchaser any security filings or other actions required to perfect or ensure the continued perfection of Purchaser’s rights in the Transferred Royalty Interest and Administrative Agent’s rights in the Collateral; and</w:t>
      </w:r>
    </w:p>
    <w:p>
      <w:pPr>
        <w:pStyle w:val="TextBody"/>
        <w:bidi w:val="0"/>
        <w:spacing w:lineRule="auto" w:line="240" w:before="0" w:after="240"/>
        <w:ind w:left="0" w:right="0" w:firstLine="1440"/>
        <w:jc w:val="both"/>
        <w:rPr/>
      </w:pPr>
      <w:bookmarkStart w:id="108" w:name="ia8a3aee83c414f76b61c6962d2959f46"/>
      <w:bookmarkEnd w:id="108"/>
      <w:r>
        <w:rPr>
          <w:rFonts w:ascii="Times New Roman;serif" w:hAnsi="Times New Roman;serif"/>
          <w:b w:val="false"/>
          <w:color w:val="000000"/>
          <w:sz w:val="22"/>
        </w:rPr>
        <w:t>(g)</w:t>
      </w:r>
      <w:r>
        <w:rPr>
          <w:rFonts w:ascii="Times New Roman;serif" w:hAnsi="Times New Roman;serif"/>
          <w:b w:val="false"/>
          <w:color w:val="000000"/>
          <w:sz w:val="22"/>
        </w:rPr>
        <w:t>promptly pay for all fees, expenses and charges of the Escrow Agent required to be made to the Escrow Agent with respect to the Collection Account when such fees, expenses and charges are due. In performing as the Agent, Seller shall not instruct any Covered Agreement Counterparty or any other Person to pay amounts in respect of the Transferred Royalty Interest to any account other than the Collection Account required under the Loan Agreement or cause any such payments to be paid to any account other than the Collection Account. Seller and Purchaser hereby confirm that in performing the duties set out herein, Seller shall not at any point hold itself out as the general partner of the Purchaser or purport to manage the business of the Purchaser. Seller and Purchaser hereby agree that it is not the intention of the Parties that any of the duties of the Seller set out herein constitute management of the business of the Purchaser.</w:t>
      </w:r>
    </w:p>
    <w:p>
      <w:pPr>
        <w:pStyle w:val="TextBody"/>
        <w:bidi w:val="0"/>
        <w:spacing w:lineRule="auto" w:line="240"/>
        <w:ind w:left="0" w:right="0" w:firstLine="720"/>
        <w:jc w:val="both"/>
        <w:rPr/>
      </w:pPr>
      <w:bookmarkStart w:id="109" w:name="ic9006850c1874526803c156f40af67d9"/>
      <w:bookmarkEnd w:id="109"/>
      <w:r>
        <w:rPr>
          <w:rFonts w:ascii="Times New Roman;serif" w:hAnsi="Times New Roman;serif"/>
          <w:b w:val="false"/>
          <w:color w:val="000000"/>
          <w:sz w:val="22"/>
        </w:rPr>
        <w:t>Section 5.04.</w:t>
      </w:r>
      <w:r>
        <w:rPr>
          <w:rFonts w:ascii="Times New Roman;serif" w:hAnsi="Times New Roman;serif"/>
          <w:b w:val="false"/>
          <w:color w:val="000000"/>
          <w:sz w:val="22"/>
          <w:u w:val="single"/>
        </w:rPr>
        <w:t>Replacement of Agent</w:t>
      </w:r>
      <w:r>
        <w:rPr>
          <w:rFonts w:ascii="Times New Roman;serif" w:hAnsi="Times New Roman;serif"/>
          <w:b w:val="false"/>
          <w:color w:val="000000"/>
          <w:sz w:val="22"/>
        </w:rPr>
        <w:t>. Seller may be terminated as the Agent hereunder and replaced with a new Agent by Purchaser following the occurrence of any of the following events (each, an “</w:t>
      </w:r>
      <w:r>
        <w:rPr>
          <w:rFonts w:ascii="Times New Roman;serif" w:hAnsi="Times New Roman;serif"/>
          <w:b w:val="false"/>
          <w:color w:val="000000"/>
          <w:sz w:val="22"/>
          <w:u w:val="single"/>
        </w:rPr>
        <w:t>Agent Termination Event</w:t>
      </w:r>
      <w:r>
        <w:rPr>
          <w:color w:val="000000"/>
        </w:rPr>
        <w:t>”</w:t>
      </w:r>
      <w:r>
        <w:rPr>
          <w:rFonts w:ascii="Times New Roman;serif" w:hAnsi="Times New Roman;serif"/>
          <w:b w:val="false"/>
          <w:color w:val="000000"/>
          <w:sz w:val="22"/>
        </w:rPr>
        <w:t>) or of a material breach by Seller that has occurred and is continuing (or replaced by Administrative Agent on behalf of Purchaser if Purchaser has failed to replace Seller with a new Agent within [***] after an Agent Termination Event or such a Seller material breach):</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240"/>
        <w:ind w:left="0" w:right="0" w:firstLine="1440"/>
        <w:jc w:val="both"/>
        <w:rPr/>
      </w:pPr>
      <w:bookmarkStart w:id="110" w:name="i24f93970b7f44308b27792193378f7bc"/>
      <w:bookmarkEnd w:id="110"/>
      <w:r>
        <w:rPr>
          <w:rFonts w:ascii="Times New Roman;serif" w:hAnsi="Times New Roman;serif"/>
          <w:b w:val="false"/>
          <w:color w:val="000000"/>
          <w:sz w:val="22"/>
        </w:rPr>
        <w:t>(a)</w:t>
      </w:r>
      <w:r>
        <w:rPr>
          <w:rFonts w:ascii="Times New Roman;serif" w:hAnsi="Times New Roman;serif"/>
          <w:b w:val="false"/>
          <w:color w:val="000000"/>
          <w:sz w:val="22"/>
        </w:rPr>
        <w:t xml:space="preserve">Seller fails to perform or observe any covenant or agreement contained in this </w:t>
      </w:r>
      <w:r>
        <w:rPr>
          <w:rFonts w:ascii="Times New Roman;serif" w:hAnsi="Times New Roman;serif"/>
          <w:b w:val="false"/>
          <w:color w:val="000000"/>
          <w:sz w:val="22"/>
          <w:u w:val="single"/>
        </w:rPr>
        <w:t xml:space="preserve">Article V </w:t>
      </w:r>
      <w:r>
        <w:rPr>
          <w:rFonts w:ascii="Times New Roman;serif" w:hAnsi="Times New Roman;serif"/>
          <w:b w:val="false"/>
          <w:color w:val="000000"/>
          <w:sz w:val="22"/>
        </w:rPr>
        <w:t xml:space="preserve">and, solely if the consequences of the failure to perform or observe such covenant or agreement can be cured, in the case of any covenant or agreement contained in </w:t>
      </w:r>
      <w:r>
        <w:rPr>
          <w:rFonts w:ascii="Times New Roman;serif" w:hAnsi="Times New Roman;serif"/>
          <w:b w:val="false"/>
          <w:color w:val="000000"/>
          <w:sz w:val="22"/>
          <w:u w:val="single"/>
        </w:rPr>
        <w:t>Section 5.03(e)</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5.03(f)</w:t>
      </w:r>
      <w:r>
        <w:rPr>
          <w:rFonts w:ascii="Times New Roman;serif" w:hAnsi="Times New Roman;serif"/>
          <w:b w:val="false"/>
          <w:color w:val="000000"/>
          <w:sz w:val="22"/>
        </w:rPr>
        <w:t>, such failure continues for [***] without such cure after the earlier of (i) the date Seller becomes aware of such failure and (ii) the date Purchaser (or Administrative Agent on behalf of Purchaser) provides notice of such failure to Seller;</w:t>
      </w:r>
    </w:p>
    <w:p>
      <w:pPr>
        <w:pStyle w:val="TextBody"/>
        <w:bidi w:val="0"/>
        <w:spacing w:lineRule="auto" w:line="240" w:before="0" w:after="240"/>
        <w:ind w:left="0" w:right="0" w:firstLine="1440"/>
        <w:jc w:val="both"/>
        <w:rPr/>
      </w:pPr>
      <w:bookmarkStart w:id="111" w:name="ia42df4f8043f48a8ac131d53b2c51b35"/>
      <w:bookmarkEnd w:id="111"/>
      <w:r>
        <w:rPr>
          <w:rFonts w:ascii="Times New Roman;serif" w:hAnsi="Times New Roman;serif"/>
          <w:b w:val="false"/>
          <w:color w:val="000000"/>
          <w:sz w:val="22"/>
        </w:rPr>
        <w:t>(b)</w:t>
      </w:r>
      <w:r>
        <w:rPr>
          <w:rFonts w:ascii="Times New Roman;serif" w:hAnsi="Times New Roman;serif"/>
          <w:b w:val="false"/>
          <w:color w:val="000000"/>
          <w:sz w:val="22"/>
        </w:rPr>
        <w:t>an Insolvency Event of Seller or Parent;</w:t>
      </w:r>
    </w:p>
    <w:p>
      <w:pPr>
        <w:pStyle w:val="TextBody"/>
        <w:bidi w:val="0"/>
        <w:spacing w:lineRule="auto" w:line="240" w:before="0" w:after="240"/>
        <w:ind w:left="0" w:right="0" w:firstLine="1440"/>
        <w:jc w:val="both"/>
        <w:rPr/>
      </w:pPr>
      <w:bookmarkStart w:id="112" w:name="icc75f17bd12c473bac1975886495e892"/>
      <w:bookmarkEnd w:id="112"/>
      <w:r>
        <w:rPr>
          <w:rFonts w:ascii="Times New Roman;serif" w:hAnsi="Times New Roman;serif"/>
          <w:b w:val="false"/>
          <w:color w:val="000000"/>
          <w:sz w:val="22"/>
        </w:rPr>
        <w:t>(c)</w:t>
      </w:r>
      <w:r>
        <w:rPr>
          <w:rFonts w:ascii="Times New Roman;serif" w:hAnsi="Times New Roman;serif"/>
          <w:b w:val="false"/>
          <w:color w:val="000000"/>
          <w:sz w:val="22"/>
        </w:rPr>
        <w:t>a material breach by Seller has occurred and is continuing; and</w:t>
      </w:r>
    </w:p>
    <w:p>
      <w:pPr>
        <w:pStyle w:val="TextBody"/>
        <w:bidi w:val="0"/>
        <w:spacing w:lineRule="auto" w:line="240" w:before="0" w:after="240"/>
        <w:ind w:left="0" w:right="0" w:firstLine="1440"/>
        <w:jc w:val="both"/>
        <w:rPr/>
      </w:pPr>
      <w:bookmarkStart w:id="113" w:name="i436820c6b5344ab0975b33026bef70ce"/>
      <w:bookmarkEnd w:id="113"/>
      <w:r>
        <w:rPr>
          <w:rFonts w:ascii="Times New Roman;serif" w:hAnsi="Times New Roman;serif"/>
          <w:b w:val="false"/>
          <w:color w:val="000000"/>
          <w:sz w:val="22"/>
        </w:rPr>
        <w:t>(d)</w:t>
      </w:r>
      <w:r>
        <w:rPr>
          <w:rFonts w:ascii="Times New Roman;serif" w:hAnsi="Times New Roman;serif"/>
          <w:b w:val="false"/>
          <w:color w:val="000000"/>
          <w:sz w:val="22"/>
        </w:rPr>
        <w:t>the Administrative Agent exercises its rights and remedies under Section 6.01 of the Pledge Agreement after the occurrence of, and during the continuation of, an Event of Default.</w:t>
      </w:r>
    </w:p>
    <w:p>
      <w:pPr>
        <w:pStyle w:val="TextBody"/>
        <w:bidi w:val="0"/>
        <w:spacing w:lineRule="auto" w:line="288" w:before="0" w:after="240"/>
        <w:jc w:val="both"/>
        <w:rPr/>
      </w:pPr>
      <w:r>
        <w:rPr>
          <w:rFonts w:ascii="Times New Roman;serif" w:hAnsi="Times New Roman;serif"/>
          <w:b w:val="false"/>
          <w:color w:val="000000"/>
          <w:sz w:val="22"/>
        </w:rPr>
        <w:t xml:space="preserve">Termination of Seller as the Agent hereunder shall be without prejudice to any rights of Purchaser or Administrative Agent that may have accrued through such date. In the event that Seller is terminated as the Agent, (i) a replacement Agent shall be appointed by Purchaser in consultation with, and with the prior written consent of, Administrative Agent, or by Administrative Agent on behalf of Purchaser as provided in the first sentence of this </w:t>
      </w:r>
      <w:r>
        <w:rPr>
          <w:rFonts w:ascii="Times New Roman;serif" w:hAnsi="Times New Roman;serif"/>
          <w:b w:val="false"/>
          <w:color w:val="000000"/>
          <w:sz w:val="22"/>
          <w:u w:val="single"/>
        </w:rPr>
        <w:t>Section 5.04</w:t>
      </w:r>
      <w:r>
        <w:rPr>
          <w:rFonts w:ascii="Times New Roman;serif" w:hAnsi="Times New Roman;serif"/>
          <w:b w:val="false"/>
          <w:color w:val="000000"/>
          <w:sz w:val="22"/>
        </w:rPr>
        <w:t>), and (ii) Seller shall cooperate reasonably with Purchaser and Administrative Agent and any replacement Agent designated by Purchaser or Administrative Agent, to transfer any information and materials to such replacement Agent or undertake any other reasonable and necessary actions to ensure an effective transition to the successor Agent.</w:t>
      </w:r>
    </w:p>
    <w:p>
      <w:pPr>
        <w:pStyle w:val="TextBody"/>
        <w:bidi w:val="0"/>
        <w:spacing w:lineRule="auto" w:line="240" w:before="360" w:after="240"/>
        <w:jc w:val="center"/>
        <w:rPr/>
      </w:pPr>
      <w:bookmarkStart w:id="114" w:name="i3d739f9ad5e84daabfe2ea9f1de5b2ae"/>
      <w:bookmarkEnd w:id="114"/>
      <w:r>
        <w:rPr>
          <w:rFonts w:ascii="Times New Roman;serif" w:hAnsi="Times New Roman;serif"/>
          <w:b w:val="false"/>
          <w:color w:val="000000"/>
          <w:sz w:val="22"/>
        </w:rPr>
        <w:t>ARTICLE VI.</w:t>
      </w:r>
      <w:r>
        <w:rPr>
          <w:rFonts w:ascii="Times New Roman;serif" w:hAnsi="Times New Roman;serif"/>
          <w:b w:val="false"/>
          <w:color w:val="000000"/>
          <w:sz w:val="22"/>
        </w:rPr>
        <w:br/>
        <w:br/>
        <w:t>TERMINATION; SURVIVAL</w:t>
      </w:r>
    </w:p>
    <w:p>
      <w:pPr>
        <w:pStyle w:val="TextBody"/>
        <w:bidi w:val="0"/>
        <w:spacing w:lineRule="auto" w:line="240" w:before="0" w:after="0"/>
        <w:ind w:left="0" w:right="0" w:firstLine="720"/>
        <w:jc w:val="both"/>
        <w:rPr/>
      </w:pPr>
      <w:bookmarkStart w:id="115" w:name="i34a15fe73e18475ab9934cb144ec1d54"/>
      <w:bookmarkEnd w:id="115"/>
      <w:r>
        <w:rPr>
          <w:rFonts w:ascii="Times New Roman;serif" w:hAnsi="Times New Roman;serif"/>
          <w:b w:val="false"/>
          <w:color w:val="000000"/>
          <w:sz w:val="22"/>
        </w:rPr>
        <w:t>Section 6.01.</w:t>
      </w:r>
      <w:r>
        <w:rPr>
          <w:rFonts w:ascii="Times New Roman;serif" w:hAnsi="Times New Roman;serif"/>
          <w:b w:val="false"/>
          <w:color w:val="000000"/>
          <w:sz w:val="22"/>
          <w:u w:val="single"/>
        </w:rPr>
        <w:t>Termination</w:t>
      </w:r>
      <w:r>
        <w:rPr>
          <w:rFonts w:ascii="Times New Roman;serif" w:hAnsi="Times New Roman;serif"/>
          <w:b w:val="false"/>
          <w:color w:val="000000"/>
          <w:sz w:val="22"/>
        </w:rPr>
        <w:t>. The respective obligations and responsibilities of Seller and Purchaser created by this Agreement shall terminate upon Payment in Full (“Term”).</w:t>
      </w:r>
    </w:p>
    <w:p>
      <w:pPr>
        <w:pStyle w:val="TextBody"/>
        <w:bidi w:val="0"/>
        <w:spacing w:lineRule="auto" w:line="240" w:before="240" w:after="283"/>
        <w:ind w:left="0" w:right="0" w:firstLine="720"/>
        <w:jc w:val="both"/>
        <w:rPr/>
      </w:pPr>
      <w:bookmarkStart w:id="116" w:name="ia96f66ef57dc48958b577c944e34f192"/>
      <w:bookmarkEnd w:id="116"/>
      <w:r>
        <w:rPr>
          <w:rFonts w:ascii="Times New Roman;serif" w:hAnsi="Times New Roman;serif"/>
          <w:b w:val="false"/>
          <w:color w:val="000000"/>
          <w:sz w:val="22"/>
        </w:rPr>
        <w:t>Section 6.02.</w:t>
      </w:r>
      <w:r>
        <w:rPr>
          <w:rFonts w:ascii="Times New Roman;serif" w:hAnsi="Times New Roman;serif"/>
          <w:b w:val="false"/>
          <w:color w:val="000000"/>
          <w:sz w:val="22"/>
          <w:u w:val="single"/>
        </w:rPr>
        <w:t>Effect of Termination</w:t>
      </w:r>
      <w:r>
        <w:rPr>
          <w:rFonts w:ascii="Times New Roman;serif" w:hAnsi="Times New Roman;serif"/>
          <w:b w:val="false"/>
          <w:color w:val="000000"/>
          <w:sz w:val="22"/>
        </w:rPr>
        <w:t>. No termination or rejection or failure to assume the executory obligations of this Agreement in the bankruptcy of Seller or Purchaser shall be deemed to impair or affect the obligations pertaining to any executed conveyance or executed obligations, including without limitation breaches of representations and warranties by Seller or Purchaser occurring prior to the date of such termination.</w:t>
      </w:r>
    </w:p>
    <w:p>
      <w:pPr>
        <w:pStyle w:val="TextBody"/>
        <w:bidi w:val="0"/>
        <w:spacing w:lineRule="auto" w:line="240" w:before="240" w:after="283"/>
        <w:ind w:left="0" w:right="0" w:firstLine="720"/>
        <w:jc w:val="both"/>
        <w:rPr/>
      </w:pPr>
      <w:bookmarkStart w:id="117" w:name="i55f01f1e8209453e844215896a72ee11"/>
      <w:bookmarkEnd w:id="117"/>
      <w:r>
        <w:rPr>
          <w:rFonts w:ascii="Times New Roman;serif" w:hAnsi="Times New Roman;serif"/>
          <w:b w:val="false"/>
          <w:color w:val="000000"/>
          <w:sz w:val="22"/>
        </w:rPr>
        <w:t>Section 6.03.</w:t>
      </w:r>
      <w:r>
        <w:rPr>
          <w:rFonts w:ascii="Times New Roman;serif" w:hAnsi="Times New Roman;serif"/>
          <w:b w:val="false"/>
          <w:color w:val="000000"/>
          <w:sz w:val="22"/>
          <w:u w:val="single"/>
        </w:rPr>
        <w:t>Survival</w:t>
      </w:r>
      <w:r>
        <w:rPr>
          <w:rFonts w:ascii="Times New Roman;serif" w:hAnsi="Times New Roman;serif"/>
          <w:b w:val="false"/>
          <w:color w:val="000000"/>
          <w:sz w:val="22"/>
        </w:rPr>
        <w:t>. Expiration or termination of this Agreement shall not relieve the Parties of any obligation accruing prior to such expiration or termination. Notwithstanding Section 6.01 hereof, the obligations of Seller contained in Article VII, Article VIII and this Section 6.03 (Survival) shall survive the termination of this Agreement and Payment in Full.</w:t>
      </w:r>
    </w:p>
    <w:p>
      <w:pPr>
        <w:pStyle w:val="TextBody"/>
        <w:bidi w:val="0"/>
        <w:spacing w:lineRule="auto" w:line="240" w:before="360" w:after="240"/>
        <w:jc w:val="center"/>
        <w:rPr/>
      </w:pPr>
      <w:bookmarkStart w:id="118" w:name="i996193f1b264445e8ed04ecadc56597a"/>
      <w:bookmarkEnd w:id="118"/>
      <w:r>
        <w:rPr>
          <w:rFonts w:ascii="Times New Roman;serif" w:hAnsi="Times New Roman;serif"/>
          <w:b w:val="false"/>
          <w:color w:val="000000"/>
          <w:sz w:val="22"/>
        </w:rPr>
        <w:t>ARTICLE VII.</w:t>
      </w:r>
      <w:r>
        <w:rPr>
          <w:rFonts w:ascii="Times New Roman;serif" w:hAnsi="Times New Roman;serif"/>
          <w:b w:val="false"/>
          <w:color w:val="000000"/>
          <w:sz w:val="22"/>
        </w:rPr>
        <w:br/>
        <w:br/>
        <w:t>INDEMNIFICATION PAYMENTS</w:t>
      </w:r>
    </w:p>
    <w:p>
      <w:pPr>
        <w:pStyle w:val="TextBody"/>
        <w:bidi w:val="0"/>
        <w:spacing w:lineRule="auto" w:line="240" w:before="0" w:after="0"/>
        <w:ind w:left="0" w:right="0" w:firstLine="720"/>
        <w:jc w:val="both"/>
        <w:rPr/>
      </w:pPr>
      <w:bookmarkStart w:id="119" w:name="if920ee3e58264febb6941e44b59203fb"/>
      <w:bookmarkEnd w:id="119"/>
      <w:r>
        <w:rPr>
          <w:rFonts w:ascii="Times New Roman;serif" w:hAnsi="Times New Roman;serif"/>
          <w:b w:val="false"/>
          <w:color w:val="000000"/>
          <w:sz w:val="22"/>
        </w:rPr>
        <w:t>Section 7.01.</w:t>
      </w:r>
      <w:r>
        <w:rPr>
          <w:rFonts w:ascii="Times New Roman;serif" w:hAnsi="Times New Roman;serif"/>
          <w:b w:val="false"/>
          <w:color w:val="000000"/>
          <w:sz w:val="22"/>
          <w:u w:val="single"/>
        </w:rPr>
        <w:t>Indemnification</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bookmarkStart w:id="120" w:name="i63a600a49bb5488cb81a17ef3d0c4ec9"/>
      <w:bookmarkEnd w:id="120"/>
      <w:r>
        <w:rPr>
          <w:rFonts w:ascii="Times New Roman;serif" w:hAnsi="Times New Roman;serif"/>
          <w:b w:val="false"/>
          <w:color w:val="000000"/>
          <w:sz w:val="22"/>
        </w:rPr>
        <w:t>(a)</w:t>
      </w:r>
      <w:r>
        <w:rPr>
          <w:rFonts w:ascii="Times New Roman;serif" w:hAnsi="Times New Roman;serif"/>
          <w:b w:val="false"/>
          <w:color w:val="000000"/>
          <w:sz w:val="22"/>
        </w:rPr>
        <w:t>Each of Seller and Parent (each, an “</w:t>
      </w:r>
      <w:r>
        <w:rPr>
          <w:rFonts w:ascii="Times New Roman;serif" w:hAnsi="Times New Roman;serif"/>
          <w:b w:val="false"/>
          <w:color w:val="000000"/>
          <w:sz w:val="22"/>
          <w:u w:val="single"/>
        </w:rPr>
        <w:t>Indemnifying Party</w:t>
      </w:r>
      <w:r>
        <w:rPr>
          <w:color w:val="000000"/>
        </w:rPr>
        <w:t>”</w:t>
      </w:r>
      <w:r>
        <w:rPr>
          <w:rFonts w:ascii="Times New Roman;serif" w:hAnsi="Times New Roman;serif"/>
          <w:b w:val="false"/>
          <w:color w:val="000000"/>
          <w:sz w:val="22"/>
        </w:rPr>
        <w:t>), on a joint and several basis, agrees to indemnify and hold harmless Purchaser, Administrative Agent and Lenders and Affiliates of Administrative Agent and Lenders and their respective officers, directors, members, trustees, partners, employees and agents (each, an “</w:t>
      </w:r>
      <w:r>
        <w:rPr>
          <w:rFonts w:ascii="Times New Roman;serif" w:hAnsi="Times New Roman;serif"/>
          <w:b w:val="false"/>
          <w:color w:val="000000"/>
          <w:sz w:val="22"/>
          <w:u w:val="single"/>
        </w:rPr>
        <w:t>Indemnified Party</w:t>
      </w:r>
      <w:r>
        <w:rPr>
          <w:color w:val="000000"/>
        </w:rPr>
        <w:t>”</w:t>
      </w:r>
      <w:r>
        <w:rPr>
          <w:rFonts w:ascii="Times New Roman;serif" w:hAnsi="Times New Roman;serif"/>
          <w:b w:val="false"/>
          <w:color w:val="000000"/>
          <w:sz w:val="22"/>
        </w:rPr>
        <w:t xml:space="preserve">) against any and all liabilities, losses, damages, penalties, costs and expenses (including reasonable and documented, out of pocket costs of defense and legal fees and expenses), including for the avoidance of doubt any amounts in respect of the Transferred Royalty Interest that Lenders would have received but did not timely receive due to any indemnifiable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events under the Transaction Documents (“</w:t>
      </w:r>
      <w:r>
        <w:rPr>
          <w:rFonts w:ascii="Times New Roman;serif" w:hAnsi="Times New Roman;serif"/>
          <w:b w:val="false"/>
          <w:color w:val="000000"/>
          <w:sz w:val="22"/>
          <w:u w:val="single"/>
        </w:rPr>
        <w:t>Losses</w:t>
      </w:r>
      <w:r>
        <w:rPr>
          <w:color w:val="000000"/>
        </w:rPr>
        <w:t>”</w:t>
      </w:r>
      <w:r>
        <w:rPr>
          <w:rFonts w:ascii="Times New Roman;serif" w:hAnsi="Times New Roman;serif"/>
          <w:b w:val="false"/>
          <w:color w:val="000000"/>
          <w:sz w:val="22"/>
        </w:rPr>
        <w:t>) which may be incurred or suffered by such Indemnified Party (except to the extent caused by the gross negligence or willful misconduct of the Indemnified Party) awarded against, or incurred or suffered by, such Indemnified Party, whether or not involving a third party claim, demand, action, suit or proceeding, arising out of (i) the failure of any representation, warranty or certification of the Loan Parties in the Transaction Documents or any certificate given by the Loan Parties pursuant to any of the Transaction Documents, to be true when made; (ii) a breach of any covenant by any Indemnifying Party or Purchaser set forth in, or failure by any Indemnifying Party or Purchaser to perform its duties under or otherwise comply with, the Transaction Documents, or any Indemnifying Party or Purchaser engaging in intentional misconduct, bad faith or negligence in the performance of such duties; or (iii) the transfer by Seller or Purchaser of any interest in the Transferred Royalty Interest to any Person other than Purchaser.</w:t>
      </w:r>
    </w:p>
    <w:p>
      <w:pPr>
        <w:pStyle w:val="TextBody"/>
        <w:bidi w:val="0"/>
        <w:spacing w:lineRule="auto" w:line="240" w:before="0" w:after="240"/>
        <w:ind w:left="0" w:right="0" w:firstLine="1440"/>
        <w:jc w:val="both"/>
        <w:rPr/>
      </w:pPr>
      <w:bookmarkStart w:id="121" w:name="i0466035732a748ae92d3a8248654c02c"/>
      <w:bookmarkEnd w:id="121"/>
      <w:r>
        <w:rPr>
          <w:rFonts w:ascii="Times New Roman;serif" w:hAnsi="Times New Roman;serif"/>
          <w:b w:val="false"/>
          <w:color w:val="000000"/>
          <w:sz w:val="22"/>
        </w:rPr>
        <w:t>(b)</w:t>
      </w:r>
      <w:r>
        <w:rPr>
          <w:rFonts w:ascii="Times New Roman;serif" w:hAnsi="Times New Roman;serif"/>
          <w:b w:val="false"/>
          <w:color w:val="000000"/>
          <w:sz w:val="22"/>
        </w:rPr>
        <w:t xml:space="preserve">The provisions of this indemnity shall run directly to, and be enforceable by, an injured party and shall survive the termination of this Agreement. Without limiting the foregoing or </w:t>
      </w:r>
      <w:r>
        <w:rPr>
          <w:rFonts w:ascii="Times New Roman;serif" w:hAnsi="Times New Roman;serif"/>
          <w:b w:val="false"/>
          <w:color w:val="000000"/>
          <w:sz w:val="22"/>
          <w:u w:val="single"/>
        </w:rPr>
        <w:t>Section 8.05</w:t>
      </w:r>
      <w:r>
        <w:rPr>
          <w:color w:val="000000"/>
        </w:rPr>
        <w:t xml:space="preserve"> </w:t>
      </w:r>
      <w:r>
        <w:rPr>
          <w:rFonts w:ascii="Times New Roman;serif" w:hAnsi="Times New Roman;serif"/>
          <w:b w:val="false"/>
          <w:color w:val="000000"/>
          <w:sz w:val="22"/>
        </w:rPr>
        <w:t xml:space="preserve">hereof, Purchaser’s rights under this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shall be assignable by Purchaser on a non-exclusive basis to Administrative Agent pursuant to the terms of the Loan Agreement and the Security Agreement.</w:t>
      </w:r>
    </w:p>
    <w:p>
      <w:pPr>
        <w:pStyle w:val="TextBody"/>
        <w:bidi w:val="0"/>
        <w:spacing w:lineRule="auto" w:line="240" w:before="0" w:after="240"/>
        <w:ind w:left="0" w:right="0" w:firstLine="1440"/>
        <w:jc w:val="both"/>
        <w:rPr/>
      </w:pPr>
      <w:bookmarkStart w:id="122" w:name="i7d250f9de07b42c78dff286464b574db"/>
      <w:bookmarkEnd w:id="122"/>
      <w:r>
        <w:rPr>
          <w:rFonts w:ascii="Times New Roman;serif" w:hAnsi="Times New Roman;serif"/>
          <w:b w:val="false"/>
          <w:color w:val="000000"/>
          <w:sz w:val="22"/>
        </w:rPr>
        <w:t>(c)</w:t>
      </w:r>
      <w:r>
        <w:rPr>
          <w:rFonts w:ascii="Times New Roman;serif" w:hAnsi="Times New Roman;serif"/>
          <w:b w:val="false"/>
          <w:color w:val="000000"/>
          <w:sz w:val="22"/>
        </w:rPr>
        <w:t xml:space="preserve">If any claim, demand, action or proceeding (including any investigation by any Governmental Authority) shall be brought or alleged against an Indemnified Party in respect of which indemnity is to be sought pursuant to this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the Indemnified Party shall, promptly after receipt of notice of the commencement of any such claim, demand, action or proceeding, notify an Indemnifying Party in writing of the commencement of such claim, demand, action or proceeding, enclosing a copy of all papers served, if any; provided, that the omission to so notify any Indemnifying Party shall not relieve such Indemnifying Party from any liability that it may have to any Indemnified Party under this </w:t>
      </w:r>
      <w:r>
        <w:rPr>
          <w:rFonts w:ascii="Times New Roman;serif" w:hAnsi="Times New Roman;serif"/>
          <w:b w:val="false"/>
          <w:color w:val="000000"/>
          <w:sz w:val="22"/>
          <w:u w:val="single"/>
        </w:rPr>
        <w:t>Section 7.01(c)</w:t>
      </w:r>
      <w:r>
        <w:rPr>
          <w:color w:val="000000"/>
        </w:rPr>
        <w:t xml:space="preserve"> </w:t>
      </w:r>
      <w:r>
        <w:rPr>
          <w:rFonts w:ascii="Times New Roman;serif" w:hAnsi="Times New Roman;serif"/>
          <w:b w:val="false"/>
          <w:color w:val="000000"/>
          <w:sz w:val="22"/>
        </w:rPr>
        <w:t xml:space="preserve">unless, and only to the extent that, such Indemnifying Party is actually materially prejudiced by such omission. In case any such action is brought against an Indemnified Party and it notifies an Indemnifying Party of the commencement thereof, such Indemnifying Party shall be entitled, at such Indemnifying Party’s sole cost and expense, to participate therein and, to the extent that it may wish, to assume the defense thereof, with counsel reasonably satisfactory to such Indemnified Party (who shall not, except with the consent of the Indemnified Party, be counsel to such Indemnifying Party), and, after notice from such Indemnifying Party to such Indemnified Party of its election to assume the defense thereof, such Indemnifying Party shall not be liable to such Indemnified Party under this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for any legal or other expenses subsequently incurred by such Indemnified Party in connection with the defense thereof other than reasonable costs of investigation. In any such proceeding, an Indemnified Party shall have the right to retain its own counsel, but the reasonable fees and expenses of such counsel shall be at the expense of such Indemnified Party unless (i) such Indemnifying Party and the Indemnified Party shall have mutually agreed to the retention of such counsel, (ii) such Indemnifying Party has assumed the defense of such proceeding and has failed within a reasonable time to retain counsel, or (iii) the named parties to any such proceeding (including any impleaded parties) include both such Indemnifying Party and the Indemnified Party and representation of both parties by the same counsel would be inappropriate due to actual or potential conflicts of interests between them. It is agreed that no Indemnifying Party shall, in connection with any proceeding or related proceedings in the same jurisdiction, be liable for the reasonable fees and expenses of more than one separate law firm (in addition to local counsel where necessary) for all such Indemnified Parties. No Indemnifying Party shall be liable for any settlement of any proceeding effected without its written consent, but, if settled with such consent or if there be a final judgment for the plaintiff, such Indemnifying Party agrees to indemnify the Indemnified Party from and against any Losses by reason of such settlement or judgment. No Indemnifying Party shall, without the prior written consent of the Indemnified Party, effect any settlement, compromise or discharge of any claim or pending or threatened proceeding in respect of which any Indemnified Party is or could have been a party and indemnity could have been sought hereunder by such Indemnified Party, unless such settlement, compromise or discharge, as the case may be, (A) includes an unconditional written release of such Indemnified Party from all liability on claims that are the subject matter of such claim or proceeding, (B) does not include any statement as to an admission of fault, culpability or failure to act by or on behalf of any Indemnified Party, and (C) does not impose any continuing material obligation or restrictions on any Indemnified Party.</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360" w:after="240"/>
        <w:jc w:val="center"/>
        <w:rPr/>
      </w:pPr>
      <w:bookmarkStart w:id="123" w:name="ic442f122dae24a1b9512a5b28badbb95"/>
      <w:bookmarkEnd w:id="123"/>
      <w:r>
        <w:rPr>
          <w:rFonts w:ascii="Times New Roman;serif" w:hAnsi="Times New Roman;serif"/>
          <w:b w:val="false"/>
          <w:color w:val="000000"/>
          <w:sz w:val="22"/>
        </w:rPr>
        <w:t>ARTICLE VIII.</w:t>
      </w:r>
      <w:r>
        <w:rPr>
          <w:rFonts w:ascii="Times New Roman;serif" w:hAnsi="Times New Roman;serif"/>
          <w:b w:val="false"/>
          <w:color w:val="000000"/>
          <w:sz w:val="22"/>
        </w:rPr>
        <w:br/>
        <w:br/>
        <w:t>MISCELLANEOUS PROVISIONS</w:t>
      </w:r>
    </w:p>
    <w:p>
      <w:pPr>
        <w:pStyle w:val="TextBody"/>
        <w:bidi w:val="0"/>
        <w:spacing w:lineRule="auto" w:line="240" w:before="240" w:after="283"/>
        <w:ind w:left="0" w:right="0" w:firstLine="720"/>
        <w:jc w:val="both"/>
        <w:rPr/>
      </w:pPr>
      <w:bookmarkStart w:id="124" w:name="ifafdcd1efa7348d798c443d6a68d0644"/>
      <w:bookmarkEnd w:id="124"/>
      <w:r>
        <w:rPr>
          <w:rFonts w:ascii="Times New Roman;serif" w:hAnsi="Times New Roman;serif"/>
          <w:b w:val="false"/>
          <w:color w:val="000000"/>
          <w:sz w:val="22"/>
        </w:rPr>
        <w:t>Section 8.01.</w:t>
      </w:r>
      <w:r>
        <w:rPr>
          <w:rFonts w:ascii="Times New Roman;serif" w:hAnsi="Times New Roman;serif"/>
          <w:b w:val="false"/>
          <w:color w:val="000000"/>
          <w:sz w:val="22"/>
          <w:u w:val="single"/>
        </w:rPr>
        <w:t>Amendment</w:t>
      </w:r>
      <w:r>
        <w:rPr>
          <w:rFonts w:ascii="Times New Roman;serif" w:hAnsi="Times New Roman;serif"/>
          <w:b w:val="false"/>
          <w:color w:val="000000"/>
          <w:sz w:val="22"/>
        </w:rPr>
        <w:t>. This Agreement may be amended from time to time only by the written agreement of Seller and Purchaser and, prior to Payment in Full, Administrative Agent.</w:t>
      </w:r>
    </w:p>
    <w:p>
      <w:pPr>
        <w:pStyle w:val="TextBody"/>
        <w:bidi w:val="0"/>
        <w:spacing w:lineRule="auto" w:line="240" w:before="0" w:after="0"/>
        <w:ind w:left="0" w:right="0" w:firstLine="720"/>
        <w:jc w:val="both"/>
        <w:rPr/>
      </w:pPr>
      <w:bookmarkStart w:id="125" w:name="i9c12b939fa724a9fbd489d4751a47478"/>
      <w:bookmarkEnd w:id="125"/>
      <w:r>
        <w:rPr>
          <w:rFonts w:ascii="Times New Roman;serif" w:hAnsi="Times New Roman;serif"/>
          <w:b w:val="false"/>
          <w:color w:val="000000"/>
          <w:sz w:val="22"/>
        </w:rPr>
        <w:t>Section 8.02.</w:t>
      </w:r>
      <w:r>
        <w:rPr>
          <w:rFonts w:ascii="Times New Roman;serif" w:hAnsi="Times New Roman;serif"/>
          <w:b w:val="false"/>
          <w:color w:val="000000"/>
          <w:sz w:val="22"/>
          <w:u w:val="single"/>
        </w:rPr>
        <w:t>Governing Law; Waiver of Trial by Jury; Jurisdiction</w:t>
      </w:r>
      <w:r>
        <w:rPr>
          <w:rFonts w:ascii="Times New Roman;serif" w:hAnsi="Times New Roman;serif"/>
          <w:b w:val="false"/>
          <w:color w:val="000000"/>
          <w:sz w:val="22"/>
        </w:rPr>
        <w:t xml:space="preserve">. </w:t>
      </w:r>
    </w:p>
    <w:p>
      <w:pPr>
        <w:pStyle w:val="TextBody"/>
        <w:bidi w:val="0"/>
        <w:spacing w:lineRule="auto" w:line="240" w:before="240" w:after="240"/>
        <w:ind w:left="0" w:right="0" w:firstLine="1440"/>
        <w:jc w:val="both"/>
        <w:rPr/>
      </w:pPr>
      <w:bookmarkStart w:id="126" w:name="i4f364250f89f45b6bfa84ac9549838b1"/>
      <w:bookmarkEnd w:id="126"/>
      <w:r>
        <w:rPr>
          <w:rFonts w:ascii="Times New Roman;serif" w:hAnsi="Times New Roman;serif"/>
          <w:b/>
          <w:color w:val="000000"/>
          <w:sz w:val="22"/>
        </w:rPr>
        <w:t>(A)</w:t>
      </w:r>
      <w:r>
        <w:rPr>
          <w:rFonts w:ascii="Times New Roman;serif" w:hAnsi="Times New Roman;serif"/>
          <w:b/>
          <w:color w:val="000000"/>
          <w:sz w:val="22"/>
        </w:rPr>
        <w:t>THIS AGREEMENT AND ANY AMENDMENTS HEREOF SHALL BE GOVERNED BY AND CONSTRUED IN ACCORDANCE WITH THE LAWS OF THE STATE OF NEW YORK, INCLUDING GENERAL OBLIGATIONS LAW SECTIONS 5-1401 AND 5-1402 BUT OTHERWISE WITHOUT GIVING EFFECT TO LAWS CONCERNING CONFLICT OF LAWS OR CHOICE OF FORUM THAT WOULD REQUIRE APPLICATION OF THE LAWS OF ANOTHER JURISDICTION.</w:t>
      </w:r>
    </w:p>
    <w:p>
      <w:pPr>
        <w:pStyle w:val="TextBody"/>
        <w:bidi w:val="0"/>
        <w:spacing w:lineRule="auto" w:line="240" w:before="0" w:after="240"/>
        <w:ind w:left="0" w:right="0" w:firstLine="1440"/>
        <w:jc w:val="both"/>
        <w:rPr/>
      </w:pPr>
      <w:bookmarkStart w:id="127" w:name="i9f49e48e66d741c7898fe6ab5966b33b"/>
      <w:bookmarkEnd w:id="127"/>
      <w:r>
        <w:rPr>
          <w:rFonts w:ascii="Times New Roman;serif" w:hAnsi="Times New Roman;serif"/>
          <w:b/>
          <w:color w:val="000000"/>
          <w:sz w:val="22"/>
        </w:rPr>
        <w:t>(B)</w:t>
      </w:r>
      <w:r>
        <w:rPr>
          <w:rFonts w:ascii="Times New Roman;serif" w:hAnsi="Times New Roman;serif"/>
          <w:b/>
          <w:color w:val="000000"/>
          <w:sz w:val="22"/>
        </w:rPr>
        <w:t>EACH PARTY HEREBY IRREVOCABLY WAIVES, TO THE FULLEST EXTENT PERMITTED BY APPLICABLE LAW, ANY AND ALL RIGHT TO TRIAL BY JURY IN ANY ACTION, PROCEEDING, CLAIM OR COUNTERCLAIM ARISING OUT OF OR RELATING TO ANY TRANSACTION DOCUMENT OR THE TRANSACTIONS CONTEMPLATED UNDER ANY TRANSACTION DOCUMENT (WHETHER BASED ON CONTRACT, TORT OR ANY OTHER THEORY). THIS WAIVER SHALL APPLY TO ANY SUBSEQUENT AMENDMENTS, RENEWALS, SUPPLEMENTS OR MODIFICATIONS TO ANY TRANSACTION DOCUMENT. EACH PARTY HERETO (I) CERTIFIES THAT NO REPRESENTATIVE, AGENT OR ATTORNEY OF THE OTHER PARTY HERETO HAS REPRESENTED, EXPRESSLY OR OTHERWISE, THAT THE OTHER PARTY HERETO WOULD NOT, IN THE EVENT OF LITIGATION, SEEK TO ENFORCE THE FOREGOING WAIVER AND (II) ACKNOWLEDGES THAT IT AND THE OTHER PARTY HERETO HAVE</w:t>
      </w:r>
      <w:r>
        <w:rPr>
          <w:color w:val="000000"/>
        </w:rPr>
        <w:t xml:space="preserve"> </w:t>
      </w:r>
      <w:r>
        <w:rPr>
          <w:rFonts w:ascii="Times New Roman;serif" w:hAnsi="Times New Roman;serif"/>
          <w:b/>
          <w:color w:val="000000"/>
          <w:sz w:val="22"/>
        </w:rPr>
        <w:t xml:space="preserve">BEEN INDUCED TO ENTER INTO THIS AGREEMENT BY, AMONG OTHER THINGS, THE MUTUAL WAIVERS AND CERTIFICATIONS IN THIS </w:t>
      </w:r>
      <w:r>
        <w:rPr>
          <w:rFonts w:ascii="Times New Roman;serif" w:hAnsi="Times New Roman;serif"/>
          <w:b/>
          <w:color w:val="000000"/>
          <w:sz w:val="22"/>
          <w:u w:val="single"/>
        </w:rPr>
        <w:t>SECTION 8.02(B)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128" w:name="ib197ca8df8b3412ba75e79f431157923"/>
      <w:bookmarkEnd w:id="128"/>
      <w:r>
        <w:rPr>
          <w:rFonts w:ascii="Times New Roman;serif" w:hAnsi="Times New Roman;serif"/>
          <w:b w:val="false"/>
          <w:color w:val="000000"/>
          <w:sz w:val="22"/>
        </w:rPr>
        <w:t>(c)</w:t>
      </w:r>
      <w:r>
        <w:rPr>
          <w:rFonts w:ascii="Times New Roman;serif" w:hAnsi="Times New Roman;serif"/>
          <w:b w:val="false"/>
          <w:color w:val="000000"/>
          <w:sz w:val="22"/>
        </w:rPr>
        <w:t>Each party irrevocably submits to the exclusive jurisdiction of the courts of the State of New York and of the United States District Court for the Southern District of New York. Each party hereto agrees to commence any action, suit or other proceeding arising out of, relating to or in connection with this Agreement or any transaction contemplated hereby in the United States District Court for the Southern District of New York or if such suit, action or other proceeding may not be brought in such court for jurisdictional reasons, in the courts of the State of New York located in New York County, New York. Each party irrevocably waives, to the fullest extent permitted by law, any objection which it may now or hereafter have to the laying of venue of any Proceeding and any claim that any Proceeding has been brought in an inconvenient forum. Any process or summons for purposes of any Proceeding may be served on a party by mailing a copy thereof by registered mail, or a form of mail substantially equivalent thereto, addressed to it at its address as provided for Notices hereunder.</w:t>
      </w:r>
    </w:p>
    <w:p>
      <w:pPr>
        <w:pStyle w:val="TextBody"/>
        <w:bidi w:val="0"/>
        <w:spacing w:lineRule="auto" w:line="240" w:before="0" w:after="0"/>
        <w:ind w:left="0" w:right="0" w:firstLine="720"/>
        <w:jc w:val="both"/>
        <w:rPr/>
      </w:pPr>
      <w:bookmarkStart w:id="129" w:name="ie1fc086314cd4935a8bccfc1970fcba5"/>
      <w:bookmarkEnd w:id="129"/>
      <w:r>
        <w:rPr>
          <w:rFonts w:ascii="Times New Roman;serif" w:hAnsi="Times New Roman;serif"/>
          <w:b w:val="false"/>
          <w:color w:val="000000"/>
          <w:sz w:val="22"/>
        </w:rPr>
        <w:t>Section 8.03.</w:t>
      </w:r>
      <w:r>
        <w:rPr>
          <w:rFonts w:ascii="Times New Roman;serif" w:hAnsi="Times New Roman;serif"/>
          <w:b w:val="false"/>
          <w:color w:val="000000"/>
          <w:sz w:val="22"/>
          <w:u w:val="single"/>
        </w:rPr>
        <w:t>Notices</w:t>
      </w:r>
      <w:r>
        <w:rPr>
          <w:rFonts w:ascii="Times New Roman;serif" w:hAnsi="Times New Roman;serif"/>
          <w:b w:val="false"/>
          <w:color w:val="000000"/>
          <w:sz w:val="22"/>
        </w:rPr>
        <w:t>. All demands, notices, and communications under this Agreement shall be in writing personally delivered, or sent by email (provided that no undeliverable message is received in response to such email), or sent by internationally recognized overnight courier service, at the following address:</w:t>
      </w:r>
    </w:p>
    <w:p>
      <w:pPr>
        <w:pStyle w:val="TextBody"/>
        <w:bidi w:val="0"/>
        <w:spacing w:lineRule="auto" w:line="288" w:before="180" w:after="240"/>
        <w:ind w:left="0" w:right="0" w:firstLine="720"/>
        <w:jc w:val="left"/>
        <w:rPr/>
      </w:pPr>
      <w:r>
        <w:rPr>
          <w:rFonts w:ascii="Times New Roman;serif" w:hAnsi="Times New Roman;serif"/>
          <w:b/>
          <w:color w:val="000000"/>
          <w:sz w:val="22"/>
        </w:rPr>
        <w:t>Seller</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Zymeworks BC Inc.</w:t>
        <w:br/>
        <w:t>114 East 4th Avenue, Suite 800,</w:t>
        <w:br/>
        <w:t>Vancouver, BC, V5T 1G4, Canada</w:t>
        <w:br/>
        <w:t>Attn: Legal Department</w:t>
        <w:br/>
        <w:t>Email: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Gibson, Dunn &amp; Crutcher LLP</w:t>
        <w:br/>
        <w:t>One Embarcadero Center, Suite 2600</w:t>
        <w:br/>
        <w:t>San Francisco, CA 94111-3715</w:t>
        <w:br/>
        <w:t>Attention: Ryan Murr; Karen Spindler</w:t>
        <w:br/>
        <w:t>Email: [***]</w:t>
      </w:r>
    </w:p>
    <w:p>
      <w:pPr>
        <w:pStyle w:val="TextBody"/>
        <w:bidi w:val="0"/>
        <w:spacing w:lineRule="auto" w:line="288" w:before="0" w:after="240"/>
        <w:ind w:left="0" w:right="0" w:firstLine="720"/>
        <w:jc w:val="left"/>
        <w:rPr/>
      </w:pPr>
      <w:r>
        <w:rPr>
          <w:rFonts w:ascii="Times New Roman;serif" w:hAnsi="Times New Roman;serif"/>
          <w:b/>
          <w:color w:val="000000"/>
          <w:sz w:val="22"/>
        </w:rPr>
        <w:t>Purchaser</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Zymeworks Royalty Limited Partnership</w:t>
        <w:br/>
        <w:t>114 East 4th Avenue, Suite 800,</w:t>
        <w:br/>
        <w:t>Vancouver, BC, V5T 1G4, Canada</w:t>
        <w:br/>
        <w:t>Attn: Legal Department</w:t>
        <w:br/>
        <w:t xml:space="preserve">Email: [***]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Gibson, Dunn &amp; Crutcher LLP</w:t>
        <w:br/>
        <w:t>One Embarcadero Center, Suite 2600</w:t>
        <w:br/>
        <w:t>San Francisco, CA 94111-3715</w:t>
        <w:br/>
        <w:t>Attention: Ryan Murr; Karen Spindler</w:t>
        <w:br/>
        <w:t>Email: [***]</w:t>
      </w:r>
    </w:p>
    <w:p>
      <w:pPr>
        <w:pStyle w:val="TextBody"/>
        <w:bidi w:val="0"/>
        <w:spacing w:lineRule="auto" w:line="288" w:before="0" w:after="240"/>
        <w:ind w:left="0" w:right="0" w:firstLine="720"/>
        <w:jc w:val="left"/>
        <w:rPr/>
      </w:pPr>
      <w:r>
        <w:rPr>
          <w:rFonts w:ascii="Times New Roman;serif" w:hAnsi="Times New Roman;serif"/>
          <w:b/>
          <w:color w:val="000000"/>
          <w:sz w:val="22"/>
        </w:rPr>
        <w:t>Administrative Agent</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Royalty Pharma Development Funding, LLC</w:t>
        <w:br/>
        <w:t>110 East 59th Street, Floor 33</w:t>
        <w:br/>
        <w:t>New York, NY 10022</w:t>
        <w:br/>
        <w:t>Attention: General Counsel</w:t>
        <w:br/>
        <w:t>Email: [***]</w:t>
        <w:br/>
        <w:t>with a copy (which shall not constitute notice)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Covington &amp; Burling LLP</w:t>
        <w:br/>
        <w:t>30 Hudson Yards</w:t>
        <w:br/>
        <w:t>New York, NY 10001-2170</w:t>
        <w:br/>
        <w:t>Attention:    Peter A. Schwartz</w:t>
        <w:br/>
        <w:t>Email: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at such other address as shall be designated by such party in a written notice to the other parties. Notice shall be effective and deemed received (a) two (2) days after being delivered to the courier service, if sent by courier, or (b) when delivered, if delivered by hand or sent by email.</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Wherever notice or a report is required to be given or delivered to Purchaser, a copy of such notice or report shall also be given or delivered concurrently to Administrative Agent.</w:t>
      </w:r>
    </w:p>
    <w:p>
      <w:pPr>
        <w:pStyle w:val="TextBody"/>
        <w:bidi w:val="0"/>
        <w:spacing w:lineRule="auto" w:line="240" w:before="0" w:after="240"/>
        <w:ind w:left="0" w:right="0" w:firstLine="720"/>
        <w:jc w:val="both"/>
        <w:rPr/>
      </w:pPr>
      <w:bookmarkStart w:id="130" w:name="i2a552d6c2fce4202b1e451abc6e9cef7"/>
      <w:bookmarkEnd w:id="130"/>
      <w:r>
        <w:rPr>
          <w:rFonts w:ascii="Times New Roman;serif" w:hAnsi="Times New Roman;serif"/>
          <w:b w:val="false"/>
          <w:color w:val="000000"/>
          <w:sz w:val="22"/>
        </w:rPr>
        <w:t>Section 8.04.</w:t>
      </w:r>
      <w:r>
        <w:rPr>
          <w:rFonts w:ascii="Times New Roman;serif" w:hAnsi="Times New Roman;serif"/>
          <w:b w:val="false"/>
          <w:color w:val="000000"/>
          <w:sz w:val="22"/>
          <w:u w:val="single"/>
        </w:rPr>
        <w:t>Severability of Provisions</w:t>
      </w:r>
      <w:r>
        <w:rPr>
          <w:rFonts w:ascii="Times New Roman;serif" w:hAnsi="Times New Roman;serif"/>
          <w:b w:val="false"/>
          <w:color w:val="000000"/>
          <w:sz w:val="22"/>
        </w:rPr>
        <w:t xml:space="preserve">. If any one or more of the covenants, agreements, provisions, or terms of this Agreement shall be for any reason whatsoever held invalid, then such covenants, agreements, provisions, or terms shall be deemed severable from the remaining covenants,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agreements, provisions, or terms of this Agreement and shall in no way affect the validity or enforceability of the other provisions of this Agreement.</w:t>
      </w:r>
    </w:p>
    <w:p>
      <w:pPr>
        <w:pStyle w:val="TextBody"/>
        <w:bidi w:val="0"/>
        <w:spacing w:lineRule="auto" w:line="240" w:before="0" w:after="240"/>
        <w:ind w:left="0" w:right="0" w:firstLine="720"/>
        <w:jc w:val="both"/>
        <w:rPr/>
      </w:pPr>
      <w:bookmarkStart w:id="131" w:name="ibca75452a84a4bacb28513d5fcb708f8"/>
      <w:bookmarkEnd w:id="131"/>
      <w:r>
        <w:rPr>
          <w:rFonts w:ascii="Times New Roman;serif" w:hAnsi="Times New Roman;serif"/>
          <w:b w:val="false"/>
          <w:color w:val="000000"/>
          <w:sz w:val="22"/>
        </w:rPr>
        <w:t>Section 8.05.</w:t>
      </w:r>
      <w:r>
        <w:rPr>
          <w:rFonts w:ascii="Times New Roman;serif" w:hAnsi="Times New Roman;serif"/>
          <w:b w:val="false"/>
          <w:color w:val="000000"/>
          <w:sz w:val="22"/>
          <w:u w:val="single"/>
        </w:rPr>
        <w:t>Assignment</w:t>
      </w:r>
      <w:r>
        <w:rPr>
          <w:rFonts w:ascii="Times New Roman;serif" w:hAnsi="Times New Roman;serif"/>
          <w:b w:val="false"/>
          <w:color w:val="000000"/>
          <w:sz w:val="22"/>
        </w:rPr>
        <w:t>. Notwithstanding anything to the contrary contained in this Agreement, and subject to Section 4.01(p)(iii), this Agreement may not be assigned by Seller without the prior written consent of Purchaser and Administrative Agent (which consent, with respect to an Affiliate of Seller, shall not be unreasonably withheld, conditioned or delayed), and this Agreement may not be assigned by Purchaser without the prior written consent of Administrative Agent and, so long as no material breach by Seller has occurred and is continuing, without the prior written consent of Seller.</w:t>
      </w:r>
    </w:p>
    <w:p>
      <w:pPr>
        <w:pStyle w:val="TextBody"/>
        <w:bidi w:val="0"/>
        <w:spacing w:lineRule="auto" w:line="240" w:before="0" w:after="240"/>
        <w:ind w:left="0" w:right="0" w:firstLine="720"/>
        <w:jc w:val="both"/>
        <w:rPr/>
      </w:pPr>
      <w:bookmarkStart w:id="132" w:name="ifa7b0dd22c574b278e648cd8a388b5ba"/>
      <w:bookmarkEnd w:id="132"/>
      <w:r>
        <w:rPr>
          <w:rFonts w:ascii="Times New Roman;serif" w:hAnsi="Times New Roman;serif"/>
          <w:b w:val="false"/>
          <w:color w:val="000000"/>
          <w:sz w:val="22"/>
        </w:rPr>
        <w:t>Section 8.06.</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Each of Seller and Purchaser agrees to do such further acts and things and to execute and deliver such additional assignments, agreements, powers and instruments as are reasonably required to carry into effect the purposes of this Agreement.</w:t>
      </w:r>
    </w:p>
    <w:p>
      <w:pPr>
        <w:pStyle w:val="TextBody"/>
        <w:bidi w:val="0"/>
        <w:spacing w:lineRule="auto" w:line="240" w:before="0" w:after="240"/>
        <w:ind w:left="0" w:right="0" w:firstLine="720"/>
        <w:jc w:val="both"/>
        <w:rPr/>
      </w:pPr>
      <w:bookmarkStart w:id="133" w:name="i8c2027ada27d4d2980bf19f633e11652"/>
      <w:bookmarkEnd w:id="133"/>
      <w:r>
        <w:rPr>
          <w:rFonts w:ascii="Times New Roman;serif" w:hAnsi="Times New Roman;serif"/>
          <w:b w:val="false"/>
          <w:color w:val="000000"/>
          <w:sz w:val="22"/>
        </w:rPr>
        <w:t>Section 8.07.</w:t>
      </w:r>
      <w:r>
        <w:rPr>
          <w:rFonts w:ascii="Times New Roman;serif" w:hAnsi="Times New Roman;serif"/>
          <w:b w:val="false"/>
          <w:color w:val="000000"/>
          <w:sz w:val="22"/>
          <w:u w:val="single"/>
        </w:rPr>
        <w:t>Waiver; Cumulative Remedies; Waiver of Immunities</w:t>
      </w:r>
      <w:r>
        <w:rPr>
          <w:rFonts w:ascii="Times New Roman;serif" w:hAnsi="Times New Roman;serif"/>
          <w:b w:val="false"/>
          <w:color w:val="000000"/>
          <w:sz w:val="22"/>
        </w:rPr>
        <w:t>. No failure to exercise and no delay in exercising, on the part of a party, any right, remedy, power or privilege hereunder, shall operate as a waiver thereof; nor shall any single or partial exercise of any right, remedy, power or privilege hereunder preclude any other or further exercise hereof or the exercise of any other right, remedy, power or privilege. The rights, remedies, powers and privileges herein provided are cumulative and not exhaustive of any rights, remedies, powers and privilege provided by law. To the extent that Seller has or hereafter may be entitled to claim or may acquire, for itself or any of its assets, any immunity from suit, jurisdiction of any court or from any legal process (whether through service or notice, attachment prior to judgment, attachment in aid of execution, or otherwise) with respect to itself or any of its property, Seller hereby irrevocably waives such immunity in respect of its obligations hereunder to the fullest extent permitted by law.</w:t>
      </w:r>
    </w:p>
    <w:p>
      <w:pPr>
        <w:pStyle w:val="TextBody"/>
        <w:bidi w:val="0"/>
        <w:spacing w:lineRule="auto" w:line="240" w:before="0" w:after="240"/>
        <w:ind w:left="0" w:right="0" w:firstLine="720"/>
        <w:jc w:val="both"/>
        <w:rPr/>
      </w:pPr>
      <w:bookmarkStart w:id="134" w:name="ief790c1ff82e465db81772bc5940af77"/>
      <w:bookmarkEnd w:id="134"/>
      <w:r>
        <w:rPr>
          <w:rFonts w:ascii="Times New Roman;serif" w:hAnsi="Times New Roman;serif"/>
          <w:b w:val="false"/>
          <w:color w:val="000000"/>
          <w:sz w:val="22"/>
        </w:rPr>
        <w:t>Section 8.08.</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two or more counterparts (and by different parties on separate counterparts), each of which shall be an original, but all of which shall constitute one and the same instrument.</w:t>
      </w:r>
    </w:p>
    <w:p>
      <w:pPr>
        <w:pStyle w:val="TextBody"/>
        <w:bidi w:val="0"/>
        <w:spacing w:lineRule="auto" w:line="240" w:before="0" w:after="240"/>
        <w:ind w:left="0" w:right="0" w:firstLine="720"/>
        <w:jc w:val="both"/>
        <w:rPr/>
      </w:pPr>
      <w:bookmarkStart w:id="135" w:name="i52c5d115571a4a48a1ab4a5c3ce3d51f"/>
      <w:bookmarkEnd w:id="135"/>
      <w:r>
        <w:rPr>
          <w:rFonts w:ascii="Times New Roman;serif" w:hAnsi="Times New Roman;serif"/>
          <w:b w:val="false"/>
          <w:color w:val="000000"/>
          <w:sz w:val="22"/>
        </w:rPr>
        <w:t>Section 8.09.</w:t>
      </w:r>
      <w:r>
        <w:rPr>
          <w:rFonts w:ascii="Times New Roman;serif" w:hAnsi="Times New Roman;serif"/>
          <w:b w:val="false"/>
          <w:color w:val="000000"/>
          <w:sz w:val="22"/>
          <w:u w:val="single"/>
        </w:rPr>
        <w:t>Binding</w:t>
      </w:r>
      <w:r>
        <w:rPr>
          <w:rFonts w:ascii="Times New Roman;serif" w:hAnsi="Times New Roman;serif"/>
          <w:b w:val="false"/>
          <w:color w:val="000000"/>
          <w:sz w:val="22"/>
        </w:rPr>
        <w:t>. This Agreement will inure to the benefit of and be binding upon the parties hereto.</w:t>
      </w:r>
    </w:p>
    <w:p>
      <w:pPr>
        <w:pStyle w:val="TextBody"/>
        <w:bidi w:val="0"/>
        <w:spacing w:lineRule="auto" w:line="240" w:before="0" w:after="240"/>
        <w:ind w:left="0" w:right="0" w:firstLine="720"/>
        <w:jc w:val="both"/>
        <w:rPr/>
      </w:pPr>
      <w:bookmarkStart w:id="136" w:name="i2c379dcba7394e8e9830be6ae3393f89"/>
      <w:bookmarkEnd w:id="136"/>
      <w:r>
        <w:rPr>
          <w:rFonts w:ascii="Times New Roman;serif" w:hAnsi="Times New Roman;serif"/>
          <w:b w:val="false"/>
          <w:color w:val="000000"/>
          <w:sz w:val="22"/>
        </w:rPr>
        <w:t>Section 8.10.</w:t>
      </w:r>
      <w:r>
        <w:rPr>
          <w:rFonts w:ascii="Times New Roman;serif" w:hAnsi="Times New Roman;serif"/>
          <w:b w:val="false"/>
          <w:color w:val="000000"/>
          <w:sz w:val="22"/>
          <w:u w:val="single"/>
        </w:rPr>
        <w:t>Merger and Integration</w:t>
      </w:r>
      <w:r>
        <w:rPr>
          <w:rFonts w:ascii="Times New Roman;serif" w:hAnsi="Times New Roman;serif"/>
          <w:b w:val="false"/>
          <w:color w:val="000000"/>
          <w:sz w:val="22"/>
        </w:rPr>
        <w:t>. Except as specifically stated otherwise herein, this Agreement sets forth the entire understanding of the parties relating to the subject matter hereof, and all prior understandings, written or oral, are superseded by this Agreement. This Agreement may not be modified, amended, waived or supplemented except as provided herein.</w:t>
      </w:r>
    </w:p>
    <w:p>
      <w:pPr>
        <w:pStyle w:val="TextBody"/>
        <w:bidi w:val="0"/>
        <w:spacing w:lineRule="auto" w:line="240" w:before="0" w:after="240"/>
        <w:ind w:left="0" w:right="0" w:firstLine="720"/>
        <w:jc w:val="both"/>
        <w:rPr/>
      </w:pPr>
      <w:bookmarkStart w:id="137" w:name="i27a03b0d70274a89b853fbb6b0460e13"/>
      <w:bookmarkEnd w:id="137"/>
      <w:r>
        <w:rPr>
          <w:rFonts w:ascii="Times New Roman;serif" w:hAnsi="Times New Roman;serif"/>
          <w:b w:val="false"/>
          <w:color w:val="000000"/>
          <w:sz w:val="22"/>
        </w:rPr>
        <w:t>Section 8.11.</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herein are for purposes of reference only and shall not otherwise affect the meaning or interpretation of any provision hereof.</w:t>
      </w:r>
    </w:p>
    <w:p>
      <w:pPr>
        <w:pStyle w:val="TextBody"/>
        <w:bidi w:val="0"/>
        <w:spacing w:lineRule="auto" w:line="240" w:before="0" w:after="240"/>
        <w:ind w:left="0" w:right="0" w:firstLine="720"/>
        <w:jc w:val="both"/>
        <w:rPr/>
      </w:pPr>
      <w:bookmarkStart w:id="138" w:name="icdfcadd8b98d415394ef8c1ecc5c02ee"/>
      <w:bookmarkEnd w:id="138"/>
      <w:r>
        <w:rPr>
          <w:rFonts w:ascii="Times New Roman;serif" w:hAnsi="Times New Roman;serif"/>
          <w:b w:val="false"/>
          <w:color w:val="000000"/>
          <w:sz w:val="22"/>
        </w:rPr>
        <w:t>Section 8.12.</w:t>
      </w:r>
      <w:r>
        <w:rPr>
          <w:rFonts w:ascii="Times New Roman;serif" w:hAnsi="Times New Roman;serif"/>
          <w:b w:val="false"/>
          <w:color w:val="000000"/>
          <w:sz w:val="22"/>
          <w:u w:val="single"/>
        </w:rPr>
        <w:t>Schedules and Exhibits</w:t>
      </w:r>
      <w:r>
        <w:rPr>
          <w:rFonts w:ascii="Times New Roman;serif" w:hAnsi="Times New Roman;serif"/>
          <w:b w:val="false"/>
          <w:color w:val="000000"/>
          <w:sz w:val="22"/>
        </w:rPr>
        <w:t>. The schedules and exhibits attached hereto and referred to herein shall constitute a part of this Agreement and are incorporated into this Agreement for all purposes.</w:t>
      </w:r>
    </w:p>
    <w:p>
      <w:pPr>
        <w:pStyle w:val="TextBody"/>
        <w:bidi w:val="0"/>
        <w:spacing w:lineRule="auto" w:line="240" w:before="0" w:after="240"/>
        <w:ind w:left="0" w:right="0" w:firstLine="720"/>
        <w:jc w:val="both"/>
        <w:rPr/>
      </w:pPr>
      <w:bookmarkStart w:id="139" w:name="i31a224969eb44a78a76273ef8ddc6bc5"/>
      <w:bookmarkEnd w:id="139"/>
      <w:r>
        <w:rPr>
          <w:rFonts w:ascii="Times New Roman;serif" w:hAnsi="Times New Roman;serif"/>
          <w:b w:val="false"/>
          <w:color w:val="000000"/>
          <w:sz w:val="22"/>
        </w:rPr>
        <w:t>Section 8.13.</w:t>
      </w:r>
      <w:r>
        <w:rPr>
          <w:rFonts w:ascii="Times New Roman;serif" w:hAnsi="Times New Roman;serif"/>
          <w:b w:val="false"/>
          <w:color w:val="000000"/>
          <w:sz w:val="22"/>
          <w:u w:val="single"/>
        </w:rPr>
        <w:t>Non-Petition</w:t>
      </w:r>
      <w:r>
        <w:rPr>
          <w:rFonts w:ascii="Times New Roman;serif" w:hAnsi="Times New Roman;serif"/>
          <w:b w:val="false"/>
          <w:color w:val="000000"/>
          <w:sz w:val="22"/>
        </w:rPr>
        <w:t>. Each of the parties hereto covenants and agrees that, prior to the date that is one year and one day after the Payment in Full, no party hereto shall institute against, or join any other Person in instituting against, either of Purchaser or Seller any bankruptcy, reorganization, arrangement, insolvency or liquidation proceedings or other similar proceedings under any federal, state provincial, territorial or foreign bankruptcy or similar law.</w:t>
      </w:r>
    </w:p>
    <w:p>
      <w:pPr>
        <w:pStyle w:val="TextBody"/>
        <w:bidi w:val="0"/>
        <w:spacing w:lineRule="auto" w:line="240" w:before="0" w:after="240"/>
        <w:ind w:left="0" w:right="0" w:firstLine="720"/>
        <w:jc w:val="both"/>
        <w:rPr/>
      </w:pPr>
      <w:bookmarkStart w:id="140" w:name="i36aa21763b424a2db8259ed222ef1290"/>
      <w:bookmarkEnd w:id="140"/>
      <w:r>
        <w:rPr>
          <w:rFonts w:ascii="Times New Roman;serif" w:hAnsi="Times New Roman;serif"/>
          <w:b w:val="false"/>
          <w:color w:val="000000"/>
          <w:sz w:val="22"/>
        </w:rPr>
        <w:t>Section 8.14.</w:t>
      </w:r>
      <w:r>
        <w:rPr>
          <w:rFonts w:ascii="Times New Roman;serif" w:hAnsi="Times New Roman;serif"/>
          <w:b w:val="false"/>
          <w:color w:val="000000"/>
          <w:sz w:val="22"/>
          <w:u w:val="single"/>
        </w:rPr>
        <w:t>Third Party Beneficiaries</w:t>
      </w:r>
      <w:r>
        <w:rPr>
          <w:rFonts w:ascii="Times New Roman;serif" w:hAnsi="Times New Roman;serif"/>
          <w:b w:val="false"/>
          <w:color w:val="000000"/>
          <w:sz w:val="22"/>
        </w:rPr>
        <w:t xml:space="preserve">. The Administrative Agent, on behalf of itself and on behalf of the Lenders, is a third-party beneficiary of this Agreement and, as such, shall have full power and authority to enforce the provisions of this Agreement against the parties hereto. In addition, the parties hereto acknowledge that the Administrative Agent is entitled under the Transaction Documents to make claims directly to the Seller for indemnities in favor of Purchaser, without prejudice to its rights as an Indemnified Party hereunder; and nothing herein limits the rights of the Lenders under the Pledge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which rights may be exercised in Lender’s sole discretion from time to time whether or not it has exercised or is then exercising its rights as a third party beneficiary or its rights and remedies under Applicable Law.</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by their respective officers as of the date first above written.</w:t>
      </w:r>
    </w:p>
    <w:p>
      <w:pPr>
        <w:pStyle w:val="TextBody"/>
        <w:bidi w:val="0"/>
        <w:spacing w:lineRule="auto" w:line="288" w:before="0" w:after="480"/>
        <w:jc w:val="left"/>
        <w:rPr/>
      </w:pPr>
      <w:r>
        <w:rPr>
          <w:rFonts w:ascii="Times New Roman;serif" w:hAnsi="Times New Roman;serif"/>
          <w:b/>
          <w:color w:val="000000"/>
          <w:sz w:val="22"/>
        </w:rPr>
        <w:t xml:space="preserve">Zymeworks BC Inc. </w:t>
      </w:r>
      <w:r>
        <w:rPr>
          <w:rFonts w:ascii="Times New Roman;serif" w:hAnsi="Times New Roman;serif"/>
          <w:b w:val="false"/>
          <w:color w:val="000000"/>
          <w:sz w:val="22"/>
        </w:rPr>
        <w:t>as Seller</w:t>
      </w:r>
    </w:p>
    <w:p>
      <w:pPr>
        <w:pStyle w:val="TextBody"/>
        <w:bidi w:val="0"/>
        <w:spacing w:lineRule="auto" w:line="288" w:before="0" w:after="48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Kenneth Galbraith    </w:t>
        <w:br/>
      </w:r>
      <w:r>
        <w:rPr>
          <w:rFonts w:ascii="Times New Roman;serif" w:hAnsi="Times New Roman;serif"/>
          <w:b w:val="false"/>
          <w:color w:val="000000"/>
          <w:sz w:val="22"/>
        </w:rPr>
        <w:t>Name: Kenneth Galbraith</w:t>
        <w:br/>
        <w:t>Title: Director, Chair of the Board and Chief Executive Officer</w:t>
      </w:r>
    </w:p>
    <w:p>
      <w:pPr>
        <w:pStyle w:val="TextBody"/>
        <w:bidi w:val="0"/>
        <w:spacing w:lineRule="auto" w:line="288" w:before="0" w:after="480"/>
        <w:jc w:val="left"/>
        <w:rPr/>
      </w:pPr>
      <w:r>
        <w:rPr>
          <w:rFonts w:ascii="Times New Roman;serif" w:hAnsi="Times New Roman;serif"/>
          <w:b/>
          <w:color w:val="000000"/>
          <w:sz w:val="22"/>
        </w:rPr>
        <w:t xml:space="preserve">Zymeworks Royalty Limited Partnership, </w:t>
      </w:r>
      <w:r>
        <w:rPr>
          <w:rFonts w:ascii="Times New Roman;serif" w:hAnsi="Times New Roman;serif"/>
          <w:b w:val="false"/>
          <w:color w:val="000000"/>
          <w:sz w:val="22"/>
        </w:rPr>
        <w:t xml:space="preserve">by its general partner, </w:t>
      </w:r>
      <w:r>
        <w:rPr>
          <w:rFonts w:ascii="Times New Roman;serif" w:hAnsi="Times New Roman;serif"/>
          <w:b/>
          <w:color w:val="000000"/>
          <w:sz w:val="22"/>
        </w:rPr>
        <w:t>Zymeworks General Partner ULC</w:t>
      </w:r>
      <w:r>
        <w:rPr>
          <w:rFonts w:ascii="Times New Roman;serif" w:hAnsi="Times New Roman;serif"/>
          <w:b w:val="false"/>
          <w:color w:val="000000"/>
          <w:sz w:val="22"/>
        </w:rPr>
        <w:t>, as Purchaser</w:t>
      </w:r>
    </w:p>
    <w:p>
      <w:pPr>
        <w:pStyle w:val="TextBody"/>
        <w:bidi w:val="0"/>
        <w:spacing w:lineRule="auto" w:line="288" w:before="0" w:after="48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Kenneth Galbraith    </w:t>
        <w:br/>
      </w:r>
      <w:r>
        <w:rPr>
          <w:rFonts w:ascii="Times New Roman;serif" w:hAnsi="Times New Roman;serif"/>
          <w:b w:val="false"/>
          <w:color w:val="000000"/>
          <w:sz w:val="22"/>
        </w:rPr>
        <w:t>Name: Kenneth Galbraith</w:t>
        <w:br/>
        <w:t>Title: Director and President</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Royalty Pharma Development Funding, LLC</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By: Royalty Pharma Sub-Manager, LLC, its</w:t>
        <w:br/>
        <w:t>Manager and lawfully appointed attorney</w:t>
      </w:r>
    </w:p>
    <w:p>
      <w:pPr>
        <w:pStyle w:val="TextBody"/>
        <w:bidi w:val="0"/>
        <w:spacing w:lineRule="auto" w:line="288"/>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/s/ Arthur McGivern    </w:t>
        <w:br/>
      </w:r>
      <w:r>
        <w:rPr>
          <w:rFonts w:ascii="Times New Roman;serif" w:hAnsi="Times New Roman;serif"/>
          <w:b w:val="false"/>
          <w:color w:val="000000"/>
          <w:sz w:val="22"/>
        </w:rPr>
        <w:t>Name: Arthur R. McGivern</w:t>
        <w:br/>
        <w:t>Title: EVP, Investments &amp; General Counsel</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Sale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Sale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Zymeworks Inc.</w:t>
      </w:r>
    </w:p>
    <w:p>
      <w:pPr>
        <w:pStyle w:val="TextBody"/>
        <w:bidi w:val="0"/>
        <w:spacing w:lineRule="auto" w:line="288"/>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Kenneth Galbraith    </w:t>
        <w:br/>
      </w:r>
      <w:r>
        <w:rPr>
          <w:rFonts w:ascii="Times New Roman;serif" w:hAnsi="Times New Roman;serif"/>
          <w:b w:val="false"/>
          <w:color w:val="000000"/>
          <w:sz w:val="22"/>
        </w:rPr>
        <w:t>Name: Kenneth Galbraith</w:t>
        <w:br/>
        <w:t>Title: Chair, Chief Executive Officer &amp; Acting Chief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Sale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Sale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by their respective officers as of the date first above written.</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Royalty Pharma Development Funding, LLC</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By: Royalty Pharma Sub-Manager, LLC, its Manager and lawfully appointed attorney</w:t>
      </w:r>
    </w:p>
    <w:p>
      <w:pPr>
        <w:pStyle w:val="TextBody"/>
        <w:bidi w:val="0"/>
        <w:spacing w:lineRule="auto" w:line="288" w:before="0" w:after="48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Arthur R. McGivern    </w:t>
        <w:br/>
      </w:r>
      <w:r>
        <w:rPr>
          <w:rFonts w:ascii="Times New Roman;serif" w:hAnsi="Times New Roman;serif"/>
          <w:b w:val="false"/>
          <w:color w:val="000000"/>
          <w:sz w:val="22"/>
        </w:rPr>
        <w:t>Name: Arthur R. McGivern</w:t>
        <w:br/>
        <w:t>Title: EVP, Investments &amp;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Sale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Sale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EXHIBIT A-1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Jazz Notice and Instruction Letter</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EXHIBIT A-2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BeOne Notice and Instruction Letter</w:t>
      </w:r>
    </w:p>
    <w:p>
      <w:pPr>
        <w:pStyle w:val="TextBody"/>
        <w:bidi w:val="0"/>
        <w:spacing w:before="0" w:after="0"/>
        <w:jc w:val="center"/>
        <w:rPr/>
      </w:pPr>
      <w:r>
        <w:rPr/>
      </w:r>
    </w:p>
    <w:p>
      <w:pPr>
        <w:pStyle w:val="TextBody"/>
        <w:bidi w:val="0"/>
        <w:spacing w:lineRule="atLeast" w:line="21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B</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Bill of Sale</w:t>
      </w:r>
    </w:p>
    <w:p>
      <w:pPr>
        <w:pStyle w:val="TextBody"/>
        <w:bidi w:val="0"/>
        <w:spacing w:lineRule="atLeast" w:line="268" w:before="15" w:after="283"/>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CERTAIN PORTIONS OF THIS EXHIBIT (INDICATED BY [***]) HAVE BEEN EXCLUDED PURSUANT TO ITEM 601(B)(10) OF REGULATION S-K BECAUSE THEY ARE BOTH NOT MATERIAL AND ARE THE TYPE THAT THE COMPANY TREATS AS PRIVATE AND CONFIDENTIAL</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LOAN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March 2, 2026</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among</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ZYMEWORKS ROYALTY LIMITED PARTNERSHIP,</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Borrower,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THE LENDERS FROM TIME TO TIME PARTY HERETO</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ROYALTY PHARMA DEVELOPMENT FUNDING,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Page</w:t>
      </w:r>
    </w:p>
    <w:tbl>
      <w:tblPr>
        <w:tblW w:w="6571" w:type="dxa"/>
        <w:jc w:val="left"/>
        <w:tblInd w:w="0" w:type="dxa"/>
        <w:tblLayout w:type="fixed"/>
        <w:tblCellMar>
          <w:top w:w="28" w:type="dxa"/>
          <w:left w:w="28" w:type="dxa"/>
          <w:bottom w:w="28" w:type="dxa"/>
          <w:right w:w="28" w:type="dxa"/>
        </w:tblCellMar>
      </w:tblPr>
      <w:tblGrid>
        <w:gridCol w:w="2240"/>
        <w:gridCol w:w="1963"/>
        <w:gridCol w:w="1977"/>
        <w:gridCol w:w="114"/>
        <w:gridCol w:w="114"/>
        <w:gridCol w:w="163"/>
      </w:tblGrid>
      <w:tr>
        <w:trPr/>
        <w:tc>
          <w:tcPr>
            <w:tcW w:w="2240"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a30a91b27d444d69e07f76abcdedd17">
              <w:r>
                <w:rPr>
                  <w:rStyle w:val="InternetLink"/>
                  <w:rFonts w:ascii="Times New Roman;serif" w:hAnsi="Times New Roman;serif"/>
                  <w:b w:val="false"/>
                  <w:strike w:val="false"/>
                  <w:dstrike w:val="false"/>
                  <w:color w:val="000000"/>
                  <w:sz w:val="24"/>
                  <w:u w:val="none"/>
                  <w:effect w:val="none"/>
                </w:rPr>
                <w:t>Article I    </w:t>
                <w:br/>
                <w:t>CERTAIN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30a91b27d444d69e07f76abcdedd17">
              <w:r>
                <w:rPr>
                  <w:rStyle w:val="InternetLink"/>
                  <w:rFonts w:ascii="Times New Roman;serif" w:hAnsi="Times New Roman;serif"/>
                  <w:b w:val="false"/>
                  <w:strike w:val="false"/>
                  <w:dstrike w:val="false"/>
                  <w:color w:val="000000"/>
                  <w:sz w:val="24"/>
                  <w:u w:val="none"/>
                  <w:effect w:val="none"/>
                </w:rPr>
                <w:t>1</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b5b6b7f56b449308cd7be56b3f54323">
              <w:r>
                <w:rPr>
                  <w:rStyle w:val="InternetLink"/>
                  <w:rFonts w:ascii="Times New Roman;serif" w:hAnsi="Times New Roman;serif"/>
                  <w:b w:val="false"/>
                  <w:strike w:val="false"/>
                  <w:dstrike w:val="false"/>
                  <w:color w:val="000000"/>
                  <w:sz w:val="24"/>
                  <w:u w:val="none"/>
                  <w:effect w:val="none"/>
                </w:rPr>
                <w:t>Section 1.01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b6b7f56b449308cd7be56b3f54323">
              <w:r>
                <w:rPr>
                  <w:rStyle w:val="InternetLink"/>
                  <w:rFonts w:ascii="Times New Roman;serif" w:hAnsi="Times New Roman;serif"/>
                  <w:b w:val="false"/>
                  <w:strike w:val="false"/>
                  <w:dstrike w:val="false"/>
                  <w:color w:val="000000"/>
                  <w:sz w:val="24"/>
                  <w:u w:val="none"/>
                  <w:effect w:val="none"/>
                </w:rPr>
                <w:t>1</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5e50e8c3f8c4eaca0ba166f8d323da3">
              <w:r>
                <w:rPr>
                  <w:rStyle w:val="InternetLink"/>
                  <w:rFonts w:ascii="Times New Roman;serif" w:hAnsi="Times New Roman;serif"/>
                  <w:b w:val="false"/>
                  <w:strike w:val="false"/>
                  <w:dstrike w:val="false"/>
                  <w:color w:val="000000"/>
                  <w:sz w:val="24"/>
                  <w:u w:val="none"/>
                  <w:effect w:val="none"/>
                </w:rPr>
                <w:t>Section 1.02    Rules of Construction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50e8c3f8c4eaca0ba166f8d323da3">
              <w:r>
                <w:rPr>
                  <w:rStyle w:val="InternetLink"/>
                  <w:rFonts w:ascii="Times New Roman;serif" w:hAnsi="Times New Roman;serif"/>
                  <w:b w:val="false"/>
                  <w:strike w:val="false"/>
                  <w:dstrike w:val="false"/>
                  <w:color w:val="000000"/>
                  <w:sz w:val="24"/>
                  <w:u w:val="none"/>
                  <w:effect w:val="none"/>
                </w:rPr>
                <w:t>18</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fa14d700219426fabeda5e2c3bf0b30">
              <w:r>
                <w:rPr>
                  <w:rStyle w:val="InternetLink"/>
                  <w:rFonts w:ascii="Times New Roman;serif" w:hAnsi="Times New Roman;serif"/>
                  <w:b w:val="false"/>
                  <w:strike w:val="false"/>
                  <w:dstrike w:val="false"/>
                  <w:color w:val="000000"/>
                  <w:sz w:val="24"/>
                  <w:u w:val="none"/>
                  <w:effect w:val="none"/>
                </w:rPr>
                <w:t>Article II    </w:t>
                <w:br/>
                <w:t>TERM LOANS; DISBURSEMENT; CERTAIN FEES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a14d700219426fabeda5e2c3bf0b30">
              <w:r>
                <w:rPr>
                  <w:rStyle w:val="InternetLink"/>
                  <w:rFonts w:ascii="Times New Roman;serif" w:hAnsi="Times New Roman;serif"/>
                  <w:b w:val="false"/>
                  <w:strike w:val="false"/>
                  <w:dstrike w:val="false"/>
                  <w:color w:val="000000"/>
                  <w:sz w:val="24"/>
                  <w:u w:val="none"/>
                  <w:effect w:val="none"/>
                </w:rPr>
                <w:t>19</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fba9f75cec04e8fb2717086d2256095">
              <w:r>
                <w:rPr>
                  <w:rStyle w:val="InternetLink"/>
                  <w:rFonts w:ascii="Times New Roman;serif" w:hAnsi="Times New Roman;serif"/>
                  <w:b w:val="false"/>
                  <w:strike w:val="false"/>
                  <w:dstrike w:val="false"/>
                  <w:color w:val="000000"/>
                  <w:sz w:val="24"/>
                  <w:u w:val="none"/>
                  <w:effect w:val="none"/>
                </w:rPr>
                <w:t>Section 2.01    Term Loans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ba9f75cec04e8fb2717086d2256095">
              <w:r>
                <w:rPr>
                  <w:rStyle w:val="InternetLink"/>
                  <w:rFonts w:ascii="Times New Roman;serif" w:hAnsi="Times New Roman;serif"/>
                  <w:b w:val="false"/>
                  <w:strike w:val="false"/>
                  <w:dstrike w:val="false"/>
                  <w:color w:val="000000"/>
                  <w:sz w:val="24"/>
                  <w:u w:val="none"/>
                  <w:effect w:val="none"/>
                </w:rPr>
                <w:t>19</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7e02f5e978146b08950a8cb8771ddb5">
              <w:r>
                <w:rPr>
                  <w:rStyle w:val="InternetLink"/>
                  <w:rFonts w:ascii="Times New Roman;serif" w:hAnsi="Times New Roman;serif"/>
                  <w:b w:val="false"/>
                  <w:strike w:val="false"/>
                  <w:dstrike w:val="false"/>
                  <w:color w:val="000000"/>
                  <w:sz w:val="24"/>
                  <w:u w:val="none"/>
                  <w:effect w:val="none"/>
                </w:rPr>
                <w:t>Article III    </w:t>
                <w:br/>
                <w:t>REPAYMENT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e02f5e978146b08950a8cb8771ddb5">
              <w:r>
                <w:rPr>
                  <w:rStyle w:val="InternetLink"/>
                  <w:rFonts w:ascii="Times New Roman;serif" w:hAnsi="Times New Roman;serif"/>
                  <w:b w:val="false"/>
                  <w:strike w:val="false"/>
                  <w:dstrike w:val="false"/>
                  <w:color w:val="000000"/>
                  <w:sz w:val="24"/>
                  <w:u w:val="none"/>
                  <w:effect w:val="none"/>
                </w:rPr>
                <w:t>20</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01d3d8b55ad428cb955b16f202aaa66">
              <w:r>
                <w:rPr>
                  <w:rStyle w:val="InternetLink"/>
                  <w:rFonts w:ascii="Times New Roman;serif" w:hAnsi="Times New Roman;serif"/>
                  <w:b w:val="false"/>
                  <w:strike w:val="false"/>
                  <w:dstrike w:val="false"/>
                  <w:color w:val="000000"/>
                  <w:sz w:val="24"/>
                  <w:u w:val="none"/>
                  <w:effect w:val="none"/>
                </w:rPr>
                <w:t>Section 3.01    Amortization; Maturity Date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1d3d8b55ad428cb955b16f202aaa66">
              <w:r>
                <w:rPr>
                  <w:rStyle w:val="InternetLink"/>
                  <w:rFonts w:ascii="Times New Roman;serif" w:hAnsi="Times New Roman;serif"/>
                  <w:b w:val="false"/>
                  <w:strike w:val="false"/>
                  <w:dstrike w:val="false"/>
                  <w:color w:val="000000"/>
                  <w:sz w:val="24"/>
                  <w:u w:val="none"/>
                  <w:effect w:val="none"/>
                </w:rPr>
                <w:t>20</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f3a030b622e4f098caaa459647c7b0e">
              <w:r>
                <w:rPr>
                  <w:rStyle w:val="InternetLink"/>
                  <w:rFonts w:ascii="Times New Roman;serif" w:hAnsi="Times New Roman;serif"/>
                  <w:b w:val="false"/>
                  <w:strike w:val="false"/>
                  <w:dstrike w:val="false"/>
                  <w:color w:val="000000"/>
                  <w:sz w:val="24"/>
                  <w:u w:val="none"/>
                  <w:effect w:val="none"/>
                </w:rPr>
                <w:t>Section 3.02    Mandatory Prepayment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3a030b622e4f098caaa459647c7b0e">
              <w:r>
                <w:rPr>
                  <w:rStyle w:val="InternetLink"/>
                  <w:rFonts w:ascii="Times New Roman;serif" w:hAnsi="Times New Roman;serif"/>
                  <w:b w:val="false"/>
                  <w:strike w:val="false"/>
                  <w:dstrike w:val="false"/>
                  <w:color w:val="000000"/>
                  <w:sz w:val="24"/>
                  <w:u w:val="none"/>
                  <w:effect w:val="none"/>
                </w:rPr>
                <w:t>21</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2c7dea5f2314d6d88523cb6a694d321">
              <w:r>
                <w:rPr>
                  <w:rStyle w:val="InternetLink"/>
                  <w:rFonts w:ascii="Times New Roman;serif" w:hAnsi="Times New Roman;serif"/>
                  <w:b w:val="false"/>
                  <w:strike w:val="false"/>
                  <w:dstrike w:val="false"/>
                  <w:color w:val="000000"/>
                  <w:sz w:val="24"/>
                  <w:u w:val="none"/>
                  <w:effect w:val="none"/>
                </w:rPr>
                <w:t>Section 3.03    Increased Cost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c7dea5f2314d6d88523cb6a694d321">
              <w:r>
                <w:rPr>
                  <w:rStyle w:val="InternetLink"/>
                  <w:rFonts w:ascii="Times New Roman;serif" w:hAnsi="Times New Roman;serif"/>
                  <w:b w:val="false"/>
                  <w:strike w:val="false"/>
                  <w:dstrike w:val="false"/>
                  <w:color w:val="000000"/>
                  <w:sz w:val="24"/>
                  <w:u w:val="none"/>
                  <w:effect w:val="none"/>
                </w:rPr>
                <w:t>21</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5086c8514254b0ebc3be1e4ab151207">
              <w:r>
                <w:rPr>
                  <w:rStyle w:val="InternetLink"/>
                  <w:rFonts w:ascii="Times New Roman;serif" w:hAnsi="Times New Roman;serif"/>
                  <w:b w:val="false"/>
                  <w:strike w:val="false"/>
                  <w:dstrike w:val="false"/>
                  <w:color w:val="000000"/>
                  <w:sz w:val="24"/>
                  <w:u w:val="none"/>
                  <w:effect w:val="none"/>
                </w:rPr>
                <w:t>Article IV    </w:t>
                <w:br/>
                <w:t>INTEREST; FEES; EXPENSES; MAKING OF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086c8514254b0ebc3be1e4ab151207">
              <w:r>
                <w:rPr>
                  <w:rStyle w:val="InternetLink"/>
                  <w:rFonts w:ascii="Times New Roman;serif" w:hAnsi="Times New Roman;serif"/>
                  <w:b w:val="false"/>
                  <w:strike w:val="false"/>
                  <w:dstrike w:val="false"/>
                  <w:color w:val="000000"/>
                  <w:sz w:val="24"/>
                  <w:u w:val="none"/>
                  <w:effect w:val="none"/>
                </w:rPr>
                <w:t>22</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a12df40d2db41e8a33a23c29eb08b3b">
              <w:r>
                <w:rPr>
                  <w:rStyle w:val="InternetLink"/>
                  <w:rFonts w:ascii="Times New Roman;serif" w:hAnsi="Times New Roman;serif"/>
                  <w:b w:val="false"/>
                  <w:strike w:val="false"/>
                  <w:dstrike w:val="false"/>
                  <w:color w:val="000000"/>
                  <w:sz w:val="24"/>
                  <w:u w:val="none"/>
                  <w:effect w:val="none"/>
                </w:rPr>
                <w:t>Section 4.01    Interest Rate; Fees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2df40d2db41e8a33a23c29eb08b3b">
              <w:r>
                <w:rPr>
                  <w:rStyle w:val="InternetLink"/>
                  <w:rFonts w:ascii="Times New Roman;serif" w:hAnsi="Times New Roman;serif"/>
                  <w:b w:val="false"/>
                  <w:strike w:val="false"/>
                  <w:dstrike w:val="false"/>
                  <w:color w:val="000000"/>
                  <w:sz w:val="24"/>
                  <w:u w:val="none"/>
                  <w:effect w:val="none"/>
                </w:rPr>
                <w:t>22</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3b17ae65e5a4c35a6d7567bf6edd9b8">
              <w:r>
                <w:rPr>
                  <w:rStyle w:val="InternetLink"/>
                  <w:rFonts w:ascii="Times New Roman;serif" w:hAnsi="Times New Roman;serif"/>
                  <w:b w:val="false"/>
                  <w:strike w:val="false"/>
                  <w:dstrike w:val="false"/>
                  <w:color w:val="000000"/>
                  <w:sz w:val="24"/>
                  <w:u w:val="none"/>
                  <w:effect w:val="none"/>
                </w:rPr>
                <w:t>Section 4.02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b17ae65e5a4c35a6d7567bf6edd9b8">
              <w:r>
                <w:rPr>
                  <w:rStyle w:val="InternetLink"/>
                  <w:rFonts w:ascii="Times New Roman;serif" w:hAnsi="Times New Roman;serif"/>
                  <w:b w:val="false"/>
                  <w:strike w:val="false"/>
                  <w:dstrike w:val="false"/>
                  <w:color w:val="000000"/>
                  <w:sz w:val="24"/>
                  <w:u w:val="none"/>
                  <w:effect w:val="none"/>
                </w:rPr>
                <w:t>22</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e24c8c5adb04f9a95afa457ccd7983c">
              <w:r>
                <w:rPr>
                  <w:rStyle w:val="InternetLink"/>
                  <w:rFonts w:ascii="Times New Roman;serif" w:hAnsi="Times New Roman;serif"/>
                  <w:b w:val="false"/>
                  <w:strike w:val="false"/>
                  <w:dstrike w:val="false"/>
                  <w:color w:val="000000"/>
                  <w:sz w:val="24"/>
                  <w:u w:val="none"/>
                  <w:effect w:val="none"/>
                </w:rPr>
                <w:t>Section 4.03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24c8c5adb04f9a95afa457ccd7983c">
              <w:r>
                <w:rPr>
                  <w:rStyle w:val="InternetLink"/>
                  <w:rFonts w:ascii="Times New Roman;serif" w:hAnsi="Times New Roman;serif"/>
                  <w:b w:val="false"/>
                  <w:strike w:val="false"/>
                  <w:dstrike w:val="false"/>
                  <w:color w:val="000000"/>
                  <w:sz w:val="24"/>
                  <w:u w:val="none"/>
                  <w:effect w:val="none"/>
                </w:rPr>
                <w:t>22</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b084cb784f646ec92c1cd71ca508714">
              <w:r>
                <w:rPr>
                  <w:rStyle w:val="InternetLink"/>
                  <w:rFonts w:ascii="Times New Roman;serif" w:hAnsi="Times New Roman;serif"/>
                  <w:b w:val="false"/>
                  <w:strike w:val="false"/>
                  <w:dstrike w:val="false"/>
                  <w:color w:val="000000"/>
                  <w:sz w:val="24"/>
                  <w:u w:val="none"/>
                  <w:effect w:val="none"/>
                </w:rPr>
                <w:t>Section 4.04    Collection Account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84cb784f646ec92c1cd71ca508714">
              <w:r>
                <w:rPr>
                  <w:rStyle w:val="InternetLink"/>
                  <w:rFonts w:ascii="Times New Roman;serif" w:hAnsi="Times New Roman;serif"/>
                  <w:b w:val="false"/>
                  <w:strike w:val="false"/>
                  <w:dstrike w:val="false"/>
                  <w:color w:val="000000"/>
                  <w:sz w:val="24"/>
                  <w:u w:val="none"/>
                  <w:effect w:val="none"/>
                </w:rPr>
                <w:t>22</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beb98a7d61241f5b0b55707a64d34f5">
              <w:r>
                <w:rPr>
                  <w:rStyle w:val="InternetLink"/>
                  <w:rFonts w:ascii="Times New Roman;serif" w:hAnsi="Times New Roman;serif"/>
                  <w:b w:val="false"/>
                  <w:strike w:val="false"/>
                  <w:dstrike w:val="false"/>
                  <w:color w:val="000000"/>
                  <w:sz w:val="24"/>
                  <w:u w:val="none"/>
                  <w:effect w:val="none"/>
                </w:rPr>
                <w:t>Section 4.05    Application of Payments; Ratable Sharing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eb98a7d61241f5b0b55707a64d34f5">
              <w:r>
                <w:rPr>
                  <w:rStyle w:val="InternetLink"/>
                  <w:rFonts w:ascii="Times New Roman;serif" w:hAnsi="Times New Roman;serif"/>
                  <w:b w:val="false"/>
                  <w:strike w:val="false"/>
                  <w:dstrike w:val="false"/>
                  <w:color w:val="000000"/>
                  <w:sz w:val="24"/>
                  <w:u w:val="none"/>
                  <w:effect w:val="none"/>
                </w:rPr>
                <w:t>22</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e7daef33f3a45fd95a68a72a7eb2c15">
              <w:r>
                <w:rPr>
                  <w:rStyle w:val="InternetLink"/>
                  <w:rFonts w:ascii="Times New Roman;serif" w:hAnsi="Times New Roman;serif"/>
                  <w:b w:val="false"/>
                  <w:strike w:val="false"/>
                  <w:dstrike w:val="false"/>
                  <w:color w:val="000000"/>
                  <w:sz w:val="24"/>
                  <w:u w:val="none"/>
                  <w:effect w:val="none"/>
                </w:rPr>
                <w:t>Section 4.06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7daef33f3a45fd95a68a72a7eb2c15">
              <w:r>
                <w:rPr>
                  <w:rStyle w:val="InternetLink"/>
                  <w:rFonts w:ascii="Times New Roman;serif" w:hAnsi="Times New Roman;serif"/>
                  <w:b w:val="false"/>
                  <w:strike w:val="false"/>
                  <w:dstrike w:val="false"/>
                  <w:color w:val="000000"/>
                  <w:sz w:val="24"/>
                  <w:u w:val="none"/>
                  <w:effect w:val="none"/>
                </w:rPr>
                <w:t>24</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932466f508849e28e0b99cc92b63701">
              <w:r>
                <w:rPr>
                  <w:rStyle w:val="InternetLink"/>
                  <w:rFonts w:ascii="Times New Roman;serif" w:hAnsi="Times New Roman;serif"/>
                  <w:b w:val="false"/>
                  <w:strike w:val="false"/>
                  <w:dstrike w:val="false"/>
                  <w:color w:val="000000"/>
                  <w:sz w:val="24"/>
                  <w:u w:val="none"/>
                  <w:effect w:val="none"/>
                </w:rPr>
                <w:t>Section 4.07    Making of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32466f508849e28e0b99cc92b63701">
              <w:r>
                <w:rPr>
                  <w:rStyle w:val="InternetLink"/>
                  <w:rFonts w:ascii="Times New Roman;serif" w:hAnsi="Times New Roman;serif"/>
                  <w:b w:val="false"/>
                  <w:strike w:val="false"/>
                  <w:dstrike w:val="false"/>
                  <w:color w:val="000000"/>
                  <w:sz w:val="24"/>
                  <w:u w:val="none"/>
                  <w:effect w:val="none"/>
                </w:rPr>
                <w:t>24</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576de7df8bf447baf9797cf81ea8cba">
              <w:r>
                <w:rPr>
                  <w:rStyle w:val="InternetLink"/>
                  <w:rFonts w:ascii="Times New Roman;serif" w:hAnsi="Times New Roman;serif"/>
                  <w:b w:val="false"/>
                  <w:strike w:val="false"/>
                  <w:dstrike w:val="false"/>
                  <w:color w:val="000000"/>
                  <w:sz w:val="24"/>
                  <w:u w:val="none"/>
                  <w:effect w:val="none"/>
                </w:rPr>
                <w:t>Section 4.08    Setoff or Counterclaim</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76de7df8bf447baf9797cf81ea8cba">
              <w:r>
                <w:rPr>
                  <w:rStyle w:val="InternetLink"/>
                  <w:rFonts w:ascii="Times New Roman;serif" w:hAnsi="Times New Roman;serif"/>
                  <w:b w:val="false"/>
                  <w:strike w:val="false"/>
                  <w:dstrike w:val="false"/>
                  <w:color w:val="000000"/>
                  <w:sz w:val="24"/>
                  <w:u w:val="none"/>
                  <w:effect w:val="none"/>
                </w:rPr>
                <w:t>24</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6c032b8790348c190dbcfb4aebef9af">
              <w:r>
                <w:rPr>
                  <w:rStyle w:val="InternetLink"/>
                  <w:rFonts w:ascii="Times New Roman;serif" w:hAnsi="Times New Roman;serif"/>
                  <w:b w:val="false"/>
                  <w:strike w:val="false"/>
                  <w:dstrike w:val="false"/>
                  <w:color w:val="000000"/>
                  <w:sz w:val="24"/>
                  <w:u w:val="none"/>
                  <w:effect w:val="none"/>
                </w:rPr>
                <w:t>Section 4.09    Interest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c032b8790348c190dbcfb4aebef9af">
              <w:r>
                <w:rPr>
                  <w:rStyle w:val="InternetLink"/>
                  <w:rFonts w:ascii="Times New Roman;serif" w:hAnsi="Times New Roman;serif"/>
                  <w:b w:val="false"/>
                  <w:strike w:val="false"/>
                  <w:dstrike w:val="false"/>
                  <w:color w:val="000000"/>
                  <w:sz w:val="24"/>
                  <w:u w:val="none"/>
                  <w:effect w:val="none"/>
                </w:rPr>
                <w:t>24</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b2ab9a8506a48e3b2d55b19eb2ab82f">
              <w:r>
                <w:rPr>
                  <w:rStyle w:val="InternetLink"/>
                  <w:rFonts w:ascii="Times New Roman;serif" w:hAnsi="Times New Roman;serif"/>
                  <w:b w:val="false"/>
                  <w:strike w:val="false"/>
                  <w:dstrike w:val="false"/>
                  <w:color w:val="000000"/>
                  <w:sz w:val="24"/>
                  <w:u w:val="none"/>
                  <w:effect w:val="none"/>
                </w:rPr>
                <w:t>Article V    </w:t>
                <w:br/>
                <w:t>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2ab9a8506a48e3b2d55b19eb2ab82f">
              <w:r>
                <w:rPr>
                  <w:rStyle w:val="InternetLink"/>
                  <w:rFonts w:ascii="Times New Roman;serif" w:hAnsi="Times New Roman;serif"/>
                  <w:b w:val="false"/>
                  <w:strike w:val="false"/>
                  <w:dstrike w:val="false"/>
                  <w:color w:val="000000"/>
                  <w:sz w:val="24"/>
                  <w:u w:val="none"/>
                  <w:effect w:val="none"/>
                </w:rPr>
                <w:t>25</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16722767a8141b2a29760e299257971">
              <w:r>
                <w:rPr>
                  <w:rStyle w:val="InternetLink"/>
                  <w:rFonts w:ascii="Times New Roman;serif" w:hAnsi="Times New Roman;serif"/>
                  <w:b w:val="false"/>
                  <w:strike w:val="false"/>
                  <w:dstrike w:val="false"/>
                  <w:color w:val="000000"/>
                  <w:sz w:val="24"/>
                  <w:u w:val="none"/>
                  <w:effect w:val="none"/>
                </w:rPr>
                <w:t>Section 5.01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6722767a8141b2a29760e299257971">
              <w:r>
                <w:rPr>
                  <w:rStyle w:val="InternetLink"/>
                  <w:rFonts w:ascii="Times New Roman;serif" w:hAnsi="Times New Roman;serif"/>
                  <w:b w:val="false"/>
                  <w:strike w:val="false"/>
                  <w:dstrike w:val="false"/>
                  <w:color w:val="000000"/>
                  <w:sz w:val="24"/>
                  <w:u w:val="none"/>
                  <w:effect w:val="none"/>
                </w:rPr>
                <w:t>25</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20e2acf933d456e9adbb5168078625e">
              <w:r>
                <w:rPr>
                  <w:rStyle w:val="InternetLink"/>
                  <w:rFonts w:ascii="Times New Roman;serif" w:hAnsi="Times New Roman;serif"/>
                  <w:b w:val="false"/>
                  <w:strike w:val="false"/>
                  <w:dstrike w:val="false"/>
                  <w:color w:val="000000"/>
                  <w:sz w:val="24"/>
                  <w:u w:val="none"/>
                  <w:effect w:val="none"/>
                </w:rPr>
                <w:t>Section 5.02    Receipt of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0e2acf933d456e9adbb5168078625e">
              <w:r>
                <w:rPr>
                  <w:rStyle w:val="InternetLink"/>
                  <w:rFonts w:ascii="Times New Roman;serif" w:hAnsi="Times New Roman;serif"/>
                  <w:b w:val="false"/>
                  <w:strike w:val="false"/>
                  <w:dstrike w:val="false"/>
                  <w:color w:val="000000"/>
                  <w:sz w:val="24"/>
                  <w:u w:val="none"/>
                  <w:effect w:val="none"/>
                </w:rPr>
                <w:t>27</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f224c22dd09440b95e2e852c6d94180">
              <w:r>
                <w:rPr>
                  <w:rStyle w:val="InternetLink"/>
                  <w:rFonts w:ascii="Times New Roman;serif" w:hAnsi="Times New Roman;serif"/>
                  <w:b w:val="false"/>
                  <w:strike w:val="false"/>
                  <w:dstrike w:val="false"/>
                  <w:color w:val="000000"/>
                  <w:sz w:val="24"/>
                  <w:u w:val="none"/>
                  <w:effect w:val="none"/>
                </w:rPr>
                <w:t>Section 5.03    Other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224c22dd09440b95e2e852c6d94180">
              <w:r>
                <w:rPr>
                  <w:rStyle w:val="InternetLink"/>
                  <w:rFonts w:ascii="Times New Roman;serif" w:hAnsi="Times New Roman;serif"/>
                  <w:b w:val="false"/>
                  <w:strike w:val="false"/>
                  <w:dstrike w:val="false"/>
                  <w:color w:val="000000"/>
                  <w:sz w:val="24"/>
                  <w:u w:val="none"/>
                  <w:effect w:val="none"/>
                </w:rPr>
                <w:t>27</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c6c347c384244949363e00f441fa5ce">
              <w:r>
                <w:rPr>
                  <w:rStyle w:val="InternetLink"/>
                  <w:rFonts w:ascii="Times New Roman;serif" w:hAnsi="Times New Roman;serif"/>
                  <w:b w:val="false"/>
                  <w:strike w:val="false"/>
                  <w:dstrike w:val="false"/>
                  <w:color w:val="000000"/>
                  <w:sz w:val="24"/>
                  <w:u w:val="none"/>
                  <w:effect w:val="none"/>
                </w:rPr>
                <w:t>Section 5.04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6c347c384244949363e00f441fa5ce">
              <w:r>
                <w:rPr>
                  <w:rStyle w:val="InternetLink"/>
                  <w:rFonts w:ascii="Times New Roman;serif" w:hAnsi="Times New Roman;serif"/>
                  <w:b w:val="false"/>
                  <w:strike w:val="false"/>
                  <w:dstrike w:val="false"/>
                  <w:color w:val="000000"/>
                  <w:sz w:val="24"/>
                  <w:u w:val="none"/>
                  <w:effect w:val="none"/>
                </w:rPr>
                <w:t>27</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d5f3163a72e40b1bef1ad2e0c12df5a">
              <w:r>
                <w:rPr>
                  <w:rStyle w:val="InternetLink"/>
                  <w:rFonts w:ascii="Times New Roman;serif" w:hAnsi="Times New Roman;serif"/>
                  <w:b w:val="false"/>
                  <w:strike w:val="false"/>
                  <w:dstrike w:val="false"/>
                  <w:color w:val="000000"/>
                  <w:sz w:val="24"/>
                  <w:u w:val="none"/>
                  <w:effect w:val="none"/>
                </w:rPr>
                <w:t>Section 5.05    Registered Obligation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5f3163a72e40b1bef1ad2e0c12df5a">
              <w:r>
                <w:rPr>
                  <w:rStyle w:val="InternetLink"/>
                  <w:rFonts w:ascii="Times New Roman;serif" w:hAnsi="Times New Roman;serif"/>
                  <w:b w:val="false"/>
                  <w:strike w:val="false"/>
                  <w:dstrike w:val="false"/>
                  <w:color w:val="000000"/>
                  <w:sz w:val="24"/>
                  <w:u w:val="none"/>
                  <w:effect w:val="none"/>
                </w:rPr>
                <w:t>27</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abacb2d40f14516bdfb03d3bbe44e0d">
              <w:r>
                <w:rPr>
                  <w:rStyle w:val="InternetLink"/>
                  <w:rFonts w:ascii="Times New Roman;serif" w:hAnsi="Times New Roman;serif"/>
                  <w:b w:val="false"/>
                  <w:strike w:val="false"/>
                  <w:dstrike w:val="false"/>
                  <w:color w:val="000000"/>
                  <w:sz w:val="24"/>
                  <w:u w:val="none"/>
                  <w:effect w:val="none"/>
                </w:rPr>
                <w:t>Section 5.06    Tax Treatment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bacb2d40f14516bdfb03d3bbe44e0d">
              <w:r>
                <w:rPr>
                  <w:rStyle w:val="InternetLink"/>
                  <w:rFonts w:ascii="Times New Roman;serif" w:hAnsi="Times New Roman;serif"/>
                  <w:b w:val="false"/>
                  <w:strike w:val="false"/>
                  <w:dstrike w:val="false"/>
                  <w:color w:val="000000"/>
                  <w:sz w:val="24"/>
                  <w:u w:val="none"/>
                  <w:effect w:val="none"/>
                </w:rPr>
                <w:t>28</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6b449a6641e4b43b180b2361d65a3a6">
              <w:r>
                <w:rPr>
                  <w:rStyle w:val="InternetLink"/>
                  <w:rFonts w:ascii="Times New Roman;serif" w:hAnsi="Times New Roman;serif"/>
                  <w:b w:val="false"/>
                  <w:strike w:val="false"/>
                  <w:dstrike w:val="false"/>
                  <w:color w:val="000000"/>
                  <w:sz w:val="24"/>
                  <w:u w:val="none"/>
                  <w:effect w:val="none"/>
                </w:rPr>
                <w:t>Section 5.07    Treatment of Certain Refunds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b449a6641e4b43b180b2361d65a3a6">
              <w:r>
                <w:rPr>
                  <w:rStyle w:val="InternetLink"/>
                  <w:rFonts w:ascii="Times New Roman;serif" w:hAnsi="Times New Roman;serif"/>
                  <w:b w:val="false"/>
                  <w:strike w:val="false"/>
                  <w:dstrike w:val="false"/>
                  <w:color w:val="000000"/>
                  <w:sz w:val="24"/>
                  <w:u w:val="none"/>
                  <w:effect w:val="none"/>
                </w:rPr>
                <w:t>28</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13b4c504be04c92be41e00e1f8287f9">
              <w:r>
                <w:rPr>
                  <w:rStyle w:val="InternetLink"/>
                  <w:rFonts w:ascii="Times New Roman;serif" w:hAnsi="Times New Roman;serif"/>
                  <w:b w:val="false"/>
                  <w:strike w:val="false"/>
                  <w:dstrike w:val="false"/>
                  <w:color w:val="000000"/>
                  <w:sz w:val="24"/>
                  <w:u w:val="none"/>
                  <w:effect w:val="none"/>
                </w:rPr>
                <w:t>Article VI    </w:t>
                <w:br/>
                <w:t>CONDITIONS PRECEDENT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b4c504be04c92be41e00e1f8287f9">
              <w:r>
                <w:rPr>
                  <w:rStyle w:val="InternetLink"/>
                  <w:rFonts w:ascii="Times New Roman;serif" w:hAnsi="Times New Roman;serif"/>
                  <w:b w:val="false"/>
                  <w:strike w:val="false"/>
                  <w:dstrike w:val="false"/>
                  <w:color w:val="000000"/>
                  <w:sz w:val="24"/>
                  <w:u w:val="none"/>
                  <w:effect w:val="none"/>
                </w:rPr>
                <w:t>29</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5c6edf906b54887855a438932d3dbad">
              <w:r>
                <w:rPr>
                  <w:rStyle w:val="InternetLink"/>
                  <w:rFonts w:ascii="Times New Roman;serif" w:hAnsi="Times New Roman;serif"/>
                  <w:b w:val="false"/>
                  <w:strike w:val="false"/>
                  <w:dstrike w:val="false"/>
                  <w:color w:val="000000"/>
                  <w:sz w:val="24"/>
                  <w:u w:val="none"/>
                  <w:effect w:val="none"/>
                </w:rPr>
                <w:t>Section 6.01    Closing Date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c6edf906b54887855a438932d3dbad">
              <w:r>
                <w:rPr>
                  <w:rStyle w:val="InternetLink"/>
                  <w:rFonts w:ascii="Times New Roman;serif" w:hAnsi="Times New Roman;serif"/>
                  <w:b w:val="false"/>
                  <w:strike w:val="false"/>
                  <w:dstrike w:val="false"/>
                  <w:color w:val="000000"/>
                  <w:sz w:val="24"/>
                  <w:u w:val="none"/>
                  <w:effect w:val="none"/>
                </w:rPr>
                <w:t>29</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23c7f1b288e434e848b526d45e620b3">
              <w:r>
                <w:rPr>
                  <w:rStyle w:val="InternetLink"/>
                  <w:rFonts w:ascii="Times New Roman;serif" w:hAnsi="Times New Roman;serif"/>
                  <w:b w:val="false"/>
                  <w:strike w:val="false"/>
                  <w:dstrike w:val="false"/>
                  <w:color w:val="000000"/>
                  <w:sz w:val="24"/>
                  <w:u w:val="none"/>
                  <w:effect w:val="none"/>
                </w:rPr>
                <w:t>Article VII    </w:t>
                <w:br/>
                <w:t>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3c7f1b288e434e848b526d45e620b3">
              <w:r>
                <w:rPr>
                  <w:rStyle w:val="InternetLink"/>
                  <w:rFonts w:ascii="Times New Roman;serif" w:hAnsi="Times New Roman;serif"/>
                  <w:b w:val="false"/>
                  <w:strike w:val="false"/>
                  <w:dstrike w:val="false"/>
                  <w:color w:val="000000"/>
                  <w:sz w:val="24"/>
                  <w:u w:val="none"/>
                  <w:effect w:val="none"/>
                </w:rPr>
                <w:t>30</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e60ac0ed1ac432e87bd5fb76f9a3716">
              <w:r>
                <w:rPr>
                  <w:rStyle w:val="InternetLink"/>
                  <w:rFonts w:ascii="Times New Roman;serif" w:hAnsi="Times New Roman;serif"/>
                  <w:b w:val="false"/>
                  <w:strike w:val="false"/>
                  <w:dstrike w:val="false"/>
                  <w:color w:val="000000"/>
                  <w:sz w:val="24"/>
                  <w:u w:val="none"/>
                  <w:effect w:val="none"/>
                </w:rPr>
                <w:t>Section 7.01    Representations and Warranties of Borrower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60ac0ed1ac432e87bd5fb76f9a3716">
              <w:r>
                <w:rPr>
                  <w:rStyle w:val="InternetLink"/>
                  <w:rFonts w:ascii="Times New Roman;serif" w:hAnsi="Times New Roman;serif"/>
                  <w:b w:val="false"/>
                  <w:strike w:val="false"/>
                  <w:dstrike w:val="false"/>
                  <w:color w:val="000000"/>
                  <w:sz w:val="24"/>
                  <w:u w:val="none"/>
                  <w:effect w:val="none"/>
                </w:rPr>
                <w:t>30</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0980e71882a4acebc35788203219c90">
              <w:r>
                <w:rPr>
                  <w:rStyle w:val="InternetLink"/>
                  <w:rFonts w:ascii="Times New Roman;serif" w:hAnsi="Times New Roman;serif"/>
                  <w:b w:val="false"/>
                  <w:strike w:val="false"/>
                  <w:dstrike w:val="false"/>
                  <w:color w:val="000000"/>
                  <w:sz w:val="24"/>
                  <w:u w:val="none"/>
                  <w:effect w:val="none"/>
                </w:rPr>
                <w:t>Section 7.02    Survival of 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980e71882a4acebc35788203219c90">
              <w:r>
                <w:rPr>
                  <w:rStyle w:val="InternetLink"/>
                  <w:rFonts w:ascii="Times New Roman;serif" w:hAnsi="Times New Roman;serif"/>
                  <w:b w:val="false"/>
                  <w:strike w:val="false"/>
                  <w:dstrike w:val="false"/>
                  <w:color w:val="000000"/>
                  <w:sz w:val="24"/>
                  <w:u w:val="none"/>
                  <w:effect w:val="none"/>
                </w:rPr>
                <w:t>38</w:t>
              </w:r>
            </w:hyperlink>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e5718cfbdf646ddac7285132feaf580">
              <w:r>
                <w:rPr>
                  <w:rStyle w:val="InternetLink"/>
                  <w:rFonts w:ascii="Times New Roman;serif" w:hAnsi="Times New Roman;serif"/>
                  <w:b w:val="false"/>
                  <w:strike w:val="false"/>
                  <w:dstrike w:val="false"/>
                  <w:color w:val="000000"/>
                  <w:sz w:val="24"/>
                  <w:u w:val="none"/>
                  <w:effect w:val="none"/>
                </w:rPr>
                <w:t>Article VIII    </w:t>
                <w:br/>
                <w:t>AFFIRMATIVE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718cfbdf646ddac7285132feaf580">
              <w:r>
                <w:rPr>
                  <w:rStyle w:val="InternetLink"/>
                  <w:rFonts w:ascii="Times New Roman;serif" w:hAnsi="Times New Roman;serif"/>
                  <w:b w:val="false"/>
                  <w:strike w:val="false"/>
                  <w:dstrike w:val="false"/>
                  <w:color w:val="000000"/>
                  <w:sz w:val="24"/>
                  <w:u w:val="none"/>
                  <w:effect w:val="none"/>
                </w:rPr>
                <w:t>38</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946" w:type="dxa"/>
        <w:jc w:val="left"/>
        <w:tblInd w:w="0" w:type="dxa"/>
        <w:tblLayout w:type="fixed"/>
        <w:tblCellMar>
          <w:top w:w="28" w:type="dxa"/>
          <w:left w:w="28" w:type="dxa"/>
          <w:bottom w:w="28" w:type="dxa"/>
          <w:right w:w="28" w:type="dxa"/>
        </w:tblCellMar>
      </w:tblPr>
      <w:tblGrid>
        <w:gridCol w:w="2375"/>
        <w:gridCol w:w="2084"/>
        <w:gridCol w:w="2096"/>
        <w:gridCol w:w="114"/>
        <w:gridCol w:w="114"/>
        <w:gridCol w:w="163"/>
      </w:tblGrid>
      <w:tr>
        <w:trPr/>
        <w:tc>
          <w:tcPr>
            <w:tcW w:w="2375"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c6ed99c90fb4ce09a7c91ab0f5365bf">
              <w:r>
                <w:rPr>
                  <w:rStyle w:val="InternetLink"/>
                  <w:rFonts w:ascii="Times New Roman;serif" w:hAnsi="Times New Roman;serif"/>
                  <w:b w:val="false"/>
                  <w:strike w:val="false"/>
                  <w:dstrike w:val="false"/>
                  <w:color w:val="000000"/>
                  <w:sz w:val="24"/>
                  <w:u w:val="none"/>
                  <w:effect w:val="none"/>
                </w:rPr>
                <w:t>Section 8.01    Maintenance of Existence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6ed99c90fb4ce09a7c91ab0f5365bf">
              <w:r>
                <w:rPr>
                  <w:rStyle w:val="InternetLink"/>
                  <w:rFonts w:ascii="Times New Roman;serif" w:hAnsi="Times New Roman;serif"/>
                  <w:b w:val="false"/>
                  <w:strike w:val="false"/>
                  <w:dstrike w:val="false"/>
                  <w:color w:val="000000"/>
                  <w:sz w:val="24"/>
                  <w:u w:val="none"/>
                  <w:effect w:val="none"/>
                </w:rPr>
                <w:t>38</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ca94f7ce61f4ac893738f47347a26b2">
              <w:r>
                <w:rPr>
                  <w:rStyle w:val="InternetLink"/>
                  <w:rFonts w:ascii="Times New Roman;serif" w:hAnsi="Times New Roman;serif"/>
                  <w:b w:val="false"/>
                  <w:strike w:val="false"/>
                  <w:dstrike w:val="false"/>
                  <w:color w:val="000000"/>
                  <w:sz w:val="24"/>
                  <w:u w:val="none"/>
                  <w:effect w:val="none"/>
                </w:rPr>
                <w:t>Section 8.02    Use of Proceeds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a94f7ce61f4ac893738f47347a26b2">
              <w:r>
                <w:rPr>
                  <w:rStyle w:val="InternetLink"/>
                  <w:rFonts w:ascii="Times New Roman;serif" w:hAnsi="Times New Roman;serif"/>
                  <w:b w:val="false"/>
                  <w:strike w:val="false"/>
                  <w:dstrike w:val="false"/>
                  <w:color w:val="000000"/>
                  <w:sz w:val="24"/>
                  <w:u w:val="none"/>
                  <w:effect w:val="none"/>
                </w:rPr>
                <w:t>39</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4db15292b06472b98a994da6fdc3d26">
              <w:r>
                <w:rPr>
                  <w:rStyle w:val="InternetLink"/>
                  <w:rFonts w:ascii="Times New Roman;serif" w:hAnsi="Times New Roman;serif"/>
                  <w:b w:val="false"/>
                  <w:strike w:val="false"/>
                  <w:dstrike w:val="false"/>
                  <w:color w:val="000000"/>
                  <w:sz w:val="24"/>
                  <w:u w:val="none"/>
                  <w:effect w:val="none"/>
                </w:rPr>
                <w:t>Section 8.03    Financial Statements and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db15292b06472b98a994da6fdc3d26">
              <w:r>
                <w:rPr>
                  <w:rStyle w:val="InternetLink"/>
                  <w:rFonts w:ascii="Times New Roman;serif" w:hAnsi="Times New Roman;serif"/>
                  <w:b w:val="false"/>
                  <w:strike w:val="false"/>
                  <w:dstrike w:val="false"/>
                  <w:color w:val="000000"/>
                  <w:sz w:val="24"/>
                  <w:u w:val="none"/>
                  <w:effect w:val="none"/>
                </w:rPr>
                <w:t>39</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6d771ca1873479aaf3a96e98b8fcae2">
              <w:r>
                <w:rPr>
                  <w:rStyle w:val="InternetLink"/>
                  <w:rFonts w:ascii="Times New Roman;serif" w:hAnsi="Times New Roman;serif"/>
                  <w:b w:val="false"/>
                  <w:strike w:val="false"/>
                  <w:dstrike w:val="false"/>
                  <w:color w:val="000000"/>
                  <w:sz w:val="24"/>
                  <w:u w:val="none"/>
                  <w:effect w:val="none"/>
                </w:rPr>
                <w:t>Section 8.04    Books and Records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d771ca1873479aaf3a96e98b8fcae2">
              <w:r>
                <w:rPr>
                  <w:rStyle w:val="InternetLink"/>
                  <w:rFonts w:ascii="Times New Roman;serif" w:hAnsi="Times New Roman;serif"/>
                  <w:b w:val="false"/>
                  <w:strike w:val="false"/>
                  <w:dstrike w:val="false"/>
                  <w:color w:val="000000"/>
                  <w:sz w:val="24"/>
                  <w:u w:val="none"/>
                  <w:effect w:val="none"/>
                </w:rPr>
                <w:t>40</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852476812384e419f8ecbead9b40de3">
              <w:r>
                <w:rPr>
                  <w:rStyle w:val="InternetLink"/>
                  <w:rFonts w:ascii="Times New Roman;serif" w:hAnsi="Times New Roman;serif"/>
                  <w:b w:val="false"/>
                  <w:strike w:val="false"/>
                  <w:dstrike w:val="false"/>
                  <w:color w:val="000000"/>
                  <w:sz w:val="24"/>
                  <w:u w:val="none"/>
                  <w:effect w:val="none"/>
                </w:rPr>
                <w:t>Section 8.05    Governmental Authorizations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52476812384e419f8ecbead9b40de3">
              <w:r>
                <w:rPr>
                  <w:rStyle w:val="InternetLink"/>
                  <w:rFonts w:ascii="Times New Roman;serif" w:hAnsi="Times New Roman;serif"/>
                  <w:b w:val="false"/>
                  <w:strike w:val="false"/>
                  <w:dstrike w:val="false"/>
                  <w:color w:val="000000"/>
                  <w:sz w:val="24"/>
                  <w:u w:val="none"/>
                  <w:effect w:val="none"/>
                </w:rPr>
                <w:t>40</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c4c74e54cf74d30a0a250301d8b301d">
              <w:r>
                <w:rPr>
                  <w:rStyle w:val="InternetLink"/>
                  <w:rFonts w:ascii="Times New Roman;serif" w:hAnsi="Times New Roman;serif"/>
                  <w:b w:val="false"/>
                  <w:strike w:val="false"/>
                  <w:dstrike w:val="false"/>
                  <w:color w:val="000000"/>
                  <w:sz w:val="24"/>
                  <w:u w:val="none"/>
                  <w:effect w:val="none"/>
                </w:rPr>
                <w:t>Section 8.06    Compliance with Laws and Contracts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4c74e54cf74d30a0a250301d8b301d">
              <w:r>
                <w:rPr>
                  <w:rStyle w:val="InternetLink"/>
                  <w:rFonts w:ascii="Times New Roman;serif" w:hAnsi="Times New Roman;serif"/>
                  <w:b w:val="false"/>
                  <w:strike w:val="false"/>
                  <w:dstrike w:val="false"/>
                  <w:color w:val="000000"/>
                  <w:sz w:val="24"/>
                  <w:u w:val="none"/>
                  <w:effect w:val="none"/>
                </w:rPr>
                <w:t>40</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35bc1abe42b4f69a6bda8adcb1707f5">
              <w:r>
                <w:rPr>
                  <w:rStyle w:val="InternetLink"/>
                  <w:rFonts w:ascii="Times New Roman;serif" w:hAnsi="Times New Roman;serif"/>
                  <w:b w:val="false"/>
                  <w:strike w:val="false"/>
                  <w:dstrike w:val="false"/>
                  <w:color w:val="000000"/>
                  <w:sz w:val="24"/>
                  <w:u w:val="none"/>
                  <w:effect w:val="none"/>
                </w:rPr>
                <w:t>Section 8.07    Plan Assets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5bc1abe42b4f69a6bda8adcb1707f5">
              <w:r>
                <w:rPr>
                  <w:rStyle w:val="InternetLink"/>
                  <w:rFonts w:ascii="Times New Roman;serif" w:hAnsi="Times New Roman;serif"/>
                  <w:b w:val="false"/>
                  <w:strike w:val="false"/>
                  <w:dstrike w:val="false"/>
                  <w:color w:val="000000"/>
                  <w:sz w:val="24"/>
                  <w:u w:val="none"/>
                  <w:effect w:val="none"/>
                </w:rPr>
                <w:t>40</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22de3da6a844564aba2616487654f1b">
              <w:r>
                <w:rPr>
                  <w:rStyle w:val="InternetLink"/>
                  <w:rFonts w:ascii="Times New Roman;serif" w:hAnsi="Times New Roman;serif"/>
                  <w:b w:val="false"/>
                  <w:strike w:val="false"/>
                  <w:dstrike w:val="false"/>
                  <w:color w:val="000000"/>
                  <w:sz w:val="24"/>
                  <w:u w:val="none"/>
                  <w:effect w:val="none"/>
                </w:rPr>
                <w:t>Section 8.08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2de3da6a844564aba2616487654f1b">
              <w:r>
                <w:rPr>
                  <w:rStyle w:val="InternetLink"/>
                  <w:rFonts w:ascii="Times New Roman;serif" w:hAnsi="Times New Roman;serif"/>
                  <w:b w:val="false"/>
                  <w:strike w:val="false"/>
                  <w:dstrike w:val="false"/>
                  <w:color w:val="000000"/>
                  <w:sz w:val="24"/>
                  <w:u w:val="none"/>
                  <w:effect w:val="none"/>
                </w:rPr>
                <w:t>40</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bae181707964ea89dd8dd771b278b65">
              <w:r>
                <w:rPr>
                  <w:rStyle w:val="InternetLink"/>
                  <w:rFonts w:ascii="Times New Roman;serif" w:hAnsi="Times New Roman;serif"/>
                  <w:b w:val="false"/>
                  <w:strike w:val="false"/>
                  <w:dstrike w:val="false"/>
                  <w:color w:val="000000"/>
                  <w:sz w:val="24"/>
                  <w:u w:val="none"/>
                  <w:effect w:val="none"/>
                </w:rPr>
                <w:t>Section 8.09    Payment of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ae181707964ea89dd8dd771b278b65">
              <w:r>
                <w:rPr>
                  <w:rStyle w:val="InternetLink"/>
                  <w:rFonts w:ascii="Times New Roman;serif" w:hAnsi="Times New Roman;serif"/>
                  <w:b w:val="false"/>
                  <w:strike w:val="false"/>
                  <w:dstrike w:val="false"/>
                  <w:color w:val="000000"/>
                  <w:sz w:val="24"/>
                  <w:u w:val="none"/>
                  <w:effect w:val="none"/>
                </w:rPr>
                <w:t>41</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1f3a7b8f2c94d3992a30f6c61fdf262">
              <w:r>
                <w:rPr>
                  <w:rStyle w:val="InternetLink"/>
                  <w:rFonts w:ascii="Times New Roman;serif" w:hAnsi="Times New Roman;serif"/>
                  <w:b w:val="false"/>
                  <w:strike w:val="false"/>
                  <w:dstrike w:val="false"/>
                  <w:color w:val="000000"/>
                  <w:sz w:val="24"/>
                  <w:u w:val="none"/>
                  <w:effect w:val="none"/>
                </w:rPr>
                <w:t>Section 8.10    Waiver of Stay, Extension or Usury Laws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f3a7b8f2c94d3992a30f6c61fdf262">
              <w:r>
                <w:rPr>
                  <w:rStyle w:val="InternetLink"/>
                  <w:rFonts w:ascii="Times New Roman;serif" w:hAnsi="Times New Roman;serif"/>
                  <w:b w:val="false"/>
                  <w:strike w:val="false"/>
                  <w:dstrike w:val="false"/>
                  <w:color w:val="000000"/>
                  <w:sz w:val="24"/>
                  <w:u w:val="none"/>
                  <w:effect w:val="none"/>
                </w:rPr>
                <w:t>41</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499c6011d154ec0917f181600cc6821">
              <w:r>
                <w:rPr>
                  <w:rStyle w:val="InternetLink"/>
                  <w:rFonts w:ascii="Times New Roman;serif" w:hAnsi="Times New Roman;serif"/>
                  <w:b w:val="false"/>
                  <w:strike w:val="false"/>
                  <w:dstrike w:val="false"/>
                  <w:color w:val="000000"/>
                  <w:sz w:val="24"/>
                  <w:u w:val="none"/>
                  <w:effect w:val="none"/>
                </w:rPr>
                <w:t>Section 8.11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99c6011d154ec0917f181600cc6821">
              <w:r>
                <w:rPr>
                  <w:rStyle w:val="InternetLink"/>
                  <w:rFonts w:ascii="Times New Roman;serif" w:hAnsi="Times New Roman;serif"/>
                  <w:b w:val="false"/>
                  <w:strike w:val="false"/>
                  <w:dstrike w:val="false"/>
                  <w:color w:val="000000"/>
                  <w:sz w:val="24"/>
                  <w:u w:val="none"/>
                  <w:effect w:val="none"/>
                </w:rPr>
                <w:t>41</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05ebab913174d2aaa3d6d8825a7e8b9">
              <w:r>
                <w:rPr>
                  <w:rStyle w:val="InternetLink"/>
                  <w:rFonts w:ascii="Times New Roman;serif" w:hAnsi="Times New Roman;serif"/>
                  <w:b w:val="false"/>
                  <w:strike w:val="false"/>
                  <w:dstrike w:val="false"/>
                  <w:color w:val="000000"/>
                  <w:sz w:val="24"/>
                  <w:u w:val="none"/>
                  <w:effect w:val="none"/>
                </w:rPr>
                <w:t>Section 8.12    Security Documents; Further Assurances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5ebab913174d2aaa3d6d8825a7e8b9">
              <w:r>
                <w:rPr>
                  <w:rStyle w:val="InternetLink"/>
                  <w:rFonts w:ascii="Times New Roman;serif" w:hAnsi="Times New Roman;serif"/>
                  <w:b w:val="false"/>
                  <w:strike w:val="false"/>
                  <w:dstrike w:val="false"/>
                  <w:color w:val="000000"/>
                  <w:sz w:val="24"/>
                  <w:u w:val="none"/>
                  <w:effect w:val="none"/>
                </w:rPr>
                <w:t>41</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dc877e4c10f41a58cc785d4554d72c2">
              <w:r>
                <w:rPr>
                  <w:rStyle w:val="InternetLink"/>
                  <w:rFonts w:ascii="Times New Roman;serif" w:hAnsi="Times New Roman;serif"/>
                  <w:b w:val="false"/>
                  <w:strike w:val="false"/>
                  <w:dstrike w:val="false"/>
                  <w:color w:val="000000"/>
                  <w:sz w:val="24"/>
                  <w:u w:val="none"/>
                  <w:effect w:val="none"/>
                </w:rPr>
                <w:t>Section 8.13    Information Regarding Collateral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c877e4c10f41a58cc785d4554d72c2">
              <w:r>
                <w:rPr>
                  <w:rStyle w:val="InternetLink"/>
                  <w:rFonts w:ascii="Times New Roman;serif" w:hAnsi="Times New Roman;serif"/>
                  <w:b w:val="false"/>
                  <w:strike w:val="false"/>
                  <w:dstrike w:val="false"/>
                  <w:color w:val="000000"/>
                  <w:sz w:val="24"/>
                  <w:u w:val="none"/>
                  <w:effect w:val="none"/>
                </w:rPr>
                <w:t>42</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7d248eaca8d40869e2fadbb650002b4">
              <w:r>
                <w:rPr>
                  <w:rStyle w:val="InternetLink"/>
                  <w:rFonts w:ascii="Times New Roman;serif" w:hAnsi="Times New Roman;serif"/>
                  <w:b w:val="false"/>
                  <w:strike w:val="false"/>
                  <w:dstrike w:val="false"/>
                  <w:color w:val="000000"/>
                  <w:sz w:val="24"/>
                  <w:u w:val="none"/>
                  <w:effect w:val="none"/>
                </w:rPr>
                <w:t>Section 8.14    Additional Collateral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248eaca8d40869e2fadbb650002b4">
              <w:r>
                <w:rPr>
                  <w:rStyle w:val="InternetLink"/>
                  <w:rFonts w:ascii="Times New Roman;serif" w:hAnsi="Times New Roman;serif"/>
                  <w:b w:val="false"/>
                  <w:strike w:val="false"/>
                  <w:dstrike w:val="false"/>
                  <w:color w:val="000000"/>
                  <w:sz w:val="24"/>
                  <w:u w:val="none"/>
                  <w:effect w:val="none"/>
                </w:rPr>
                <w:t>42</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440637c131f41d7a342d4824c24afc1">
              <w:r>
                <w:rPr>
                  <w:rStyle w:val="InternetLink"/>
                  <w:rFonts w:ascii="Times New Roman;serif" w:hAnsi="Times New Roman;serif"/>
                  <w:b w:val="false"/>
                  <w:strike w:val="false"/>
                  <w:dstrike w:val="false"/>
                  <w:color w:val="000000"/>
                  <w:sz w:val="24"/>
                  <w:u w:val="none"/>
                  <w:effect w:val="none"/>
                </w:rPr>
                <w:t>Section 8.15    Post-Closing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40637c131f41d7a342d4824c24afc1">
              <w:r>
                <w:rPr>
                  <w:rStyle w:val="InternetLink"/>
                  <w:rFonts w:ascii="Times New Roman;serif" w:hAnsi="Times New Roman;serif"/>
                  <w:b w:val="false"/>
                  <w:strike w:val="false"/>
                  <w:dstrike w:val="false"/>
                  <w:color w:val="000000"/>
                  <w:sz w:val="24"/>
                  <w:u w:val="none"/>
                  <w:effect w:val="none"/>
                </w:rPr>
                <w:t>43</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b13398e18b0463d9856ecc1698eea2b">
              <w:r>
                <w:rPr>
                  <w:rStyle w:val="InternetLink"/>
                  <w:rFonts w:ascii="Times New Roman;serif" w:hAnsi="Times New Roman;serif"/>
                  <w:b w:val="false"/>
                  <w:strike w:val="false"/>
                  <w:dstrike w:val="false"/>
                  <w:color w:val="000000"/>
                  <w:sz w:val="24"/>
                  <w:u w:val="none"/>
                  <w:effect w:val="none"/>
                </w:rPr>
                <w:t>Article IX    </w:t>
                <w:br/>
                <w:t>NEGATIVE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13398e18b0463d9856ecc1698eea2b">
              <w:r>
                <w:rPr>
                  <w:rStyle w:val="InternetLink"/>
                  <w:rFonts w:ascii="Times New Roman;serif" w:hAnsi="Times New Roman;serif"/>
                  <w:b w:val="false"/>
                  <w:strike w:val="false"/>
                  <w:dstrike w:val="false"/>
                  <w:color w:val="000000"/>
                  <w:sz w:val="24"/>
                  <w:u w:val="none"/>
                  <w:effect w:val="none"/>
                </w:rPr>
                <w:t>43</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479236475254b5e97658b1dc70c5b86">
              <w:r>
                <w:rPr>
                  <w:rStyle w:val="InternetLink"/>
                  <w:rFonts w:ascii="Times New Roman;serif" w:hAnsi="Times New Roman;serif"/>
                  <w:b w:val="false"/>
                  <w:strike w:val="false"/>
                  <w:dstrike w:val="false"/>
                  <w:color w:val="000000"/>
                  <w:sz w:val="24"/>
                  <w:u w:val="none"/>
                  <w:effect w:val="none"/>
                </w:rPr>
                <w:t>Section 9.01    Activities of Borrower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79236475254b5e97658b1dc70c5b86">
              <w:r>
                <w:rPr>
                  <w:rStyle w:val="InternetLink"/>
                  <w:rFonts w:ascii="Times New Roman;serif" w:hAnsi="Times New Roman;serif"/>
                  <w:b w:val="false"/>
                  <w:strike w:val="false"/>
                  <w:dstrike w:val="false"/>
                  <w:color w:val="000000"/>
                  <w:sz w:val="24"/>
                  <w:u w:val="none"/>
                  <w:effect w:val="none"/>
                </w:rPr>
                <w:t>43</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2a5354e89084c50971d9624f736e962">
              <w:r>
                <w:rPr>
                  <w:rStyle w:val="InternetLink"/>
                  <w:rFonts w:ascii="Times New Roman;serif" w:hAnsi="Times New Roman;serif"/>
                  <w:b w:val="false"/>
                  <w:strike w:val="false"/>
                  <w:dstrike w:val="false"/>
                  <w:color w:val="000000"/>
                  <w:sz w:val="24"/>
                  <w:u w:val="none"/>
                  <w:effect w:val="none"/>
                </w:rPr>
                <w:t>Section 9.02    Merger; Sale of Assets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a5354e89084c50971d9624f736e962">
              <w:r>
                <w:rPr>
                  <w:rStyle w:val="InternetLink"/>
                  <w:rFonts w:ascii="Times New Roman;serif" w:hAnsi="Times New Roman;serif"/>
                  <w:b w:val="false"/>
                  <w:strike w:val="false"/>
                  <w:dstrike w:val="false"/>
                  <w:color w:val="000000"/>
                  <w:sz w:val="24"/>
                  <w:u w:val="none"/>
                  <w:effect w:val="none"/>
                </w:rPr>
                <w:t>44</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1351f099186406e8c2181e1b2775b2e">
              <w:r>
                <w:rPr>
                  <w:rStyle w:val="InternetLink"/>
                  <w:rFonts w:ascii="Times New Roman;serif" w:hAnsi="Times New Roman;serif"/>
                  <w:b w:val="false"/>
                  <w:strike w:val="false"/>
                  <w:dstrike w:val="false"/>
                  <w:color w:val="000000"/>
                  <w:sz w:val="24"/>
                  <w:u w:val="none"/>
                  <w:effect w:val="none"/>
                </w:rPr>
                <w:t>Section 9.03    Liens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351f099186406e8c2181e1b2775b2e">
              <w:r>
                <w:rPr>
                  <w:rStyle w:val="InternetLink"/>
                  <w:rFonts w:ascii="Times New Roman;serif" w:hAnsi="Times New Roman;serif"/>
                  <w:b w:val="false"/>
                  <w:strike w:val="false"/>
                  <w:dstrike w:val="false"/>
                  <w:color w:val="000000"/>
                  <w:sz w:val="24"/>
                  <w:u w:val="none"/>
                  <w:effect w:val="none"/>
                </w:rPr>
                <w:t>45</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2a63d5fbd9347c09358944dfa3f715a">
              <w:r>
                <w:rPr>
                  <w:rStyle w:val="InternetLink"/>
                  <w:rFonts w:ascii="Times New Roman;serif" w:hAnsi="Times New Roman;serif"/>
                  <w:b w:val="false"/>
                  <w:strike w:val="false"/>
                  <w:dstrike w:val="false"/>
                  <w:color w:val="000000"/>
                  <w:sz w:val="24"/>
                  <w:u w:val="none"/>
                  <w:effect w:val="none"/>
                </w:rPr>
                <w:t>Section 9.04    Investment Company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a63d5fbd9347c09358944dfa3f715a">
              <w:r>
                <w:rPr>
                  <w:rStyle w:val="InternetLink"/>
                  <w:rFonts w:ascii="Times New Roman;serif" w:hAnsi="Times New Roman;serif"/>
                  <w:b w:val="false"/>
                  <w:strike w:val="false"/>
                  <w:dstrike w:val="false"/>
                  <w:color w:val="000000"/>
                  <w:sz w:val="24"/>
                  <w:u w:val="none"/>
                  <w:effect w:val="none"/>
                </w:rPr>
                <w:t>45</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f0ddce45c8545f3ba24917ebfc5bfb4">
              <w:r>
                <w:rPr>
                  <w:rStyle w:val="InternetLink"/>
                  <w:rFonts w:ascii="Times New Roman;serif" w:hAnsi="Times New Roman;serif"/>
                  <w:b w:val="false"/>
                  <w:strike w:val="false"/>
                  <w:dstrike w:val="false"/>
                  <w:color w:val="000000"/>
                  <w:sz w:val="24"/>
                  <w:u w:val="none"/>
                  <w:effect w:val="none"/>
                </w:rPr>
                <w:t>Section 9.05    Limitation on Additional Indebtedness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0ddce45c8545f3ba24917ebfc5bfb4">
              <w:r>
                <w:rPr>
                  <w:rStyle w:val="InternetLink"/>
                  <w:rFonts w:ascii="Times New Roman;serif" w:hAnsi="Times New Roman;serif"/>
                  <w:b w:val="false"/>
                  <w:strike w:val="false"/>
                  <w:dstrike w:val="false"/>
                  <w:color w:val="000000"/>
                  <w:sz w:val="24"/>
                  <w:u w:val="none"/>
                  <w:effect w:val="none"/>
                </w:rPr>
                <w:t>45</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54090cbd434447789d15fdfdc4cbe94">
              <w:r>
                <w:rPr>
                  <w:rStyle w:val="InternetLink"/>
                  <w:rFonts w:ascii="Times New Roman;serif" w:hAnsi="Times New Roman;serif"/>
                  <w:b w:val="false"/>
                  <w:strike w:val="false"/>
                  <w:dstrike w:val="false"/>
                  <w:color w:val="000000"/>
                  <w:sz w:val="24"/>
                  <w:u w:val="none"/>
                  <w:effect w:val="none"/>
                </w:rPr>
                <w:t>Section 9.06    Limitation on Transactions with Controlled Affiliates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4090cbd434447789d15fdfdc4cbe94">
              <w:r>
                <w:rPr>
                  <w:rStyle w:val="InternetLink"/>
                  <w:rFonts w:ascii="Times New Roman;serif" w:hAnsi="Times New Roman;serif"/>
                  <w:b w:val="false"/>
                  <w:strike w:val="false"/>
                  <w:dstrike w:val="false"/>
                  <w:color w:val="000000"/>
                  <w:sz w:val="24"/>
                  <w:u w:val="none"/>
                  <w:effect w:val="none"/>
                </w:rPr>
                <w:t>45</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38260f91ea94c2ea4c0ec1d3911d1cb">
              <w:r>
                <w:rPr>
                  <w:rStyle w:val="InternetLink"/>
                  <w:rFonts w:ascii="Times New Roman;serif" w:hAnsi="Times New Roman;serif"/>
                  <w:b w:val="false"/>
                  <w:strike w:val="false"/>
                  <w:dstrike w:val="false"/>
                  <w:color w:val="000000"/>
                  <w:sz w:val="24"/>
                  <w:u w:val="none"/>
                  <w:effect w:val="none"/>
                </w:rPr>
                <w:t>Section 9.07    ERISA and Canadian Defined Benefit Plans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8260f91ea94c2ea4c0ec1d3911d1cb">
              <w:r>
                <w:rPr>
                  <w:rStyle w:val="InternetLink"/>
                  <w:rFonts w:ascii="Times New Roman;serif" w:hAnsi="Times New Roman;serif"/>
                  <w:b w:val="false"/>
                  <w:strike w:val="false"/>
                  <w:dstrike w:val="false"/>
                  <w:color w:val="000000"/>
                  <w:sz w:val="24"/>
                  <w:u w:val="none"/>
                  <w:effect w:val="none"/>
                </w:rPr>
                <w:t>45</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34d7921e7ab4438bd62a332fcc3bebc">
              <w:r>
                <w:rPr>
                  <w:rStyle w:val="InternetLink"/>
                  <w:rFonts w:ascii="Times New Roman;serif" w:hAnsi="Times New Roman;serif"/>
                  <w:b w:val="false"/>
                  <w:strike w:val="false"/>
                  <w:dstrike w:val="false"/>
                  <w:color w:val="000000"/>
                  <w:sz w:val="24"/>
                  <w:u w:val="none"/>
                  <w:effect w:val="none"/>
                </w:rPr>
                <w:t>Section 9.08    Dividends and Distributions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34d7921e7ab4438bd62a332fcc3bebc">
              <w:r>
                <w:rPr>
                  <w:rStyle w:val="InternetLink"/>
                  <w:rFonts w:ascii="Times New Roman;serif" w:hAnsi="Times New Roman;serif"/>
                  <w:b w:val="false"/>
                  <w:strike w:val="false"/>
                  <w:dstrike w:val="false"/>
                  <w:color w:val="000000"/>
                  <w:sz w:val="24"/>
                  <w:u w:val="none"/>
                  <w:effect w:val="none"/>
                </w:rPr>
                <w:t>45</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beb16f10aee4af2b3428d52f52c67cb">
              <w:r>
                <w:rPr>
                  <w:rStyle w:val="InternetLink"/>
                  <w:rFonts w:ascii="Times New Roman;serif" w:hAnsi="Times New Roman;serif"/>
                  <w:b w:val="false"/>
                  <w:strike w:val="false"/>
                  <w:dstrike w:val="false"/>
                  <w:color w:val="000000"/>
                  <w:sz w:val="24"/>
                  <w:u w:val="none"/>
                  <w:effect w:val="none"/>
                </w:rPr>
                <w:t>Section 9.09    Power of Attorney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eb16f10aee4af2b3428d52f52c67cb">
              <w:r>
                <w:rPr>
                  <w:rStyle w:val="InternetLink"/>
                  <w:rFonts w:ascii="Times New Roman;serif" w:hAnsi="Times New Roman;serif"/>
                  <w:b w:val="false"/>
                  <w:strike w:val="false"/>
                  <w:dstrike w:val="false"/>
                  <w:color w:val="000000"/>
                  <w:sz w:val="24"/>
                  <w:u w:val="none"/>
                  <w:effect w:val="none"/>
                </w:rPr>
                <w:t>46</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c84c37c981d454788dbaeaba6d974dc">
              <w:r>
                <w:rPr>
                  <w:rStyle w:val="InternetLink"/>
                  <w:rFonts w:ascii="Times New Roman;serif" w:hAnsi="Times New Roman;serif"/>
                  <w:b w:val="false"/>
                  <w:strike w:val="false"/>
                  <w:dstrike w:val="false"/>
                  <w:color w:val="000000"/>
                  <w:sz w:val="24"/>
                  <w:u w:val="none"/>
                  <w:effect w:val="none"/>
                </w:rPr>
                <w:t>Article X    </w:t>
                <w:br/>
                <w:t>EVENTS OF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4c37c981d454788dbaeaba6d974dc">
              <w:r>
                <w:rPr>
                  <w:rStyle w:val="InternetLink"/>
                  <w:rFonts w:ascii="Times New Roman;serif" w:hAnsi="Times New Roman;serif"/>
                  <w:b w:val="false"/>
                  <w:strike w:val="false"/>
                  <w:dstrike w:val="false"/>
                  <w:color w:val="000000"/>
                  <w:sz w:val="24"/>
                  <w:u w:val="none"/>
                  <w:effect w:val="none"/>
                </w:rPr>
                <w:t>46</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f5eb43b8a794193882f19402129ca84">
              <w:r>
                <w:rPr>
                  <w:rStyle w:val="InternetLink"/>
                  <w:rFonts w:ascii="Times New Roman;serif" w:hAnsi="Times New Roman;serif"/>
                  <w:b w:val="false"/>
                  <w:strike w:val="false"/>
                  <w:dstrike w:val="false"/>
                  <w:color w:val="000000"/>
                  <w:sz w:val="24"/>
                  <w:u w:val="none"/>
                  <w:effect w:val="none"/>
                </w:rPr>
                <w:t>Section 10.01    Events of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5eb43b8a794193882f19402129ca84">
              <w:r>
                <w:rPr>
                  <w:rStyle w:val="InternetLink"/>
                  <w:rFonts w:ascii="Times New Roman;serif" w:hAnsi="Times New Roman;serif"/>
                  <w:b w:val="false"/>
                  <w:strike w:val="false"/>
                  <w:dstrike w:val="false"/>
                  <w:color w:val="000000"/>
                  <w:sz w:val="24"/>
                  <w:u w:val="none"/>
                  <w:effect w:val="none"/>
                </w:rPr>
                <w:t>46</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9fe7b9c2b2e498089b6cf938796de65">
              <w:r>
                <w:rPr>
                  <w:rStyle w:val="InternetLink"/>
                  <w:rFonts w:ascii="Times New Roman;serif" w:hAnsi="Times New Roman;serif"/>
                  <w:b w:val="false"/>
                  <w:strike w:val="false"/>
                  <w:dstrike w:val="false"/>
                  <w:color w:val="000000"/>
                  <w:sz w:val="24"/>
                  <w:u w:val="none"/>
                  <w:effect w:val="none"/>
                </w:rPr>
                <w:t>Section 10.02    Default 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fe7b9c2b2e498089b6cf938796de65">
              <w:r>
                <w:rPr>
                  <w:rStyle w:val="InternetLink"/>
                  <w:rFonts w:ascii="Times New Roman;serif" w:hAnsi="Times New Roman;serif"/>
                  <w:b w:val="false"/>
                  <w:strike w:val="false"/>
                  <w:dstrike w:val="false"/>
                  <w:color w:val="000000"/>
                  <w:sz w:val="24"/>
                  <w:u w:val="none"/>
                  <w:effect w:val="none"/>
                </w:rPr>
                <w:t>46</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091516e6ecc4006ad91e8eeacae219b">
              <w:r>
                <w:rPr>
                  <w:rStyle w:val="InternetLink"/>
                  <w:rFonts w:ascii="Times New Roman;serif" w:hAnsi="Times New Roman;serif"/>
                  <w:b w:val="false"/>
                  <w:strike w:val="false"/>
                  <w:dstrike w:val="false"/>
                  <w:color w:val="000000"/>
                  <w:sz w:val="24"/>
                  <w:u w:val="none"/>
                  <w:effect w:val="none"/>
                </w:rPr>
                <w:t>Section 10.03    Right of Set-off; Sharing of Set-off</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91516e6ecc4006ad91e8eeacae219b">
              <w:r>
                <w:rPr>
                  <w:rStyle w:val="InternetLink"/>
                  <w:rFonts w:ascii="Times New Roman;serif" w:hAnsi="Times New Roman;serif"/>
                  <w:b w:val="false"/>
                  <w:strike w:val="false"/>
                  <w:dstrike w:val="false"/>
                  <w:color w:val="000000"/>
                  <w:sz w:val="24"/>
                  <w:u w:val="none"/>
                  <w:effect w:val="none"/>
                </w:rPr>
                <w:t>47</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41ba34d449b4751b3b655abb948935a">
              <w:r>
                <w:rPr>
                  <w:rStyle w:val="InternetLink"/>
                  <w:rFonts w:ascii="Times New Roman;serif" w:hAnsi="Times New Roman;serif"/>
                  <w:b w:val="false"/>
                  <w:strike w:val="false"/>
                  <w:dstrike w:val="false"/>
                  <w:color w:val="000000"/>
                  <w:sz w:val="24"/>
                  <w:u w:val="none"/>
                  <w:effect w:val="none"/>
                </w:rPr>
                <w:t>Section 10.04    Rights Not Exclusive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1ba34d449b4751b3b655abb948935a">
              <w:r>
                <w:rPr>
                  <w:rStyle w:val="InternetLink"/>
                  <w:rFonts w:ascii="Times New Roman;serif" w:hAnsi="Times New Roman;serif"/>
                  <w:b w:val="false"/>
                  <w:strike w:val="false"/>
                  <w:dstrike w:val="false"/>
                  <w:color w:val="000000"/>
                  <w:sz w:val="24"/>
                  <w:u w:val="none"/>
                  <w:effect w:val="none"/>
                </w:rPr>
                <w:t>47</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283ea2bacc947d29adfc6ebe27dc2d5">
              <w:r>
                <w:rPr>
                  <w:rStyle w:val="InternetLink"/>
                  <w:rFonts w:ascii="Times New Roman;serif" w:hAnsi="Times New Roman;serif"/>
                  <w:b w:val="false"/>
                  <w:strike w:val="false"/>
                  <w:dstrike w:val="false"/>
                  <w:color w:val="000000"/>
                  <w:sz w:val="24"/>
                  <w:u w:val="none"/>
                  <w:effect w:val="none"/>
                </w:rPr>
                <w:t>Article XI    </w:t>
                <w:br/>
                <w:t>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83ea2bacc947d29adfc6ebe27dc2d5">
              <w:r>
                <w:rPr>
                  <w:rStyle w:val="InternetLink"/>
                  <w:rFonts w:ascii="Times New Roman;serif" w:hAnsi="Times New Roman;serif"/>
                  <w:b w:val="false"/>
                  <w:strike w:val="false"/>
                  <w:dstrike w:val="false"/>
                  <w:color w:val="000000"/>
                  <w:sz w:val="24"/>
                  <w:u w:val="none"/>
                  <w:effect w:val="none"/>
                </w:rPr>
                <w:t>47</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a6535f2679a450cae7a7c5e0dd26c49">
              <w:r>
                <w:rPr>
                  <w:rStyle w:val="InternetLink"/>
                  <w:rFonts w:ascii="Times New Roman;serif" w:hAnsi="Times New Roman;serif"/>
                  <w:b w:val="false"/>
                  <w:strike w:val="false"/>
                  <w:dstrike w:val="false"/>
                  <w:color w:val="000000"/>
                  <w:sz w:val="24"/>
                  <w:u w:val="none"/>
                  <w:effect w:val="none"/>
                </w:rPr>
                <w:t>Section 11.01    Losses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6535f2679a450cae7a7c5e0dd26c49">
              <w:r>
                <w:rPr>
                  <w:rStyle w:val="InternetLink"/>
                  <w:rFonts w:ascii="Times New Roman;serif" w:hAnsi="Times New Roman;serif"/>
                  <w:b w:val="false"/>
                  <w:strike w:val="false"/>
                  <w:dstrike w:val="false"/>
                  <w:color w:val="000000"/>
                  <w:sz w:val="24"/>
                  <w:u w:val="none"/>
                  <w:effect w:val="none"/>
                </w:rPr>
                <w:t>47</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631d8133cf1444588a8afd9c07e78a0">
              <w:r>
                <w:rPr>
                  <w:rStyle w:val="InternetLink"/>
                  <w:rFonts w:ascii="Times New Roman;serif" w:hAnsi="Times New Roman;serif"/>
                  <w:b w:val="false"/>
                  <w:strike w:val="false"/>
                  <w:dstrike w:val="false"/>
                  <w:color w:val="000000"/>
                  <w:sz w:val="24"/>
                  <w:u w:val="none"/>
                  <w:effect w:val="none"/>
                </w:rPr>
                <w:t>Section 11.02    Assumption of Defense; Settlements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31d8133cf1444588a8afd9c07e78a0">
              <w:r>
                <w:rPr>
                  <w:rStyle w:val="InternetLink"/>
                  <w:rFonts w:ascii="Times New Roman;serif" w:hAnsi="Times New Roman;serif"/>
                  <w:b w:val="false"/>
                  <w:strike w:val="false"/>
                  <w:dstrike w:val="false"/>
                  <w:color w:val="000000"/>
                  <w:sz w:val="24"/>
                  <w:u w:val="none"/>
                  <w:effect w:val="none"/>
                </w:rPr>
                <w:t>48</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c3c11d8adab48ae8b960d6ff62c1c90">
              <w:r>
                <w:rPr>
                  <w:rStyle w:val="InternetLink"/>
                  <w:rFonts w:ascii="Times New Roman;serif" w:hAnsi="Times New Roman;serif"/>
                  <w:b w:val="false"/>
                  <w:strike w:val="false"/>
                  <w:dstrike w:val="false"/>
                  <w:color w:val="000000"/>
                  <w:sz w:val="24"/>
                  <w:u w:val="none"/>
                  <w:effect w:val="none"/>
                </w:rPr>
                <w:t>Section 11.03    Judgment Currency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3c11d8adab48ae8b960d6ff62c1c90">
              <w:r>
                <w:rPr>
                  <w:rStyle w:val="InternetLink"/>
                  <w:rFonts w:ascii="Times New Roman;serif" w:hAnsi="Times New Roman;serif"/>
                  <w:b w:val="false"/>
                  <w:strike w:val="false"/>
                  <w:dstrike w:val="false"/>
                  <w:color w:val="000000"/>
                  <w:sz w:val="24"/>
                  <w:u w:val="none"/>
                  <w:effect w:val="none"/>
                </w:rPr>
                <w:t>48</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6b93d96c7494467834a993dc86cfd3a">
              <w:r>
                <w:rPr>
                  <w:rStyle w:val="InternetLink"/>
                  <w:rFonts w:ascii="Times New Roman;serif" w:hAnsi="Times New Roman;serif"/>
                  <w:b w:val="false"/>
                  <w:strike w:val="false"/>
                  <w:dstrike w:val="false"/>
                  <w:color w:val="000000"/>
                  <w:sz w:val="24"/>
                  <w:u w:val="none"/>
                  <w:effect w:val="none"/>
                </w:rPr>
                <w:t>Article XII    </w:t>
                <w:br/>
                <w:t>ADMINISTRATIVE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b93d96c7494467834a993dc86cfd3a">
              <w:r>
                <w:rPr>
                  <w:rStyle w:val="InternetLink"/>
                  <w:rFonts w:ascii="Times New Roman;serif" w:hAnsi="Times New Roman;serif"/>
                  <w:b w:val="false"/>
                  <w:strike w:val="false"/>
                  <w:dstrike w:val="false"/>
                  <w:color w:val="000000"/>
                  <w:sz w:val="24"/>
                  <w:u w:val="none"/>
                  <w:effect w:val="none"/>
                </w:rPr>
                <w:t>49</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2dff11ef488410289526559dfd21abe">
              <w:r>
                <w:rPr>
                  <w:rStyle w:val="InternetLink"/>
                  <w:rFonts w:ascii="Times New Roman;serif" w:hAnsi="Times New Roman;serif"/>
                  <w:b w:val="false"/>
                  <w:strike w:val="false"/>
                  <w:dstrike w:val="false"/>
                  <w:color w:val="000000"/>
                  <w:sz w:val="24"/>
                  <w:u w:val="none"/>
                  <w:effect w:val="none"/>
                </w:rPr>
                <w:t>Section 12.01    Appointment of Administrative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dff11ef488410289526559dfd21abe">
              <w:r>
                <w:rPr>
                  <w:rStyle w:val="InternetLink"/>
                  <w:rFonts w:ascii="Times New Roman;serif" w:hAnsi="Times New Roman;serif"/>
                  <w:b w:val="false"/>
                  <w:strike w:val="false"/>
                  <w:dstrike w:val="false"/>
                  <w:color w:val="000000"/>
                  <w:sz w:val="24"/>
                  <w:u w:val="none"/>
                  <w:effect w:val="none"/>
                </w:rPr>
                <w:t>49</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ba108f07494486084287f002d0a63eb">
              <w:r>
                <w:rPr>
                  <w:rStyle w:val="InternetLink"/>
                  <w:rFonts w:ascii="Times New Roman;serif" w:hAnsi="Times New Roman;serif"/>
                  <w:b w:val="false"/>
                  <w:strike w:val="false"/>
                  <w:dstrike w:val="false"/>
                  <w:color w:val="000000"/>
                  <w:sz w:val="24"/>
                  <w:u w:val="none"/>
                  <w:effect w:val="none"/>
                </w:rPr>
                <w:t>Section 12.02    Powers and Duties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a108f07494486084287f002d0a63eb">
              <w:r>
                <w:rPr>
                  <w:rStyle w:val="InternetLink"/>
                  <w:rFonts w:ascii="Times New Roman;serif" w:hAnsi="Times New Roman;serif"/>
                  <w:b w:val="false"/>
                  <w:strike w:val="false"/>
                  <w:dstrike w:val="false"/>
                  <w:color w:val="000000"/>
                  <w:sz w:val="24"/>
                  <w:u w:val="none"/>
                  <w:effect w:val="none"/>
                </w:rPr>
                <w:t>49</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d1a8a0d7aa34fc7ad7ba5ddecf6fb47">
              <w:r>
                <w:rPr>
                  <w:rStyle w:val="InternetLink"/>
                  <w:rFonts w:ascii="Times New Roman;serif" w:hAnsi="Times New Roman;serif"/>
                  <w:b w:val="false"/>
                  <w:strike w:val="false"/>
                  <w:dstrike w:val="false"/>
                  <w:color w:val="000000"/>
                  <w:sz w:val="24"/>
                  <w:u w:val="none"/>
                  <w:effect w:val="none"/>
                </w:rPr>
                <w:t>Section 12.03    General Immunity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1a8a0d7aa34fc7ad7ba5ddecf6fb47">
              <w:r>
                <w:rPr>
                  <w:rStyle w:val="InternetLink"/>
                  <w:rFonts w:ascii="Times New Roman;serif" w:hAnsi="Times New Roman;serif"/>
                  <w:b w:val="false"/>
                  <w:strike w:val="false"/>
                  <w:dstrike w:val="false"/>
                  <w:color w:val="000000"/>
                  <w:sz w:val="24"/>
                  <w:u w:val="none"/>
                  <w:effect w:val="none"/>
                </w:rPr>
                <w:t>49</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4779eb1a7304a158779f618d7bdd070">
              <w:r>
                <w:rPr>
                  <w:rStyle w:val="InternetLink"/>
                  <w:rFonts w:ascii="Times New Roman;serif" w:hAnsi="Times New Roman;serif"/>
                  <w:b w:val="false"/>
                  <w:strike w:val="false"/>
                  <w:dstrike w:val="false"/>
                  <w:color w:val="000000"/>
                  <w:sz w:val="24"/>
                  <w:u w:val="none"/>
                  <w:effect w:val="none"/>
                </w:rPr>
                <w:t>Section 12.04    Administrative Agent Entitled to Act as Lender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779eb1a7304a158779f618d7bdd070">
              <w:r>
                <w:rPr>
                  <w:rStyle w:val="InternetLink"/>
                  <w:rFonts w:ascii="Times New Roman;serif" w:hAnsi="Times New Roman;serif"/>
                  <w:b w:val="false"/>
                  <w:strike w:val="false"/>
                  <w:dstrike w:val="false"/>
                  <w:color w:val="000000"/>
                  <w:sz w:val="24"/>
                  <w:u w:val="none"/>
                  <w:effect w:val="none"/>
                </w:rPr>
                <w:t>51</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756" w:type="dxa"/>
        <w:jc w:val="left"/>
        <w:tblInd w:w="0" w:type="dxa"/>
        <w:tblLayout w:type="fixed"/>
        <w:tblCellMar>
          <w:top w:w="28" w:type="dxa"/>
          <w:left w:w="28" w:type="dxa"/>
          <w:bottom w:w="28" w:type="dxa"/>
          <w:right w:w="28" w:type="dxa"/>
        </w:tblCellMar>
      </w:tblPr>
      <w:tblGrid>
        <w:gridCol w:w="2668"/>
        <w:gridCol w:w="2345"/>
        <w:gridCol w:w="2352"/>
        <w:gridCol w:w="114"/>
        <w:gridCol w:w="114"/>
        <w:gridCol w:w="163"/>
      </w:tblGrid>
      <w:tr>
        <w:trPr/>
        <w:tc>
          <w:tcPr>
            <w:tcW w:w="2668"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07a8894fe5642a88602bcad5a063bdc">
              <w:r>
                <w:rPr>
                  <w:rStyle w:val="InternetLink"/>
                  <w:rFonts w:ascii="Times New Roman;serif" w:hAnsi="Times New Roman;serif"/>
                  <w:b w:val="false"/>
                  <w:strike w:val="false"/>
                  <w:dstrike w:val="false"/>
                  <w:color w:val="000000"/>
                  <w:sz w:val="24"/>
                  <w:u w:val="none"/>
                  <w:effect w:val="none"/>
                </w:rPr>
                <w:t>Section 12.05    Lenders’ Representations, Warranties and Acknowledgment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7a8894fe5642a88602bcad5a063bdc">
              <w:r>
                <w:rPr>
                  <w:rStyle w:val="InternetLink"/>
                  <w:rFonts w:ascii="Times New Roman;serif" w:hAnsi="Times New Roman;serif"/>
                  <w:b w:val="false"/>
                  <w:strike w:val="false"/>
                  <w:dstrike w:val="false"/>
                  <w:color w:val="000000"/>
                  <w:sz w:val="24"/>
                  <w:u w:val="none"/>
                  <w:effect w:val="none"/>
                </w:rPr>
                <w:t>51</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882851bfa28429bb2c71271558ce124">
              <w:r>
                <w:rPr>
                  <w:rStyle w:val="InternetLink"/>
                  <w:rFonts w:ascii="Times New Roman;serif" w:hAnsi="Times New Roman;serif"/>
                  <w:b w:val="false"/>
                  <w:strike w:val="false"/>
                  <w:dstrike w:val="false"/>
                  <w:color w:val="000000"/>
                  <w:sz w:val="24"/>
                  <w:u w:val="none"/>
                  <w:effect w:val="none"/>
                </w:rPr>
                <w:t>Section 12.06    Right to Indemnity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82851bfa28429bb2c71271558ce124">
              <w:r>
                <w:rPr>
                  <w:rStyle w:val="InternetLink"/>
                  <w:rFonts w:ascii="Times New Roman;serif" w:hAnsi="Times New Roman;serif"/>
                  <w:b w:val="false"/>
                  <w:strike w:val="false"/>
                  <w:dstrike w:val="false"/>
                  <w:color w:val="000000"/>
                  <w:sz w:val="24"/>
                  <w:u w:val="none"/>
                  <w:effect w:val="none"/>
                </w:rPr>
                <w:t>51</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c57915a7c0946a99947ee3b46477739">
              <w:r>
                <w:rPr>
                  <w:rStyle w:val="InternetLink"/>
                  <w:rFonts w:ascii="Times New Roman;serif" w:hAnsi="Times New Roman;serif"/>
                  <w:b w:val="false"/>
                  <w:strike w:val="false"/>
                  <w:dstrike w:val="false"/>
                  <w:color w:val="000000"/>
                  <w:sz w:val="24"/>
                  <w:u w:val="none"/>
                  <w:effect w:val="none"/>
                </w:rPr>
                <w:t>Section 12.07    Successor Administrative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57915a7c0946a99947ee3b46477739">
              <w:r>
                <w:rPr>
                  <w:rStyle w:val="InternetLink"/>
                  <w:rFonts w:ascii="Times New Roman;serif" w:hAnsi="Times New Roman;serif"/>
                  <w:b w:val="false"/>
                  <w:strike w:val="false"/>
                  <w:dstrike w:val="false"/>
                  <w:color w:val="000000"/>
                  <w:sz w:val="24"/>
                  <w:u w:val="none"/>
                  <w:effect w:val="none"/>
                </w:rPr>
                <w:t>52</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18557a474134c0fbac0e8f89b1da8e1">
              <w:r>
                <w:rPr>
                  <w:rStyle w:val="InternetLink"/>
                  <w:rFonts w:ascii="Times New Roman;serif" w:hAnsi="Times New Roman;serif"/>
                  <w:b w:val="false"/>
                  <w:strike w:val="false"/>
                  <w:dstrike w:val="false"/>
                  <w:color w:val="000000"/>
                  <w:sz w:val="24"/>
                  <w:u w:val="none"/>
                  <w:effect w:val="none"/>
                </w:rPr>
                <w:t>Section 12.08    Collateral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8557a474134c0fbac0e8f89b1da8e1">
              <w:r>
                <w:rPr>
                  <w:rStyle w:val="InternetLink"/>
                  <w:rFonts w:ascii="Times New Roman;serif" w:hAnsi="Times New Roman;serif"/>
                  <w:b w:val="false"/>
                  <w:strike w:val="false"/>
                  <w:dstrike w:val="false"/>
                  <w:color w:val="000000"/>
                  <w:sz w:val="24"/>
                  <w:u w:val="none"/>
                  <w:effect w:val="none"/>
                </w:rPr>
                <w:t>53</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4335b02165d402593aba95c3a713136">
              <w:r>
                <w:rPr>
                  <w:rStyle w:val="InternetLink"/>
                  <w:rFonts w:ascii="Times New Roman;serif" w:hAnsi="Times New Roman;serif"/>
                  <w:b w:val="false"/>
                  <w:strike w:val="false"/>
                  <w:dstrike w:val="false"/>
                  <w:color w:val="000000"/>
                  <w:sz w:val="24"/>
                  <w:u w:val="none"/>
                  <w:effect w:val="none"/>
                </w:rPr>
                <w:t>Section 12.09    Agency for Perfection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335b02165d402593aba95c3a713136">
              <w:r>
                <w:rPr>
                  <w:rStyle w:val="InternetLink"/>
                  <w:rFonts w:ascii="Times New Roman;serif" w:hAnsi="Times New Roman;serif"/>
                  <w:b w:val="false"/>
                  <w:strike w:val="false"/>
                  <w:dstrike w:val="false"/>
                  <w:color w:val="000000"/>
                  <w:sz w:val="24"/>
                  <w:u w:val="none"/>
                  <w:effect w:val="none"/>
                </w:rPr>
                <w:t>54</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a8240d45aed4e8685d86f6e0d2a43a6">
              <w:r>
                <w:rPr>
                  <w:rStyle w:val="InternetLink"/>
                  <w:rFonts w:ascii="Times New Roman;serif" w:hAnsi="Times New Roman;serif"/>
                  <w:b w:val="false"/>
                  <w:strike w:val="false"/>
                  <w:dstrike w:val="false"/>
                  <w:color w:val="000000"/>
                  <w:sz w:val="24"/>
                  <w:u w:val="none"/>
                  <w:effect w:val="none"/>
                </w:rPr>
                <w:t>Section 12.10    Reports and Other Information; Confidentiality; Disclaimers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8240d45aed4e8685d86f6e0d2a43a6">
              <w:r>
                <w:rPr>
                  <w:rStyle w:val="InternetLink"/>
                  <w:rFonts w:ascii="Times New Roman;serif" w:hAnsi="Times New Roman;serif"/>
                  <w:b w:val="false"/>
                  <w:strike w:val="false"/>
                  <w:dstrike w:val="false"/>
                  <w:color w:val="000000"/>
                  <w:sz w:val="24"/>
                  <w:u w:val="none"/>
                  <w:effect w:val="none"/>
                </w:rPr>
                <w:t>54</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f4383b87229419780e29604ebb2dee6">
              <w:r>
                <w:rPr>
                  <w:rStyle w:val="InternetLink"/>
                  <w:rFonts w:ascii="Times New Roman;serif" w:hAnsi="Times New Roman;serif"/>
                  <w:b w:val="false"/>
                  <w:strike w:val="false"/>
                  <w:dstrike w:val="false"/>
                  <w:color w:val="000000"/>
                  <w:sz w:val="24"/>
                  <w:u w:val="none"/>
                  <w:effect w:val="none"/>
                </w:rPr>
                <w:t>Section 12.11    Erroneous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4383b87229419780e29604ebb2dee6">
              <w:r>
                <w:rPr>
                  <w:rStyle w:val="InternetLink"/>
                  <w:rFonts w:ascii="Times New Roman;serif" w:hAnsi="Times New Roman;serif"/>
                  <w:b w:val="false"/>
                  <w:strike w:val="false"/>
                  <w:dstrike w:val="false"/>
                  <w:color w:val="000000"/>
                  <w:sz w:val="24"/>
                  <w:u w:val="none"/>
                  <w:effect w:val="none"/>
                </w:rPr>
                <w:t>55</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7988b82caf44a728ce1937898b9333f">
              <w:r>
                <w:rPr>
                  <w:rStyle w:val="InternetLink"/>
                  <w:rFonts w:ascii="Times New Roman;serif" w:hAnsi="Times New Roman;serif"/>
                  <w:b w:val="false"/>
                  <w:strike w:val="false"/>
                  <w:dstrike w:val="false"/>
                  <w:color w:val="000000"/>
                  <w:sz w:val="24"/>
                  <w:u w:val="none"/>
                  <w:effect w:val="none"/>
                </w:rPr>
                <w:t>Article XIII    </w:t>
                <w:b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988b82caf44a728ce1937898b9333f">
              <w:r>
                <w:rPr>
                  <w:rStyle w:val="InternetLink"/>
                  <w:rFonts w:ascii="Times New Roman;serif" w:hAnsi="Times New Roman;serif"/>
                  <w:b w:val="false"/>
                  <w:strike w:val="false"/>
                  <w:dstrike w:val="false"/>
                  <w:color w:val="000000"/>
                  <w:sz w:val="24"/>
                  <w:u w:val="none"/>
                  <w:effect w:val="none"/>
                </w:rPr>
                <w:t>57</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4fdd80976624204b33274d18d0bb172">
              <w:r>
                <w:rPr>
                  <w:rStyle w:val="InternetLink"/>
                  <w:rFonts w:ascii="Times New Roman;serif" w:hAnsi="Times New Roman;serif"/>
                  <w:b w:val="false"/>
                  <w:strike w:val="false"/>
                  <w:dstrike w:val="false"/>
                  <w:color w:val="000000"/>
                  <w:sz w:val="24"/>
                  <w:u w:val="none"/>
                  <w:effect w:val="none"/>
                </w:rPr>
                <w:t>Section 13.01    Assignments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dd80976624204b33274d18d0bb172">
              <w:r>
                <w:rPr>
                  <w:rStyle w:val="InternetLink"/>
                  <w:rFonts w:ascii="Times New Roman;serif" w:hAnsi="Times New Roman;serif"/>
                  <w:b w:val="false"/>
                  <w:strike w:val="false"/>
                  <w:dstrike w:val="false"/>
                  <w:color w:val="000000"/>
                  <w:sz w:val="24"/>
                  <w:u w:val="none"/>
                  <w:effect w:val="none"/>
                </w:rPr>
                <w:t>57</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0ae4f39ce7e445492f1b64a4e6d2541">
              <w:r>
                <w:rPr>
                  <w:rStyle w:val="InternetLink"/>
                  <w:rFonts w:ascii="Times New Roman;serif" w:hAnsi="Times New Roman;serif"/>
                  <w:b w:val="false"/>
                  <w:strike w:val="false"/>
                  <w:dstrike w:val="false"/>
                  <w:color w:val="000000"/>
                  <w:sz w:val="24"/>
                  <w:u w:val="none"/>
                  <w:effect w:val="none"/>
                </w:rPr>
                <w:t>Section 13.02    Successors and Assigns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ae4f39ce7e445492f1b64a4e6d2541">
              <w:r>
                <w:rPr>
                  <w:rStyle w:val="InternetLink"/>
                  <w:rFonts w:ascii="Times New Roman;serif" w:hAnsi="Times New Roman;serif"/>
                  <w:b w:val="false"/>
                  <w:strike w:val="false"/>
                  <w:dstrike w:val="false"/>
                  <w:color w:val="000000"/>
                  <w:sz w:val="24"/>
                  <w:u w:val="none"/>
                  <w:effect w:val="none"/>
                </w:rPr>
                <w:t>58</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518f6ce560c4d93a9b1595649abde36">
              <w:r>
                <w:rPr>
                  <w:rStyle w:val="InternetLink"/>
                  <w:rFonts w:ascii="Times New Roman;serif" w:hAnsi="Times New Roman;serif"/>
                  <w:b w:val="false"/>
                  <w:strike w:val="false"/>
                  <w:dstrike w:val="false"/>
                  <w:color w:val="000000"/>
                  <w:sz w:val="24"/>
                  <w:u w:val="none"/>
                  <w:effect w:val="none"/>
                </w:rPr>
                <w:t>Section 13.03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18f6ce560c4d93a9b1595649abde36">
              <w:r>
                <w:rPr>
                  <w:rStyle w:val="InternetLink"/>
                  <w:rFonts w:ascii="Times New Roman;serif" w:hAnsi="Times New Roman;serif"/>
                  <w:b w:val="false"/>
                  <w:strike w:val="false"/>
                  <w:dstrike w:val="false"/>
                  <w:color w:val="000000"/>
                  <w:sz w:val="24"/>
                  <w:u w:val="none"/>
                  <w:effect w:val="none"/>
                </w:rPr>
                <w:t>58</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8dd69ed27a0484cb75af9b794376e2d">
              <w:r>
                <w:rPr>
                  <w:rStyle w:val="InternetLink"/>
                  <w:rFonts w:ascii="Times New Roman;serif" w:hAnsi="Times New Roman;serif"/>
                  <w:b w:val="false"/>
                  <w:strike w:val="false"/>
                  <w:dstrike w:val="false"/>
                  <w:color w:val="000000"/>
                  <w:sz w:val="24"/>
                  <w:u w:val="none"/>
                  <w:effect w:val="none"/>
                </w:rPr>
                <w:t>Section 13.04    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dd69ed27a0484cb75af9b794376e2d">
              <w:r>
                <w:rPr>
                  <w:rStyle w:val="InternetLink"/>
                  <w:rFonts w:ascii="Times New Roman;serif" w:hAnsi="Times New Roman;serif"/>
                  <w:b w:val="false"/>
                  <w:strike w:val="false"/>
                  <w:dstrike w:val="false"/>
                  <w:color w:val="000000"/>
                  <w:sz w:val="24"/>
                  <w:u w:val="none"/>
                  <w:effect w:val="none"/>
                </w:rPr>
                <w:t>59</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327af7d1a3e40928a3c6b0c69a867f8">
              <w:r>
                <w:rPr>
                  <w:rStyle w:val="InternetLink"/>
                  <w:rFonts w:ascii="Times New Roman;serif" w:hAnsi="Times New Roman;serif"/>
                  <w:b w:val="false"/>
                  <w:strike w:val="false"/>
                  <w:dstrike w:val="false"/>
                  <w:color w:val="000000"/>
                  <w:sz w:val="24"/>
                  <w:u w:val="none"/>
                  <w:effect w:val="none"/>
                </w:rPr>
                <w:t>Section 13.05    Modification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327af7d1a3e40928a3c6b0c69a867f8">
              <w:r>
                <w:rPr>
                  <w:rStyle w:val="InternetLink"/>
                  <w:rFonts w:ascii="Times New Roman;serif" w:hAnsi="Times New Roman;serif"/>
                  <w:b w:val="false"/>
                  <w:strike w:val="false"/>
                  <w:dstrike w:val="false"/>
                  <w:color w:val="000000"/>
                  <w:sz w:val="24"/>
                  <w:u w:val="none"/>
                  <w:effect w:val="none"/>
                </w:rPr>
                <w:t>59</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b5982c28a054c4db2093f43a6b3efc3">
              <w:r>
                <w:rPr>
                  <w:rStyle w:val="InternetLink"/>
                  <w:rFonts w:ascii="Times New Roman;serif" w:hAnsi="Times New Roman;serif"/>
                  <w:b w:val="false"/>
                  <w:strike w:val="false"/>
                  <w:dstrike w:val="false"/>
                  <w:color w:val="000000"/>
                  <w:sz w:val="24"/>
                  <w:u w:val="none"/>
                  <w:effect w:val="none"/>
                </w:rPr>
                <w:t>Section 13.06    No Delay; Waivers;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5982c28a054c4db2093f43a6b3efc3">
              <w:r>
                <w:rPr>
                  <w:rStyle w:val="InternetLink"/>
                  <w:rFonts w:ascii="Times New Roman;serif" w:hAnsi="Times New Roman;serif"/>
                  <w:b w:val="false"/>
                  <w:strike w:val="false"/>
                  <w:dstrike w:val="false"/>
                  <w:color w:val="000000"/>
                  <w:sz w:val="24"/>
                  <w:u w:val="none"/>
                  <w:effect w:val="none"/>
                </w:rPr>
                <w:t>59</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590366ef0c84a428e18187cf06fa409">
              <w:r>
                <w:rPr>
                  <w:rStyle w:val="InternetLink"/>
                  <w:rFonts w:ascii="Times New Roman;serif" w:hAnsi="Times New Roman;serif"/>
                  <w:b w:val="false"/>
                  <w:strike w:val="false"/>
                  <w:dstrike w:val="false"/>
                  <w:color w:val="000000"/>
                  <w:sz w:val="24"/>
                  <w:u w:val="none"/>
                  <w:effect w:val="none"/>
                </w:rPr>
                <w:t>Section 13.07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90366ef0c84a428e18187cf06fa409">
              <w:r>
                <w:rPr>
                  <w:rStyle w:val="InternetLink"/>
                  <w:rFonts w:ascii="Times New Roman;serif" w:hAnsi="Times New Roman;serif"/>
                  <w:b w:val="false"/>
                  <w:strike w:val="false"/>
                  <w:dstrike w:val="false"/>
                  <w:color w:val="000000"/>
                  <w:sz w:val="24"/>
                  <w:u w:val="none"/>
                  <w:effect w:val="none"/>
                </w:rPr>
                <w:t>59</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3d5370575094549803d59e2ed020cf4">
              <w:r>
                <w:rPr>
                  <w:rStyle w:val="InternetLink"/>
                  <w:rFonts w:ascii="Times New Roman;serif" w:hAnsi="Times New Roman;serif"/>
                  <w:b w:val="false"/>
                  <w:strike w:val="false"/>
                  <w:dstrike w:val="false"/>
                  <w:color w:val="000000"/>
                  <w:sz w:val="24"/>
                  <w:u w:val="none"/>
                  <w:effect w:val="none"/>
                </w:rPr>
                <w:t>Section 13.08    Determinations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370575094549803d59e2ed020cf4">
              <w:r>
                <w:rPr>
                  <w:rStyle w:val="InternetLink"/>
                  <w:rFonts w:ascii="Times New Roman;serif" w:hAnsi="Times New Roman;serif"/>
                  <w:b w:val="false"/>
                  <w:strike w:val="false"/>
                  <w:dstrike w:val="false"/>
                  <w:color w:val="000000"/>
                  <w:sz w:val="24"/>
                  <w:u w:val="none"/>
                  <w:effect w:val="none"/>
                </w:rPr>
                <w:t>60</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21680cda73040ecaa5fb3888b625f47">
              <w:r>
                <w:rPr>
                  <w:rStyle w:val="InternetLink"/>
                  <w:rFonts w:ascii="Times New Roman;serif" w:hAnsi="Times New Roman;serif"/>
                  <w:b w:val="false"/>
                  <w:strike w:val="false"/>
                  <w:dstrike w:val="false"/>
                  <w:color w:val="000000"/>
                  <w:sz w:val="24"/>
                  <w:u w:val="none"/>
                  <w:effect w:val="none"/>
                </w:rPr>
                <w:t>Section 13.09    Recourse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1680cda73040ecaa5fb3888b625f47">
              <w:r>
                <w:rPr>
                  <w:rStyle w:val="InternetLink"/>
                  <w:rFonts w:ascii="Times New Roman;serif" w:hAnsi="Times New Roman;serif"/>
                  <w:b w:val="false"/>
                  <w:strike w:val="false"/>
                  <w:dstrike w:val="false"/>
                  <w:color w:val="000000"/>
                  <w:sz w:val="24"/>
                  <w:u w:val="none"/>
                  <w:effect w:val="none"/>
                </w:rPr>
                <w:t>60</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746463e4c6a49f8876aa2bb6be22a1f">
              <w:r>
                <w:rPr>
                  <w:rStyle w:val="InternetLink"/>
                  <w:rFonts w:ascii="Times New Roman;serif" w:hAnsi="Times New Roman;serif"/>
                  <w:b w:val="false"/>
                  <w:strike w:val="false"/>
                  <w:dstrike w:val="false"/>
                  <w:color w:val="000000"/>
                  <w:sz w:val="24"/>
                  <w:u w:val="none"/>
                  <w:effect w:val="none"/>
                </w:rPr>
                <w:t>Section 13.10    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6463e4c6a49f8876aa2bb6be22a1f">
              <w:r>
                <w:rPr>
                  <w:rStyle w:val="InternetLink"/>
                  <w:rFonts w:ascii="Times New Roman;serif" w:hAnsi="Times New Roman;serif"/>
                  <w:b w:val="false"/>
                  <w:strike w:val="false"/>
                  <w:dstrike w:val="false"/>
                  <w:color w:val="000000"/>
                  <w:sz w:val="24"/>
                  <w:u w:val="none"/>
                  <w:effect w:val="none"/>
                </w:rPr>
                <w:t>60</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ccdccb1aa3e420a94407859a9f786d8">
              <w:r>
                <w:rPr>
                  <w:rStyle w:val="InternetLink"/>
                  <w:rFonts w:ascii="Times New Roman;serif" w:hAnsi="Times New Roman;serif"/>
                  <w:b w:val="false"/>
                  <w:strike w:val="false"/>
                  <w:dstrike w:val="false"/>
                  <w:color w:val="000000"/>
                  <w:sz w:val="24"/>
                  <w:u w:val="none"/>
                  <w:effect w:val="none"/>
                </w:rPr>
                <w:t>Section 13.11    Jurisdiction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cdccb1aa3e420a94407859a9f786d8">
              <w:r>
                <w:rPr>
                  <w:rStyle w:val="InternetLink"/>
                  <w:rFonts w:ascii="Times New Roman;serif" w:hAnsi="Times New Roman;serif"/>
                  <w:b w:val="false"/>
                  <w:strike w:val="false"/>
                  <w:dstrike w:val="false"/>
                  <w:color w:val="000000"/>
                  <w:sz w:val="24"/>
                  <w:u w:val="none"/>
                  <w:effect w:val="none"/>
                </w:rPr>
                <w:t>60</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17f43d87d954cbdb76ca6402e821e93">
              <w:r>
                <w:rPr>
                  <w:rStyle w:val="InternetLink"/>
                  <w:rFonts w:ascii="Times New Roman;serif" w:hAnsi="Times New Roman;serif"/>
                  <w:b w:val="false"/>
                  <w:strike w:val="false"/>
                  <w:dstrike w:val="false"/>
                  <w:color w:val="000000"/>
                  <w:sz w:val="24"/>
                  <w:u w:val="none"/>
                  <w:effect w:val="none"/>
                </w:rPr>
                <w:t>Section 13.12    Waiver of Jury Trial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7f43d87d954cbdb76ca6402e821e93">
              <w:r>
                <w:rPr>
                  <w:rStyle w:val="InternetLink"/>
                  <w:rFonts w:ascii="Times New Roman;serif" w:hAnsi="Times New Roman;serif"/>
                  <w:b w:val="false"/>
                  <w:strike w:val="false"/>
                  <w:dstrike w:val="false"/>
                  <w:color w:val="000000"/>
                  <w:sz w:val="24"/>
                  <w:u w:val="none"/>
                  <w:effect w:val="none"/>
                </w:rPr>
                <w:t>60</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c4e67fac7964608aab7f004cbe74f07">
              <w:r>
                <w:rPr>
                  <w:rStyle w:val="InternetLink"/>
                  <w:rFonts w:ascii="Times New Roman;serif" w:hAnsi="Times New Roman;serif"/>
                  <w:b w:val="false"/>
                  <w:strike w:val="false"/>
                  <w:dstrike w:val="false"/>
                  <w:color w:val="000000"/>
                  <w:sz w:val="24"/>
                  <w:u w:val="none"/>
                  <w:effect w:val="none"/>
                </w:rPr>
                <w:t>Section 13.13    Waiver of Immunity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4e67fac7964608aab7f004cbe74f07">
              <w:r>
                <w:rPr>
                  <w:rStyle w:val="InternetLink"/>
                  <w:rFonts w:ascii="Times New Roman;serif" w:hAnsi="Times New Roman;serif"/>
                  <w:b w:val="false"/>
                  <w:strike w:val="false"/>
                  <w:dstrike w:val="false"/>
                  <w:color w:val="000000"/>
                  <w:sz w:val="24"/>
                  <w:u w:val="none"/>
                  <w:effect w:val="none"/>
                </w:rPr>
                <w:t>61</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99a968cf580445aa3c72924b5836780">
              <w:r>
                <w:rPr>
                  <w:rStyle w:val="InternetLink"/>
                  <w:rFonts w:ascii="Times New Roman;serif" w:hAnsi="Times New Roman;serif"/>
                  <w:b w:val="false"/>
                  <w:strike w:val="false"/>
                  <w:dstrike w:val="false"/>
                  <w:color w:val="000000"/>
                  <w:sz w:val="24"/>
                  <w:u w:val="none"/>
                  <w:effect w:val="none"/>
                </w:rPr>
                <w:t>Section 13.14    Counterparts; Delivery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9a968cf580445aa3c72924b5836780">
              <w:r>
                <w:rPr>
                  <w:rStyle w:val="InternetLink"/>
                  <w:rFonts w:ascii="Times New Roman;serif" w:hAnsi="Times New Roman;serif"/>
                  <w:b w:val="false"/>
                  <w:strike w:val="false"/>
                  <w:dstrike w:val="false"/>
                  <w:color w:val="000000"/>
                  <w:sz w:val="24"/>
                  <w:u w:val="none"/>
                  <w:effect w:val="none"/>
                </w:rPr>
                <w:t>61</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c02d5f53e3340199d937b56c3b5d474">
              <w:r>
                <w:rPr>
                  <w:rStyle w:val="InternetLink"/>
                  <w:rFonts w:ascii="Times New Roman;serif" w:hAnsi="Times New Roman;serif"/>
                  <w:b w:val="false"/>
                  <w:strike w:val="false"/>
                  <w:dstrike w:val="false"/>
                  <w:color w:val="000000"/>
                  <w:sz w:val="24"/>
                  <w:u w:val="none"/>
                  <w:effect w:val="none"/>
                </w:rPr>
                <w:t>Section 13.15    Limitation on Rights of Others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02d5f53e3340199d937b56c3b5d474">
              <w:r>
                <w:rPr>
                  <w:rStyle w:val="InternetLink"/>
                  <w:rFonts w:ascii="Times New Roman;serif" w:hAnsi="Times New Roman;serif"/>
                  <w:b w:val="false"/>
                  <w:strike w:val="false"/>
                  <w:dstrike w:val="false"/>
                  <w:color w:val="000000"/>
                  <w:sz w:val="24"/>
                  <w:u w:val="none"/>
                  <w:effect w:val="none"/>
                </w:rPr>
                <w:t>61</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d82d493b0d74193ba93431d47001761">
              <w:r>
                <w:rPr>
                  <w:rStyle w:val="InternetLink"/>
                  <w:rFonts w:ascii="Times New Roman;serif" w:hAnsi="Times New Roman;serif"/>
                  <w:b w:val="false"/>
                  <w:strike w:val="false"/>
                  <w:dstrike w:val="false"/>
                  <w:color w:val="000000"/>
                  <w:sz w:val="24"/>
                  <w:u w:val="none"/>
                  <w:effect w:val="none"/>
                </w:rPr>
                <w:t>Section 13.16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82d493b0d74193ba93431d47001761">
              <w:r>
                <w:rPr>
                  <w:rStyle w:val="InternetLink"/>
                  <w:rFonts w:ascii="Times New Roman;serif" w:hAnsi="Times New Roman;serif"/>
                  <w:b w:val="false"/>
                  <w:strike w:val="false"/>
                  <w:dstrike w:val="false"/>
                  <w:color w:val="000000"/>
                  <w:sz w:val="24"/>
                  <w:u w:val="none"/>
                  <w:effect w:val="none"/>
                </w:rPr>
                <w:t>61</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34ad2b1c7c7428983c0148e12af6087">
              <w:r>
                <w:rPr>
                  <w:rStyle w:val="InternetLink"/>
                  <w:rFonts w:ascii="Times New Roman;serif" w:hAnsi="Times New Roman;serif"/>
                  <w:b w:val="false"/>
                  <w:strike w:val="false"/>
                  <w:dstrike w:val="false"/>
                  <w:color w:val="000000"/>
                  <w:sz w:val="24"/>
                  <w:u w:val="none"/>
                  <w:effect w:val="none"/>
                </w:rPr>
                <w:t>Section 13.17    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4ad2b1c7c7428983c0148e12af6087">
              <w:r>
                <w:rPr>
                  <w:rStyle w:val="InternetLink"/>
                  <w:rFonts w:ascii="Times New Roman;serif" w:hAnsi="Times New Roman;serif"/>
                  <w:b w:val="false"/>
                  <w:strike w:val="false"/>
                  <w:dstrike w:val="false"/>
                  <w:color w:val="000000"/>
                  <w:sz w:val="24"/>
                  <w:u w:val="none"/>
                  <w:effect w:val="none"/>
                </w:rPr>
                <w:t>61</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9724fe78179484b8116e7c1fde274fb">
              <w:r>
                <w:rPr>
                  <w:rStyle w:val="InternetLink"/>
                  <w:rFonts w:ascii="Times New Roman;serif" w:hAnsi="Times New Roman;serif"/>
                  <w:b w:val="false"/>
                  <w:strike w:val="false"/>
                  <w:dstrike w:val="false"/>
                  <w:color w:val="000000"/>
                  <w:sz w:val="24"/>
                  <w:u w:val="none"/>
                  <w:effect w:val="none"/>
                </w:rPr>
                <w:t>Section 13.18    Patriot Act Notification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724fe78179484b8116e7c1fde274fb">
              <w:r>
                <w:rPr>
                  <w:rStyle w:val="InternetLink"/>
                  <w:rFonts w:ascii="Times New Roman;serif" w:hAnsi="Times New Roman;serif"/>
                  <w:b w:val="false"/>
                  <w:strike w:val="false"/>
                  <w:dstrike w:val="false"/>
                  <w:color w:val="000000"/>
                  <w:sz w:val="24"/>
                  <w:u w:val="none"/>
                  <w:effect w:val="none"/>
                </w:rPr>
                <w:t>62</w:t>
              </w:r>
            </w:hyperlink>
          </w:p>
        </w:tc>
      </w:tr>
      <w:tr>
        <w:trPr/>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c457908cbb94bf988e55696a974ed21">
              <w:r>
                <w:rPr>
                  <w:rStyle w:val="InternetLink"/>
                  <w:rFonts w:ascii="Times New Roman;serif" w:hAnsi="Times New Roman;serif"/>
                  <w:b w:val="false"/>
                  <w:strike w:val="false"/>
                  <w:dstrike w:val="false"/>
                  <w:color w:val="000000"/>
                  <w:sz w:val="24"/>
                  <w:u w:val="none"/>
                  <w:effect w:val="none"/>
                </w:rPr>
                <w:t>Section 13.19    Disclosure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457908cbb94bf988e55696a974ed21">
              <w:r>
                <w:rPr>
                  <w:rStyle w:val="InternetLink"/>
                  <w:rFonts w:ascii="Times New Roman;serif" w:hAnsi="Times New Roman;serif"/>
                  <w:b w:val="false"/>
                  <w:strike w:val="false"/>
                  <w:dstrike w:val="false"/>
                  <w:color w:val="000000"/>
                  <w:sz w:val="24"/>
                  <w:u w:val="none"/>
                  <w:effect w:val="none"/>
                </w:rPr>
                <w:t>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Appendices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Appendix A     Term Loan Commitments</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Exhibit A     Form of Assignment and Acceptance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B     Funding Notice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Exhibit C     [Reserved]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D     Form of Payment Date Distribution Report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E     Forms of Tax Certificates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F     Form of Officer’s Certificates</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Schedules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4.05(a)     Illustrative Examples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7.01(k)     Bankers and Brokers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7.01(p)     Assignments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7.01(r)     Late Payments and Royalty Reductions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7.01(u)     Indemnification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7.01(ee)     Intellectual Property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Schedule 7.01(gg)     In-Licenses</w:t>
      </w:r>
    </w:p>
    <w:p>
      <w:pPr>
        <w:pStyle w:val="TextBody"/>
        <w:bidi w:val="0"/>
        <w:spacing w:before="0" w:after="240"/>
        <w:ind w:left="0" w:right="0" w:firstLine="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 xml:space="preserve">LOAN AGREEMENT </w:t>
      </w:r>
      <w:r>
        <w:rPr>
          <w:rFonts w:ascii="Times New Roman;serif" w:hAnsi="Times New Roman;serif"/>
          <w:b w:val="false"/>
          <w:color w:val="000000"/>
          <w:sz w:val="24"/>
        </w:rPr>
        <w:t>(this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March 2, 2026, is entered into by and among Zymeworks Royalty Limited Partnership, a British Columbia limited partnership by its general partner Zymeworks General Partner ULC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the Lenders from time to time party hereto, and Royalty Pharma Development Funding, LLC (“</w:t>
      </w:r>
      <w:r>
        <w:rPr>
          <w:rFonts w:ascii="Times New Roman;serif" w:hAnsi="Times New Roman;serif"/>
          <w:b w:val="false"/>
          <w:color w:val="000000"/>
          <w:sz w:val="24"/>
          <w:u w:val="single"/>
        </w:rPr>
        <w:t>Royalty Pharma</w:t>
      </w:r>
      <w:r>
        <w:rPr>
          <w:color w:val="000000"/>
        </w:rPr>
        <w:t>”</w:t>
      </w:r>
      <w:r>
        <w:rPr>
          <w:rFonts w:ascii="Times New Roman;serif" w:hAnsi="Times New Roman;serif"/>
          <w:b w:val="false"/>
          <w:color w:val="000000"/>
          <w:sz w:val="24"/>
        </w:rPr>
        <w:t>), as administrative agent for the Lenders (in such capacity,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the Lenders have agreed to extend a senior secured term loan credit facility to Borrower, subject to the terms and conditions of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agreements, provisions and covenants herein contained, the parties hereto agree as follows:</w:t>
      </w:r>
    </w:p>
    <w:p>
      <w:pPr>
        <w:pStyle w:val="TextBody"/>
        <w:bidi w:val="0"/>
        <w:spacing w:lineRule="auto" w:line="240" w:before="240" w:after="300"/>
        <w:jc w:val="center"/>
        <w:rPr>
          <w:rFonts w:ascii="Times New Roman;serif" w:hAnsi="Times New Roman;serif"/>
          <w:b/>
          <w:color w:val="000000"/>
          <w:sz w:val="24"/>
        </w:rPr>
      </w:pPr>
      <w:bookmarkStart w:id="141" w:name="ida30a91b27d444d69e07f76abcdedd17"/>
      <w:bookmarkEnd w:id="141"/>
      <w:r>
        <w:rPr>
          <w:rFonts w:ascii="Times New Roman;serif" w:hAnsi="Times New Roman;serif"/>
          <w:b/>
          <w:color w:val="000000"/>
          <w:sz w:val="24"/>
        </w:rPr>
        <w:t>Article I</w:t>
        <w:br/>
        <w:t>CERTAIN DEFINITIONS</w:t>
      </w:r>
    </w:p>
    <w:p>
      <w:pPr>
        <w:pStyle w:val="TextBody"/>
        <w:bidi w:val="0"/>
        <w:spacing w:lineRule="auto" w:line="240" w:before="0" w:after="0"/>
        <w:ind w:left="0" w:right="0" w:firstLine="720"/>
        <w:jc w:val="both"/>
        <w:rPr/>
      </w:pPr>
      <w:bookmarkStart w:id="142" w:name="iab5b6b7f56b449308cd7be56b3f54323"/>
      <w:bookmarkEnd w:id="142"/>
      <w:r>
        <w:rPr>
          <w:rFonts w:ascii="Times New Roman;serif" w:hAnsi="Times New Roman;serif"/>
          <w:b w:val="false"/>
          <w:color w:val="000000"/>
          <w:sz w:val="24"/>
        </w:rPr>
        <w:t>Section 1.01</w:t>
      </w:r>
      <w:r>
        <w:rPr>
          <w:rFonts w:ascii="Times New Roman;serif" w:hAnsi="Times New Roman;serif"/>
          <w:b w:val="false"/>
          <w:color w:val="000000"/>
          <w:sz w:val="24"/>
          <w:u w:val="single"/>
        </w:rPr>
        <w:t>Definitions</w:t>
      </w:r>
      <w:r>
        <w:rPr>
          <w:rFonts w:ascii="Times New Roman;serif" w:hAnsi="Times New Roman;serif"/>
          <w:b w:val="false"/>
          <w:color w:val="000000"/>
          <w:sz w:val="24"/>
        </w:rPr>
        <w:t>. The following terms used herein, including in the preamble, recitals, appendices, exhibits and schedules hereto, shall have the following meanings: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Administrative Agent</w:t>
      </w:r>
      <w:r>
        <w:rPr>
          <w:color w:val="000000"/>
        </w:rPr>
        <w:t xml:space="preserve">” </w:t>
      </w:r>
      <w:r>
        <w:rPr>
          <w:rFonts w:ascii="Times New Roman;serif" w:hAnsi="Times New Roman;serif"/>
          <w:b w:val="false"/>
          <w:color w:val="000000"/>
          <w:sz w:val="24"/>
        </w:rPr>
        <w:t>shall have the meaning set forth in the preamble 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Person that directly, or indirectly through one or more intermediaries, controls, is controlled by, or is under common control with another Person.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Agreed Payments</w:t>
      </w:r>
      <w:r>
        <w:rPr>
          <w:color w:val="000000"/>
        </w:rPr>
        <w:t xml:space="preserve">” </w:t>
      </w:r>
      <w:r>
        <w:rPr>
          <w:rFonts w:ascii="Times New Roman;serif" w:hAnsi="Times New Roman;serif"/>
          <w:b w:val="false"/>
          <w:color w:val="000000"/>
          <w:sz w:val="24"/>
        </w:rPr>
        <w:t>means all payments (together with the right to receive such payments) in respect of the Transferred Royalty Interest until the Lenders have received aggregate payments equal to the Term Loans plus Fixed Interest on the Term Loans to the Maturity Date plus, if any portion of the Term Loans remains outstanding after December 31, 2033, the Early Redemption Fee or the Exit Fee, as applicable.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Agreed Report</w:t>
      </w:r>
      <w:r>
        <w:rPr>
          <w:color w:val="000000"/>
        </w:rPr>
        <w:t xml:space="preserve">” </w:t>
      </w:r>
      <w:r>
        <w:rPr>
          <w:rFonts w:ascii="Times New Roman;serif" w:hAnsi="Times New Roman;serif"/>
          <w:b w:val="false"/>
          <w:color w:val="000000"/>
          <w:sz w:val="24"/>
        </w:rPr>
        <w:t>means (i) each written report required to be delivered to Company by Jazz pursuant to Section 9.5(c) of the Jazz Agreement and (ii) each written report required to be delivered to Company by the BeOne Parties pursuant to Section 9.4(b) of the BeOne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preamble 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Agreement Currency</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11.03</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Amortization Payments</w:t>
      </w:r>
      <w:r>
        <w:rPr>
          <w:color w:val="000000"/>
        </w:rPr>
        <w:t xml:space="preserve">” </w:t>
      </w:r>
      <w:r>
        <w:rPr>
          <w:rFonts w:ascii="Times New Roman;serif" w:hAnsi="Times New Roman;serif"/>
          <w:b w:val="false"/>
          <w:color w:val="000000"/>
          <w:sz w:val="24"/>
        </w:rPr>
        <w:t xml:space="preserve">means the principal payments of the Term Loan due under </w:t>
      </w:r>
      <w:r>
        <w:rPr>
          <w:rFonts w:ascii="Times New Roman;serif" w:hAnsi="Times New Roman;serif"/>
          <w:b w:val="false"/>
          <w:color w:val="000000"/>
          <w:sz w:val="24"/>
          <w:u w:val="single"/>
        </w:rPr>
        <w:t>Section 4.05(a)</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Applicable Law</w:t>
      </w:r>
      <w:r>
        <w:rPr>
          <w:color w:val="000000"/>
        </w:rPr>
        <w:t xml:space="preserve">” </w:t>
      </w:r>
      <w:r>
        <w:rPr>
          <w:rFonts w:ascii="Times New Roman;serif" w:hAnsi="Times New Roman;serif"/>
          <w:b w:val="false"/>
          <w:color w:val="000000"/>
          <w:sz w:val="24"/>
        </w:rPr>
        <w:t xml:space="preserve">means, in relation to any Person, property, transaction or event, all applicable provisions, whether now or hereafter in effect (or mandatory applicable provisions, if so specified) of federal, provincial, territorial, state or local laws, treaties, statutes, rules, regulations, official directives, and orders of all Governmental Authorities, and all judgments, orders and decisions of all Governmental Authorities in which the Person in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question is a Party or by which it is bound or having application to the Person, property, transaction or event.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Assignee</w:t>
      </w:r>
      <w:r>
        <w:rPr>
          <w:color w:val="000000"/>
        </w:rPr>
        <w:t xml:space="preserve">” </w:t>
      </w:r>
      <w:r>
        <w:rPr>
          <w:rFonts w:ascii="Times New Roman;serif" w:hAnsi="Times New Roman;serif"/>
          <w:b w:val="false"/>
          <w:color w:val="000000"/>
          <w:sz w:val="24"/>
        </w:rPr>
        <w:t>means any other Person to which a Lender has assigned or is assigning its rights and obligations hereunder, whether in whole or in part.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Assignment and Acceptance</w:t>
      </w:r>
      <w:r>
        <w:rPr>
          <w:color w:val="000000"/>
        </w:rPr>
        <w:t xml:space="preserve">” </w:t>
      </w:r>
      <w:r>
        <w:rPr>
          <w:rFonts w:ascii="Times New Roman;serif" w:hAnsi="Times New Roman;serif"/>
          <w:b w:val="false"/>
          <w:color w:val="000000"/>
          <w:sz w:val="24"/>
        </w:rPr>
        <w:t xml:space="preserve">means a written instrument of assignment in the form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executed by and between the parties to an assignment under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Bankruptcy Law</w:t>
      </w:r>
      <w:r>
        <w:rPr>
          <w:color w:val="000000"/>
        </w:rPr>
        <w:t xml:space="preserve">” </w:t>
      </w:r>
      <w:r>
        <w:rPr>
          <w:rFonts w:ascii="Times New Roman;serif" w:hAnsi="Times New Roman;serif"/>
          <w:b w:val="false"/>
          <w:color w:val="000000"/>
          <w:sz w:val="24"/>
        </w:rPr>
        <w:t>means Title 11 of the United States Code entitled “Bankruptcy”, the Bankruptcy and Insolvency Act (Canada), the Companies’ Creditor’s Arrangement Act (Canada), the Winding-up and Restructuring Act (Canada) and all other liquidation, conservatorship, bankruptcy, assignment for the benefit of creditors, moratorium, rearrangement, receivership, insolvency, reorganization, or similar debtor relief laws of the U.S. or other applicable jurisdictions (domestic or non-U.S.) from time to time in effect and affecting the rights of creditors generally.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BeOne</w:t>
      </w:r>
      <w:r>
        <w:rPr>
          <w:color w:val="000000"/>
        </w:rPr>
        <w:t xml:space="preserve">” </w:t>
      </w:r>
      <w:r>
        <w:rPr>
          <w:rFonts w:ascii="Times New Roman;serif" w:hAnsi="Times New Roman;serif"/>
          <w:b w:val="false"/>
          <w:color w:val="000000"/>
          <w:sz w:val="24"/>
        </w:rPr>
        <w:t>means BeOne Medicines Ltd. (f/k/a BeiGene, Ltd.), and any successor-in-interest 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BeOne Agreement</w:t>
      </w:r>
      <w:r>
        <w:rPr>
          <w:color w:val="000000"/>
        </w:rPr>
        <w:t xml:space="preserve">” </w:t>
      </w:r>
      <w:r>
        <w:rPr>
          <w:rFonts w:ascii="Times New Roman;serif" w:hAnsi="Times New Roman;serif"/>
          <w:b w:val="false"/>
          <w:color w:val="000000"/>
          <w:sz w:val="24"/>
        </w:rPr>
        <w:t>means, collectively: (i) the BeOne License Agreement; and (ii) that certain Three-Party Royalty Payment Agreement, dated October 30, 2025 and effective as of December 6, 2024, by and between the Company, BeOne Medicines Ltd. (f/k/a BeiGene, Ltd.) and BeOne Suzhou, as further amended from time to time (but subject to the terms of this Agreement and the Sale Agreement with respect to the amendments thereof). For the avoidance of doubt, unless expressly stated otherwise, any reference to a “Section” (or similar internal reference) of the BeOne Agreement in this Agreement shall be deemed to refer to the corresponding Section of the BeOne License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BeOne License Agreement</w:t>
      </w:r>
      <w:r>
        <w:rPr>
          <w:color w:val="000000"/>
        </w:rPr>
        <w:t xml:space="preserve">” </w:t>
      </w:r>
      <w:r>
        <w:rPr>
          <w:rFonts w:ascii="Times New Roman;serif" w:hAnsi="Times New Roman;serif"/>
          <w:b w:val="false"/>
          <w:color w:val="000000"/>
          <w:sz w:val="24"/>
        </w:rPr>
        <w:t>means that certain License and Collaboration Agreement, dated as of November 26, 2018, by and between Company and BeOne, as amended by that certain First Amendment to Collaboration Agreement, dated as of March 29, 2021, that certain Second Amendment to License and Collaboration Agreement, dated as of August 10, 2021, that certain Third Amendment to License and Collaboration Agreement, dated as of September 18, 2023 and as further amended from time to time (but subject to the terms of this Agreement and the Sale Agreement with respect to the amendments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BeOne Net Sales</w:t>
      </w:r>
      <w:r>
        <w:rPr>
          <w:color w:val="000000"/>
        </w:rPr>
        <w:t xml:space="preserve">” </w:t>
      </w:r>
      <w:r>
        <w:rPr>
          <w:rFonts w:ascii="Times New Roman;serif" w:hAnsi="Times New Roman;serif"/>
          <w:b w:val="false"/>
          <w:color w:val="000000"/>
          <w:sz w:val="24"/>
        </w:rPr>
        <w:t>has the meaning set forth in the Sale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BeOne Parties</w:t>
      </w:r>
      <w:r>
        <w:rPr>
          <w:color w:val="000000"/>
        </w:rPr>
        <w:t xml:space="preserve">” </w:t>
      </w:r>
      <w:r>
        <w:rPr>
          <w:rFonts w:ascii="Times New Roman;serif" w:hAnsi="Times New Roman;serif"/>
          <w:b w:val="false"/>
          <w:color w:val="000000"/>
          <w:sz w:val="24"/>
        </w:rPr>
        <w:t>means, collectively, BeOne and BeOne Suzhou.</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BeOne Suzhou</w:t>
      </w:r>
      <w:r>
        <w:rPr>
          <w:color w:val="000000"/>
        </w:rPr>
        <w:t xml:space="preserve">” </w:t>
      </w:r>
      <w:r>
        <w:rPr>
          <w:rFonts w:ascii="Times New Roman;serif" w:hAnsi="Times New Roman;serif"/>
          <w:b w:val="false"/>
          <w:color w:val="000000"/>
          <w:sz w:val="24"/>
        </w:rPr>
        <w:t>means BeOne Pharmaceutical (Suzhou) Co., Ltd., and any successor-in-interest 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BeOne Territory</w:t>
      </w:r>
      <w:r>
        <w:rPr>
          <w:color w:val="000000"/>
        </w:rPr>
        <w:t xml:space="preserve">” </w:t>
      </w:r>
      <w:r>
        <w:rPr>
          <w:rFonts w:ascii="Times New Roman;serif" w:hAnsi="Times New Roman;serif"/>
          <w:b w:val="false"/>
          <w:color w:val="000000"/>
          <w:sz w:val="24"/>
        </w:rPr>
        <w:t>has the meaning set forth in the Sale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BIA</w:t>
      </w:r>
      <w:r>
        <w:rPr>
          <w:color w:val="000000"/>
        </w:rPr>
        <w:t xml:space="preserve">” </w:t>
      </w:r>
      <w:r>
        <w:rPr>
          <w:rFonts w:ascii="Times New Roman;serif" w:hAnsi="Times New Roman;serif"/>
          <w:b w:val="false"/>
          <w:color w:val="000000"/>
          <w:sz w:val="24"/>
        </w:rPr>
        <w:t xml:space="preserve">means the </w:t>
      </w:r>
      <w:r>
        <w:rPr>
          <w:rFonts w:ascii="Times New Roman;serif" w:hAnsi="Times New Roman;serif"/>
          <w:b w:val="false"/>
          <w:i/>
          <w:color w:val="000000"/>
          <w:sz w:val="24"/>
        </w:rPr>
        <w:t xml:space="preserve">Bankruptcy and Insolvency Act </w:t>
      </w:r>
      <w:r>
        <w:rPr>
          <w:rFonts w:ascii="Times New Roman;serif" w:hAnsi="Times New Roman;serif"/>
          <w:b w:val="false"/>
          <w:color w:val="000000"/>
          <w:sz w:val="24"/>
        </w:rPr>
        <w:t>(Canada).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Bill of Sale</w:t>
      </w:r>
      <w:r>
        <w:rPr>
          <w:color w:val="000000"/>
        </w:rPr>
        <w:t xml:space="preserve">” </w:t>
      </w:r>
      <w:r>
        <w:rPr>
          <w:rFonts w:ascii="Times New Roman;serif" w:hAnsi="Times New Roman;serif"/>
          <w:b w:val="false"/>
          <w:color w:val="000000"/>
          <w:sz w:val="24"/>
        </w:rPr>
        <w:t>means the Bill of Sale and Assumption Agreement, dated as of the Closing Date, delivered by Company to Borrower under the Sale Agreement with respect to the Transferred Royalty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Bona Fide Lending Affiliate</w:t>
      </w:r>
      <w:r>
        <w:rPr>
          <w:color w:val="000000"/>
        </w:rPr>
        <w:t xml:space="preserve">” </w:t>
      </w:r>
      <w:r>
        <w:rPr>
          <w:rFonts w:ascii="Times New Roman;serif" w:hAnsi="Times New Roman;serif"/>
          <w:b w:val="false"/>
          <w:color w:val="000000"/>
          <w:sz w:val="24"/>
        </w:rPr>
        <w:t>means any bona fide debt fund, investment vehicle, regulated banking entity, non-regulated lending entity or other similar entity (in each case, other than a Person that is explicitly excluded pursuant to clause (a) of the definition of “Disqualified Institution”) that is primarily engaged in commercial loans, making, purchasing, holding or investing in royalty streams, and similar extensions of credit in the ordinary course of business.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shall have the meaning set forth in the preamble 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Borrower’s Organizational Documents</w:t>
      </w:r>
      <w:r>
        <w:rPr>
          <w:color w:val="000000"/>
        </w:rPr>
        <w:t xml:space="preserve">” </w:t>
      </w:r>
      <w:r>
        <w:rPr>
          <w:rFonts w:ascii="Times New Roman;serif" w:hAnsi="Times New Roman;serif"/>
          <w:b w:val="false"/>
          <w:color w:val="000000"/>
          <w:sz w:val="24"/>
        </w:rPr>
        <w:t>means the certificate of limited partnership and Limited Partnership Agreement (or similar documents) of Borrower or the functional equivalent of the foregoing.</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Borrower GP</w:t>
      </w:r>
      <w:r>
        <w:rPr>
          <w:color w:val="000000"/>
        </w:rPr>
        <w:t xml:space="preserve">” </w:t>
      </w:r>
      <w:r>
        <w:rPr>
          <w:rFonts w:ascii="Times New Roman;serif" w:hAnsi="Times New Roman;serif"/>
          <w:b w:val="false"/>
          <w:color w:val="000000"/>
          <w:sz w:val="24"/>
        </w:rPr>
        <w:t>means Zymeworks General Partner ULC, an unlimited liability corporation incorporated under the laws of British Columbia.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that is not a Saturday, Sunday or other day on which commercial banks in New York City and Vancouver, Canada are authorized or required by Applicable Law to remain closed.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Canadian Defined Benefit Plan</w:t>
      </w:r>
      <w:r>
        <w:rPr>
          <w:color w:val="000000"/>
        </w:rPr>
        <w:t xml:space="preserve">” </w:t>
      </w:r>
      <w:r>
        <w:rPr>
          <w:rFonts w:ascii="Times New Roman;serif" w:hAnsi="Times New Roman;serif"/>
          <w:b w:val="false"/>
          <w:color w:val="000000"/>
          <w:sz w:val="24"/>
        </w:rPr>
        <w:t>means a pension plan registered under the ITA, the Pension Benefits Standards Act (British Columbia) or any other applicable pension standards legislation which contains a “defined benefit provision”, as such term is defined in subsection 147.1(1) of the ITA.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CCAA</w:t>
      </w:r>
      <w:r>
        <w:rPr>
          <w:color w:val="000000"/>
        </w:rPr>
        <w:t xml:space="preserve">” </w:t>
      </w:r>
      <w:r>
        <w:rPr>
          <w:rFonts w:ascii="Times New Roman;serif" w:hAnsi="Times New Roman;serif"/>
          <w:b w:val="false"/>
          <w:color w:val="000000"/>
          <w:sz w:val="24"/>
        </w:rPr>
        <w:t xml:space="preserve">means the </w:t>
      </w:r>
      <w:r>
        <w:rPr>
          <w:rFonts w:ascii="Times New Roman;serif" w:hAnsi="Times New Roman;serif"/>
          <w:b w:val="false"/>
          <w:i/>
          <w:color w:val="000000"/>
          <w:sz w:val="24"/>
        </w:rPr>
        <w:t xml:space="preserve">Companies’ Creditors Arrangement Act </w:t>
      </w:r>
      <w:r>
        <w:rPr>
          <w:rFonts w:ascii="Times New Roman;serif" w:hAnsi="Times New Roman;serif"/>
          <w:b w:val="false"/>
          <w:color w:val="000000"/>
          <w:sz w:val="24"/>
        </w:rPr>
        <w:t>(Canada).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Capital Stock</w:t>
      </w:r>
      <w:r>
        <w:rPr>
          <w:color w:val="000000"/>
        </w:rPr>
        <w:t xml:space="preserve">” </w:t>
      </w:r>
      <w:r>
        <w:rPr>
          <w:rFonts w:ascii="Times New Roman;serif" w:hAnsi="Times New Roman;serif"/>
          <w:b w:val="false"/>
          <w:color w:val="000000"/>
          <w:sz w:val="24"/>
        </w:rPr>
        <w:t>of any Person means any and all shares, interests, memberships, ownership interest units, rights to purchase, warrants, options, participations or other equivalents of or interests in (however designated) equity of such Person, including any preferred stock, and including, if such Person is a partnership, partnership interests (whether general or limited) and any other interest or participation that confers on a Person the right to receive a share of the profits and losses of, or distributions of property of, such partnership, and including, if such Person is a limited liability company, membership interests and any other interest or participation that confers on a Person the right to receive an interest in the profits and losses of, or distributions of property of, such limited liability company, in each case whether outstanding on the date hereof or issued after the date hereof, but excluding any Indebtedness convertible into or exchangeable for such equity.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of more than [***] of the equity interests of Parent entitled to vote for members of its board of directors of Parent on a fully diluted basis (and taking into account all such securities that such person or group has the right to acquire by conversion or exercise of other securities or option rights, whether such right is currently exercisable or is exercisable only upon the occurrence of a subsequent condition);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consummation of any transaction or series of related transactions that results in the sale, disposition or other transfer of all or substantially all of the assets of Parent and its Subsidiaries on a consolidated basis to a Person that is not a Subsidiary of Parent;</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Parent shall cease to beneficially own and control at least [***] on a fully diluted basis of the economic and voting interest in the Capital Stock of the Company;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Company and Borrower GP shall cease to beneficially own and control, collectively, [***] on a fully diluted basis of the economic and voting interest in the Capital Stock of Borrower, free and clear of all Liens other than the Lien granted to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means March 2, 2026.</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means all of Borrower’s right, title and interest in, to and under, the following property, whether now owned or hereafter acquired and wherever located: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Transferred Royalty Interest, the Sale Agreement, and the Bill of Sale;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accounts, chattel paper, deposit accounts (and all money and other property deposited or maintained therein), documents, equipment, fixtures, general intangibles, intangibles, goods, instruments (including intercompany promissory notes), inventory, investment property, letter-of-credit rights, letters of credit, commercial tort claims, money, and supporting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all rights (contractual and otherwise and whether constituting accounts, contract rights, financial assets, cash, investment property, general intangibles or intangibles) arising under, connected with or in any way related to the assets described in the foregoing clauses (a), or (b);</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all other tangible or intangible personal property and rights of every kind and description and interests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all accessions, substitutions and replacements for, and all rents, profits and products of, any assets described in the foregoing clauses (a), (b), (c) or (d);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all proceeds of any assets described in the foregoing clauses (a), (b), (c), (d) or (e);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all books and records related to any assets described in the foregoing clauses (a), (b), (c), (d), (e) or (f).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Collateral Documents</w:t>
      </w:r>
      <w:r>
        <w:rPr>
          <w:color w:val="000000"/>
        </w:rPr>
        <w:t xml:space="preserve">” </w:t>
      </w:r>
      <w:r>
        <w:rPr>
          <w:rFonts w:ascii="Times New Roman;serif" w:hAnsi="Times New Roman;serif"/>
          <w:b w:val="false"/>
          <w:color w:val="000000"/>
          <w:sz w:val="24"/>
        </w:rPr>
        <w:t>means the Security Agreement, the Pledge Agreement and all other instruments, documents and agreements delivered by any Loan Party pursuant to this Agreement or any of the other Loan Documents in order to grant to Administrative Agent a Lien on any Collateral, in each case, as such Collateral Documents may be amended or otherwise modified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Collection Account</w:t>
      </w:r>
      <w:r>
        <w:rPr>
          <w:color w:val="000000"/>
        </w:rPr>
        <w:t xml:space="preserve">” </w:t>
      </w:r>
      <w:r>
        <w:rPr>
          <w:rFonts w:ascii="Times New Roman;serif" w:hAnsi="Times New Roman;serif"/>
          <w:b w:val="false"/>
          <w:color w:val="000000"/>
          <w:sz w:val="24"/>
        </w:rPr>
        <w:t xml:space="preserve">means the escrow account to be established by the Escrow Agent under the Escrow Agreement for the benefit of Company and the Borrower solely for the purpose of receiving remittance of the Zani Royalties pursuant to the Covered Agreements and disbursement thereof as provided herein or in the Escrow Agreement, and any replacement Collection Account controlled by the Escrow Agent and subject to the Escrow Agreement and entered into in accordance with </w:t>
      </w:r>
      <w:r>
        <w:rPr>
          <w:rFonts w:ascii="Times New Roman;serif" w:hAnsi="Times New Roman;serif"/>
          <w:b w:val="false"/>
          <w:color w:val="000000"/>
          <w:sz w:val="24"/>
          <w:u w:val="single"/>
        </w:rPr>
        <w:t>Section 4.04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Zymeworks BC Inc., a corporation organized and existing under the laws of British Columbia, provided that at the election of Company and with the consent of the Administrative Agent (not to be unreasonably withheld), Company may be replaced by an Affiliate of Company pursuant to joinder, assignment and/or other documentation (including legal opinions) with respect to the Loan Documents, reasonably requested by, and reasonably acceptable to, the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Competitor</w:t>
      </w:r>
      <w:r>
        <w:rPr>
          <w:color w:val="000000"/>
        </w:rPr>
        <w:t xml:space="preserve">” </w:t>
      </w:r>
      <w:r>
        <w:rPr>
          <w:rFonts w:ascii="Times New Roman;serif" w:hAnsi="Times New Roman;serif"/>
          <w:b w:val="false"/>
          <w:color w:val="000000"/>
          <w:sz w:val="24"/>
        </w:rPr>
        <w:t>means any Person that is an operating company that competes with the business operations of the Parent, Company, Borrower and their respective Subsidiaries.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means any and all non-public information provided by either Party to the other (including, without limitation, any notices or other information provided pursuant to </w:t>
      </w:r>
      <w:r>
        <w:rPr>
          <w:rFonts w:ascii="Times New Roman;serif" w:hAnsi="Times New Roman;serif"/>
          <w:b w:val="false"/>
          <w:color w:val="000000"/>
          <w:sz w:val="24"/>
          <w:u w:val="single"/>
        </w:rPr>
        <w:t>Section 8.08</w:t>
      </w:r>
      <w:r>
        <w:rPr>
          <w:rFonts w:ascii="Times New Roman;serif" w:hAnsi="Times New Roman;serif"/>
          <w:b w:val="false"/>
          <w:color w:val="000000"/>
          <w:sz w:val="24"/>
        </w:rPr>
        <w:t xml:space="preserve">), either directly or indirectly, whether in graphic, written, electronic, tangible, intangible or oral form, and marked or identified at the time of disclosure as confidential, or which by its context would reasonably be deemed to be confidential, including without limitation information relating to a Party’s revenues, net sales, costs, technology, products and services, and any business, financial or customer information relating to a Party. Confidential Information shall not include any information that a Party can demonstrate was: (i) known to the general public at the time of its disclosure to such Party or its Affiliates, or thereafter became generally known to the general public, other than as a result of a breach of this Agreement or actions or omissions of the receiving Party, its Affiliates, or anyone to whom the receiving Party or its Affiliates disclosed such portion; (ii) known by the receiving Party or its Affiliates prior to the date of disclosure by the disclosing Party, as shown by the receiving Party’s or its Affiliate’s pre-existing written records; (iii) disclosed to the receiving Party or its Affiliates on an non-confidential basis from a source unrelated to the disclosing Party and not known by the receiving Party or its Affiliates (after due inquiry) to be under a duty of confidentiality to the disclosing Party, as shown by the receiving Party’s or its Affiliates’ written records; or (iv) independently developed by the receiving Party or its Affiliates by personnel that did not use the Confidential Information of the disclosing Party in connection with such development, as demonstrated by independent written records contemporaneous with such development. For clarity, this Agreement shall supersede the Confidentiality Agreement and the Confidentiality Agreement shall cease to be of any force and effect following the execution of this Agreement; provided, however, that all information falling within the definition of “Confidential Information” set forth in the Confidentiality Agreement shall also be deemed Confidential Information disclosed pursuant to this Agreement, and the use and disclosure of such Confidential Information following the date of this Agreement shall be subject to the provisions of </w:t>
      </w:r>
      <w:r>
        <w:rPr>
          <w:rFonts w:ascii="Times New Roman;serif" w:hAnsi="Times New Roman;serif"/>
          <w:b w:val="false"/>
          <w:color w:val="000000"/>
          <w:sz w:val="24"/>
          <w:u w:val="single"/>
        </w:rPr>
        <w:t>Section 13.17</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means that certain Mutual Confidentiality and Non-Disclosure Agreement between the Parent and Royalty Pharma, LLC, effective as of June 5, 2025.</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any agreement, contract, lease, understanding, commitment, license or other arrangement that is legally binding.</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Controlled Affiliate</w:t>
      </w:r>
      <w:r>
        <w:rPr>
          <w:color w:val="000000"/>
        </w:rPr>
        <w:t xml:space="preserve">” </w:t>
      </w:r>
      <w:r>
        <w:rPr>
          <w:rFonts w:ascii="Times New Roman;serif" w:hAnsi="Times New Roman;serif"/>
          <w:b w:val="false"/>
          <w:color w:val="000000"/>
          <w:sz w:val="24"/>
        </w:rPr>
        <w:t>with respect to any Person means any other Person directly or indirectly controlling, controlled by or under common control with, such Person. For the purposes of this Agreement,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(including, with correlative meaning, the terms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controlled</w:t>
      </w:r>
      <w:r>
        <w:rPr>
          <w:color w:val="000000"/>
        </w:rPr>
        <w:t>”</w:t>
      </w:r>
      <w:r>
        <w:rPr>
          <w:rFonts w:ascii="Times New Roman;serif" w:hAnsi="Times New Roman;serif"/>
          <w:b w:val="false"/>
          <w:color w:val="000000"/>
          <w:sz w:val="24"/>
        </w:rPr>
        <w:t>) means the possession, directly or indirectly, of the power to direct or cause the direction of the management and policies of such Person, whether through the ownership of voting securities, by contract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Covered Agreement Counterparty</w:t>
      </w:r>
      <w:r>
        <w:rPr>
          <w:color w:val="000000"/>
        </w:rPr>
        <w:t xml:space="preserve">” </w:t>
      </w:r>
      <w:r>
        <w:rPr>
          <w:rFonts w:ascii="Times New Roman;serif" w:hAnsi="Times New Roman;serif"/>
          <w:b w:val="false"/>
          <w:color w:val="000000"/>
          <w:sz w:val="24"/>
        </w:rPr>
        <w:t>means, with respect to any Covered Agreement, the party or parties thereto other than Company or any of its Affiliates.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Covered Agreements</w:t>
      </w:r>
      <w:r>
        <w:rPr>
          <w:color w:val="000000"/>
        </w:rPr>
        <w:t xml:space="preserve">” </w:t>
      </w:r>
      <w:r>
        <w:rPr>
          <w:rFonts w:ascii="Times New Roman;serif" w:hAnsi="Times New Roman;serif"/>
          <w:b w:val="false"/>
          <w:color w:val="000000"/>
          <w:sz w:val="24"/>
        </w:rPr>
        <w:t>means, collectively, the Jazz Agreement and the BeOne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Credit Extension</w:t>
      </w:r>
      <w:r>
        <w:rPr>
          <w:color w:val="000000"/>
        </w:rPr>
        <w:t xml:space="preserve">” </w:t>
      </w:r>
      <w:r>
        <w:rPr>
          <w:rFonts w:ascii="Times New Roman;serif" w:hAnsi="Times New Roman;serif"/>
          <w:b w:val="false"/>
          <w:color w:val="000000"/>
          <w:sz w:val="24"/>
        </w:rPr>
        <w:t>means the making of a Term Loan.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means any condition or event which constitutes an Event of Default or which, with the giving of notice or the lapse of time or both (in each case to the extent described in the relevant sub-clauses of the definition of “Event of Default”) would, unless cured or waived, become an Event of Default.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Disqualified Capital Stock</w:t>
      </w:r>
      <w:r>
        <w:rPr>
          <w:color w:val="000000"/>
        </w:rPr>
        <w:t xml:space="preserve">” </w:t>
      </w:r>
      <w:r>
        <w:rPr>
          <w:rFonts w:ascii="Times New Roman;serif" w:hAnsi="Times New Roman;serif"/>
          <w:b w:val="false"/>
          <w:color w:val="000000"/>
          <w:sz w:val="24"/>
        </w:rPr>
        <w:t xml:space="preserve">of any Person means any class of Capital Stock of such Person that, by its terms, or by the terms of any related agreement or of any security into which it is convertible, puttable or exchangeable, is, or upon the happening of any event (other than an event that would constitute a Change of Control) or the passage of time would be, required to be redeemed by such Person, whether or not at the option of the holder thereof, or matures or is mandatorily redeemable, pursuant to a sinking fund obligation or otherwise, in whole or in part, on or prior to the date which is ninety one (91) days after the Maturity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class of Capital Stock of such Person that, by its terms, authorizes such Person to satisfy in full its obligations with respect to the payment of dividends or upon maturity, redemption (pursuant to a sinking fund or otherwise) or repurchase thereof or otherwise by the delivery of Capital Stock that is not Disqualified Capital Stock, and that is not convertible, puttable or exchangeable for Disqualified Capital Stock or Indebtedness, will not be deemed to be Disqualified Capital Stock so long as such Person satisfies its obligations with respect thereto solely by the delivery of Capital Stock that is not Disqualified Capital Stock.</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Disqualified Institution</w:t>
      </w:r>
      <w:r>
        <w:rPr>
          <w:color w:val="000000"/>
        </w:rPr>
        <w:t xml:space="preserve">” </w:t>
      </w:r>
      <w:r>
        <w:rPr>
          <w:rFonts w:ascii="Times New Roman;serif" w:hAnsi="Times New Roman;serif"/>
          <w:b w:val="false"/>
          <w:color w:val="000000"/>
          <w:sz w:val="24"/>
        </w:rPr>
        <w:t>means, on any date, (a)(i) any Competitor or (ii) other Person (including any financial institution), in each case of (i) and (ii) identified as a Disqualified Institution on the list delivered to Administrative Agent by Borrower prior to the Closing Date, (b) any Competitor that is designated by Borrower as a Disqualified Institution by prior notice to Administrative Agent on the Closing Date, and (c) any Disqualified Institution’s known Affiliates or Affiliates identified in writing to Administrative Agent from time to time or otherwise readily identifiable as such by name. Notwithstanding the foregoing, in no event will a Bona Fide Lending Affiliate be a Disqualified Institution, unless such Bona Fide Lending Affiliate is explicitly identified under clause (a) of the definition of “Disqualified Institution” above.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Term Loans, or disclosure of Confidential Information, to any Disqualified Institution, except to the extent resulting from Administrative Agent’s own gross negligence or willful misconduct as determined by a final non-appealable judgment by a court of competent jurisdiction.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Dollars</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means lawful money of the United States of America.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Early Redemption Fee</w:t>
      </w:r>
      <w:r>
        <w:rPr>
          <w:color w:val="000000"/>
        </w:rPr>
        <w:t xml:space="preserve">” </w:t>
      </w:r>
      <w:r>
        <w:rPr>
          <w:rFonts w:ascii="Times New Roman;serif" w:hAnsi="Times New Roman;serif"/>
          <w:b w:val="false"/>
          <w:color w:val="000000"/>
          <w:sz w:val="24"/>
        </w:rPr>
        <w:t xml:space="preserve">means the penalty payable by the Borrower for repaying all or part of the Term Loans after December 31, 2033 and before the Maturity Date and is an amount initially equal to [***], as such amount may be reduced pursuant to </w:t>
      </w:r>
      <w:r>
        <w:rPr>
          <w:rFonts w:ascii="Times New Roman;serif" w:hAnsi="Times New Roman;serif"/>
          <w:b w:val="false"/>
          <w:color w:val="000000"/>
          <w:sz w:val="24"/>
          <w:u w:val="single"/>
        </w:rPr>
        <w:t>Section 4.05</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Employee Benefit Plan</w:t>
      </w:r>
      <w:r>
        <w:rPr>
          <w:color w:val="000000"/>
        </w:rPr>
        <w:t xml:space="preserve">” </w:t>
      </w:r>
      <w:r>
        <w:rPr>
          <w:rFonts w:ascii="Times New Roman;serif" w:hAnsi="Times New Roman;serif"/>
          <w:b w:val="false"/>
          <w:color w:val="000000"/>
          <w:sz w:val="24"/>
        </w:rPr>
        <w:t>means any “employee benefit plan” as defined in Section 3(3)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 and the regulations promulgated thereunder.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Erroneous Payment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12.11(a)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Erroneous Payment Subrogation Rights</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12.11(d)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Escrow Agent</w:t>
      </w:r>
      <w:r>
        <w:rPr>
          <w:color w:val="000000"/>
        </w:rPr>
        <w:t xml:space="preserve">” </w:t>
      </w:r>
      <w:r>
        <w:rPr>
          <w:rFonts w:ascii="Times New Roman;serif" w:hAnsi="Times New Roman;serif"/>
          <w:b w:val="false"/>
          <w:color w:val="000000"/>
          <w:sz w:val="24"/>
        </w:rPr>
        <w:t>means JPMorgan Chase Bank, N.A., Toronto Branch, or any other escrow agent reasonably acceptable to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Escrow Agreement</w:t>
      </w:r>
      <w:r>
        <w:rPr>
          <w:color w:val="000000"/>
        </w:rPr>
        <w:t xml:space="preserve">” </w:t>
      </w:r>
      <w:r>
        <w:rPr>
          <w:rFonts w:ascii="Times New Roman;serif" w:hAnsi="Times New Roman;serif"/>
          <w:b w:val="false"/>
          <w:color w:val="000000"/>
          <w:sz w:val="24"/>
        </w:rPr>
        <w:t>means an escrow agreement to be entered into by and among Borrower, the Company, Administrative Agent and the Escrow Agent, containing customary and reasonable terms, and otherwise in a form mutually acceptable to Borrower, the Company, Administrative Agent and Escrow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means the occurrence of one or more of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Borrower fails to pay all or any portion of the Principal Amount within three [***] after the same becomes due and payable on the Maturity Date or pursuant to </w:t>
      </w:r>
      <w:r>
        <w:rPr>
          <w:rFonts w:ascii="Times New Roman;serif" w:hAnsi="Times New Roman;serif"/>
          <w:b w:val="false"/>
          <w:color w:val="000000"/>
          <w:sz w:val="24"/>
          <w:u w:val="single"/>
        </w:rPr>
        <w:t>Section 3.02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Borrower fails to make any payment under </w:t>
      </w:r>
      <w:r>
        <w:rPr>
          <w:rFonts w:ascii="Times New Roman;serif" w:hAnsi="Times New Roman;serif"/>
          <w:b w:val="false"/>
          <w:color w:val="000000"/>
          <w:sz w:val="24"/>
          <w:u w:val="single"/>
        </w:rPr>
        <w:t>Section 4.05</w:t>
      </w:r>
      <w:r>
        <w:rPr>
          <w:color w:val="000000"/>
        </w:rPr>
        <w:t xml:space="preserve"> </w:t>
      </w:r>
      <w:r>
        <w:rPr>
          <w:rFonts w:ascii="Times New Roman;serif" w:hAnsi="Times New Roman;serif"/>
          <w:b w:val="false"/>
          <w:color w:val="000000"/>
          <w:sz w:val="24"/>
        </w:rPr>
        <w:t>within [***] after the same becomes due and payable (it being understood that a failure by the Escrow Agent to make a required payment shall not be an Event of Default unless such failure is caused by the Borrower or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representation or warranty of a Loan Party in any Loan Document to which it is party or in any certificate or other document delivered by a Loan Party in connection with the Loan Documents to Administrative Agent proves to have been incorrect in any material respect at the time it was made or deemed made (except that any representation or warranty that is qualified as to “materiality” or “Material Adverse Effect”, or by reference to an objective standard (e.g., a specified Dollar amount), shall be true and correct in all respects);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the consequences of the failure of such representation or warranty to be true and correct can be cured, such failure continues for a period of [***] without cure after the earlier of (x) the date Borrower has Knowledge of such failure or (y) the date Administrative Agent provides Notice of such failure to Borrower.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Borrower fails to perform or observe (i) any covenant or agreement contained in </w:t>
      </w:r>
      <w:r>
        <w:rPr>
          <w:rFonts w:ascii="Times New Roman;serif" w:hAnsi="Times New Roman;serif"/>
          <w:b w:val="false"/>
          <w:color w:val="000000"/>
          <w:sz w:val="24"/>
          <w:u w:val="single"/>
        </w:rPr>
        <w:t>Section 8.01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8.08(a)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or (ii) any covenant or agreement contained in </w:t>
      </w:r>
      <w:r>
        <w:rPr>
          <w:rFonts w:ascii="Times New Roman;serif" w:hAnsi="Times New Roman;serif"/>
          <w:b w:val="false"/>
          <w:color w:val="000000"/>
          <w:sz w:val="24"/>
          <w:u w:val="single"/>
        </w:rPr>
        <w:t>Section 4.05</w:t>
      </w:r>
      <w:r>
        <w:rPr>
          <w:color w:val="000000"/>
        </w:rPr>
        <w:t xml:space="preserve"> </w:t>
      </w:r>
      <w:r>
        <w:rPr>
          <w:rFonts w:ascii="Times New Roman;serif" w:hAnsi="Times New Roman;serif"/>
          <w:b w:val="false"/>
          <w:color w:val="000000"/>
          <w:sz w:val="24"/>
        </w:rPr>
        <w:t>and, in the case of this clause (ii) only, such failure continues for a period of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Borrower fails to perform or observe any other covenant or agreement contained in the Loan Documents to which it is a party (other than those referred to in the preceding clauses of this definition) and, solely if the consequences of the failure to perform or observe such covenant or agreement can be cured, such failure continues for a period of [***]without such cure after the earlier of (x) the date Borrower becomes aware of such failure and (y) the date Administrative Agent provides notice of such failure to Borrower.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Company fails to perform or observe (i) any covenant or agreement contained in </w:t>
      </w:r>
      <w:r>
        <w:rPr>
          <w:rFonts w:ascii="Times New Roman;serif" w:hAnsi="Times New Roman;serif"/>
          <w:b w:val="false"/>
          <w:color w:val="000000"/>
          <w:sz w:val="24"/>
          <w:u w:val="single"/>
        </w:rPr>
        <w:t>Sections 4.01(d)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(f)(i)</w:t>
      </w:r>
      <w:r>
        <w:rPr>
          <w:rFonts w:ascii="Times New Roman;serif" w:hAnsi="Times New Roman;serif"/>
          <w:b w:val="false"/>
          <w:color w:val="000000"/>
          <w:sz w:val="24"/>
        </w:rPr>
        <w:t xml:space="preserve">, (g),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subsection (iii)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(k)</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(l)</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(n)</w:t>
      </w:r>
      <w:r>
        <w:rPr>
          <w:color w:val="000000"/>
        </w:rPr>
        <w:t xml:space="preserve"> </w:t>
      </w:r>
      <w:r>
        <w:rPr>
          <w:rFonts w:ascii="Times New Roman;serif" w:hAnsi="Times New Roman;serif"/>
          <w:b w:val="false"/>
          <w:color w:val="000000"/>
          <w:sz w:val="24"/>
        </w:rPr>
        <w:t xml:space="preserve">of the Sale Agreement or (ii) any other covenant or agreement contained in the Loan Documents to which it is a party, in the case of this clause (ii) only, such failure continues for a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period of [***] without cure after the earlier of (x) the date Borrower has Knowledge of such failure or (y) the date Administrative Agent provides Notice of such failure to Borrower.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Borrower (i) fails to pay when due (whether by scheduled maturity, required prepayment, acceleration, demand or otherwise) any Indebtedness (other than the Obligations hereunder) of [***] or (ii) fails to perform or observe any covenant or agreement to be performed or observed by it contained in any agreement or in any instrument evidencing any of its Indebtedness (other than the Obligations hereunder) of [***] and, as a result of such failure, any other party to that agreement or instrument is entitled to exercise the right to accelerate the maturity of any Indebtedness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Any uninsured judgment, decree or order in an amount in excess of [***] shall be rendered against Borrower and either (i) enforcement proceedings shall have been commenced upon such judgment, decree or order or (ii) such judgment, decree or order shall not have been stayed or bonded pending appeal, vacated or discharged, within [***] from entry.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An Insolvency Event occurs.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Any of the Loan Documents ceases to be in full force and effect or (ii) the validity or enforceability of any Loan Document is disaffirmed or challenged in writing by Borrower, Company or any of their respective Affiliates, or by any Person (other than a Lender) asserting an interest in any portion of the Collateral and such written disaffirmation or challenge is not withdrawn or disavowed by such Person within [***] after its communication or Borrower has not brought appropriate proceedings for declaratory or other relief negating such disaffirmation or challenge within [***] after such communication and has not obtained an order granting such relief within [***] after commencement of such proceedings.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Borrower fails to perform or observe any covenant or agreement contained in any of Borrower’s Organizational Documents, and such failure is not cured or waived within any applicable grace period, and, if not cured, is not waived by the Required Lenders.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A Covered Agreement is terminated.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Any security interest purported to be created by a Collateral Document ceases to be in full force and effect, or shall cease to give the rights, powers and privileges purported to be created and granted hereunder or thereunder (including a perfected first priority security interest in and Lien on the Collateral (except as otherwise expressly provided herein and therein)) in favor of Administrative Agent pursuant hereto or thereto (other than as a result of the failure by the Administrative Agent or a Lender of taking any action required to maintain the perfection of such security interests), or shall be asserted by Borrower not to be a valid, perfected, first priority (except as otherwise expressly provided in this Agreement or such Security Agreement) security interest in the Collateral and/or Borrower takes any action that could reasonably be expected to impair Administrative Agent’s security interest in any of the Collateral (other than granting Permitted Liens or permitting such Permitted Liens to exist).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The occurrence of a Change of Control.</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the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means any of the following Taxes imposed on or with respect to or required to be withheld or deducted from a payment to Administrative Agent, any Lender, or any other recipient: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Taxes imposed on (or measured by) net income (however denominated), branch profits Taxes, or any franchise or similar Taxes imposed in lieu thereof, imposed by any Governmental Authority, in each case (i) as a result of such Lender being organized under the laws of, or having its principal office or its applicable lending office located in, the jurisdiction imposing such Tax (or any political subdivision thereof) or (ii) that are Other Connection Taxes;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U.S. federal withholding Tax imposed on amounts payable to or for the account of such Lender with respect to an applicable interest in the Term Loans or commitments pursuant to a law in effect on the date on which (i) such Lender acquires such interest in such commitment or (ii) such Lender designates a new lending office, except in each case to the extent that amounts with respect to such Taxes were payable pursuant to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5.04</w:t>
      </w:r>
      <w:r>
        <w:rPr>
          <w:color w:val="000000"/>
        </w:rPr>
        <w:t xml:space="preserve"> </w:t>
      </w:r>
      <w:r>
        <w:rPr>
          <w:rFonts w:ascii="Times New Roman;serif" w:hAnsi="Times New Roman;serif"/>
          <w:b w:val="false"/>
          <w:color w:val="000000"/>
          <w:sz w:val="24"/>
        </w:rPr>
        <w:t>either to such Lender’s assignor immediately before such Lender acquired such applicable interest in the Term Loans or commitments (as applicable) or to such Lender immediately before it changed its lending office,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any Canadian withholding Taxes arising as a result of (A) the recipient not dealing at arm’s length (within the meaning of the ITA) with a Loan Party, (B) the recipient being a “specified non-resident shareholder” (as defined in subsection 18(5) of the ITA) of a Loan Party or not dealing at arm’s length (for the purposes of the ITA) with a “specified shareholder” (as defined in subsection 18(5) of the ITA) of a Loan Party; (C) a Loan Party being a “specified entity” (as defined in subsection 18.4(1) of the ITA) in respect of the recipient, or (D) any payment being considered to arise under an “imported hybrid arrangement” for purposes of section 18.4 of the ITA as it is proposed to be amended by legislative proposals released by the Department of Finance (Canada) on January 29, 2026;</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any Tax that is attributable to such Lender’s failure to comply with </w:t>
      </w:r>
      <w:r>
        <w:rPr>
          <w:rFonts w:ascii="Times New Roman;serif" w:hAnsi="Times New Roman;serif"/>
          <w:b w:val="false"/>
          <w:color w:val="000000"/>
          <w:sz w:val="24"/>
          <w:u w:val="single"/>
        </w:rPr>
        <w:t>Section 5.01(b)</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any Tax withheld pursuant to FATCA.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Exit Fee</w:t>
      </w:r>
      <w:r>
        <w:rPr>
          <w:color w:val="000000"/>
        </w:rPr>
        <w:t xml:space="preserve">” </w:t>
      </w:r>
      <w:r>
        <w:rPr>
          <w:rFonts w:ascii="Times New Roman;serif" w:hAnsi="Times New Roman;serif"/>
          <w:b w:val="false"/>
          <w:color w:val="000000"/>
          <w:sz w:val="24"/>
        </w:rPr>
        <w:t xml:space="preserve">means an amount equal to the sum of [***] minus the amount of the Early Redemption Fee paid through such date under </w:t>
      </w:r>
      <w:r>
        <w:rPr>
          <w:rFonts w:ascii="Times New Roman;serif" w:hAnsi="Times New Roman;serif"/>
          <w:b w:val="false"/>
          <w:color w:val="000000"/>
          <w:sz w:val="24"/>
          <w:u w:val="single"/>
        </w:rPr>
        <w:t>Section 4.05(a)</w:t>
      </w:r>
      <w:r>
        <w:rPr>
          <w:rFonts w:ascii="Times New Roman;serif" w:hAnsi="Times New Roman;serif"/>
          <w:b w:val="false"/>
          <w:color w:val="000000"/>
          <w:sz w:val="24"/>
        </w:rPr>
        <w:t>, if any.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1471(b)(1) of the Code (or any amended or successor version described above) and any fiscal or regulatory legislation, or official administrative rules or practices adopted pursuant to any intergovernmental agreement, treaty or convention among Governmental Authorities and implementing such Sections of the Code.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Fixed Interest</w:t>
      </w:r>
      <w:r>
        <w:rPr>
          <w:color w:val="000000"/>
        </w:rPr>
        <w:t xml:space="preserve">” </w:t>
      </w:r>
      <w:r>
        <w:rPr>
          <w:rFonts w:ascii="Times New Roman;serif" w:hAnsi="Times New Roman;serif"/>
          <w:b w:val="false"/>
          <w:color w:val="000000"/>
          <w:sz w:val="24"/>
        </w:rPr>
        <w:t xml:space="preserve">means interest with respect to the Term Loan, accruing with respect to the outstanding principal balance thereof at a rate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equal to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Foreign Lender</w:t>
      </w:r>
      <w:r>
        <w:rPr>
          <w:color w:val="000000"/>
        </w:rPr>
        <w:t xml:space="preserve">” </w:t>
      </w:r>
      <w:r>
        <w:rPr>
          <w:rFonts w:ascii="Times New Roman;serif" w:hAnsi="Times New Roman;serif"/>
          <w:b w:val="false"/>
          <w:color w:val="000000"/>
          <w:sz w:val="24"/>
        </w:rPr>
        <w:t>means any Lender which is not a “United States person” within the meaning of Section 7701(a)(30) of the Code.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Funding Notice</w:t>
      </w:r>
      <w:r>
        <w:rPr>
          <w:color w:val="000000"/>
        </w:rPr>
        <w:t xml:space="preserve">” </w:t>
      </w:r>
      <w:r>
        <w:rPr>
          <w:rFonts w:ascii="Times New Roman;serif" w:hAnsi="Times New Roman;serif"/>
          <w:b w:val="false"/>
          <w:color w:val="000000"/>
          <w:sz w:val="24"/>
        </w:rPr>
        <w:t xml:space="preserve">means a written notice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 xml:space="preserve">means the generally accepted accounting principles in the U.S. in effect from time to time;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the event such principles change after the Closing Date in a manner which affects compliance with this Agreement by Borrower (including without limitation in the determination of Agreed Payments), such change shall be ignored for the purpose of determining such compliance.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any nation or government, any state or other political subdivision thereof, and any entity exercising executive, legislative, judicial, regulatory or administrative functions of, or pertaining to, government.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Guarantee</w:t>
      </w:r>
      <w:r>
        <w:rPr>
          <w:color w:val="000000"/>
        </w:rPr>
        <w:t xml:space="preserve">” </w:t>
      </w:r>
      <w:r>
        <w:rPr>
          <w:rFonts w:ascii="Times New Roman;serif" w:hAnsi="Times New Roman;serif"/>
          <w:b w:val="false"/>
          <w:color w:val="000000"/>
          <w:sz w:val="24"/>
        </w:rPr>
        <w:t>means, as to any Person: (a) any obligation, contingent or otherwise, of such Person guaranteeing or having the economic effect of guaranteeing any Indebtedness or other obligation payable or performable by another Person (the “</w:t>
      </w:r>
      <w:r>
        <w:rPr>
          <w:rFonts w:ascii="Times New Roman;serif" w:hAnsi="Times New Roman;serif"/>
          <w:b w:val="false"/>
          <w:color w:val="000000"/>
          <w:sz w:val="24"/>
          <w:u w:val="single"/>
        </w:rPr>
        <w:t>primary obligor</w:t>
      </w:r>
      <w:r>
        <w:rPr>
          <w:color w:val="000000"/>
        </w:rPr>
        <w:t>”</w:t>
      </w:r>
      <w:r>
        <w:rPr>
          <w:rFonts w:ascii="Times New Roman;serif" w:hAnsi="Times New Roman;serif"/>
          <w:b w:val="false"/>
          <w:color w:val="000000"/>
          <w:sz w:val="24"/>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with respect to any Person means (i) all indebtedness pursuant to an agreement or instrument involving or evidencing money borrowed, the advance of credit, a conditional sale or a transfer with recourse or with an obligation to repurchase (but excluding trade credit and accounts payable in the ordinary course of business), (ii) all obligations of such Person evidenced by notes, bonds, debentures or other similar instruments (iii) all capitalized lease obligations, (iv) all obligations with respect to Disqualified Capital Stock, (v) all indebtedness of a Third Party secured by (or for which the holder of such indebtedness has an existing right, contingent or otherwise, to be secured by) any Lien on assets owned or acquired by such Person, whether or not the indebtedness secured thereby has been assumed (but only to the extent of such Lien), (vi) net amounts owing pursuant to an interest rate protection agreement, foreign currency exchange agreement or other hedging arrangement, (vii) all reimbursement obligations under letters of credit issued for the account of such Person, and (viii) all Guarantees with respect to Indebtedness of the types specified in clauses (i) through (vii) above of another Person. For the avoidance of doubt, the Indebtedness of any Person shall include the Indebtedness of any other entity to the extent such Person is directly liable therefor as a result of such Person’s ownership interest in or other relationship with such entity, except to the extent the terms of such Indebtedness provide that such Person is not liable therefor.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Indemnified Liabilities</w:t>
      </w:r>
      <w:r>
        <w:rPr>
          <w:color w:val="000000"/>
        </w:rPr>
        <w:t xml:space="preserve">” </w:t>
      </w:r>
      <w:r>
        <w:rPr>
          <w:rFonts w:ascii="Times New Roman;serif" w:hAnsi="Times New Roman;serif"/>
          <w:b w:val="false"/>
          <w:color w:val="000000"/>
          <w:sz w:val="24"/>
        </w:rPr>
        <w:t xml:space="preserve">means, collectively, any and all liabilities, obligations, losses, damages, penalties, claims, costs, expenses and disbursements of any kind or nature whatsoever (including the reasonable fees and disbursements of counsel for Indemnitees in connection with any investigative, administrative or judicial proceeding commenced or threatened by any Person whether or not any such Indemnitee shall be designated as a party or a potential party thereto, and whether or not such Indemnitee is required by Applicable Law to be involved therein, and any fees or expenses actually incurred by Indemnitees in enforcing the indemnity provided herein), whether direct, indirect or consequential, whether based on any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federal, state, provincial, territorial or non-U.S. laws, statutes, rules or regulations (including securities and commercial laws, statutes, rules or regulations), on common law or equitable cause or on contract or otherwise, imposed on, incurred by, or asserted against any such Indemnitee, in any manner relating to or arising out of this Agreement or the other Loan Documents or the transactions contemplated hereby or thereby (including any enforcement of any of the Loan Documents (including any sale of, collection from, or other realization upon any of the Collateral)).</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means all (i) Taxes, other than Excluded Taxes, imposed on or with respect to any payment made by or on account of any obligation of Borrower under any Loan Documents and (ii) to the extent not otherwise described in (i), Other Taxes.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Indemnitee</w:t>
      </w:r>
      <w:r>
        <w:rPr>
          <w:color w:val="000000"/>
        </w:rPr>
        <w:t xml:space="preserve">” </w:t>
      </w:r>
      <w:r>
        <w:rPr>
          <w:rFonts w:ascii="Times New Roman;serif" w:hAnsi="Times New Roman;serif"/>
          <w:b w:val="false"/>
          <w:color w:val="000000"/>
          <w:sz w:val="24"/>
        </w:rPr>
        <w:t>means the Administrative Agent, each Lender and its Affiliates and their respective officers, partners, directors, trustees, employees, agents and controlling Persons.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Indemnitee Agent Party</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12.06</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Independent Director</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8.15(b)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Independent Director Engagement Letter</w:t>
      </w:r>
      <w:r>
        <w:rPr>
          <w:color w:val="000000"/>
        </w:rPr>
        <w:t xml:space="preserve">” </w:t>
      </w:r>
      <w:r>
        <w:rPr>
          <w:rFonts w:ascii="Times New Roman;serif" w:hAnsi="Times New Roman;serif"/>
          <w:b w:val="false"/>
          <w:color w:val="000000"/>
          <w:sz w:val="24"/>
        </w:rPr>
        <w:t xml:space="preserve">means that certain engagement letter, by and between the Independent Director and Borrower GP, to be entered into in accordance with the terms of </w:t>
      </w:r>
      <w:r>
        <w:rPr>
          <w:rFonts w:ascii="Times New Roman;serif" w:hAnsi="Times New Roman;serif"/>
          <w:b w:val="false"/>
          <w:color w:val="000000"/>
          <w:sz w:val="24"/>
          <w:u w:val="single"/>
        </w:rPr>
        <w:t>Section 8.15(b)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In-License Agreements</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that certain Master License Agreement, dated September 1, 2012, by and between National Research Council of Canada, through Human Health Therapeutics, and Zymeworks Inc.;</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that certain Master Services and Master License Agreement, dated February 24, 2017, by and between ProBioGen AG and Zymeworks Inc.;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that certain Patent License Agreement, dated June 19, 2020, by and between Chugai Pharmaceutical Co., Ltd. and Zymeworks, Inc.</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Insolvency Event</w:t>
      </w:r>
      <w:r>
        <w:rPr>
          <w:color w:val="000000"/>
        </w:rPr>
        <w:t xml:space="preserve">” </w:t>
      </w:r>
      <w:r>
        <w:rPr>
          <w:rFonts w:ascii="Times New Roman;serif" w:hAnsi="Times New Roman;serif"/>
          <w:b w:val="false"/>
          <w:color w:val="000000"/>
          <w:sz w:val="24"/>
        </w:rPr>
        <w:t>means the occurrence of any of the following with respect to any Loan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 an involuntary proceeding shall be commenced or an involuntary petition shall be filed in a court of competent jurisdiction seeking (x) relief in respect of such Loan Party, or of a substantial part of the property of such Loan Party, under any Bankruptcy Law now or hereafter in effect, (y) the appointment of a receiver, trustee, custodian, sequestrator, conservator, monitor or similar official for such Loan Party for a substantial part of the property of such Loan Party or (z) the winding-up or liquidation of such Loan Party, which proceeding or petition shall continue undismissed for [***] or (B) an order of a court of competent jurisdiction approving or ordering any of the foregoing shall be entered;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such Loan Party shall (A) voluntarily commence any proceeding or file any petition seeking relief under any Bankruptcy Law now or hereafter in effect, (B) apply for the appointment of a receiver, trustee, custodian, sequestrator, conservator or similar official itself or for a substantial part of its property, (C) fail to contest in a timely and appropriate manner any proceeding or the filing of any petition described in clause (i) of this definition, (D) file an answer admitting the material allegations of a petition filed against it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proceeding described in clause (i) of this definition, (E) make a general assignment for the benefit of creditors or (F) wind up or liquidate (except as permitted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such Loan Party shall take any action in furtherance of or for the purpose of effecting, or indicating its consent to, approval of, or acquiescence in, any of the acts set forth in clause (i) or (ii) of this definition;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such Loan Party shall become unable, admit in writing its inability, or fail generally, to pay its debts as they become due.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ITA</w:t>
      </w:r>
      <w:r>
        <w:rPr>
          <w:color w:val="000000"/>
        </w:rPr>
        <w:t xml:space="preserve">” </w:t>
      </w:r>
      <w:r>
        <w:rPr>
          <w:rFonts w:ascii="Times New Roman;serif" w:hAnsi="Times New Roman;serif"/>
          <w:b w:val="false"/>
          <w:color w:val="000000"/>
          <w:sz w:val="24"/>
        </w:rPr>
        <w:t xml:space="preserve">means the </w:t>
      </w:r>
      <w:r>
        <w:rPr>
          <w:rFonts w:ascii="Times New Roman;serif" w:hAnsi="Times New Roman;serif"/>
          <w:b w:val="false"/>
          <w:i/>
          <w:color w:val="000000"/>
          <w:sz w:val="24"/>
        </w:rPr>
        <w:t xml:space="preserve">Income Tax Act </w:t>
      </w:r>
      <w:r>
        <w:rPr>
          <w:rFonts w:ascii="Times New Roman;serif" w:hAnsi="Times New Roman;serif"/>
          <w:b w:val="false"/>
          <w:color w:val="000000"/>
          <w:sz w:val="24"/>
        </w:rPr>
        <w:t>(Canada), as amended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Jazz</w:t>
      </w:r>
      <w:r>
        <w:rPr>
          <w:color w:val="000000"/>
        </w:rPr>
        <w:t xml:space="preserve">” </w:t>
      </w:r>
      <w:r>
        <w:rPr>
          <w:rFonts w:ascii="Times New Roman;serif" w:hAnsi="Times New Roman;serif"/>
          <w:b w:val="false"/>
          <w:color w:val="000000"/>
          <w:sz w:val="24"/>
        </w:rPr>
        <w:t>means Jazz Pharmaceuticals Ireland Limited, a corporation organized and existing under the laws of Ireland, and any successor-in-interest 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Jazz Agreement</w:t>
      </w:r>
      <w:r>
        <w:rPr>
          <w:color w:val="000000"/>
        </w:rPr>
        <w:t xml:space="preserve">” </w:t>
      </w:r>
      <w:r>
        <w:rPr>
          <w:rFonts w:ascii="Times New Roman;serif" w:hAnsi="Times New Roman;serif"/>
          <w:b w:val="false"/>
          <w:color w:val="000000"/>
          <w:sz w:val="24"/>
        </w:rPr>
        <w:t>means that certain Amended and Restated License and Collaboration Agreement, dated as of May 15, 2023, by and between Company and Jazz, as amended from time to time (but subject to the terms of the Sale Agreement with respect to the amendment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Jazz Net Sales</w:t>
      </w:r>
      <w:r>
        <w:rPr>
          <w:color w:val="000000"/>
        </w:rPr>
        <w:t xml:space="preserve">” </w:t>
      </w:r>
      <w:r>
        <w:rPr>
          <w:rFonts w:ascii="Times New Roman;serif" w:hAnsi="Times New Roman;serif"/>
          <w:b w:val="false"/>
          <w:color w:val="000000"/>
          <w:sz w:val="24"/>
        </w:rPr>
        <w:t>has the meaning set forth in the Sale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Jazz Territory</w:t>
      </w:r>
      <w:r>
        <w:rPr>
          <w:color w:val="000000"/>
        </w:rPr>
        <w:t xml:space="preserve">” </w:t>
      </w:r>
      <w:r>
        <w:rPr>
          <w:rFonts w:ascii="Times New Roman;serif" w:hAnsi="Times New Roman;serif"/>
          <w:b w:val="false"/>
          <w:color w:val="000000"/>
          <w:sz w:val="24"/>
        </w:rPr>
        <w:t>has the meaning set forth in the Sale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JSC</w:t>
      </w:r>
      <w:r>
        <w:rPr>
          <w:color w:val="000000"/>
        </w:rPr>
        <w:t xml:space="preserve">” </w:t>
      </w:r>
      <w:r>
        <w:rPr>
          <w:rFonts w:ascii="Times New Roman;serif" w:hAnsi="Times New Roman;serif"/>
          <w:b w:val="false"/>
          <w:color w:val="000000"/>
          <w:sz w:val="24"/>
        </w:rPr>
        <w:t>has the meaning assigned to such term in each of the Covered Agreements.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Judgment Currency</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11.03</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Knowledge</w:t>
      </w:r>
      <w:r>
        <w:rPr>
          <w:color w:val="000000"/>
        </w:rPr>
        <w:t xml:space="preserve">” </w:t>
      </w:r>
      <w:r>
        <w:rPr>
          <w:rFonts w:ascii="Times New Roman;serif" w:hAnsi="Times New Roman;serif"/>
          <w:b w:val="false"/>
          <w:color w:val="000000"/>
          <w:sz w:val="24"/>
        </w:rPr>
        <w:t>means, with respect to any Loan Party, the actual knowledge, after due inquiry, of any Senior Officer of all Loan Parties.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means any federal, state, provincial, territorial, local or non-U.S. law, including common law, and any regulation, statute, rule, requirement, policy, judgment, order, writ, decree, ruling, award, approval, authorization, consent, license, waiver, variance, guideline or permit of, or any agreement with, any Governmental Authority.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Lender</w:t>
      </w:r>
      <w:r>
        <w:rPr>
          <w:color w:val="000000"/>
        </w:rPr>
        <w:t xml:space="preserve">” </w:t>
      </w:r>
      <w:r>
        <w:rPr>
          <w:rFonts w:ascii="Times New Roman;serif" w:hAnsi="Times New Roman;serif"/>
          <w:b w:val="false"/>
          <w:color w:val="000000"/>
          <w:sz w:val="24"/>
        </w:rPr>
        <w:t>means each lender listed on the signature pages hereto as a Lender, and any other Person that becomes a party hereto pursuant to an Assignment and Acceptance other than any Person that ceases to be a party hereto pursuant to any Assignment and Acceptance.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Lender Register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13.01(e)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Licensed Patents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7.01(ee)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Licensed Products</w:t>
      </w:r>
      <w:r>
        <w:rPr>
          <w:color w:val="000000"/>
        </w:rPr>
        <w:t xml:space="preserve">” </w:t>
      </w:r>
      <w:r>
        <w:rPr>
          <w:rFonts w:ascii="Times New Roman;serif" w:hAnsi="Times New Roman;serif"/>
          <w:b w:val="false"/>
          <w:color w:val="000000"/>
          <w:sz w:val="24"/>
        </w:rPr>
        <w:t>has the meaning ascribed to such term in each of the Covered Agreements, as applicable.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any mortgage or deed of trust, pledge, hypothecation, lien, charge, attachment, set-off, encumbrance or other security interest in the nature thereof (including any conditional sale agreement, equipment trust agreement or other title retention agreement, a lease with substantially the same economic effect as any such agreement or a transfer or other restriction) or other encumbrance, right or claim of any nature whatsoever.</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Limited Partnership Agreement</w:t>
      </w:r>
      <w:r>
        <w:rPr>
          <w:color w:val="000000"/>
        </w:rPr>
        <w:t xml:space="preserve">” </w:t>
      </w:r>
      <w:r>
        <w:rPr>
          <w:rFonts w:ascii="Times New Roman;serif" w:hAnsi="Times New Roman;serif"/>
          <w:b w:val="false"/>
          <w:color w:val="000000"/>
          <w:sz w:val="24"/>
        </w:rPr>
        <w:t>means the limited partnership agreement among Borrower GP and Company, dated effective as of February 11, 2026.</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Loan Documents</w:t>
      </w:r>
      <w:r>
        <w:rPr>
          <w:color w:val="000000"/>
        </w:rPr>
        <w:t xml:space="preserve">” </w:t>
      </w:r>
      <w:r>
        <w:rPr>
          <w:rFonts w:ascii="Times New Roman;serif" w:hAnsi="Times New Roman;serif"/>
          <w:b w:val="false"/>
          <w:color w:val="000000"/>
          <w:sz w:val="24"/>
        </w:rPr>
        <w:t>means this Agreement, the Security Agreement, the Pledge Agreement, the Sale Agreement, the Bill of Sale, each Payment Date Distribution Report, the Escrow Agreement, Independent Director Engagement Letter and all other documents delivered in connection with the foregoing.</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Loan Party</w:t>
      </w:r>
      <w:r>
        <w:rPr>
          <w:color w:val="000000"/>
        </w:rPr>
        <w:t xml:space="preserve">” </w:t>
      </w:r>
      <w:r>
        <w:rPr>
          <w:rFonts w:ascii="Times New Roman;serif" w:hAnsi="Times New Roman;serif"/>
          <w:b w:val="false"/>
          <w:color w:val="000000"/>
          <w:sz w:val="24"/>
        </w:rPr>
        <w:t>means each of Borrower, Company, Borrower GP and Parent.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LP-Specific Zyme IP</w:t>
      </w:r>
      <w:r>
        <w:rPr>
          <w:color w:val="000000"/>
        </w:rPr>
        <w:t xml:space="preserve">” </w:t>
      </w:r>
      <w:r>
        <w:rPr>
          <w:rFonts w:ascii="Times New Roman;serif" w:hAnsi="Times New Roman;serif"/>
          <w:b w:val="false"/>
          <w:color w:val="000000"/>
          <w:sz w:val="24"/>
        </w:rPr>
        <w:t>has the meaning set forth in the Sale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(a) an Insolvency Event, (b) a material adverse change in the business, assets, properties, results of operations or financial condition of (i) Borrower or (ii) Parent and its Subsidiaries taken as a whole; (c) a material adverse effect on the validity or enforceability of the Loan Documents taken as a whole or any material provision hereof or thereof; (d) a material adverse effect on the ability of any Loan Party to consummate the transactions contemplated by the Loan Documents, or on the ability of any Loan Party to perform its obligations under the Loan Documents to which it is a party; (e) a material adverse effect on the rights or remedies of Administrative Agent or the Lenders under any of the Loan Documents, taken as a whole; (f) an adverse effect in any material respect on the rights of Company under any Covered Agreement, or (g) an adverse effect in any material respect on any of the timing, amount or duration of (i) the Agreed Payments or the right to receive the Agreed Payments or (ii) the right of Administrative Agent to receive payments based on the Agreed Payments or the right to receive Agreed Payments.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Maturity Date</w:t>
      </w:r>
      <w:r>
        <w:rPr>
          <w:color w:val="000000"/>
        </w:rPr>
        <w:t xml:space="preserve">” </w:t>
      </w:r>
      <w:r>
        <w:rPr>
          <w:rFonts w:ascii="Times New Roman;serif" w:hAnsi="Times New Roman;serif"/>
          <w:b w:val="false"/>
          <w:color w:val="000000"/>
          <w:sz w:val="24"/>
        </w:rPr>
        <w:t>means December 31, 2042.</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Maximum Lawful Rate</w:t>
      </w:r>
      <w:r>
        <w:rPr>
          <w:color w:val="000000"/>
        </w:rPr>
        <w:t xml:space="preserve">” </w:t>
      </w:r>
      <w:r>
        <w:rPr>
          <w:rFonts w:ascii="Times New Roman;serif" w:hAnsi="Times New Roman;serif"/>
          <w:b w:val="false"/>
          <w:color w:val="000000"/>
          <w:sz w:val="24"/>
        </w:rPr>
        <w:t>means the highest rate of interest permissible under Applicable Law.</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Notice and Instruction Letters</w:t>
      </w:r>
      <w:r>
        <w:rPr>
          <w:color w:val="000000"/>
        </w:rPr>
        <w:t xml:space="preserve">” </w:t>
      </w:r>
      <w:r>
        <w:rPr>
          <w:rFonts w:ascii="Times New Roman;serif" w:hAnsi="Times New Roman;serif"/>
          <w:b w:val="false"/>
          <w:color w:val="000000"/>
          <w:sz w:val="24"/>
        </w:rPr>
        <w:t>has the meaning set forth in the Sale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Notices</w:t>
      </w:r>
      <w:r>
        <w:rPr>
          <w:color w:val="000000"/>
        </w:rPr>
        <w:t xml:space="preserve">” </w:t>
      </w:r>
      <w:r>
        <w:rPr>
          <w:rFonts w:ascii="Times New Roman;serif" w:hAnsi="Times New Roman;serif"/>
          <w:b w:val="false"/>
          <w:color w:val="000000"/>
          <w:sz w:val="24"/>
        </w:rPr>
        <w:t>means, collectively, notices, consents, approvals, reports, designations, requests, waivers, elections and other communications.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Obligations</w:t>
      </w:r>
      <w:r>
        <w:rPr>
          <w:color w:val="000000"/>
        </w:rPr>
        <w:t xml:space="preserve">” </w:t>
      </w:r>
      <w:r>
        <w:rPr>
          <w:rFonts w:ascii="Times New Roman;serif" w:hAnsi="Times New Roman;serif"/>
          <w:b w:val="false"/>
          <w:color w:val="000000"/>
          <w:sz w:val="24"/>
        </w:rPr>
        <w:t>means, without duplication, the Term Loans, Fixed Interest, the Yield Protection Premium, the Exit Fee (if applicable), the Early Redemption Fee (if applicable), and all present and future Indebtedness, taxes, liabilities, obligations, covenants, duties, and debts, owing by Borrower to the Lenders, arising under or pursuant to the Loan Documents, including all principal, interest, premium, charges, expenses, fees, Erroneous Payment Subrogation Rights and any other sums chargeable to Borrower hereunder and under the other Loan Documents (and including any interest, fees and other charges that would accrue but for the filing of a bankruptcy action with respect to Borrower, whether or not such claim is allowed in such bankruptcy action).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Organizational Document</w:t>
      </w:r>
      <w:r>
        <w:rPr>
          <w:color w:val="000000"/>
        </w:rPr>
        <w:t xml:space="preserve">” </w:t>
      </w:r>
      <w:r>
        <w:rPr>
          <w:rFonts w:ascii="Times New Roman;serif" w:hAnsi="Times New Roman;serif"/>
          <w:b w:val="false"/>
          <w:color w:val="000000"/>
          <w:sz w:val="24"/>
        </w:rPr>
        <w:t xml:space="preserve">means (i) in the case of any corporation, the certificate of incorporation or articles of incorporation, continuance or amalgamation and by-laws (or similar documents) of such Person, (ii) in the case of any limited liability company, the certificate of formation and operating agreement (or similar documents), (iii) in the case of any limited partnership, the certificate of limited partnership and the limited partnership agreement (or similar documents) of such Person, (iv) in the case of any general partnership, the partnership agreement (or similar document) of such Person, and (v) in any other case, the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functional equivalent of the foregoing; in each case as amended or as amended and restated, of such Person. For the avoidance of doubt, the Organizational Documents of Borrower includes the Limited Partnership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Other Connection Taxes</w:t>
      </w:r>
      <w:r>
        <w:rPr>
          <w:color w:val="000000"/>
        </w:rPr>
        <w:t xml:space="preserve">” </w:t>
      </w:r>
      <w:r>
        <w:rPr>
          <w:rFonts w:ascii="Times New Roman;serif" w:hAnsi="Times New Roman;serif"/>
          <w:b w:val="false"/>
          <w:color w:val="000000"/>
          <w:sz w:val="24"/>
        </w:rPr>
        <w:t>means, with respect to any Lender, Taxes imposed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the Term Loans, commitments or Loan Document).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5.03</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means Zymeworks Inc., a Delaware corporation and its successors reasonably consented to by the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Participant Register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13.01(e)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means Administrative Agent, the Lenders and Borrower, individually and collectively.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Patriot Act</w:t>
      </w:r>
      <w:r>
        <w:rPr>
          <w:color w:val="000000"/>
        </w:rPr>
        <w:t xml:space="preserve">” </w:t>
      </w:r>
      <w:r>
        <w:rPr>
          <w:rFonts w:ascii="Times New Roman;serif" w:hAnsi="Times New Roman;serif"/>
          <w:b w:val="false"/>
          <w:color w:val="000000"/>
          <w:sz w:val="24"/>
        </w:rPr>
        <w:t>means the USA Patriot Act, Public Law No. 107-56.</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Payment Account</w:t>
      </w:r>
      <w:r>
        <w:rPr>
          <w:color w:val="000000"/>
        </w:rPr>
        <w:t xml:space="preserve">” </w:t>
      </w:r>
      <w:r>
        <w:rPr>
          <w:rFonts w:ascii="Times New Roman;serif" w:hAnsi="Times New Roman;serif"/>
          <w:b w:val="false"/>
          <w:color w:val="000000"/>
          <w:sz w:val="24"/>
        </w:rPr>
        <w:t>means each account of each Lender maintained at such banking institution as Administrative Agent may specify in its discretion from time to time in writing to Borrower and Escrow Agent at least [***] (or such earlier date as provided for in the Escrow Agreement) prior to any Payment Date or other date on which payments are to be made to pursuant to the Loan Documents.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Payment Date</w:t>
      </w:r>
      <w:r>
        <w:rPr>
          <w:color w:val="000000"/>
        </w:rPr>
        <w:t xml:space="preserve">” </w:t>
      </w:r>
      <w:r>
        <w:rPr>
          <w:rFonts w:ascii="Times New Roman;serif" w:hAnsi="Times New Roman;serif"/>
          <w:b w:val="false"/>
          <w:color w:val="000000"/>
          <w:sz w:val="24"/>
        </w:rPr>
        <w:t>means [***] after each date on which Agreed Payments are made to the Collection Account (or such other date as may be set forth for payments in the Escrow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Payment Date Distribution Report</w:t>
      </w:r>
      <w:r>
        <w:rPr>
          <w:color w:val="000000"/>
        </w:rPr>
        <w:t xml:space="preserve">” </w:t>
      </w:r>
      <w:r>
        <w:rPr>
          <w:rFonts w:ascii="Times New Roman;serif" w:hAnsi="Times New Roman;serif"/>
          <w:b w:val="false"/>
          <w:color w:val="000000"/>
          <w:sz w:val="24"/>
        </w:rPr>
        <w:t xml:space="preserve">means any Payment Date Distribution Report, in the form of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Payment in Full</w:t>
      </w:r>
      <w:r>
        <w:rPr>
          <w:color w:val="000000"/>
        </w:rPr>
        <w:t xml:space="preserve">” </w:t>
      </w:r>
      <w:r>
        <w:rPr>
          <w:rFonts w:ascii="Times New Roman;serif" w:hAnsi="Times New Roman;serif"/>
          <w:b w:val="false"/>
          <w:color w:val="000000"/>
          <w:sz w:val="24"/>
        </w:rPr>
        <w:t>means the payment in full in good funds of the Term Loans and other Obligations (other than contingent indemnification obligations for which no claims have been made).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Payment Recipient</w:t>
      </w:r>
      <w:r>
        <w:rPr>
          <w:color w:val="000000"/>
        </w:rPr>
        <w:t xml:space="preserve">” </w:t>
      </w:r>
      <w:r>
        <w:rPr>
          <w:rFonts w:ascii="Times New Roman;serif" w:hAnsi="Times New Roman;serif"/>
          <w:b w:val="false"/>
          <w:color w:val="000000"/>
          <w:sz w:val="24"/>
        </w:rPr>
        <w:t>has the meaning set forth in Section 12.11(a).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Payments</w:t>
      </w:r>
      <w:r>
        <w:rPr>
          <w:color w:val="000000"/>
        </w:rPr>
        <w:t xml:space="preserve">” </w:t>
      </w:r>
      <w:r>
        <w:rPr>
          <w:rFonts w:ascii="Times New Roman;serif" w:hAnsi="Times New Roman;serif"/>
          <w:b w:val="false"/>
          <w:color w:val="000000"/>
          <w:sz w:val="24"/>
        </w:rPr>
        <w:t xml:space="preserve">means due and owing payments of Amortization Payments and Fixed Interest (each under </w:t>
      </w:r>
      <w:r>
        <w:rPr>
          <w:rFonts w:ascii="Times New Roman;serif" w:hAnsi="Times New Roman;serif"/>
          <w:b w:val="false"/>
          <w:color w:val="000000"/>
          <w:sz w:val="24"/>
          <w:u w:val="single"/>
        </w:rPr>
        <w:t>Section 4.05</w:t>
      </w:r>
      <w:r>
        <w:rPr>
          <w:color w:val="000000"/>
        </w:rPr>
        <w:t xml:space="preserve"> </w:t>
      </w:r>
      <w:r>
        <w:rPr>
          <w:rFonts w:ascii="Times New Roman;serif" w:hAnsi="Times New Roman;serif"/>
          <w:b w:val="false"/>
          <w:color w:val="000000"/>
          <w:sz w:val="24"/>
        </w:rPr>
        <w:t>hereof), including, in each case any default or additional interest charged hereunder.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Liens created pursuant to any Loan Document;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Liens in favor of a banking or other financial institution arising as a matter of law or under customary contractual provisions encumbering deposits or other funds maintained with such banking or other financial institution (including the right of set off and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grants of security interests in deposits and/or securities held by such banking or other financial institution) and that are within the general parameters customary in the banking industry;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Liens securing Taxes, assessments, fees or other governmental charges or levies which are being contested in good faith and by appropriate proceedings diligently conducted and in respect of which adequate reserves with respect thereto are maintained by Borrower in accordance with GAAP and other similar Liens (other than any Lien imposed pursuant to Section 430(k) of the Internal Revenue Code or by ERISA) arising in connection with court proceedings so long as the enforcement of such Liens is effectively stayed and the judgment claims secured thereby do not otherwise constitute an Event of Default under clause (i) of the definition of “Event of Default”;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banker’s liens for collection or rights of set off or similar rights and remedies as to deposit accounts or other funds maintained with depositary institutions; provided that such deposit accounts or funds are not established or deposited for the purpose of providing collateral for any Indebtedness and are not subject to restrictions on access by Borrower in excess of those required by applicable banking regulations.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Permitted Royalty Reductions</w:t>
      </w:r>
      <w:r>
        <w:rPr>
          <w:color w:val="000000"/>
        </w:rPr>
        <w:t xml:space="preserve">” </w:t>
      </w:r>
      <w:r>
        <w:rPr>
          <w:rFonts w:ascii="Times New Roman;serif" w:hAnsi="Times New Roman;serif"/>
          <w:b w:val="false"/>
          <w:color w:val="000000"/>
          <w:sz w:val="24"/>
        </w:rPr>
        <w:t>has the meaning set forth in the Sale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natural person, firm, corporation, limited liability company, partnership, joint venture, association, joint-stock company, trust, unincorporated organization, Governmental Authority or any other legal entity, including public bodies, whether acting in an individual, fiduciary or other capacity.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Plan Assets</w:t>
      </w:r>
      <w:r>
        <w:rPr>
          <w:color w:val="000000"/>
        </w:rPr>
        <w:t xml:space="preserve">” </w:t>
      </w:r>
      <w:r>
        <w:rPr>
          <w:rFonts w:ascii="Times New Roman;serif" w:hAnsi="Times New Roman;serif"/>
          <w:b w:val="false"/>
          <w:color w:val="000000"/>
          <w:sz w:val="24"/>
        </w:rPr>
        <w:t>means assets of any (i) Employee Benefit Plan subject to the fiduciary responsibility provisions of Title I of ERISA, (ii) plan (as defined in Section 4975(e)(1) of the Code) subject to Section 4975 of the Code or (iii) entity whose underlying assets include assets of any such employee benefit plan or plan by reason of the investment by an employee benefit plan or plan in such entity.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Pledge Agreement</w:t>
      </w:r>
      <w:r>
        <w:rPr>
          <w:color w:val="000000"/>
        </w:rPr>
        <w:t xml:space="preserve">” </w:t>
      </w:r>
      <w:r>
        <w:rPr>
          <w:rFonts w:ascii="Times New Roman;serif" w:hAnsi="Times New Roman;serif"/>
          <w:b w:val="false"/>
          <w:color w:val="000000"/>
          <w:sz w:val="24"/>
        </w:rPr>
        <w:t>means the Pledge and Security Agreement, dated as of the Closing Date, among Company, Borrower GP and Administrative Agent pursuant to which the Capital Stock of Borrower is pledged to Administrative Agent, as supplemented by any amendments or supplements 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PPSA</w:t>
      </w:r>
      <w:r>
        <w:rPr>
          <w:color w:val="000000"/>
        </w:rPr>
        <w:t xml:space="preserve">” </w:t>
      </w:r>
      <w:r>
        <w:rPr>
          <w:rFonts w:ascii="Times New Roman;serif" w:hAnsi="Times New Roman;serif"/>
          <w:b w:val="false"/>
          <w:color w:val="000000"/>
          <w:sz w:val="24"/>
        </w:rPr>
        <w:t xml:space="preserve">means the </w:t>
      </w:r>
      <w:r>
        <w:rPr>
          <w:rFonts w:ascii="Times New Roman;serif" w:hAnsi="Times New Roman;serif"/>
          <w:b w:val="false"/>
          <w:i/>
          <w:color w:val="000000"/>
          <w:sz w:val="24"/>
        </w:rPr>
        <w:t xml:space="preserve">Personal Property Security Act </w:t>
      </w:r>
      <w:r>
        <w:rPr>
          <w:rFonts w:ascii="Times New Roman;serif" w:hAnsi="Times New Roman;serif"/>
          <w:b w:val="false"/>
          <w:color w:val="000000"/>
          <w:sz w:val="24"/>
        </w:rPr>
        <w:t>(British Columbia) and the regulations thereunder, as from time to time in effect; provided, however, if attachment, perfection or priority of Administrative Agent’s Lien on any Collateral are governed by the personal property security laws of any jurisdiction in Canada other than the laws of the Province of British Columbia, “PPSA” means those personal property security laws in such other jurisdiction in Canada for the purposes of the provisions hereof relating to such attachment, perfection or priority and for the definitions related to such provisions.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Principal Amount</w:t>
      </w:r>
      <w:r>
        <w:rPr>
          <w:color w:val="000000"/>
        </w:rPr>
        <w:t xml:space="preserve">” </w:t>
      </w:r>
      <w:r>
        <w:rPr>
          <w:rFonts w:ascii="Times New Roman;serif" w:hAnsi="Times New Roman;serif"/>
          <w:b w:val="false"/>
          <w:color w:val="000000"/>
          <w:sz w:val="24"/>
        </w:rPr>
        <w:t>means $250,000,000, as such amount may be reduced pursuant 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Pro Rata Share</w:t>
      </w:r>
      <w:r>
        <w:rPr>
          <w:color w:val="000000"/>
        </w:rPr>
        <w:t xml:space="preserve">” </w:t>
      </w:r>
      <w:r>
        <w:rPr>
          <w:rFonts w:ascii="Times New Roman;serif" w:hAnsi="Times New Roman;serif"/>
          <w:b w:val="false"/>
          <w:color w:val="000000"/>
          <w:sz w:val="24"/>
        </w:rPr>
        <w:t>means, with respect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 Lender’s obligation to make the Term Loans, the percentage obtained by dividing (i) such Lender’s Term Loan Commitment by (ii) the aggregate amount of the Lenders’ Term Loan Commitments; and</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 Lender’s right to receive payments of interest, fees, principal and all other matters, with respect to the Term Loans, the percentage obtained by dividing (i) the aggregate unpaid principal amount of such Lender’s portion of the Term Loan, by (i) the aggregate unpaid principal amount of the Term Loans.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Proceeding</w:t>
      </w:r>
      <w:r>
        <w:rPr>
          <w:color w:val="000000"/>
        </w:rPr>
        <w:t xml:space="preserve">” </w:t>
      </w:r>
      <w:r>
        <w:rPr>
          <w:rFonts w:ascii="Times New Roman;serif" w:hAnsi="Times New Roman;serif"/>
          <w:b w:val="false"/>
          <w:color w:val="000000"/>
          <w:sz w:val="24"/>
        </w:rPr>
        <w:t>means an action or proceeding brought against a Party as a defendant, for purposes of all legal proceedings arising out of or relating to this Agreement or the transactions contemplated hereby.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Purpose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12.17(a)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Register</w:t>
      </w:r>
      <w:r>
        <w:rPr>
          <w:color w:val="000000"/>
        </w:rPr>
        <w:t xml:space="preserve">” </w:t>
      </w:r>
      <w:r>
        <w:rPr>
          <w:rFonts w:ascii="Times New Roman;serif" w:hAnsi="Times New Roman;serif"/>
          <w:b w:val="false"/>
          <w:color w:val="000000"/>
          <w:sz w:val="24"/>
        </w:rPr>
        <w:t>means a record of ownership in which Borrower registers by book entry the interests (including any rights to receive payment hereunder) of each Lender in the Term Loans and any assignment of any such interest, obligation or right.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Regulatory Change</w:t>
      </w:r>
      <w:r>
        <w:rPr>
          <w:color w:val="000000"/>
        </w:rPr>
        <w:t xml:space="preserve">” </w:t>
      </w:r>
      <w:r>
        <w:rPr>
          <w:rFonts w:ascii="Times New Roman;serif" w:hAnsi="Times New Roman;serif"/>
          <w:b w:val="false"/>
          <w:color w:val="000000"/>
          <w:sz w:val="24"/>
        </w:rPr>
        <w:t>means (i) the adoption after the date hereof (or with respect to any Lender that becomes a Lender after the date hereof, after the date such Lender becomes a Lender) of any Applicable Law, rule or regulation or any change therein after the date hereof, or (ii) any change after the date hereof in the interpretation or administration thereof by any governmental authority, central bank or comparable agency charged with the interpretation or administration thereof, either generally or as effected through compliance with any request or directive (whether or not having the force of law) of any such authority, central bank or comparable agency.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Related Agreements</w:t>
      </w:r>
      <w:r>
        <w:rPr>
          <w:color w:val="000000"/>
        </w:rPr>
        <w:t xml:space="preserve">” </w:t>
      </w:r>
      <w:r>
        <w:rPr>
          <w:rFonts w:ascii="Times New Roman;serif" w:hAnsi="Times New Roman;serif"/>
          <w:b w:val="false"/>
          <w:color w:val="000000"/>
          <w:sz w:val="24"/>
        </w:rPr>
        <w:t>means In-License Agreements.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Reports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12.10(a)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Representative</w:t>
      </w:r>
      <w:r>
        <w:rPr>
          <w:color w:val="000000"/>
        </w:rPr>
        <w:t xml:space="preserve">” </w:t>
      </w:r>
      <w:r>
        <w:rPr>
          <w:rFonts w:ascii="Times New Roman;serif" w:hAnsi="Times New Roman;serif"/>
          <w:b w:val="false"/>
          <w:color w:val="000000"/>
          <w:sz w:val="24"/>
        </w:rPr>
        <w:t>means, with respect to any Person, directors, officers, employees, agents, co-investors, advisors, potential investors, underwriters, rating agencies, permitted assignees, sources of financing and trustees of such Person.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means Lenders whose Pro Rata Share (calculated in accordance with clause (b) of the definition thereof) aggregate at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Royalty Pharma</w:t>
      </w:r>
      <w:r>
        <w:rPr>
          <w:color w:val="000000"/>
        </w:rPr>
        <w:t xml:space="preserve">” </w:t>
      </w:r>
      <w:r>
        <w:rPr>
          <w:rFonts w:ascii="Times New Roman;serif" w:hAnsi="Times New Roman;serif"/>
          <w:b w:val="false"/>
          <w:color w:val="000000"/>
          <w:sz w:val="24"/>
        </w:rPr>
        <w:t>shall have the meaning set forth in the preamble 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Sale</w:t>
      </w:r>
      <w:r>
        <w:rPr>
          <w:color w:val="000000"/>
        </w:rPr>
        <w:t xml:space="preserve">” </w:t>
      </w:r>
      <w:r>
        <w:rPr>
          <w:rFonts w:ascii="Times New Roman;serif" w:hAnsi="Times New Roman;serif"/>
          <w:b w:val="false"/>
          <w:color w:val="000000"/>
          <w:sz w:val="24"/>
        </w:rPr>
        <w:t>means the sale, transfer, assignment, contribution and conveyance of the Transferred Royalty Interest pursuant to the Sale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Sale Agreement</w:t>
      </w:r>
      <w:r>
        <w:rPr>
          <w:color w:val="000000"/>
        </w:rPr>
        <w:t xml:space="preserve">” </w:t>
      </w:r>
      <w:r>
        <w:rPr>
          <w:rFonts w:ascii="Times New Roman;serif" w:hAnsi="Times New Roman;serif"/>
          <w:b w:val="false"/>
          <w:color w:val="000000"/>
          <w:sz w:val="24"/>
        </w:rPr>
        <w:t>means the Sale Agreement, dated as of the Closing Date, among Company, Borrower and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Security Agreement</w:t>
      </w:r>
      <w:r>
        <w:rPr>
          <w:color w:val="000000"/>
        </w:rPr>
        <w:t xml:space="preserve">” </w:t>
      </w:r>
      <w:r>
        <w:rPr>
          <w:rFonts w:ascii="Times New Roman;serif" w:hAnsi="Times New Roman;serif"/>
          <w:b w:val="false"/>
          <w:color w:val="000000"/>
          <w:sz w:val="24"/>
        </w:rPr>
        <w:t>means the Security Agreement, dated as of the Closing Date, between Administrative Agent and Borrower, securing the Obligations of Borrower hereunder and the other Loan Documents, as supplemented by any amendments or supplements 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Senior Officer</w:t>
      </w:r>
      <w:r>
        <w:rPr>
          <w:color w:val="000000"/>
        </w:rPr>
        <w:t xml:space="preserve">” </w:t>
      </w:r>
      <w:r>
        <w:rPr>
          <w:rFonts w:ascii="Times New Roman;serif" w:hAnsi="Times New Roman;serif"/>
          <w:b w:val="false"/>
          <w:color w:val="000000"/>
          <w:sz w:val="24"/>
        </w:rPr>
        <w:t>means (a) any officer that is an “officer” within the meaning of Rule 16a-1(f) of the Exchange Act and (b) the General Counsel, Vice President of Legal, or any comparable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Set-off</w:t>
      </w:r>
      <w:r>
        <w:rPr>
          <w:color w:val="000000"/>
        </w:rPr>
        <w:t xml:space="preserve">” </w:t>
      </w:r>
      <w:r>
        <w:rPr>
          <w:rFonts w:ascii="Times New Roman;serif" w:hAnsi="Times New Roman;serif"/>
          <w:b w:val="false"/>
          <w:color w:val="000000"/>
          <w:sz w:val="24"/>
        </w:rPr>
        <w:t>means any right of set off, rescission, counterclaim, reduction, deduction or defense.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Person, at any time, any entity of which more than [***] of the outstanding voting stock or other equity interest entitled ordinarily to vote in the election of the directors or other governing body (however designated) is at the time beneficially owned or controlled directly or indirectly by such Person, by one or more such entities or by such Person and one or more such entities.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Surviving Person</w:t>
      </w:r>
      <w:r>
        <w:rPr>
          <w:color w:val="000000"/>
        </w:rPr>
        <w:t xml:space="preserve">” </w:t>
      </w:r>
      <w:r>
        <w:rPr>
          <w:rFonts w:ascii="Times New Roman;serif" w:hAnsi="Times New Roman;serif"/>
          <w:b w:val="false"/>
          <w:color w:val="000000"/>
          <w:sz w:val="24"/>
        </w:rPr>
        <w:t>means, with respect to any Person involved in or that makes any disposition, the Person formed by or surviving such disposition or the Person to which such disposition is made.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all present and future taxes, levies, duties, imposts, deductions, charges, fees or withholdings (including backup withholdings), and all interest, penalties and additions to tax with respect thereto, that are imposed by any Governmental Authority.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Term Loan Commitment</w:t>
      </w:r>
      <w:r>
        <w:rPr>
          <w:color w:val="000000"/>
        </w:rPr>
        <w:t xml:space="preserve">” </w:t>
      </w:r>
      <w:r>
        <w:rPr>
          <w:rFonts w:ascii="Times New Roman;serif" w:hAnsi="Times New Roman;serif"/>
          <w:b w:val="false"/>
          <w:color w:val="000000"/>
          <w:sz w:val="24"/>
        </w:rPr>
        <w:t>means, commitment of a Lender to make or otherwise fund the Term Loans and “Term Loan Commitments” means such commitments of all such Lenders in the aggregate. The amount of each Lender’s Term Loan Commitment, if any, is set forth on Appendix A or in the applicable Assignment and Acceptance, subject to any adjustment or reduction pursuant to the terms and conditions hereof. The aggregate amount of the Term Loan Commitments as of the Closing Date is $250,000,000.</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Term Loans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2.01(a)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Third Party</w:t>
      </w:r>
      <w:r>
        <w:rPr>
          <w:color w:val="000000"/>
        </w:rPr>
        <w:t xml:space="preserve">” </w:t>
      </w:r>
      <w:r>
        <w:rPr>
          <w:rFonts w:ascii="Times New Roman;serif" w:hAnsi="Times New Roman;serif"/>
          <w:b w:val="false"/>
          <w:color w:val="000000"/>
          <w:sz w:val="24"/>
        </w:rPr>
        <w:t>means any Person other than Parent, Borrower or its Affiliates.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means the Loan Documents and the Organizational Documents.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Transferred Royalty Interest</w:t>
      </w:r>
      <w:r>
        <w:rPr>
          <w:color w:val="000000"/>
        </w:rPr>
        <w:t xml:space="preserve">” </w:t>
      </w:r>
      <w:r>
        <w:rPr>
          <w:rFonts w:ascii="Times New Roman;serif" w:hAnsi="Times New Roman;serif"/>
          <w:b w:val="false"/>
          <w:color w:val="000000"/>
          <w:sz w:val="24"/>
        </w:rPr>
        <w:t>has the meaning set forth in the Sale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U.S</w:t>
      </w:r>
      <w:r>
        <w:rPr>
          <w:rFonts w:ascii="Times New Roman;serif" w:hAnsi="Times New Roman;serif"/>
          <w:b w:val="false"/>
          <w:color w:val="000000"/>
          <w:sz w:val="24"/>
        </w:rPr>
        <w:t>.” means the United States of America.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 xml:space="preserve">means the Uniform Commercial Code as in effect from time to time in New York;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with respect to any financing statement or by reason of any provisions of Applicable Law, the perfection or the effect of perfection or non-perfection of the security interest or any portion thereof granted pursuant to the Loan Documents is governed by the Uniform Commercial Code as in effect in a jurisdiction of the U.S. other than New York, then “</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means the Uniform Commercial Code as in effect from time to time in such other jurisdiction for purposes of the provisions of this Agreement and any financing statement relating to such perfection or effect of perfection or non-perfection.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Yield Protection Premium</w:t>
      </w:r>
      <w:r>
        <w:rPr>
          <w:color w:val="000000"/>
        </w:rPr>
        <w:t xml:space="preserve">” </w:t>
      </w:r>
      <w:r>
        <w:rPr>
          <w:rFonts w:ascii="Times New Roman;serif" w:hAnsi="Times New Roman;serif"/>
          <w:b w:val="false"/>
          <w:color w:val="000000"/>
          <w:sz w:val="24"/>
        </w:rPr>
        <w:t>means the amount payable by the Borrower for repaying all or part of the Term Loans before the Maturity Date and is an amount equal to the sum of all Fixed Interest payments that would have accrued from the date of repayment through the Maturity Date on any principal amount of Term Loans repaid. For the avoidance of doubt, such amount shall be calculated on an undiscounted basis and shall not be reduced to present value or otherwise discounted for early payment.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Zani Royalties</w:t>
      </w:r>
      <w:r>
        <w:rPr>
          <w:color w:val="000000"/>
        </w:rPr>
        <w:t xml:space="preserve">” </w:t>
      </w:r>
      <w:r>
        <w:rPr>
          <w:rFonts w:ascii="Times New Roman;serif" w:hAnsi="Times New Roman;serif"/>
          <w:b w:val="false"/>
          <w:color w:val="000000"/>
          <w:sz w:val="24"/>
        </w:rPr>
        <w:t xml:space="preserve">means, for each calendar year commencing on or after January 1, 2026, during each applicable Royalty Term as defined in each Covered Agreement, (a) any payments or amounts payable to Company and Borrower under Section 9.5(a) of the BeOne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with respect to BeOne Net Sales of Licensed Products in the BeOne Territory and under Section 9.6(a) of the Jazz Agreement with respect to Jazz Net Sales of Licensed Products in the Jazz Territory, (b) any payments or amounts payable to Company and Borrower under Section 9.10(b) of each of the Covered Agreements in respect of the amounts referred to in the preceding clause (a); (c) any payments or amounts payable to Company and Borrower under Section 14.3(d) of the BeOne Agreement and Section 14.4(d) of the Jazz Agreement in respect of the amounts referred to in the preceding clause (a); (d) any other payments or amounts payable to Company and Borrower in lieu of or that compensate for a reduction in such payments of the foregoing clauses (a) – (c) (including (i) under Section 13.1 of each Covered Agreement, and (ii) pursuant to 11 U.S. Code § 365(n) or comparable provisions of the CCAA and the BIA) in respect of and to the extent and the proportion related to the amounts referred to in the preceding clause (a); and (e) any and all interest payments to Company and Borrower under Section under Section 9.9 of each of the Covered Agreements assessed on any payments or amounts described in the foregoing clauses (a)-(e).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Zanidatamab</w:t>
      </w:r>
      <w:r>
        <w:rPr>
          <w:color w:val="000000"/>
        </w:rPr>
        <w:t xml:space="preserve">” </w:t>
      </w:r>
      <w:r>
        <w:rPr>
          <w:rFonts w:ascii="Times New Roman;serif" w:hAnsi="Times New Roman;serif"/>
          <w:b w:val="false"/>
          <w:color w:val="000000"/>
          <w:sz w:val="24"/>
        </w:rPr>
        <w:t>means Zymeworks’ proprietary bispecific antibody, zanidatamab,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Zymeworks IP</w:t>
      </w:r>
      <w:r>
        <w:rPr>
          <w:color w:val="000000"/>
        </w:rPr>
        <w:t xml:space="preserve">” </w:t>
      </w:r>
      <w:r>
        <w:rPr>
          <w:rFonts w:ascii="Times New Roman;serif" w:hAnsi="Times New Roman;serif"/>
          <w:b w:val="false"/>
          <w:color w:val="000000"/>
          <w:sz w:val="24"/>
        </w:rPr>
        <w:t>has the meaning set forth in the Sale Agreement.</w:t>
      </w:r>
    </w:p>
    <w:p>
      <w:pPr>
        <w:pStyle w:val="TextBody"/>
        <w:bidi w:val="0"/>
        <w:spacing w:lineRule="auto" w:line="240" w:before="0" w:after="0"/>
        <w:ind w:left="0" w:right="0" w:firstLine="720"/>
        <w:jc w:val="both"/>
        <w:rPr/>
      </w:pPr>
      <w:bookmarkStart w:id="143" w:name="id5e50e8c3f8c4eaca0ba166f8d323da3"/>
      <w:bookmarkEnd w:id="143"/>
      <w:r>
        <w:rPr>
          <w:rFonts w:ascii="Times New Roman;serif" w:hAnsi="Times New Roman;serif"/>
          <w:b w:val="false"/>
          <w:color w:val="000000"/>
          <w:sz w:val="24"/>
        </w:rPr>
        <w:t>Section 1.02</w:t>
      </w:r>
      <w:r>
        <w:rPr>
          <w:rFonts w:ascii="Times New Roman;serif" w:hAnsi="Times New Roman;serif"/>
          <w:b w:val="false"/>
          <w:color w:val="000000"/>
          <w:sz w:val="24"/>
          <w:u w:val="single"/>
        </w:rPr>
        <w:t>Rules of Construction</w:t>
      </w:r>
      <w:r>
        <w:rPr>
          <w:rFonts w:ascii="Times New Roman;serif" w:hAnsi="Times New Roman;serif"/>
          <w:b w:val="false"/>
          <w:color w:val="000000"/>
          <w:sz w:val="24"/>
        </w:rPr>
        <w:t>. Unless the context otherwise requires, in this Agreement:</w:t>
      </w:r>
    </w:p>
    <w:p>
      <w:pPr>
        <w:pStyle w:val="TextBody"/>
        <w:bidi w:val="0"/>
        <w:spacing w:lineRule="auto" w:line="240" w:before="0" w:after="240"/>
        <w:ind w:left="0" w:right="0" w:firstLine="1440"/>
        <w:jc w:val="both"/>
        <w:rPr/>
      </w:pPr>
      <w:bookmarkStart w:id="144" w:name="ib119971f1c0f47509767c730b5a3fb86"/>
      <w:bookmarkEnd w:id="144"/>
      <w:r>
        <w:rPr>
          <w:rFonts w:ascii="Times New Roman;serif" w:hAnsi="Times New Roman;serif"/>
          <w:b w:val="false"/>
          <w:color w:val="000000"/>
          <w:sz w:val="24"/>
        </w:rPr>
        <w:t>(a)</w:t>
      </w:r>
      <w:r>
        <w:rPr>
          <w:rFonts w:ascii="Times New Roman;serif" w:hAnsi="Times New Roman;serif"/>
          <w:b w:val="false"/>
          <w:color w:val="000000"/>
          <w:sz w:val="24"/>
        </w:rPr>
        <w:t>An accounting term not otherwise defined has the meaning assigned to it in accordance with GAAP.</w:t>
      </w:r>
    </w:p>
    <w:p>
      <w:pPr>
        <w:pStyle w:val="TextBody"/>
        <w:bidi w:val="0"/>
        <w:spacing w:lineRule="auto" w:line="240" w:before="0" w:after="240"/>
        <w:ind w:left="0" w:right="0" w:firstLine="1440"/>
        <w:jc w:val="both"/>
        <w:rPr/>
      </w:pPr>
      <w:bookmarkStart w:id="145" w:name="i0dbff23d8076450e96bf5bd37ff92aa1"/>
      <w:bookmarkEnd w:id="145"/>
      <w:r>
        <w:rPr>
          <w:rFonts w:ascii="Times New Roman;serif" w:hAnsi="Times New Roman;serif"/>
          <w:b w:val="false"/>
          <w:color w:val="000000"/>
          <w:sz w:val="24"/>
        </w:rPr>
        <w:t>(b)</w:t>
      </w:r>
      <w:r>
        <w:rPr>
          <w:rFonts w:ascii="Times New Roman;serif" w:hAnsi="Times New Roman;serif"/>
          <w:b w:val="false"/>
          <w:color w:val="000000"/>
          <w:sz w:val="24"/>
        </w:rPr>
        <w:t>Words of the masculine, feminine or neuter gender shall mean and include the correlative words of other genders.</w:t>
      </w:r>
    </w:p>
    <w:p>
      <w:pPr>
        <w:pStyle w:val="TextBody"/>
        <w:bidi w:val="0"/>
        <w:spacing w:lineRule="auto" w:line="240" w:before="0" w:after="240"/>
        <w:ind w:left="0" w:right="0" w:firstLine="1440"/>
        <w:jc w:val="both"/>
        <w:rPr/>
      </w:pPr>
      <w:bookmarkStart w:id="146" w:name="i137f42ac7f6f46b39dde37e02088f5b1"/>
      <w:bookmarkEnd w:id="146"/>
      <w:r>
        <w:rPr>
          <w:rFonts w:ascii="Times New Roman;serif" w:hAnsi="Times New Roman;serif"/>
          <w:b w:val="false"/>
          <w:color w:val="000000"/>
          <w:sz w:val="24"/>
        </w:rPr>
        <w:t>(c)</w:t>
      </w:r>
      <w:r>
        <w:rPr>
          <w:rFonts w:ascii="Times New Roman;serif" w:hAnsi="Times New Roman;serif"/>
          <w:b w:val="false"/>
          <w:color w:val="000000"/>
          <w:sz w:val="24"/>
        </w:rPr>
        <w:t>The definitions of terms shall apply equally to the singular and plural forms of the terms defined.</w:t>
      </w:r>
    </w:p>
    <w:p>
      <w:pPr>
        <w:pStyle w:val="TextBody"/>
        <w:bidi w:val="0"/>
        <w:spacing w:lineRule="auto" w:line="240" w:before="0" w:after="240"/>
        <w:ind w:left="0" w:right="0" w:firstLine="1440"/>
        <w:jc w:val="both"/>
        <w:rPr/>
      </w:pPr>
      <w:bookmarkStart w:id="147" w:name="i41f2208626e54a54982fb21b8547364f"/>
      <w:bookmarkEnd w:id="147"/>
      <w:r>
        <w:rPr>
          <w:rFonts w:ascii="Times New Roman;serif" w:hAnsi="Times New Roman;serif"/>
          <w:b w:val="false"/>
          <w:color w:val="000000"/>
          <w:sz w:val="24"/>
        </w:rPr>
        <w:t>(d)</w:t>
      </w:r>
      <w:r>
        <w:rPr>
          <w:rFonts w:ascii="Times New Roman;serif" w:hAnsi="Times New Roman;serif"/>
          <w:b w:val="false"/>
          <w:color w:val="000000"/>
          <w:sz w:val="24"/>
        </w:rPr>
        <w:t>The terms “include”, “including” and similar terms shall be construed as if followed by the phrase “without limitation”.</w:t>
      </w:r>
    </w:p>
    <w:p>
      <w:pPr>
        <w:pStyle w:val="TextBody"/>
        <w:bidi w:val="0"/>
        <w:spacing w:lineRule="auto" w:line="240" w:before="0" w:after="240"/>
        <w:ind w:left="0" w:right="0" w:firstLine="1440"/>
        <w:jc w:val="both"/>
        <w:rPr/>
      </w:pPr>
      <w:bookmarkStart w:id="148" w:name="i36e69443564846cc847eb8972650dda4"/>
      <w:bookmarkEnd w:id="148"/>
      <w:r>
        <w:rPr>
          <w:rFonts w:ascii="Times New Roman;serif" w:hAnsi="Times New Roman;serif"/>
          <w:b w:val="false"/>
          <w:color w:val="000000"/>
          <w:sz w:val="24"/>
        </w:rPr>
        <w:t>(e)</w:t>
      </w:r>
      <w:r>
        <w:rPr>
          <w:rFonts w:ascii="Times New Roman;serif" w:hAnsi="Times New Roman;serif"/>
          <w:b w:val="false"/>
          <w:color w:val="000000"/>
          <w:sz w:val="24"/>
        </w:rPr>
        <w:t>Unless otherwise specified, references to an agreement or other document include references to such agreement or document as from time to time amended, restated, reformed, supplemented or otherwise modified in accordance with the terms thereof (subject to any restrictions on such amendments, restatements, reformations, supplements or modifications set forth herein or in any of the other Transaction Documents) and include any annexes, exhibits and schedules attached thereto.</w:t>
      </w:r>
    </w:p>
    <w:p>
      <w:pPr>
        <w:pStyle w:val="TextBody"/>
        <w:bidi w:val="0"/>
        <w:spacing w:lineRule="auto" w:line="240" w:before="0" w:after="240"/>
        <w:ind w:left="0" w:right="0" w:firstLine="1440"/>
        <w:jc w:val="both"/>
        <w:rPr/>
      </w:pPr>
      <w:bookmarkStart w:id="149" w:name="i2bf66744d6d046cfae95022974c47644"/>
      <w:bookmarkEnd w:id="149"/>
      <w:r>
        <w:rPr>
          <w:rFonts w:ascii="Times New Roman;serif" w:hAnsi="Times New Roman;serif"/>
          <w:b w:val="false"/>
          <w:color w:val="000000"/>
          <w:sz w:val="24"/>
        </w:rPr>
        <w:t>(f)</w:t>
      </w:r>
      <w:r>
        <w:rPr>
          <w:rFonts w:ascii="Times New Roman;serif" w:hAnsi="Times New Roman;serif"/>
          <w:b w:val="false"/>
          <w:color w:val="000000"/>
          <w:sz w:val="24"/>
        </w:rPr>
        <w:t>References to any Applicable Law shall include such Applicable Law as from time to time in effect, including any amendment, modification, codification, replacement or reenactment thereof or any substitution therefor.</w:t>
      </w:r>
    </w:p>
    <w:p>
      <w:pPr>
        <w:pStyle w:val="TextBody"/>
        <w:bidi w:val="0"/>
        <w:spacing w:lineRule="auto" w:line="240" w:before="0" w:after="240"/>
        <w:ind w:left="0" w:right="0" w:firstLine="1440"/>
        <w:jc w:val="both"/>
        <w:rPr/>
      </w:pPr>
      <w:bookmarkStart w:id="150" w:name="ib678e9704da7448883ac08fec19b3ded"/>
      <w:bookmarkEnd w:id="150"/>
      <w:r>
        <w:rPr>
          <w:rFonts w:ascii="Times New Roman;serif" w:hAnsi="Times New Roman;serif"/>
          <w:b w:val="false"/>
          <w:color w:val="000000"/>
          <w:sz w:val="24"/>
        </w:rPr>
        <w:t>(g)</w:t>
      </w:r>
      <w:r>
        <w:rPr>
          <w:rFonts w:ascii="Times New Roman;serif" w:hAnsi="Times New Roman;serif"/>
          <w:b w:val="false"/>
          <w:color w:val="000000"/>
          <w:sz w:val="24"/>
        </w:rPr>
        <w:t>References to any Person shall be construed to include such Person’s successors and permitted assigns (subject to any restrictions on assignment, transfer or delegation set forth herein or in any of the other Transaction Documents), and any reference to a Person in a particular capacity excludes such Person in other capacities.</w:t>
      </w:r>
    </w:p>
    <w:p>
      <w:pPr>
        <w:pStyle w:val="TextBody"/>
        <w:bidi w:val="0"/>
        <w:spacing w:lineRule="auto" w:line="240" w:before="0" w:after="240"/>
        <w:ind w:left="0" w:right="0" w:firstLine="1440"/>
        <w:jc w:val="both"/>
        <w:rPr/>
      </w:pPr>
      <w:bookmarkStart w:id="151" w:name="i5a6f1adc138e4f60ab11d89dba7fe155"/>
      <w:bookmarkEnd w:id="151"/>
      <w:r>
        <w:rPr>
          <w:rFonts w:ascii="Times New Roman;serif" w:hAnsi="Times New Roman;serif"/>
          <w:b w:val="false"/>
          <w:color w:val="000000"/>
          <w:sz w:val="24"/>
        </w:rPr>
        <w:t>(h)</w:t>
      </w:r>
      <w:r>
        <w:rPr>
          <w:rFonts w:ascii="Times New Roman;serif" w:hAnsi="Times New Roman;serif"/>
          <w:b w:val="false"/>
          <w:color w:val="000000"/>
          <w:sz w:val="24"/>
        </w:rPr>
        <w:t>The word “will” shall be construed to have the same meaning and effect as the word “shall”.</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0" w:after="240"/>
        <w:ind w:left="0" w:right="0" w:firstLine="1440"/>
        <w:jc w:val="both"/>
        <w:rPr/>
      </w:pPr>
      <w:bookmarkStart w:id="152" w:name="i4a4bca3ecc82403ebbf7f9979e8455e8"/>
      <w:bookmarkEnd w:id="152"/>
      <w:r>
        <w:rPr>
          <w:rFonts w:ascii="Times New Roman;serif" w:hAnsi="Times New Roman;serif"/>
          <w:b w:val="false"/>
          <w:color w:val="000000"/>
          <w:sz w:val="24"/>
        </w:rPr>
        <w:t>(i)</w:t>
      </w:r>
      <w:r>
        <w:rPr>
          <w:rFonts w:ascii="Times New Roman;serif" w:hAnsi="Times New Roman;serif"/>
          <w:b w:val="false"/>
          <w:color w:val="000000"/>
          <w:sz w:val="24"/>
        </w:rPr>
        <w:t>The inclusion in this Agreement of headings of Articles and headings of Sections and the provision of a table of contents are for convenience of reference only and are not intended to be full or precise definitions of the text to which they refer.</w:t>
      </w:r>
    </w:p>
    <w:p>
      <w:pPr>
        <w:pStyle w:val="TextBody"/>
        <w:bidi w:val="0"/>
        <w:spacing w:lineRule="auto" w:line="240" w:before="0" w:after="240"/>
        <w:ind w:left="0" w:right="0" w:firstLine="1440"/>
        <w:jc w:val="both"/>
        <w:rPr/>
      </w:pPr>
      <w:bookmarkStart w:id="153" w:name="i9b53c146f73f4d809eb93ba2014f817b"/>
      <w:bookmarkEnd w:id="153"/>
      <w:r>
        <w:rPr>
          <w:rFonts w:ascii="Times New Roman;serif" w:hAnsi="Times New Roman;serif"/>
          <w:b w:val="false"/>
          <w:color w:val="000000"/>
          <w:sz w:val="24"/>
        </w:rPr>
        <w:t>(j)</w:t>
      </w:r>
      <w:r>
        <w:rPr>
          <w:rFonts w:ascii="Times New Roman;serif" w:hAnsi="Times New Roman;serif"/>
          <w:b w:val="false"/>
          <w:color w:val="000000"/>
          <w:sz w:val="24"/>
        </w:rPr>
        <w:t>The words “hereof”, “herein”, “hereunder” and similar terms when used in this Agreement shall refer to this Agreement as a whole and not to any particular provision hereof, and Article, Section and Exhibit references herein are references to Articles and Sections of, and Exhibits to, this Agreement unless otherwise specified.</w:t>
      </w:r>
    </w:p>
    <w:p>
      <w:pPr>
        <w:pStyle w:val="TextBody"/>
        <w:bidi w:val="0"/>
        <w:spacing w:lineRule="auto" w:line="240" w:before="0" w:after="240"/>
        <w:ind w:left="0" w:right="0" w:firstLine="1440"/>
        <w:jc w:val="both"/>
        <w:rPr/>
      </w:pPr>
      <w:bookmarkStart w:id="154" w:name="i14ef363571cf44f7a2ef560fac92b3a0"/>
      <w:bookmarkEnd w:id="154"/>
      <w:r>
        <w:rPr>
          <w:rFonts w:ascii="Times New Roman;serif" w:hAnsi="Times New Roman;serif"/>
          <w:b w:val="false"/>
          <w:color w:val="000000"/>
          <w:sz w:val="24"/>
        </w:rPr>
        <w:t>(k)</w:t>
      </w:r>
      <w:r>
        <w:rPr>
          <w:rFonts w:ascii="Times New Roman;serif" w:hAnsi="Times New Roman;serif"/>
          <w:b w:val="false"/>
          <w:color w:val="000000"/>
          <w:sz w:val="24"/>
        </w:rPr>
        <w:t>In the computation of a period of time from a specified date to a later specified date, the word “from” means “from and including” and each of the words “to” and “until” means “to but excluding”.</w:t>
      </w:r>
    </w:p>
    <w:p>
      <w:pPr>
        <w:pStyle w:val="TextBody"/>
        <w:bidi w:val="0"/>
        <w:spacing w:lineRule="auto" w:line="240" w:before="0" w:after="240"/>
        <w:ind w:left="0" w:right="0" w:firstLine="1440"/>
        <w:jc w:val="both"/>
        <w:rPr/>
      </w:pPr>
      <w:bookmarkStart w:id="155" w:name="i137e99770e5d425eac5c871d7776c38a"/>
      <w:bookmarkEnd w:id="155"/>
      <w:r>
        <w:rPr>
          <w:rFonts w:ascii="Times New Roman;serif" w:hAnsi="Times New Roman;serif"/>
          <w:b w:val="false"/>
          <w:color w:val="000000"/>
          <w:sz w:val="24"/>
        </w:rPr>
        <w:t>(l)</w:t>
      </w:r>
      <w:r>
        <w:rPr>
          <w:rFonts w:ascii="Times New Roman;serif" w:hAnsi="Times New Roman;serif"/>
          <w:b w:val="false"/>
          <w:color w:val="000000"/>
          <w:sz w:val="24"/>
        </w:rPr>
        <w:t>Where any payment is to be made, any funds are to be applied or any calculation is to be made under this Agreement on a day that is not a Business Day, unless this Agreement otherwise provides, such payment shall be made, such funds shall be applied and such calculation shall be made on the succeeding Business Day, and payments shall be adjusted accordingly.</w:t>
      </w:r>
    </w:p>
    <w:p>
      <w:pPr>
        <w:pStyle w:val="TextBody"/>
        <w:bidi w:val="0"/>
        <w:spacing w:lineRule="auto" w:line="240" w:before="0" w:after="240"/>
        <w:ind w:left="0" w:right="0" w:firstLine="990"/>
        <w:jc w:val="center"/>
        <w:rPr/>
      </w:pPr>
      <w:bookmarkStart w:id="156" w:name="i5fa14d700219426fabeda5e2c3bf0b30"/>
      <w:bookmarkEnd w:id="156"/>
      <w:r>
        <w:rPr>
          <w:rFonts w:ascii="Times New Roman;serif" w:hAnsi="Times New Roman;serif"/>
          <w:b/>
          <w:color w:val="000000"/>
          <w:sz w:val="24"/>
        </w:rPr>
        <w:t>Article II</w:t>
      </w:r>
      <w:r>
        <w:rPr>
          <w:rFonts w:ascii="Times New Roman;serif" w:hAnsi="Times New Roman;serif"/>
          <w:b/>
          <w:color w:val="000000"/>
          <w:sz w:val="24"/>
        </w:rPr>
        <w:br/>
        <w:t>TERM LOANS; DISBURSEMENT; CERTAIN FEES</w:t>
      </w:r>
    </w:p>
    <w:p>
      <w:pPr>
        <w:pStyle w:val="TextBody"/>
        <w:bidi w:val="0"/>
        <w:spacing w:lineRule="auto" w:line="240" w:before="0" w:after="0"/>
        <w:ind w:left="0" w:right="0" w:firstLine="720"/>
        <w:jc w:val="both"/>
        <w:rPr/>
      </w:pPr>
      <w:bookmarkStart w:id="157" w:name="i0fba9f75cec04e8fb2717086d2256095"/>
      <w:bookmarkEnd w:id="157"/>
      <w:r>
        <w:rPr>
          <w:rFonts w:ascii="Times New Roman;serif" w:hAnsi="Times New Roman;serif"/>
          <w:b w:val="false"/>
          <w:color w:val="000000"/>
          <w:sz w:val="24"/>
        </w:rPr>
        <w:t>Section 2.01</w:t>
      </w:r>
      <w:r>
        <w:rPr>
          <w:rFonts w:ascii="Times New Roman;serif" w:hAnsi="Times New Roman;serif"/>
          <w:b w:val="false"/>
          <w:color w:val="000000"/>
          <w:sz w:val="24"/>
          <w:u w:val="single"/>
        </w:rPr>
        <w:t>Term Loans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158" w:name="i0901d700905f4d2fbd376d4619dede41"/>
      <w:bookmarkEnd w:id="158"/>
      <w:r>
        <w:rPr>
          <w:rFonts w:ascii="Times New Roman;serif" w:hAnsi="Times New Roman;serif"/>
          <w:b w:val="false"/>
          <w:color w:val="000000"/>
          <w:sz w:val="24"/>
        </w:rPr>
        <w:t>(a)</w:t>
      </w:r>
      <w:r>
        <w:rPr>
          <w:rFonts w:ascii="Times New Roman;serif" w:hAnsi="Times New Roman;serif"/>
          <w:b w:val="false"/>
          <w:color w:val="000000"/>
          <w:sz w:val="24"/>
          <w:u w:val="single"/>
        </w:rPr>
        <w:t>Term Loans</w:t>
      </w:r>
      <w:r>
        <w:rPr>
          <w:rFonts w:ascii="Times New Roman;serif" w:hAnsi="Times New Roman;serif"/>
          <w:b w:val="false"/>
          <w:color w:val="000000"/>
          <w:sz w:val="24"/>
        </w:rPr>
        <w:t>. Subject to the terms and conditions hereof, each Lender severally agrees to make, on the Closing Date, a term loan to Borrower in an original principal amount equal to such Lender’s Term Loan Commitment (each, a “</w:t>
      </w:r>
      <w:r>
        <w:rPr>
          <w:rFonts w:ascii="Times New Roman;serif" w:hAnsi="Times New Roman;serif"/>
          <w:b w:val="false"/>
          <w:color w:val="000000"/>
          <w:sz w:val="24"/>
          <w:u w:val="single"/>
        </w:rPr>
        <w:t>Term Loan</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Term Loans</w:t>
      </w:r>
      <w:r>
        <w:rPr>
          <w:color w:val="000000"/>
        </w:rPr>
        <w:t>”</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 xml:space="preserve">Borrower shall make only one borrowing under the Term Loan Commitments, which shall be on the Closing Date. Any amount borrowed under this </w:t>
      </w:r>
      <w:r>
        <w:rPr>
          <w:rFonts w:ascii="Times New Roman;serif" w:hAnsi="Times New Roman;serif"/>
          <w:b w:val="false"/>
          <w:color w:val="000000"/>
          <w:sz w:val="24"/>
          <w:u w:val="single"/>
        </w:rPr>
        <w:t>Section 2.01(a)</w:t>
      </w:r>
      <w:r>
        <w:rPr>
          <w:color w:val="000000"/>
        </w:rPr>
        <w:t xml:space="preserve"> </w:t>
      </w:r>
      <w:r>
        <w:rPr>
          <w:rFonts w:ascii="Times New Roman;serif" w:hAnsi="Times New Roman;serif"/>
          <w:b w:val="false"/>
          <w:color w:val="000000"/>
          <w:sz w:val="24"/>
        </w:rPr>
        <w:t>and subsequently repaid or prepaid may not be reborrowed. Each Lender’s Term Loan Commitment shall terminate immediately and without further action on the Closing Date, after giving effect to the funding of such Term Loan on such Closing Date.</w:t>
      </w:r>
    </w:p>
    <w:p>
      <w:pPr>
        <w:pStyle w:val="TextBody"/>
        <w:bidi w:val="0"/>
        <w:spacing w:lineRule="auto" w:line="240" w:before="0" w:after="240"/>
        <w:ind w:left="0" w:right="0" w:firstLine="1440"/>
        <w:jc w:val="both"/>
        <w:rPr/>
      </w:pPr>
      <w:bookmarkStart w:id="159" w:name="idd91099ab1494ef3a8c096eb722d5a6e"/>
      <w:bookmarkEnd w:id="159"/>
      <w:r>
        <w:rPr>
          <w:rFonts w:ascii="Times New Roman;serif" w:hAnsi="Times New Roman;serif"/>
          <w:b w:val="false"/>
          <w:color w:val="000000"/>
          <w:sz w:val="24"/>
        </w:rPr>
        <w:t>(b)</w:t>
      </w:r>
      <w:r>
        <w:rPr>
          <w:rFonts w:ascii="Times New Roman;serif" w:hAnsi="Times New Roman;serif"/>
          <w:b w:val="false"/>
          <w:color w:val="000000"/>
          <w:sz w:val="24"/>
          <w:u w:val="single"/>
        </w:rPr>
        <w:t>Borrowing Mechanics for Term Loans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bookmarkStart w:id="160" w:name="ib536d2aafe4e42a9a0a98ac8ddf723bc"/>
      <w:bookmarkEnd w:id="160"/>
      <w:r>
        <w:rPr>
          <w:rFonts w:ascii="Times New Roman;serif" w:hAnsi="Times New Roman;serif"/>
          <w:b w:val="false"/>
          <w:color w:val="000000"/>
          <w:sz w:val="24"/>
        </w:rPr>
        <w:t>(i)</w:t>
      </w:r>
      <w:r>
        <w:rPr>
          <w:rFonts w:ascii="Times New Roman;serif" w:hAnsi="Times New Roman;serif"/>
          <w:b w:val="false"/>
          <w:color w:val="000000"/>
          <w:sz w:val="24"/>
        </w:rPr>
        <w:t>Borrower shall deliver to Administrative Agent a fully executed Funding Notice no later than [***] prior to the Closing Date (or such shorter period permitted by Administrative Agent) with respect to the Term Loans to be made on the Closing Date.</w:t>
      </w:r>
    </w:p>
    <w:p>
      <w:pPr>
        <w:pStyle w:val="TextBody"/>
        <w:bidi w:val="0"/>
        <w:spacing w:lineRule="auto" w:line="240" w:before="0" w:after="240"/>
        <w:ind w:left="0" w:right="0" w:firstLine="2160"/>
        <w:jc w:val="both"/>
        <w:rPr/>
      </w:pPr>
      <w:bookmarkStart w:id="161" w:name="i437ce5631afb4496821c9db0b4bbfdee"/>
      <w:bookmarkEnd w:id="161"/>
      <w:r>
        <w:rPr>
          <w:rFonts w:ascii="Times New Roman;serif" w:hAnsi="Times New Roman;serif"/>
          <w:b w:val="false"/>
          <w:color w:val="000000"/>
          <w:sz w:val="24"/>
        </w:rPr>
        <w:t>(ii)</w:t>
      </w:r>
      <w:r>
        <w:rPr>
          <w:rFonts w:ascii="Times New Roman;serif" w:hAnsi="Times New Roman;serif"/>
          <w:b w:val="false"/>
          <w:color w:val="000000"/>
          <w:sz w:val="24"/>
        </w:rPr>
        <w:t>Such Funding Notice shall be irrevocable once delivered to Administrative Agent. Promptly upon receipt by Administrative Agent of such Funding Notice, Administrative Agent shall notify each Lender of the proposed borrowing. Administrative Agent and Lenders (A) may act without liability upon the basis of written or emailed notice believed by Administrative Agent in good faith to be from Borrower (or from any Senior Officer thereof designated in writing purportedly from Borrower to Administrative Agent), (B) shall be entitled to rely conclusively on any Senior Officer’s authority to request a Term Loan on behalf of Borrower until Administrative Agent receives written notice to the contrary, and (C) shall have no duty to verify the authenticity of the signature appearing on any written Funding Notice.</w:t>
      </w:r>
    </w:p>
    <w:p>
      <w:pPr>
        <w:pStyle w:val="TextBody"/>
        <w:bidi w:val="0"/>
        <w:spacing w:lineRule="auto" w:line="240" w:before="0" w:after="240"/>
        <w:ind w:left="0" w:right="0" w:firstLine="2160"/>
        <w:jc w:val="both"/>
        <w:rPr/>
      </w:pPr>
      <w:bookmarkStart w:id="162" w:name="ic0d1f8b0bb41461dbd87a770373f653e"/>
      <w:bookmarkEnd w:id="162"/>
      <w:r>
        <w:rPr>
          <w:rFonts w:ascii="Times New Roman;serif" w:hAnsi="Times New Roman;serif"/>
          <w:b w:val="false"/>
          <w:color w:val="000000"/>
          <w:sz w:val="24"/>
        </w:rPr>
        <w:t>(iii)</w:t>
      </w:r>
      <w:r>
        <w:rPr>
          <w:rFonts w:ascii="Times New Roman;serif" w:hAnsi="Times New Roman;serif"/>
          <w:b w:val="false"/>
          <w:color w:val="000000"/>
          <w:sz w:val="24"/>
        </w:rPr>
        <w:t xml:space="preserve">Each Lender shall make its applicable Term Loan available to Administrative Agent not later than 12:00 p.m. on the Closing Date, by wire transfer of same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day funds in Dollars to Administrative Agent. Upon satisfaction or waiver of the conditions precedent specified herein, Administrative Agent shall make the proceeds of the applicable Term Loans available to Borrower on the Closing Date by causing an amount of same day funds in Dollars equal to the proceeds of all such Term Loans received by Administrative Agent from Lenders to be credited to the account of Borrower or to such other account as may be designated in writing to Administrative Agent by Borrower.</w:t>
      </w:r>
    </w:p>
    <w:p>
      <w:pPr>
        <w:pStyle w:val="TextBody"/>
        <w:bidi w:val="0"/>
        <w:spacing w:lineRule="auto" w:line="240" w:before="0" w:after="240"/>
        <w:ind w:left="0" w:right="0" w:firstLine="1440"/>
        <w:jc w:val="both"/>
        <w:rPr/>
      </w:pPr>
      <w:bookmarkStart w:id="163" w:name="i9660c88f06044a2d93da9398cbbcb432"/>
      <w:bookmarkEnd w:id="163"/>
      <w:r>
        <w:rPr>
          <w:rFonts w:ascii="Times New Roman;serif" w:hAnsi="Times New Roman;serif"/>
          <w:b w:val="false"/>
          <w:color w:val="000000"/>
          <w:sz w:val="24"/>
        </w:rPr>
        <w:t>(c)</w:t>
      </w:r>
      <w:r>
        <w:rPr>
          <w:rFonts w:ascii="Times New Roman;serif" w:hAnsi="Times New Roman;serif"/>
          <w:b w:val="false"/>
          <w:color w:val="000000"/>
          <w:sz w:val="24"/>
          <w:u w:val="single"/>
        </w:rPr>
        <w:t>Pro Rata Shares; Availability of Funds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bookmarkStart w:id="164" w:name="i31ce44a56e024adcb2bbda042ea71921"/>
      <w:bookmarkEnd w:id="164"/>
      <w:r>
        <w:rPr>
          <w:rFonts w:ascii="Times New Roman;serif" w:hAnsi="Times New Roman;serif"/>
          <w:b w:val="false"/>
          <w:color w:val="000000"/>
          <w:sz w:val="24"/>
        </w:rPr>
        <w:t>(i)</w:t>
      </w:r>
      <w:r>
        <w:rPr>
          <w:rFonts w:ascii="Times New Roman;serif" w:hAnsi="Times New Roman;serif"/>
          <w:b w:val="false"/>
          <w:color w:val="000000"/>
          <w:sz w:val="24"/>
          <w:u w:val="single"/>
        </w:rPr>
        <w:t>Pro Rata Shares</w:t>
      </w:r>
      <w:r>
        <w:rPr>
          <w:rFonts w:ascii="Times New Roman;serif" w:hAnsi="Times New Roman;serif"/>
          <w:b w:val="false"/>
          <w:color w:val="000000"/>
          <w:sz w:val="24"/>
        </w:rPr>
        <w:t>. All Term Loans shall be made by Lenders simultaneously and proportionately to their respective Pro Rata Shares, it being understood that no Lender shall be responsible for any default by any other Lender in such other Lender’s obligation to make a Term Loan requested hereunder nor shall any Term Loan Commitment of any Lender be increased or decreased as a result of a default by any other Lender in such other Lender’s obligation to make a Term Loan requested hereunder or purchase a participation required hereby.</w:t>
      </w:r>
    </w:p>
    <w:p>
      <w:pPr>
        <w:pStyle w:val="TextBody"/>
        <w:bidi w:val="0"/>
        <w:spacing w:lineRule="auto" w:line="240" w:before="0" w:after="240"/>
        <w:ind w:left="0" w:right="0" w:firstLine="2160"/>
        <w:jc w:val="both"/>
        <w:rPr/>
      </w:pPr>
      <w:bookmarkStart w:id="165" w:name="i1bbd96f7f656489ea140c5440af50df4"/>
      <w:bookmarkEnd w:id="165"/>
      <w:r>
        <w:rPr>
          <w:rFonts w:ascii="Times New Roman;serif" w:hAnsi="Times New Roman;serif"/>
          <w:b w:val="false"/>
          <w:color w:val="000000"/>
          <w:sz w:val="24"/>
        </w:rPr>
        <w:t>(ii)</w:t>
      </w:r>
      <w:r>
        <w:rPr>
          <w:rFonts w:ascii="Times New Roman;serif" w:hAnsi="Times New Roman;serif"/>
          <w:b w:val="false"/>
          <w:color w:val="000000"/>
          <w:sz w:val="24"/>
          <w:u w:val="single"/>
        </w:rPr>
        <w:t>Availability of Funds</w:t>
      </w:r>
      <w:r>
        <w:rPr>
          <w:rFonts w:ascii="Times New Roman;serif" w:hAnsi="Times New Roman;serif"/>
          <w:b w:val="false"/>
          <w:color w:val="000000"/>
          <w:sz w:val="24"/>
        </w:rPr>
        <w:t xml:space="preserve">. Unless Administrative Agent shall have been notified by any Lender prior to the Closing Date that such Lender does not intend to make available to Administrative Agent the amount of such Lender’s Term Loan requested on the Closing Date, Administrative Agent may assume that such Lender has made such amount available to Administrative Agent on the Closing Date and Administrative Agent may, in its sole discretion, but shall not be obligated to, make available to Borrower a corresponding amount on the Closing Date. If such corresponding amount is not in fact made available to Administrative Agent by such Lender, Administrative Agent shall be entitled to recover such corresponding amount on demand from such Lender together with interest thereon, for each day from the Closing Date until the date such amount is paid to Administrative Agent, at the customary rate set by Administrative Agent for the correction of errors among banks. If such Lender does not pay such corresponding amount forthwith upon Administrative Agent’s demand therefor, Administrative Agent shall promptly notify Borrower and Borrower shall immediately pay such corresponding amount to Administrative Agent together with interest thereon, for each day from the Closing Date until the date such amount is paid to Administrative Agent, at the rate payable hereunder. Nothing in this </w:t>
      </w:r>
      <w:r>
        <w:rPr>
          <w:rFonts w:ascii="Times New Roman;serif" w:hAnsi="Times New Roman;serif"/>
          <w:b w:val="false"/>
          <w:color w:val="000000"/>
          <w:sz w:val="24"/>
          <w:u w:val="single"/>
        </w:rPr>
        <w:t>Section 2.01(c)(ii)</w:t>
      </w:r>
      <w:r>
        <w:rPr>
          <w:color w:val="000000"/>
        </w:rPr>
        <w:t xml:space="preserve"> </w:t>
      </w:r>
      <w:r>
        <w:rPr>
          <w:rFonts w:ascii="Times New Roman;serif" w:hAnsi="Times New Roman;serif"/>
          <w:b w:val="false"/>
          <w:color w:val="000000"/>
          <w:sz w:val="24"/>
        </w:rPr>
        <w:t>shall be deemed to relieve any Lender from its obligation to fulfill its Term Loan Commitments hereunder or to prejudice any rights that Borrower may have against any Lender as a result of any default by such Lender hereunder.</w:t>
      </w:r>
    </w:p>
    <w:p>
      <w:pPr>
        <w:pStyle w:val="TextBody"/>
        <w:bidi w:val="0"/>
        <w:spacing w:lineRule="auto" w:line="240" w:before="0" w:after="240"/>
        <w:ind w:left="0" w:right="0" w:firstLine="180"/>
        <w:jc w:val="left"/>
        <w:rPr>
          <w:rFonts w:ascii="Times New Roman;serif" w:hAnsi="Times New Roman;serif"/>
          <w:b/>
          <w:color w:val="000000"/>
          <w:sz w:val="24"/>
        </w:rPr>
      </w:pPr>
      <w:bookmarkStart w:id="166" w:name="i67e02f5e978146b08950a8cb8771ddb5"/>
      <w:bookmarkEnd w:id="166"/>
      <w:r>
        <w:rPr>
          <w:rFonts w:ascii="Times New Roman;serif" w:hAnsi="Times New Roman;serif"/>
          <w:b/>
          <w:color w:val="000000"/>
          <w:sz w:val="24"/>
        </w:rPr>
        <w:t>Article III</w:t>
        <w:br/>
        <w:t>REPAYMENT</w:t>
      </w:r>
    </w:p>
    <w:p>
      <w:pPr>
        <w:pStyle w:val="TextBody"/>
        <w:bidi w:val="0"/>
        <w:spacing w:lineRule="auto" w:line="240" w:before="0" w:after="0"/>
        <w:ind w:left="0" w:right="0" w:firstLine="720"/>
        <w:jc w:val="both"/>
        <w:rPr/>
      </w:pPr>
      <w:bookmarkStart w:id="167" w:name="i001d3d8b55ad428cb955b16f202aaa66"/>
      <w:bookmarkEnd w:id="167"/>
      <w:r>
        <w:rPr>
          <w:rFonts w:ascii="Times New Roman;serif" w:hAnsi="Times New Roman;serif"/>
          <w:b w:val="false"/>
          <w:color w:val="000000"/>
          <w:sz w:val="24"/>
        </w:rPr>
        <w:t>Section 3.01</w:t>
      </w:r>
      <w:r>
        <w:rPr>
          <w:rFonts w:ascii="Times New Roman;serif" w:hAnsi="Times New Roman;serif"/>
          <w:b w:val="false"/>
          <w:color w:val="000000"/>
          <w:sz w:val="24"/>
          <w:u w:val="single"/>
        </w:rPr>
        <w:t>Amortization; Maturity Date</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168" w:name="i19689d19fcc24a3586a646caaba5fe59"/>
      <w:bookmarkEnd w:id="168"/>
      <w:r>
        <w:rPr>
          <w:rFonts w:ascii="Times New Roman;serif" w:hAnsi="Times New Roman;serif"/>
          <w:b w:val="false"/>
          <w:color w:val="000000"/>
          <w:sz w:val="24"/>
        </w:rPr>
        <w:t>(a)</w:t>
      </w:r>
      <w:r>
        <w:rPr>
          <w:rFonts w:ascii="Times New Roman;serif" w:hAnsi="Times New Roman;serif"/>
          <w:b w:val="false"/>
          <w:color w:val="000000"/>
          <w:sz w:val="24"/>
        </w:rPr>
        <w:t>If not earlier repaid in full, the unpaid balance of the outstanding Principal Amount of the Term Loans, together with any accrued and unpaid interest and the Exit Fee, and all other Obligations then outstanding, shall be due and payable in cash to each Lender’s Payment Account in respect of each Lender’s Pro Rata Share on the Maturity Date.</w:t>
      </w:r>
    </w:p>
    <w:p>
      <w:pPr>
        <w:pStyle w:val="TextBody"/>
        <w:bidi w:val="0"/>
        <w:spacing w:lineRule="auto" w:line="240" w:before="0" w:after="240"/>
        <w:ind w:left="0" w:right="0" w:firstLine="1440"/>
        <w:jc w:val="both"/>
        <w:rPr/>
      </w:pPr>
      <w:bookmarkStart w:id="169" w:name="ib9027155f3ae423c9e9af55903380dba"/>
      <w:bookmarkEnd w:id="169"/>
      <w:r>
        <w:rPr>
          <w:rFonts w:ascii="Times New Roman;serif" w:hAnsi="Times New Roman;serif"/>
          <w:b w:val="false"/>
          <w:color w:val="000000"/>
          <w:sz w:val="24"/>
        </w:rPr>
        <w:t>(b)</w:t>
      </w:r>
      <w:r>
        <w:rPr>
          <w:rFonts w:ascii="Times New Roman;serif" w:hAnsi="Times New Roman;serif"/>
          <w:b w:val="false"/>
          <w:color w:val="000000"/>
          <w:sz w:val="24"/>
        </w:rPr>
        <w:t>For the avoidance of doubt, solely the Borrower (and no Affiliate of the Borrower, including any other Loan Party) shall be responsible for repaying the Obligations as set forth in clause (a) above; provided, that nothing in this Section 3.01(b) shall limit or otherwise affect any indemnification or other payment obligations of the Borrower, Company, Parent or any other Person under this Agreement, the Sale Agreement or any other Loan Document to which it is a party.</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240"/>
        <w:ind w:left="0" w:right="0" w:firstLine="1440"/>
        <w:jc w:val="both"/>
        <w:rPr/>
      </w:pPr>
      <w:bookmarkStart w:id="170" w:name="iad90f12725c34dad9965d0638d3e4506"/>
      <w:bookmarkEnd w:id="170"/>
      <w:r>
        <w:rPr>
          <w:rFonts w:ascii="Times New Roman;serif" w:hAnsi="Times New Roman;serif"/>
          <w:b w:val="false"/>
          <w:color w:val="000000"/>
          <w:sz w:val="24"/>
        </w:rPr>
        <w:t>(c)</w:t>
      </w:r>
      <w:r>
        <w:rPr>
          <w:rFonts w:ascii="Times New Roman;serif" w:hAnsi="Times New Roman;serif"/>
          <w:b w:val="false"/>
          <w:color w:val="000000"/>
          <w:sz w:val="24"/>
        </w:rPr>
        <w:t>If all or any part of the Term Loans are repaid prior to the Maturity Date, then the Borrower shall be required to pay the Yield Protection Premium. If all or any part of the Term Loans are repaid prior to the Maturity Date and after December 31, 2033, then the Borrower shall be required to pay the Early Redemption Fee in addition to the Yield Protection Premium. If any portion of the Term Loans or the Fixed Interest are outstanding on the Maturity Date, the Borrower shall be required to pay the Exit Fee.</w:t>
      </w:r>
    </w:p>
    <w:p>
      <w:pPr>
        <w:pStyle w:val="TextBody"/>
        <w:bidi w:val="0"/>
        <w:spacing w:lineRule="auto" w:line="240" w:before="0" w:after="240"/>
        <w:ind w:left="0" w:right="0" w:firstLine="1440"/>
        <w:jc w:val="both"/>
        <w:rPr/>
      </w:pPr>
      <w:bookmarkStart w:id="171" w:name="ibc65d0f66f504f158019c41e3d2ea736"/>
      <w:bookmarkEnd w:id="171"/>
      <w:r>
        <w:rPr>
          <w:rFonts w:ascii="Times New Roman;serif" w:hAnsi="Times New Roman;serif"/>
          <w:b w:val="false"/>
          <w:color w:val="000000"/>
          <w:sz w:val="24"/>
        </w:rPr>
        <w:t>(d)</w:t>
      </w:r>
      <w:r>
        <w:rPr>
          <w:rFonts w:ascii="Times New Roman;serif" w:hAnsi="Times New Roman;serif"/>
          <w:b w:val="false"/>
          <w:color w:val="000000"/>
          <w:sz w:val="24"/>
        </w:rPr>
        <w:t>For the avoidance of doubt, the Term Loans may not be voluntarily repaid or prepaid by the Borrower prior to the Maturity Date.</w:t>
      </w:r>
    </w:p>
    <w:p>
      <w:pPr>
        <w:pStyle w:val="TextBody"/>
        <w:bidi w:val="0"/>
        <w:spacing w:lineRule="auto" w:line="240" w:before="0" w:after="0"/>
        <w:ind w:left="0" w:right="0" w:firstLine="720"/>
        <w:jc w:val="both"/>
        <w:rPr/>
      </w:pPr>
      <w:bookmarkStart w:id="172" w:name="ief3a030b622e4f098caaa459647c7b0e"/>
      <w:bookmarkEnd w:id="172"/>
      <w:r>
        <w:rPr>
          <w:rFonts w:ascii="Times New Roman;serif" w:hAnsi="Times New Roman;serif"/>
          <w:b w:val="false"/>
          <w:color w:val="000000"/>
          <w:sz w:val="24"/>
        </w:rPr>
        <w:t>Section 3.02</w:t>
      </w:r>
      <w:r>
        <w:rPr>
          <w:rFonts w:ascii="Times New Roman;serif" w:hAnsi="Times New Roman;serif"/>
          <w:b w:val="false"/>
          <w:color w:val="000000"/>
          <w:sz w:val="24"/>
          <w:u w:val="single"/>
        </w:rPr>
        <w:t>Mandatory Prepayment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173" w:name="i9b62f9ec059a42a0a4ca698afa94f997"/>
      <w:bookmarkEnd w:id="173"/>
      <w:r>
        <w:rPr>
          <w:rFonts w:ascii="Times New Roman;serif" w:hAnsi="Times New Roman;serif"/>
          <w:b w:val="false"/>
          <w:color w:val="000000"/>
          <w:sz w:val="24"/>
        </w:rPr>
        <w:t>(a)</w:t>
      </w:r>
      <w:r>
        <w:rPr>
          <w:rFonts w:ascii="Times New Roman;serif" w:hAnsi="Times New Roman;serif"/>
          <w:b w:val="false"/>
          <w:color w:val="000000"/>
          <w:sz w:val="24"/>
        </w:rPr>
        <w:t xml:space="preserve">During the continuance of an Event of Default the Administrative Agent may declare the outstanding Principal Amount of the Term Loans,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accrued and unpaid interest thereof, the Yield Protection Premium and the Early Redemption Fee (if applicable), to be immediately due and payable hereunder, in whole but not in part, to the extent permitted by law, together with all other Obligations then outstanding or due in connection therewith, to each Lender’s Payment Account in respect of each Lender’s Pro Rata Share.</w:t>
      </w:r>
    </w:p>
    <w:p>
      <w:pPr>
        <w:pStyle w:val="TextBody"/>
        <w:bidi w:val="0"/>
        <w:spacing w:lineRule="auto" w:line="240" w:before="0" w:after="240"/>
        <w:ind w:left="0" w:right="0" w:firstLine="1440"/>
        <w:jc w:val="both"/>
        <w:rPr/>
      </w:pPr>
      <w:bookmarkStart w:id="174" w:name="ie5de5be0b65e45589502dc7f0c0d347e"/>
      <w:bookmarkEnd w:id="174"/>
      <w:r>
        <w:rPr>
          <w:rFonts w:ascii="Times New Roman;serif" w:hAnsi="Times New Roman;serif"/>
          <w:b w:val="false"/>
          <w:color w:val="000000"/>
          <w:sz w:val="24"/>
        </w:rPr>
        <w:t>(b)</w:t>
      </w:r>
      <w:r>
        <w:rPr>
          <w:rFonts w:ascii="Times New Roman;serif" w:hAnsi="Times New Roman;serif"/>
          <w:b w:val="false"/>
          <w:color w:val="000000"/>
          <w:sz w:val="24"/>
        </w:rPr>
        <w:t xml:space="preserve">In connection with the payment in full of the Term Loans outstanding under </w:t>
      </w:r>
      <w:r>
        <w:rPr>
          <w:rFonts w:ascii="Times New Roman;serif" w:hAnsi="Times New Roman;serif"/>
          <w:b w:val="false"/>
          <w:color w:val="000000"/>
          <w:sz w:val="24"/>
          <w:u w:val="single"/>
        </w:rPr>
        <w:t>Section 3.02</w:t>
      </w:r>
      <w:r>
        <w:rPr>
          <w:rFonts w:ascii="Times New Roman;serif" w:hAnsi="Times New Roman;serif"/>
          <w:b w:val="false"/>
          <w:color w:val="000000"/>
          <w:sz w:val="24"/>
        </w:rPr>
        <w:t>, any unpaid amounts in respect of such prepaid Term Loans not consisting of principal or Fixed Interest (i.e., any unpaid amounts for indemnification, tax gross-up, default interest and other amounts not consisting of principal or interest) shall be immediately due and payable.</w:t>
      </w:r>
    </w:p>
    <w:p>
      <w:pPr>
        <w:pStyle w:val="TextBody"/>
        <w:bidi w:val="0"/>
        <w:spacing w:lineRule="auto" w:line="240" w:before="0" w:after="0"/>
        <w:ind w:left="0" w:right="0" w:firstLine="720"/>
        <w:jc w:val="both"/>
        <w:rPr/>
      </w:pPr>
      <w:bookmarkStart w:id="175" w:name="i82c7dea5f2314d6d88523cb6a694d321"/>
      <w:bookmarkEnd w:id="175"/>
      <w:r>
        <w:rPr>
          <w:rFonts w:ascii="Times New Roman;serif" w:hAnsi="Times New Roman;serif"/>
          <w:b w:val="false"/>
          <w:color w:val="000000"/>
          <w:sz w:val="24"/>
        </w:rPr>
        <w:t>Section 3.03</w:t>
      </w:r>
      <w:r>
        <w:rPr>
          <w:rFonts w:ascii="Times New Roman;serif" w:hAnsi="Times New Roman;serif"/>
          <w:b w:val="false"/>
          <w:color w:val="000000"/>
          <w:sz w:val="24"/>
          <w:u w:val="single"/>
        </w:rPr>
        <w:t>Increased Cost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176" w:name="i77874871920e49c6b73764e117ec20c4"/>
      <w:bookmarkEnd w:id="176"/>
      <w:r>
        <w:rPr>
          <w:rFonts w:ascii="Times New Roman;serif" w:hAnsi="Times New Roman;serif"/>
          <w:b w:val="false"/>
          <w:color w:val="000000"/>
          <w:sz w:val="24"/>
        </w:rPr>
        <w:t>(a)</w:t>
      </w:r>
      <w:r>
        <w:rPr>
          <w:rFonts w:ascii="Times New Roman;serif" w:hAnsi="Times New Roman;serif"/>
          <w:b w:val="false"/>
          <w:color w:val="000000"/>
          <w:sz w:val="24"/>
        </w:rPr>
        <w:t>If any Regulatory Change occurs that has or would have the effect of:</w:t>
      </w:r>
    </w:p>
    <w:p>
      <w:pPr>
        <w:pStyle w:val="TextBody"/>
        <w:bidi w:val="0"/>
        <w:spacing w:lineRule="auto" w:line="240" w:before="0" w:after="240"/>
        <w:ind w:left="0" w:right="0" w:firstLine="2160"/>
        <w:jc w:val="both"/>
        <w:rPr/>
      </w:pPr>
      <w:bookmarkStart w:id="177" w:name="i8a32036cc4ee4b389dc9d6748cb60cc1"/>
      <w:bookmarkEnd w:id="177"/>
      <w:r>
        <w:rPr>
          <w:rFonts w:ascii="Times New Roman;serif" w:hAnsi="Times New Roman;serif"/>
          <w:b w:val="false"/>
          <w:color w:val="000000"/>
          <w:sz w:val="24"/>
        </w:rPr>
        <w:t>(i)</w:t>
      </w:r>
      <w:r>
        <w:rPr>
          <w:rFonts w:ascii="Times New Roman;serif" w:hAnsi="Times New Roman;serif"/>
          <w:b w:val="false"/>
          <w:color w:val="000000"/>
          <w:sz w:val="24"/>
        </w:rPr>
        <w:t>imposing, modifying or deeming applicable any reserve, special deposit, compulsory loan, insurance charge or similar requirement against assets of, deposits with or for the account of, or credit extended or participated in by, a Lender;</w:t>
      </w:r>
    </w:p>
    <w:p>
      <w:pPr>
        <w:pStyle w:val="TextBody"/>
        <w:bidi w:val="0"/>
        <w:spacing w:lineRule="auto" w:line="240" w:before="0" w:after="240"/>
        <w:ind w:left="0" w:right="0" w:firstLine="2160"/>
        <w:jc w:val="both"/>
        <w:rPr/>
      </w:pPr>
      <w:bookmarkStart w:id="178" w:name="id07663ce307940b9a220f36a955f9f18"/>
      <w:bookmarkEnd w:id="178"/>
      <w:r>
        <w:rPr>
          <w:rFonts w:ascii="Times New Roman;serif" w:hAnsi="Times New Roman;serif"/>
          <w:b w:val="false"/>
          <w:color w:val="000000"/>
          <w:sz w:val="24"/>
        </w:rPr>
        <w:t>(ii)</w:t>
      </w:r>
      <w:r>
        <w:rPr>
          <w:rFonts w:ascii="Times New Roman;serif" w:hAnsi="Times New Roman;serif"/>
          <w:b w:val="false"/>
          <w:color w:val="000000"/>
          <w:sz w:val="24"/>
        </w:rPr>
        <w:t>subjecting a Lender to any Taxes (other than (A) Indemnified Taxes or (B) Excluded Taxes) with respect to the Term Loans, commitments, or other obligations, or its deposits, reserves, other liabilities or capital attributable thereto; or</w:t>
      </w:r>
    </w:p>
    <w:p>
      <w:pPr>
        <w:pStyle w:val="TextBody"/>
        <w:bidi w:val="0"/>
        <w:spacing w:lineRule="auto" w:line="240" w:before="0" w:after="240"/>
        <w:ind w:left="0" w:right="0" w:firstLine="2160"/>
        <w:jc w:val="both"/>
        <w:rPr/>
      </w:pPr>
      <w:bookmarkStart w:id="179" w:name="i1f59042b5f214f1a97a798b48569ed3d"/>
      <w:bookmarkEnd w:id="179"/>
      <w:r>
        <w:rPr>
          <w:rFonts w:ascii="Times New Roman;serif" w:hAnsi="Times New Roman;serif"/>
          <w:b w:val="false"/>
          <w:color w:val="000000"/>
          <w:sz w:val="24"/>
        </w:rPr>
        <w:t>(iii)</w:t>
      </w:r>
      <w:r>
        <w:rPr>
          <w:rFonts w:ascii="Times New Roman;serif" w:hAnsi="Times New Roman;serif"/>
          <w:b w:val="false"/>
          <w:color w:val="000000"/>
          <w:sz w:val="24"/>
        </w:rPr>
        <w:t>imposing on a Lender any other condition, cost or expense (other than Taxes) affecting this Agreement or Term Loans made by such Lender;</w:t>
      </w:r>
    </w:p>
    <w:p>
      <w:pPr>
        <w:pStyle w:val="TextBody"/>
        <w:bidi w:val="0"/>
        <w:spacing w:lineRule="auto" w:line="240" w:before="0" w:after="240"/>
        <w:jc w:val="both"/>
        <w:rPr/>
      </w:pPr>
      <w:r>
        <w:rPr>
          <w:rFonts w:ascii="Times New Roman;serif" w:hAnsi="Times New Roman;serif"/>
          <w:b w:val="false"/>
          <w:color w:val="000000"/>
          <w:sz w:val="24"/>
        </w:rPr>
        <w:t xml:space="preserve">and the result of any of the foregoing shall be to reduce the rate of return on the capital of such Lender as a consequence of its obligations hereunder or arising in connection herewith to a level below that which such Lender could have achieved but for such introduction, change or compliance (taking into consideration the policies of such Lender with respect to capital adequacy) by an amount deemed by such Lender to be material, then from time to time, on the first Payment Date occurring at least [***] after demand by such Lender (which demand shall be accompanied by a statement setting forth the basis for such demand and a description of the computation of such demand), Borrower shall pay directly to such Lender such additional amount or amounts as will compensate such Lender for such reduction. Such Lender will take such actions reasonably requested by Borrower, at the expense of Borrower, if such actions will avoid the need for, or reduce the amount of, such compensation and will not, in the judgment of such Lender, be otherwise disadvantageous to it or inconsistent with its internal policies and procedures. In no event will such Lender be expected or required to monitor the occurrence of any of the events or contingencies described in this </w:t>
      </w:r>
      <w:r>
        <w:rPr>
          <w:rFonts w:ascii="Times New Roman;serif" w:hAnsi="Times New Roman;serif"/>
          <w:b w:val="false"/>
          <w:color w:val="000000"/>
          <w:sz w:val="24"/>
          <w:u w:val="single"/>
        </w:rPr>
        <w:t>Section 3.03(a)</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Notwithstanding the foregoing, in no event shall Borrower be required to compensate such Lender pursuant to this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 xml:space="preserve">for any amounts under this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incurred more than [***] prior to the date that such Lender notifies Borrower of such amount and of such Lender’s intention to claim compensation therefor.</w:t>
      </w:r>
    </w:p>
    <w:p>
      <w:pPr>
        <w:pStyle w:val="TextBody"/>
        <w:bidi w:val="0"/>
        <w:spacing w:lineRule="auto" w:line="240" w:before="0" w:after="240"/>
        <w:ind w:left="0" w:right="0" w:firstLine="1440"/>
        <w:jc w:val="both"/>
        <w:rPr/>
      </w:pPr>
      <w:bookmarkStart w:id="180" w:name="i0d74dbc22b6c4ab7afceff9938689746"/>
      <w:bookmarkEnd w:id="180"/>
      <w:r>
        <w:rPr>
          <w:rFonts w:ascii="Times New Roman;serif" w:hAnsi="Times New Roman;serif"/>
          <w:b w:val="false"/>
          <w:color w:val="000000"/>
          <w:sz w:val="24"/>
        </w:rPr>
        <w:t>(b)</w:t>
      </w:r>
      <w:r>
        <w:rPr>
          <w:rFonts w:ascii="Times New Roman;serif" w:hAnsi="Times New Roman;serif"/>
          <w:b w:val="false"/>
          <w:color w:val="000000"/>
          <w:sz w:val="24"/>
        </w:rPr>
        <w:t xml:space="preserve">In determining any amount provided for in this </w:t>
      </w:r>
      <w:r>
        <w:rPr>
          <w:rFonts w:ascii="Times New Roman;serif" w:hAnsi="Times New Roman;serif"/>
          <w:b w:val="false"/>
          <w:color w:val="000000"/>
          <w:sz w:val="24"/>
          <w:u w:val="single"/>
        </w:rPr>
        <w:t>Section 3.03</w:t>
      </w:r>
      <w:r>
        <w:rPr>
          <w:rFonts w:ascii="Times New Roman;serif" w:hAnsi="Times New Roman;serif"/>
          <w:b w:val="false"/>
          <w:color w:val="000000"/>
          <w:sz w:val="24"/>
        </w:rPr>
        <w:t>, such Lender shall use commercially reasonable averaging and attribution methods. If such Lender makes a claim under this Section 3.03, it shall submit to Borrower a certificate setting forth the basis for such demand and a description of the computation of such demand as to such additional or increased cost or reduction, which certificate shall be conclusive absent manifest error.</w:t>
      </w:r>
    </w:p>
    <w:p>
      <w:pPr>
        <w:pStyle w:val="TextBody"/>
        <w:bidi w:val="0"/>
        <w:spacing w:lineRule="auto" w:line="240" w:before="0" w:after="240"/>
        <w:jc w:val="center"/>
        <w:rPr/>
      </w:pPr>
      <w:bookmarkStart w:id="181" w:name="i05086c8514254b0ebc3be1e4ab151207"/>
      <w:bookmarkEnd w:id="181"/>
      <w:r>
        <w:rPr>
          <w:rFonts w:ascii="Times New Roman;serif" w:hAnsi="Times New Roman;serif"/>
          <w:b/>
          <w:color w:val="000000"/>
          <w:sz w:val="24"/>
        </w:rPr>
        <w:t>Article IV</w:t>
      </w:r>
      <w:r>
        <w:rPr>
          <w:rFonts w:ascii="Times New Roman;serif" w:hAnsi="Times New Roman;serif"/>
          <w:b/>
          <w:color w:val="000000"/>
          <w:sz w:val="24"/>
        </w:rPr>
        <w:br/>
        <w:t>INTEREST; FEES; EXPENSES; MAKING OF PAYMENTS</w:t>
      </w:r>
    </w:p>
    <w:p>
      <w:pPr>
        <w:pStyle w:val="TextBody"/>
        <w:bidi w:val="0"/>
        <w:spacing w:lineRule="auto" w:line="240" w:before="0" w:after="0"/>
        <w:ind w:left="0" w:right="0" w:firstLine="720"/>
        <w:jc w:val="both"/>
        <w:rPr/>
      </w:pPr>
      <w:bookmarkStart w:id="182" w:name="i7a12df40d2db41e8a33a23c29eb08b3b"/>
      <w:bookmarkEnd w:id="182"/>
      <w:r>
        <w:rPr>
          <w:rFonts w:ascii="Times New Roman;serif" w:hAnsi="Times New Roman;serif"/>
          <w:b w:val="false"/>
          <w:color w:val="000000"/>
          <w:sz w:val="24"/>
        </w:rPr>
        <w:t>Section 4.01</w:t>
      </w:r>
      <w:r>
        <w:rPr>
          <w:rFonts w:ascii="Times New Roman;serif" w:hAnsi="Times New Roman;serif"/>
          <w:b w:val="false"/>
          <w:color w:val="000000"/>
          <w:sz w:val="24"/>
          <w:u w:val="single"/>
        </w:rPr>
        <w:t>Interest Rate; Fees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183" w:name="ib4f786b2349441d2a05ad43087cddf00"/>
      <w:bookmarkEnd w:id="183"/>
      <w:r>
        <w:rPr>
          <w:rFonts w:ascii="Times New Roman;serif" w:hAnsi="Times New Roman;serif"/>
          <w:b w:val="false"/>
          <w:color w:val="000000"/>
          <w:sz w:val="24"/>
        </w:rPr>
        <w:t>(a)</w:t>
      </w:r>
      <w:r>
        <w:rPr>
          <w:rFonts w:ascii="Times New Roman;serif" w:hAnsi="Times New Roman;serif"/>
          <w:b w:val="false"/>
          <w:color w:val="000000"/>
          <w:sz w:val="24"/>
        </w:rPr>
        <w:t xml:space="preserve">The outstanding Principal Amount of the Term Loans shall bear interest from the Closing Date consisting of Fixed Interest, which shall be paid in cash as provided in this </w:t>
      </w:r>
      <w:r>
        <w:rPr>
          <w:rFonts w:ascii="Times New Roman;serif" w:hAnsi="Times New Roman;serif"/>
          <w:b w:val="false"/>
          <w:color w:val="000000"/>
          <w:sz w:val="24"/>
          <w:u w:val="single"/>
        </w:rPr>
        <w:t>Section 4.01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84" w:name="ic7e4bd7f41c4486f90516142164fa20d"/>
      <w:bookmarkEnd w:id="184"/>
      <w:r>
        <w:rPr>
          <w:rFonts w:ascii="Times New Roman;serif" w:hAnsi="Times New Roman;serif"/>
          <w:b w:val="false"/>
          <w:color w:val="000000"/>
          <w:sz w:val="24"/>
        </w:rPr>
        <w:t>(b)</w:t>
      </w:r>
      <w:r>
        <w:rPr>
          <w:rFonts w:ascii="Times New Roman;serif" w:hAnsi="Times New Roman;serif"/>
          <w:b w:val="false"/>
          <w:color w:val="000000"/>
          <w:sz w:val="24"/>
        </w:rPr>
        <w:t>All interest hereunder in respect of Fixed Interest shall be computed on the basis of 365 days (or 366 days in a leap year) and shall be calculated as simple interest with no requirement to compound or pay in kind any interest prior to the Maturity Date.</w:t>
      </w:r>
    </w:p>
    <w:p>
      <w:pPr>
        <w:pStyle w:val="TextBody"/>
        <w:bidi w:val="0"/>
        <w:spacing w:lineRule="auto" w:line="240" w:before="240" w:after="283"/>
        <w:ind w:left="0" w:right="0" w:firstLine="720"/>
        <w:jc w:val="both"/>
        <w:rPr/>
      </w:pPr>
      <w:bookmarkStart w:id="185" w:name="ie3b17ae65e5a4c35a6d7567bf6edd9b8"/>
      <w:bookmarkEnd w:id="185"/>
      <w:r>
        <w:rPr>
          <w:rFonts w:ascii="Times New Roman;serif" w:hAnsi="Times New Roman;serif"/>
          <w:b w:val="false"/>
          <w:color w:val="000000"/>
          <w:sz w:val="24"/>
        </w:rPr>
        <w:t>Section 4.02</w:t>
      </w:r>
      <w:r>
        <w:rPr>
          <w:rFonts w:ascii="Times New Roman;serif" w:hAnsi="Times New Roman;serif"/>
          <w:b w:val="false"/>
          <w:color w:val="000000"/>
          <w:sz w:val="24"/>
        </w:rPr>
        <w:t>[</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bookmarkStart w:id="186" w:name="ice24c8c5adb04f9a95afa457ccd7983c"/>
      <w:bookmarkEnd w:id="186"/>
      <w:r>
        <w:rPr>
          <w:rFonts w:ascii="Times New Roman;serif" w:hAnsi="Times New Roman;serif"/>
          <w:b w:val="false"/>
          <w:color w:val="000000"/>
          <w:sz w:val="24"/>
        </w:rPr>
        <w:t>Section 4.03</w:t>
      </w:r>
      <w:r>
        <w:rPr>
          <w:rFonts w:ascii="Times New Roman;serif" w:hAnsi="Times New Roman;serif"/>
          <w:b w:val="false"/>
          <w:color w:val="000000"/>
          <w:sz w:val="24"/>
        </w:rPr>
        <w:t>[</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bookmarkStart w:id="187" w:name="i0b084cb784f646ec92c1cd71ca508714"/>
      <w:bookmarkEnd w:id="187"/>
      <w:r>
        <w:rPr>
          <w:rFonts w:ascii="Times New Roman;serif" w:hAnsi="Times New Roman;serif"/>
          <w:b w:val="false"/>
          <w:color w:val="000000"/>
          <w:sz w:val="24"/>
        </w:rPr>
        <w:t>Section 4.04</w:t>
      </w:r>
      <w:r>
        <w:rPr>
          <w:rFonts w:ascii="Times New Roman;serif" w:hAnsi="Times New Roman;serif"/>
          <w:b w:val="false"/>
          <w:color w:val="000000"/>
          <w:sz w:val="24"/>
          <w:u w:val="single"/>
        </w:rPr>
        <w:t>Collection Account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188" w:name="i18e01c435a864ebfbeb89e6b6c131ce5"/>
      <w:bookmarkEnd w:id="188"/>
      <w:r>
        <w:rPr>
          <w:rFonts w:ascii="Times New Roman;serif" w:hAnsi="Times New Roman;serif"/>
          <w:b w:val="false"/>
          <w:color w:val="000000"/>
          <w:sz w:val="24"/>
        </w:rPr>
        <w:t>(a)</w:t>
      </w:r>
      <w:r>
        <w:rPr>
          <w:rFonts w:ascii="Times New Roman;serif" w:hAnsi="Times New Roman;serif"/>
          <w:b w:val="false"/>
          <w:color w:val="000000"/>
          <w:sz w:val="24"/>
        </w:rPr>
        <w:t>Within [***] following the Closing Date or such later date as Administrative Agent may agree in its sole discretion, Borrower shall establish with the Escrow Agent the Collection Account and the Escrow Agreement.</w:t>
      </w:r>
    </w:p>
    <w:p>
      <w:pPr>
        <w:pStyle w:val="TextBody"/>
        <w:bidi w:val="0"/>
        <w:spacing w:lineRule="auto" w:line="240" w:before="0" w:after="240"/>
        <w:ind w:left="0" w:right="0" w:firstLine="1440"/>
        <w:jc w:val="both"/>
        <w:rPr/>
      </w:pPr>
      <w:bookmarkStart w:id="189" w:name="i251c4fa7c2c24f4981bd262ebfaacce7"/>
      <w:bookmarkEnd w:id="189"/>
      <w:r>
        <w:rPr>
          <w:rFonts w:ascii="Times New Roman;serif" w:hAnsi="Times New Roman;serif"/>
          <w:b w:val="false"/>
          <w:color w:val="000000"/>
          <w:sz w:val="24"/>
        </w:rPr>
        <w:t>(b)</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bookmarkStart w:id="190" w:name="i020df7a6203e4400bf64c06a4d7d3a6c"/>
      <w:bookmarkEnd w:id="190"/>
      <w:r>
        <w:rPr>
          <w:rFonts w:ascii="Times New Roman;serif" w:hAnsi="Times New Roman;serif"/>
          <w:b w:val="false"/>
          <w:color w:val="000000"/>
          <w:sz w:val="24"/>
        </w:rPr>
        <w:t>(c)</w:t>
      </w:r>
      <w:r>
        <w:rPr>
          <w:rFonts w:ascii="Times New Roman;serif" w:hAnsi="Times New Roman;serif"/>
          <w:b w:val="false"/>
          <w:color w:val="000000"/>
          <w:sz w:val="24"/>
        </w:rPr>
        <w:t>Prior to the Payment in Full, Borrower shall have no right to terminate the Collection Account without Administrative Agent’s prior written consent.</w:t>
      </w:r>
    </w:p>
    <w:p>
      <w:pPr>
        <w:pStyle w:val="TextBody"/>
        <w:bidi w:val="0"/>
        <w:spacing w:lineRule="auto" w:line="240" w:before="0" w:after="240"/>
        <w:ind w:left="0" w:right="0" w:firstLine="1440"/>
        <w:jc w:val="both"/>
        <w:rPr/>
      </w:pPr>
      <w:bookmarkStart w:id="191" w:name="ie2b0d1c1115246b9adbc8971c5266e1b"/>
      <w:bookmarkEnd w:id="191"/>
      <w:r>
        <w:rPr>
          <w:rFonts w:ascii="Times New Roman;serif" w:hAnsi="Times New Roman;serif"/>
          <w:b w:val="false"/>
          <w:color w:val="000000"/>
          <w:sz w:val="24"/>
        </w:rPr>
        <w:t>(d)</w:t>
      </w:r>
      <w:r>
        <w:rPr>
          <w:rFonts w:ascii="Times New Roman;serif" w:hAnsi="Times New Roman;serif"/>
          <w:b w:val="false"/>
          <w:color w:val="000000"/>
          <w:sz w:val="24"/>
        </w:rPr>
        <w:t>To the extent any Agreed Payments are paid directly to any Loan Party or any of their Affiliates (other than to the Collection Account), such Loan Party or Affiliate shall (i) remit to the Collection Account all such amounts within [***] of receipt of any such funds, (ii) promptly inform such Covered Agreement Counterparty to remit any future payments to the Collection Account as instructed in the applicable Notice and Instruction Letter and (iii) promptly provide to Administrative Agent a copy of such notice.</w:t>
      </w:r>
    </w:p>
    <w:p>
      <w:pPr>
        <w:pStyle w:val="TextBody"/>
        <w:bidi w:val="0"/>
        <w:spacing w:lineRule="auto" w:line="240" w:before="0" w:after="0"/>
        <w:ind w:left="0" w:right="0" w:firstLine="720"/>
        <w:jc w:val="both"/>
        <w:rPr/>
      </w:pPr>
      <w:bookmarkStart w:id="192" w:name="i5beb98a7d61241f5b0b55707a64d34f5"/>
      <w:bookmarkEnd w:id="192"/>
      <w:r>
        <w:rPr>
          <w:rFonts w:ascii="Times New Roman;serif" w:hAnsi="Times New Roman;serif"/>
          <w:b w:val="false"/>
          <w:color w:val="000000"/>
          <w:sz w:val="24"/>
        </w:rPr>
        <w:t>Section 4.05</w:t>
      </w:r>
      <w:r>
        <w:rPr>
          <w:rFonts w:ascii="Times New Roman;serif" w:hAnsi="Times New Roman;serif"/>
          <w:b w:val="false"/>
          <w:color w:val="000000"/>
          <w:sz w:val="24"/>
          <w:u w:val="single"/>
        </w:rPr>
        <w:t>Application of Payments; Ratable Sharing</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193" w:name="ia6586f94ce9e4704bf2305287df07fb6"/>
      <w:bookmarkEnd w:id="193"/>
      <w:r>
        <w:rPr>
          <w:rFonts w:ascii="Times New Roman;serif" w:hAnsi="Times New Roman;serif"/>
          <w:b w:val="false"/>
          <w:color w:val="000000"/>
          <w:sz w:val="24"/>
        </w:rPr>
        <w:t>(a)</w:t>
      </w:r>
      <w:r>
        <w:rPr>
          <w:rFonts w:ascii="Times New Roman;serif" w:hAnsi="Times New Roman;serif"/>
          <w:b w:val="false"/>
          <w:color w:val="000000"/>
          <w:sz w:val="24"/>
        </w:rPr>
        <w:t xml:space="preserve">On each Payment Date, the Borrower shall (1) promptly deliver to the Administrative Agent the Payment Date Distribution Report and (2) distribute, or cause the Escrow Agent to distribute (unless the Escrow Agreement provides for automatic disbursement to the applicable Payment Accounts), from the Collection Account all Agreed Payments since the immediately preceding Payment Date in the order of priority set forth below but, in each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case, only to the extent that all amounts then required to be paid ranking prior thereto have been paid in full on such Payment Date:</w:t>
      </w:r>
    </w:p>
    <w:p>
      <w:pPr>
        <w:pStyle w:val="TextBody"/>
        <w:bidi w:val="0"/>
        <w:spacing w:lineRule="auto" w:line="240" w:before="0" w:after="240"/>
        <w:ind w:left="0" w:right="0" w:firstLine="2160"/>
        <w:jc w:val="both"/>
        <w:rPr/>
      </w:pPr>
      <w:bookmarkStart w:id="194" w:name="i774f62f7ef5f491a80bf981b027f93af"/>
      <w:bookmarkEnd w:id="194"/>
      <w:r>
        <w:rPr>
          <w:rFonts w:ascii="Times New Roman;serif" w:hAnsi="Times New Roman;serif"/>
          <w:b w:val="false"/>
          <w:color w:val="000000"/>
          <w:sz w:val="24"/>
        </w:rPr>
        <w:t>(i)</w:t>
      </w:r>
      <w:r>
        <w:rPr>
          <w:rFonts w:ascii="Times New Roman;serif" w:hAnsi="Times New Roman;serif"/>
          <w:b w:val="false"/>
          <w:color w:val="000000"/>
          <w:sz w:val="24"/>
        </w:rPr>
        <w:t>first, to each Lender’s Payment Account in respect of each Lender’s Pro Rata Share (or such other account as specified in the Escrow Agreement) for application, on the Payment Date, to the Yield Protection Premium, if any, applicable with respect to the Amortization Payments (as defined below);</w:t>
      </w:r>
    </w:p>
    <w:p>
      <w:pPr>
        <w:pStyle w:val="TextBody"/>
        <w:bidi w:val="0"/>
        <w:spacing w:lineRule="auto" w:line="240" w:before="0" w:after="240"/>
        <w:ind w:left="0" w:right="0" w:firstLine="2160"/>
        <w:jc w:val="both"/>
        <w:rPr/>
      </w:pPr>
      <w:bookmarkStart w:id="195" w:name="ic70a5de0b16147e2b265aabd017227cc"/>
      <w:bookmarkEnd w:id="195"/>
      <w:r>
        <w:rPr>
          <w:rFonts w:ascii="Times New Roman;serif" w:hAnsi="Times New Roman;serif"/>
          <w:b w:val="false"/>
          <w:color w:val="000000"/>
          <w:sz w:val="24"/>
        </w:rPr>
        <w:t>(ii)</w:t>
      </w:r>
      <w:r>
        <w:rPr>
          <w:rFonts w:ascii="Times New Roman;serif" w:hAnsi="Times New Roman;serif"/>
          <w:b w:val="false"/>
          <w:color w:val="000000"/>
          <w:sz w:val="24"/>
        </w:rPr>
        <w:t>second, solely to the extent such Payment Date occurs after December 31, 2033, to each Lender’s Payment Account in respect of each Lender’s Pro Rata Share (or such other account as specified in the Escrow Agreement) for application, on the Payment Date, to the Early Redemption Fee until such Early Redemption Fee is paid in full;</w:t>
      </w:r>
    </w:p>
    <w:p>
      <w:pPr>
        <w:pStyle w:val="TextBody"/>
        <w:bidi w:val="0"/>
        <w:spacing w:lineRule="auto" w:line="240" w:before="0" w:after="240"/>
        <w:ind w:left="0" w:right="0" w:firstLine="2160"/>
        <w:jc w:val="both"/>
        <w:rPr/>
      </w:pPr>
      <w:bookmarkStart w:id="196" w:name="i4865942f6f8d4ddba4eb6eea3b0e5f4c"/>
      <w:bookmarkEnd w:id="196"/>
      <w:r>
        <w:rPr>
          <w:rFonts w:ascii="Times New Roman;serif" w:hAnsi="Times New Roman;serif"/>
          <w:b w:val="false"/>
          <w:color w:val="000000"/>
          <w:sz w:val="24"/>
        </w:rPr>
        <w:t>(iii)</w:t>
      </w:r>
      <w:r>
        <w:rPr>
          <w:rFonts w:ascii="Times New Roman;serif" w:hAnsi="Times New Roman;serif"/>
          <w:b w:val="false"/>
          <w:color w:val="000000"/>
          <w:sz w:val="24"/>
        </w:rPr>
        <w:t>third, to each Lender’s Payment Account in respect of each Lender’s Pro Rata Share (or such other account as specified in the Escrow Agreement) for application, on the Payment Date, to all accrued and unpaid Fixed Interest for the period from and including the prior Payment Date to and including the day before the current Payment Date;</w:t>
      </w:r>
    </w:p>
    <w:p>
      <w:pPr>
        <w:pStyle w:val="TextBody"/>
        <w:bidi w:val="0"/>
        <w:spacing w:lineRule="auto" w:line="240" w:before="0" w:after="240"/>
        <w:ind w:left="0" w:right="0" w:firstLine="2160"/>
        <w:jc w:val="both"/>
        <w:rPr/>
      </w:pPr>
      <w:bookmarkStart w:id="197" w:name="i761a78cb32a44d2ca2c4ae568d074739"/>
      <w:bookmarkEnd w:id="197"/>
      <w:r>
        <w:rPr>
          <w:rFonts w:ascii="Times New Roman;serif" w:hAnsi="Times New Roman;serif"/>
          <w:b w:val="false"/>
          <w:color w:val="000000"/>
          <w:sz w:val="24"/>
        </w:rPr>
        <w:t>(iv)</w:t>
      </w:r>
      <w:r>
        <w:rPr>
          <w:rFonts w:ascii="Times New Roman;serif" w:hAnsi="Times New Roman;serif"/>
          <w:b w:val="false"/>
          <w:color w:val="000000"/>
          <w:sz w:val="24"/>
        </w:rPr>
        <w:t>fourth, to the extent the payments in respect of the Transferred Royalty Interest deposited in the Collection Account for such period exceeds the amounts payable under the foregoing clauses (i) to (iii) (such excess amount, the “</w:t>
      </w:r>
      <w:r>
        <w:rPr>
          <w:rFonts w:ascii="Times New Roman;serif" w:hAnsi="Times New Roman;serif"/>
          <w:b w:val="false"/>
          <w:color w:val="000000"/>
          <w:sz w:val="24"/>
          <w:u w:val="single"/>
        </w:rPr>
        <w:t>Amortization Payment</w:t>
      </w:r>
      <w:r>
        <w:rPr>
          <w:color w:val="000000"/>
        </w:rPr>
        <w:t>”</w:t>
      </w:r>
      <w:r>
        <w:rPr>
          <w:rFonts w:ascii="Times New Roman;serif" w:hAnsi="Times New Roman;serif"/>
          <w:b w:val="false"/>
          <w:color w:val="000000"/>
          <w:sz w:val="24"/>
        </w:rPr>
        <w:t>), the Amortization Payment shall be disbursed to each Lender’s Payment Account in respect of each Lender’s Pro Rata Share (or such other account as specified in the Escrow Agreement) and applied on the Payment Date by each Lender to repay, on a pro rata basis, the Principal Amount of the Term Loans outstanding; and</w:t>
      </w:r>
    </w:p>
    <w:p>
      <w:pPr>
        <w:pStyle w:val="TextBody"/>
        <w:bidi w:val="0"/>
        <w:spacing w:lineRule="auto" w:line="240" w:before="0" w:after="240"/>
        <w:ind w:left="0" w:right="0" w:firstLine="2160"/>
        <w:jc w:val="both"/>
        <w:rPr/>
      </w:pPr>
      <w:bookmarkStart w:id="198" w:name="i69cd2e8ab11f49e08615939c30ba2e8f"/>
      <w:bookmarkEnd w:id="198"/>
      <w:r>
        <w:rPr>
          <w:rFonts w:ascii="Times New Roman;serif" w:hAnsi="Times New Roman;serif"/>
          <w:b w:val="false"/>
          <w:color w:val="000000"/>
          <w:sz w:val="24"/>
        </w:rPr>
        <w:t>(v)</w:t>
      </w:r>
      <w:r>
        <w:rPr>
          <w:rFonts w:ascii="Times New Roman;serif" w:hAnsi="Times New Roman;serif"/>
          <w:b w:val="false"/>
          <w:color w:val="000000"/>
          <w:sz w:val="24"/>
        </w:rPr>
        <w:t>fifth, to the extent that any of the Term Loans, the Fixed Interest or the Yield Protection Premium are outstanding on the Maturity Date, the Exit Fee.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Illustrative calculations of Payment in Full are attached hereto as </w:t>
      </w:r>
      <w:r>
        <w:rPr>
          <w:rFonts w:ascii="Times New Roman;serif" w:hAnsi="Times New Roman;serif"/>
          <w:b w:val="false"/>
          <w:color w:val="000000"/>
          <w:sz w:val="24"/>
          <w:u w:val="single"/>
        </w:rPr>
        <w:t>Schedule 4.05(a)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199" w:name="i8aa61ed464a04801a8afe83cfdf8c39f"/>
      <w:bookmarkEnd w:id="199"/>
      <w:r>
        <w:rPr>
          <w:rFonts w:ascii="Times New Roman;serif" w:hAnsi="Times New Roman;serif"/>
          <w:b w:val="false"/>
          <w:color w:val="000000"/>
          <w:sz w:val="24"/>
        </w:rPr>
        <w:t>(b)</w:t>
      </w:r>
      <w:r>
        <w:rPr>
          <w:rFonts w:ascii="Times New Roman;serif" w:hAnsi="Times New Roman;serif"/>
          <w:b w:val="false"/>
          <w:color w:val="000000"/>
          <w:sz w:val="24"/>
        </w:rPr>
        <w:t xml:space="preserve">Any Yield Protection Premium or Early Redemption Fee as a result of any payment of the Term Loans pursuant to Section 4.05(a) or as a result of the acceleration of the maturity of the Term Loans pursuant to Section 3.02, shall be presumed to be the liquidated damages sustained by each applicable Lender as the result of the early redemption and repayment of such Term Loans and Borrower agrees that it is reasonable under the circumstances currently existing. BORROWER EXPRESSLY WAIVES (TO THE FULLEST EXTENT IT MAY LAWFULLY DO SO) THE PROVISIONS OF ANY PRESENT OR FUTURE APPLICABLE LAW THAT PROHIBITS OR MAY PROHIBIT THE COLLECTION OF ANY YIELD PROTECTION PREMIUM OR EARLY REDEMPTION FEE IN CONNECTION WITH ANY SUCH REPAYMENT OR ACCELERATION OR OTHERWISE. Borrower expressly agrees that (to the fullest extent it may lawfully do so) that: (i) each of the Yield Protection Premium and Early Redemption Fee is reasonable and is the product of an arm’s-length transaction among sophisticated business people, ably represented by counsel; (ii) each of the Yield Protection Premium and Early Redemption Fee shall be payable notwithstanding the then-prevailing market rates at the time payment thereof is made; (iii) there has been a course of conduct among Lenders and Borrower giving specific consideration in this transaction for such agreement to pay each of the Yield Protection Premium and Early Redemption Fee; and (iv) Borrower shall be estopped hereafter from claiming differently than as agreed to in this Section 4.05(b). Borrower expressly acknowledges that its agreement to pay the Yield Protection Premium and Early Redemption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Fee, as the case may be, to applicable Lenders as here in described is a material inducement to such Lenders to make any Term Loans.</w:t>
      </w:r>
    </w:p>
    <w:p>
      <w:pPr>
        <w:pStyle w:val="TextBody"/>
        <w:bidi w:val="0"/>
        <w:spacing w:lineRule="auto" w:line="240" w:before="0" w:after="240"/>
        <w:ind w:left="0" w:right="0" w:firstLine="1440"/>
        <w:jc w:val="both"/>
        <w:rPr/>
      </w:pPr>
      <w:bookmarkStart w:id="200" w:name="ic2fc8ac6d3484e28ad2696378f12112a"/>
      <w:bookmarkEnd w:id="200"/>
      <w:r>
        <w:rPr>
          <w:rFonts w:ascii="Times New Roman;serif" w:hAnsi="Times New Roman;serif"/>
          <w:b w:val="false"/>
          <w:color w:val="000000"/>
          <w:sz w:val="24"/>
        </w:rPr>
        <w:t>(c)</w:t>
      </w:r>
      <w:r>
        <w:rPr>
          <w:rFonts w:ascii="Times New Roman;serif" w:hAnsi="Times New Roman;serif"/>
          <w:b w:val="false"/>
          <w:color w:val="000000"/>
          <w:sz w:val="24"/>
        </w:rPr>
        <w:t>The Lenders hereby agree among themselves that, except as otherwise provided in the Collateral Documents with respect to amounts realized from the exercise of rights with respect to Liens on the Collateral, if any of them shall, whether through the exercise of any right of set 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Loan Documents (collectively, the “</w:t>
      </w:r>
      <w:r>
        <w:rPr>
          <w:rFonts w:ascii="Times New Roman;serif" w:hAnsi="Times New Roman;serif"/>
          <w:b w:val="false"/>
          <w:color w:val="000000"/>
          <w:sz w:val="24"/>
          <w:u w:val="single"/>
        </w:rPr>
        <w:t>Aggregate Amounts Due</w:t>
      </w:r>
      <w:r>
        <w:rPr>
          <w:color w:val="000000"/>
        </w:rPr>
        <w:t xml:space="preserve">” </w:t>
      </w:r>
      <w:r>
        <w:rPr>
          <w:rFonts w:ascii="Times New Roman;serif" w:hAnsi="Times New Roman;serif"/>
          <w:b w:val="false"/>
          <w:color w:val="000000"/>
          <w:sz w:val="24"/>
        </w:rPr>
        <w:t>to such Lender) which is greater than the proportion received by any other Lender in respect of the Aggregate Amounts Due to such other Lender having Term Loans, then the Lender receiving such proportionately greater payment shall (a) notify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Term Loans in proportion to the Aggregate Amounts Due to them; provided, if all or part of such proportionately greater payment received by such purchasing Lender is thereafter recovered from such Lender upon the bankruptcy or reorganization of Borrower or otherwise, those purchases shall be rescinded and the purchase prices paid for such participations shall be returned to such purchasing Lender ratably to the extent of such recovery, but without interest. Borrower expressly consents to the foregoing arrangement and agrees that any holder of a participation so purchased may exercise any and all rights of banker’s lien, set off or counterclaim with respect to any and all monies owing by Borrower to that holder with respect thereto as fully as if that holder were owed the amount of the participation held by that holder.</w:t>
      </w:r>
    </w:p>
    <w:p>
      <w:pPr>
        <w:pStyle w:val="TextBody"/>
        <w:bidi w:val="0"/>
        <w:spacing w:lineRule="auto" w:line="240" w:before="0" w:after="0"/>
        <w:ind w:left="0" w:right="0" w:firstLine="720"/>
        <w:jc w:val="both"/>
        <w:rPr/>
      </w:pPr>
      <w:bookmarkStart w:id="201" w:name="i8e7daef33f3a45fd95a68a72a7eb2c15"/>
      <w:bookmarkEnd w:id="201"/>
      <w:r>
        <w:rPr>
          <w:rFonts w:ascii="Times New Roman;serif" w:hAnsi="Times New Roman;serif"/>
          <w:b w:val="false"/>
          <w:color w:val="000000"/>
          <w:sz w:val="24"/>
        </w:rPr>
        <w:t>Section 4.06</w:t>
      </w:r>
      <w:r>
        <w:rPr>
          <w:rFonts w:ascii="Times New Roman;serif" w:hAnsi="Times New Roman;serif"/>
          <w:b w:val="false"/>
          <w:color w:val="000000"/>
          <w:sz w:val="24"/>
        </w:rPr>
        <w:t>[</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bookmarkStart w:id="202" w:name="i0932466f508849e28e0b99cc92b63701"/>
      <w:bookmarkEnd w:id="202"/>
      <w:r>
        <w:rPr>
          <w:rFonts w:ascii="Times New Roman;serif" w:hAnsi="Times New Roman;serif"/>
          <w:b w:val="false"/>
          <w:color w:val="000000"/>
          <w:sz w:val="24"/>
        </w:rPr>
        <w:t>Section 4.07</w:t>
      </w:r>
      <w:r>
        <w:rPr>
          <w:rFonts w:ascii="Times New Roman;serif" w:hAnsi="Times New Roman;serif"/>
          <w:b w:val="false"/>
          <w:color w:val="000000"/>
          <w:sz w:val="24"/>
          <w:u w:val="single"/>
        </w:rPr>
        <w:t>Making of Payments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contained herein, any payment stated to be due hereunder on a given day in a specified month shall be made or shall end (as the case may be), (i) if there is no such given day or corresponding day, on the last Business Day of such month or (ii) if such given day or corresponding day is not a Business Day, on the next succeeding Business Day.</w:t>
      </w:r>
    </w:p>
    <w:p>
      <w:pPr>
        <w:pStyle w:val="TextBody"/>
        <w:bidi w:val="0"/>
        <w:spacing w:lineRule="auto" w:line="240" w:before="0" w:after="0"/>
        <w:ind w:left="0" w:right="0" w:firstLine="720"/>
        <w:jc w:val="both"/>
        <w:rPr/>
      </w:pPr>
      <w:bookmarkStart w:id="203" w:name="ie576de7df8bf447baf9797cf81ea8cba"/>
      <w:bookmarkEnd w:id="203"/>
      <w:r>
        <w:rPr>
          <w:rFonts w:ascii="Times New Roman;serif" w:hAnsi="Times New Roman;serif"/>
          <w:b w:val="false"/>
          <w:color w:val="000000"/>
          <w:sz w:val="24"/>
        </w:rPr>
        <w:t>Section 4.08</w:t>
      </w:r>
      <w:r>
        <w:rPr>
          <w:rFonts w:ascii="Times New Roman;serif" w:hAnsi="Times New Roman;serif"/>
          <w:b w:val="false"/>
          <w:color w:val="000000"/>
          <w:sz w:val="24"/>
          <w:u w:val="single"/>
        </w:rPr>
        <w:t>Setoff or Counterclaim</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Each payment by Borrower under this Agreement shall be made without setoff, deduction or counterclaim. Administrative Agent and each Lender shall have the right to set off any and all amounts owed by Borrower under this Agreement as provided in </w:t>
      </w:r>
      <w:r>
        <w:rPr>
          <w:rFonts w:ascii="Times New Roman;serif" w:hAnsi="Times New Roman;serif"/>
          <w:b w:val="false"/>
          <w:color w:val="000000"/>
          <w:sz w:val="24"/>
          <w:u w:val="single"/>
        </w:rPr>
        <w:t>Section 10.03</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204" w:name="ie6c032b8790348c190dbcfb4aebef9af"/>
      <w:bookmarkEnd w:id="204"/>
      <w:r>
        <w:rPr>
          <w:rFonts w:ascii="Times New Roman;serif" w:hAnsi="Times New Roman;serif"/>
          <w:b w:val="false"/>
          <w:color w:val="000000"/>
          <w:sz w:val="24"/>
        </w:rPr>
        <w:t>Section 4.09</w:t>
      </w:r>
      <w:r>
        <w:rPr>
          <w:rFonts w:ascii="Times New Roman;serif" w:hAnsi="Times New Roman;serif"/>
          <w:b w:val="false"/>
          <w:color w:val="000000"/>
          <w:sz w:val="24"/>
          <w:u w:val="single"/>
        </w:rPr>
        <w:t>Interest Act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For the purposes of the </w:t>
      </w:r>
      <w:r>
        <w:rPr>
          <w:rFonts w:ascii="Times New Roman;serif" w:hAnsi="Times New Roman;serif"/>
          <w:b w:val="false"/>
          <w:i/>
          <w:color w:val="000000"/>
          <w:sz w:val="24"/>
        </w:rPr>
        <w:t xml:space="preserve">Interest Act </w:t>
      </w:r>
      <w:r>
        <w:rPr>
          <w:rFonts w:ascii="Times New Roman;serif" w:hAnsi="Times New Roman;serif"/>
          <w:b w:val="false"/>
          <w:color w:val="000000"/>
          <w:sz w:val="24"/>
        </w:rPr>
        <w:t xml:space="preserve">(Canada), the yearly rate of interest to which any rate calculated on the basis of a period of time different from the actual number of days in the year (360 days, for example) is equivalent is the stated rate multiplied by the actual number of days in the year (365 or 366, as applicable) and divided by the number of days in the shorter period (360 days, in the example), and the parties hereto acknowledge that there is a material distinction between the nominal and effective rates of interest and that they are capable of making the calculations necessary to compare such rates and that the calculations herein are to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be made using the nominal rate method and not on any basis that gives effect to the principle of deemed reinvestment of interest. The Borrower hereby irrevocably agrees not to plead or assert, whether by way of defense or otherwise, in any proceeding relating to the Transaction Documents, that the interest payable under the Transaction Documents and the calculation thereof has not been adequately disclosed to the Borrower, whether pursuant to Section 4 of the </w:t>
      </w:r>
      <w:r>
        <w:rPr>
          <w:rFonts w:ascii="Times New Roman;serif" w:hAnsi="Times New Roman;serif"/>
          <w:b w:val="false"/>
          <w:i/>
          <w:color w:val="000000"/>
          <w:sz w:val="24"/>
        </w:rPr>
        <w:t xml:space="preserve">Interest Act </w:t>
      </w:r>
      <w:r>
        <w:rPr>
          <w:rFonts w:ascii="Times New Roman;serif" w:hAnsi="Times New Roman;serif"/>
          <w:b w:val="false"/>
          <w:color w:val="000000"/>
          <w:sz w:val="24"/>
        </w:rPr>
        <w:t>(Canada) or any other applicable law or legal principle.</w:t>
      </w:r>
    </w:p>
    <w:p>
      <w:pPr>
        <w:pStyle w:val="TextBody"/>
        <w:bidi w:val="0"/>
        <w:spacing w:lineRule="auto" w:line="240" w:before="0" w:after="240"/>
        <w:jc w:val="left"/>
        <w:rPr>
          <w:rFonts w:ascii="Times New Roman;serif" w:hAnsi="Times New Roman;serif"/>
          <w:b/>
          <w:color w:val="000000"/>
          <w:sz w:val="24"/>
        </w:rPr>
      </w:pPr>
      <w:bookmarkStart w:id="205" w:name="i3b2ab9a8506a48e3b2d55b19eb2ab82f"/>
      <w:bookmarkEnd w:id="205"/>
      <w:r>
        <w:rPr>
          <w:rFonts w:ascii="Times New Roman;serif" w:hAnsi="Times New Roman;serif"/>
          <w:b/>
          <w:color w:val="000000"/>
          <w:sz w:val="24"/>
        </w:rPr>
        <w:t>Article V</w:t>
        <w:br/>
        <w:t>TAXES</w:t>
      </w:r>
    </w:p>
    <w:p>
      <w:pPr>
        <w:pStyle w:val="TextBody"/>
        <w:bidi w:val="0"/>
        <w:spacing w:lineRule="auto" w:line="240" w:before="0" w:after="0"/>
        <w:ind w:left="0" w:right="0" w:firstLine="720"/>
        <w:jc w:val="both"/>
        <w:rPr/>
      </w:pPr>
      <w:bookmarkStart w:id="206" w:name="id16722767a8141b2a29760e299257971"/>
      <w:bookmarkEnd w:id="206"/>
      <w:r>
        <w:rPr>
          <w:rFonts w:ascii="Times New Roman;serif" w:hAnsi="Times New Roman;serif"/>
          <w:b w:val="false"/>
          <w:color w:val="000000"/>
          <w:sz w:val="24"/>
        </w:rPr>
        <w:t>Section 5.01</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207" w:name="i14fe97644ceb4561919934630802814c"/>
      <w:bookmarkEnd w:id="207"/>
      <w:r>
        <w:rPr>
          <w:rFonts w:ascii="Times New Roman;serif" w:hAnsi="Times New Roman;serif"/>
          <w:b w:val="false"/>
          <w:color w:val="000000"/>
          <w:sz w:val="24"/>
        </w:rPr>
        <w:t>(a)</w:t>
      </w:r>
      <w:r>
        <w:rPr>
          <w:rFonts w:ascii="Times New Roman;serif" w:hAnsi="Times New Roman;serif"/>
          <w:b w:val="false"/>
          <w:color w:val="000000"/>
          <w:sz w:val="24"/>
        </w:rPr>
        <w:t xml:space="preserve">Except to the extent required by Applicable Law, all payments by Borrower under this Agreement or any other Loan Document (including payments with respect to the Term Loans) shall be made free and clear of and without deduction or withholding for any present or future Taxes. If Borrower or any other applicable withholding agent shall be required by Applicable Law (as determined in good faith by Borrower or an applicable withholding agent) to deduct any Taxes from or in respect of any sum payable to Administrative Agent or any Lender under this Agreement or any other Loan Document, (i) the applicable withholding agent shall notify Borrower and the Administrative Agent of any such requirement or any change in any such requirement promptly after the applicable withholding agent becomes aware of it, (ii) if such Taxes are Indemnified Taxes, the sum payable by Borrower shall be increased as necessary so that after all required deductions for Indemnified Taxes have been made by the applicable withholding agent (including deductions applicable to additional sums payable under this </w:t>
      </w:r>
      <w:r>
        <w:rPr>
          <w:rFonts w:ascii="Times New Roman;serif" w:hAnsi="Times New Roman;serif"/>
          <w:b w:val="false"/>
          <w:color w:val="000000"/>
          <w:sz w:val="24"/>
          <w:u w:val="single"/>
        </w:rPr>
        <w:t>Section 5.01(a)</w:t>
      </w:r>
      <w:r>
        <w:rPr>
          <w:rFonts w:ascii="Times New Roman;serif" w:hAnsi="Times New Roman;serif"/>
          <w:b w:val="false"/>
          <w:color w:val="000000"/>
          <w:sz w:val="24"/>
        </w:rPr>
        <w:t>), Administrative Agent or such Lender receives an amount equal to the sum it would have received had no such deductions been made, (iii) the applicable withholding agent shall make such deductions, and (iv) the applicable withholding agent shall pay the full amount deducted to the relevant Governmental Authority in accordance with Applicable Law.</w:t>
      </w:r>
    </w:p>
    <w:p>
      <w:pPr>
        <w:pStyle w:val="TextBody"/>
        <w:bidi w:val="0"/>
        <w:spacing w:lineRule="auto" w:line="240" w:before="0" w:after="240"/>
        <w:ind w:left="0" w:right="0" w:firstLine="1440"/>
        <w:jc w:val="both"/>
        <w:rPr/>
      </w:pPr>
      <w:bookmarkStart w:id="208" w:name="i3ee392862df34e98b273f2e862ad7239"/>
      <w:bookmarkEnd w:id="208"/>
      <w:r>
        <w:rPr>
          <w:rFonts w:ascii="Times New Roman;serif" w:hAnsi="Times New Roman;serif"/>
          <w:b w:val="false"/>
          <w:color w:val="000000"/>
          <w:sz w:val="24"/>
        </w:rPr>
        <w:t>(b)</w:t>
      </w:r>
      <w:r>
        <w:rPr>
          <w:rFonts w:ascii="Times New Roman;serif" w:hAnsi="Times New Roman;serif"/>
          <w:b w:val="false"/>
          <w:color w:val="000000"/>
          <w:sz w:val="24"/>
          <w:u w:val="single"/>
        </w:rPr>
        <w:t>Status of Lenders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bookmarkStart w:id="209" w:name="ie36086b282a8499b9161187cdb1b1225"/>
      <w:bookmarkEnd w:id="209"/>
      <w:r>
        <w:rPr>
          <w:rFonts w:ascii="Times New Roman;serif" w:hAnsi="Times New Roman;serif"/>
          <w:b w:val="false"/>
          <w:color w:val="000000"/>
          <w:sz w:val="24"/>
        </w:rPr>
        <w:t>(i)</w:t>
      </w:r>
      <w:r>
        <w:rPr>
          <w:rFonts w:ascii="Times New Roman;serif" w:hAnsi="Times New Roman;serif"/>
          <w:b w:val="false"/>
          <w:color w:val="000000"/>
          <w:sz w:val="24"/>
        </w:rPr>
        <w:t>Any Lender that is entitled to an exemption from or reduction of withholding Tax with respect to any payments made under any Loan Document shall deliver to Borrower, at the time or times reasonably requested by Borrower, such properly completed and executed documentation reasonably requested by Borrower as will permit such payments to be made without withholding or at a reduced rate of withholding. In addition, any Lender, if reasonably requested by Borrower, shall deliver such other documentation prescribed by Applicable Law or reasonably requested by Borrower as will enable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5.01(b)(ii)(1), (2) or (4) below) shall not be required if in such Lender’s reasonable judgment such completion, execution or submission would subject such Lender to any material unreimbursed cost or expense or would materially prejudice the legal or commercial position of such Lender. For avoidance of doubt, for the purposes of this Section 5.01(b), the term “Lender” shall include each applicable assignee.</w:t>
      </w:r>
    </w:p>
    <w:p>
      <w:pPr>
        <w:pStyle w:val="TextBody"/>
        <w:bidi w:val="0"/>
        <w:spacing w:lineRule="auto" w:line="240" w:before="0" w:after="240"/>
        <w:ind w:left="0" w:right="0" w:firstLine="2160"/>
        <w:jc w:val="both"/>
        <w:rPr/>
      </w:pPr>
      <w:bookmarkStart w:id="210" w:name="ic6e180e95fed473ea9ebd4a00b25fe3c"/>
      <w:bookmarkEnd w:id="210"/>
      <w:r>
        <w:rPr>
          <w:rFonts w:ascii="Times New Roman;serif" w:hAnsi="Times New Roman;serif"/>
          <w:b w:val="false"/>
          <w:color w:val="000000"/>
          <w:sz w:val="24"/>
        </w:rPr>
        <w:t>(ii)</w:t>
      </w:r>
      <w:r>
        <w:rPr>
          <w:rFonts w:ascii="Times New Roman;serif" w:hAnsi="Times New Roman;serif"/>
          <w:b w:val="false"/>
          <w:color w:val="000000"/>
          <w:sz w:val="24"/>
        </w:rPr>
        <w:t>Without limiting the generality of the foregoing:</w:t>
      </w:r>
    </w:p>
    <w:p>
      <w:pPr>
        <w:pStyle w:val="TextBody"/>
        <w:bidi w:val="0"/>
        <w:spacing w:lineRule="auto" w:line="240" w:before="0" w:after="240"/>
        <w:ind w:left="0" w:right="0" w:firstLine="2880"/>
        <w:jc w:val="both"/>
        <w:rPr/>
      </w:pPr>
      <w:bookmarkStart w:id="211" w:name="ib60c28f9b4eb44e5ab14879412a9a3d4"/>
      <w:bookmarkEnd w:id="211"/>
      <w:r>
        <w:rPr>
          <w:rFonts w:ascii="Times New Roman;serif" w:hAnsi="Times New Roman;serif"/>
          <w:b w:val="false"/>
          <w:color w:val="000000"/>
          <w:sz w:val="24"/>
        </w:rPr>
        <w:t>(1)</w:t>
      </w:r>
      <w:r>
        <w:rPr>
          <w:rFonts w:ascii="Times New Roman;serif" w:hAnsi="Times New Roman;serif"/>
          <w:b w:val="false"/>
          <w:color w:val="000000"/>
          <w:sz w:val="24"/>
        </w:rPr>
        <w:t xml:space="preserve">If a Lender is a Foreign Lender, then such Lender shall provide to Borrower (i) in the case of a Foreign Lender claiming exemption from U.S. federal withholding tax under Section 871(h) or 881(c) of the Code with respect to payments of “portfolio interest,” (x) a properly completed and duly executed copy of IRS Form W-8BEN-E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or IRS Form W-8BEN (or a successor form), as applicable, properly completed and duly executed by such Foreign Lender and (y) a certificate substantially in the form of Exhibit E-1 to the effect that such Foreign Lender is not (A) a “bank” within the meaning of Section 881(c)(3)(A) of the Code, (B) a “10 percent shareholder” of Borrower within the meaning of Section 881(c)(3)(B) of the Code or (C) a “controlled foreign corporation” described in Section 881(c)(3)(C) of the Code, (ii) if the payments receivable by the Foreign Lender are effectively connected with the conduct of a trade or business in the U.S., a properly completed and duly executed copy of IRS Form W-8ECI (or a successor form), (iii) in the case of a Foreign Lender that is entitled to benefits under an income tax treaty to which the U.S. is a party, a properly completed and duly executed copy of IRS Form W-8BEN-E or IRS Form W-8BEN, as applicable, establishing an exemption from, or reduction of, U.S. federal withholding Tax pursuant to the applicable article(s) of such tax treaty or (iv) to the extent a Foreign Lender is not the beneficial owner, a properly completed and duly executed copy of IRS Form W-8IMY, accompanied by a properly completed and duly executed copy of IRS Form W-8ECI, IRS Form W-8BEN, or IRS Form W-8BEN-E, as applicable, a certificate substantially in the form of Exhibit E-2 or Exhibit E-3, IRS Form W-9, and/or other certification documents from each beneficial owner, as applicable; provided that if the Foreign Lender is a partnership (and not a participating Lender) and one or more direct or indirect partners of such Foreign Lender are claiming the portfolio interest exemption, such Foreign Lender may provide a certificate substantially in the form of Exhibit E-4 on behalf of such direct and indirect partner(s). Such forms or certificates shall be delivered by such Foreign Lender on or prior to the date that it becomes a Lender under this Agreement, at any time thereafter if any form or certification previously delivered expires or becomes obsolete or inaccurate in any respect, and upon a reasonable written request of Borrower. Notwithstanding any other provision of this </w:t>
      </w:r>
      <w:r>
        <w:rPr>
          <w:rFonts w:ascii="Times New Roman;serif" w:hAnsi="Times New Roman;serif"/>
          <w:b w:val="false"/>
          <w:color w:val="000000"/>
          <w:sz w:val="24"/>
          <w:u w:val="single"/>
        </w:rPr>
        <w:t>Section 5.01(b)</w:t>
      </w:r>
      <w:r>
        <w:rPr>
          <w:rFonts w:ascii="Times New Roman;serif" w:hAnsi="Times New Roman;serif"/>
          <w:b w:val="false"/>
          <w:color w:val="000000"/>
          <w:sz w:val="24"/>
        </w:rPr>
        <w:t xml:space="preserve">, no Foreign Lender shall be required to deliver any form pursuant to this </w:t>
      </w:r>
      <w:r>
        <w:rPr>
          <w:rFonts w:ascii="Times New Roman;serif" w:hAnsi="Times New Roman;serif"/>
          <w:b w:val="false"/>
          <w:color w:val="000000"/>
          <w:sz w:val="24"/>
          <w:u w:val="single"/>
        </w:rPr>
        <w:t>Section 5.01(b)</w:t>
      </w:r>
      <w:r>
        <w:rPr>
          <w:color w:val="000000"/>
        </w:rPr>
        <w:t xml:space="preserve"> </w:t>
      </w:r>
      <w:r>
        <w:rPr>
          <w:rFonts w:ascii="Times New Roman;serif" w:hAnsi="Times New Roman;serif"/>
          <w:b w:val="false"/>
          <w:color w:val="000000"/>
          <w:sz w:val="24"/>
        </w:rPr>
        <w:t>that such Foreign Lender is not legally eligible to deliver.</w:t>
      </w:r>
    </w:p>
    <w:p>
      <w:pPr>
        <w:pStyle w:val="TextBody"/>
        <w:bidi w:val="0"/>
        <w:spacing w:lineRule="auto" w:line="240" w:before="0" w:after="240"/>
        <w:ind w:left="0" w:right="0" w:firstLine="2880"/>
        <w:jc w:val="both"/>
        <w:rPr/>
      </w:pPr>
      <w:bookmarkStart w:id="212" w:name="iaa1e73f007814c63a96e7555ffb40b52"/>
      <w:bookmarkEnd w:id="212"/>
      <w:r>
        <w:rPr>
          <w:rFonts w:ascii="Times New Roman;serif" w:hAnsi="Times New Roman;serif"/>
          <w:b w:val="false"/>
          <w:color w:val="000000"/>
          <w:sz w:val="24"/>
        </w:rPr>
        <w:t>(2)</w:t>
      </w:r>
      <w:r>
        <w:rPr>
          <w:rFonts w:ascii="Times New Roman;serif" w:hAnsi="Times New Roman;serif"/>
          <w:b w:val="false"/>
          <w:color w:val="000000"/>
          <w:sz w:val="24"/>
        </w:rPr>
        <w:t>Each Lender that is not a Foreign Lender shall provide a properly completed and duly executed copy of IRS Form W-9 (or successor form) certifying that such Lender is exempt from U.S. federal backup withholding tax on or prior to the date on which such Lender becomes a Lender under this Agreement, at any time thereafter if any form or certification previously delivered expires or becomes obsolete or inaccurate in any respect, and upon a reasonable written request of Borrower.</w:t>
      </w:r>
    </w:p>
    <w:p>
      <w:pPr>
        <w:pStyle w:val="TextBody"/>
        <w:bidi w:val="0"/>
        <w:spacing w:lineRule="auto" w:line="240" w:before="0" w:after="240"/>
        <w:ind w:left="0" w:right="0" w:firstLine="2880"/>
        <w:jc w:val="both"/>
        <w:rPr/>
      </w:pPr>
      <w:bookmarkStart w:id="213" w:name="ib2e8222e405249ce890972a8205cc718"/>
      <w:bookmarkEnd w:id="213"/>
      <w:r>
        <w:rPr>
          <w:rFonts w:ascii="Times New Roman;serif" w:hAnsi="Times New Roman;serif"/>
          <w:b w:val="false"/>
          <w:color w:val="000000"/>
          <w:sz w:val="24"/>
        </w:rPr>
        <w:t>(3)</w:t>
      </w:r>
      <w:r>
        <w:rPr>
          <w:rFonts w:ascii="Times New Roman;serif" w:hAnsi="Times New Roman;serif"/>
          <w:b w:val="false"/>
          <w:color w:val="000000"/>
          <w:sz w:val="24"/>
        </w:rPr>
        <w:t>Any Foreign Lender shall, to the extent it is legally eligible to do so, deliver to Borrower (in such number of copies as shall be requested by the recipient) on or prior to the date on which such Foreign Lender becomes a Lender under this Agreement (and from time to time thereafter upon the reasonable request of Borrower), executed copies of any other form prescribed by Applicable Law as a basis for claiming exemption from or a reduction in U.S. federal withholding Tax, duly completed, together with such supplementary documentation as may be prescribed by Applicable Law to permit Borrower to determine the withholding or deduction required to be made; and</w:t>
      </w:r>
    </w:p>
    <w:p>
      <w:pPr>
        <w:pStyle w:val="TextBody"/>
        <w:bidi w:val="0"/>
        <w:spacing w:lineRule="auto" w:line="240" w:before="0" w:after="240"/>
        <w:ind w:left="0" w:right="0" w:firstLine="2880"/>
        <w:jc w:val="both"/>
        <w:rPr/>
      </w:pPr>
      <w:bookmarkStart w:id="214" w:name="ibe4381b9973c479baebdb77a6c625963"/>
      <w:bookmarkEnd w:id="214"/>
      <w:r>
        <w:rPr>
          <w:rFonts w:ascii="Times New Roman;serif" w:hAnsi="Times New Roman;serif"/>
          <w:b w:val="false"/>
          <w:color w:val="000000"/>
          <w:sz w:val="24"/>
        </w:rPr>
        <w:t>(4)</w:t>
      </w:r>
      <w:r>
        <w:rPr>
          <w:rFonts w:ascii="Times New Roman;serif" w:hAnsi="Times New Roman;serif"/>
          <w:b w:val="false"/>
          <w:color w:val="000000"/>
          <w:sz w:val="24"/>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at the time or times prescribed by Applicable Law and at such time or times reasonably requested by Borrower such documentation prescribed by Applicable Law (including as prescribed by Section 1471(b)(3)(C)(i) of the Code) and such additional documentation reasonably requested by Borrower as may be necessary for Borrower to comply with its obligations under FATCA, to determine whether such Lender has complied with such Lender’s obligations under FATCA or to determine the amount, if any, to deduct and withhold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from such payment. Solely for purposes of this clause (D), “FATCA” shall include any amendments made to FATCA after the date of this Agreement.</w:t>
      </w:r>
    </w:p>
    <w:p>
      <w:pPr>
        <w:pStyle w:val="TextBody"/>
        <w:bidi w:val="0"/>
        <w:spacing w:lineRule="auto" w:line="240" w:before="0" w:after="240"/>
        <w:ind w:left="0" w:right="0" w:firstLine="2160"/>
        <w:jc w:val="both"/>
        <w:rPr/>
      </w:pPr>
      <w:bookmarkStart w:id="215" w:name="icc615f8fad87494882a61377768856cf"/>
      <w:bookmarkEnd w:id="215"/>
      <w:r>
        <w:rPr>
          <w:rFonts w:ascii="Times New Roman;serif" w:hAnsi="Times New Roman;serif"/>
          <w:b w:val="false"/>
          <w:color w:val="000000"/>
          <w:sz w:val="24"/>
        </w:rPr>
        <w:t>(iii)</w:t>
      </w:r>
      <w:r>
        <w:rPr>
          <w:rFonts w:ascii="Times New Roman;serif" w:hAnsi="Times New Roman;serif"/>
          <w:b w:val="false"/>
          <w:color w:val="000000"/>
          <w:sz w:val="24"/>
        </w:rPr>
        <w:t xml:space="preserve">Each Lender having assigned its rights and obligations hereunder in whole or in part shall collect from such assignee at the time of the assignment the documents described in </w:t>
      </w:r>
      <w:r>
        <w:rPr>
          <w:rFonts w:ascii="Times New Roman;serif" w:hAnsi="Times New Roman;serif"/>
          <w:b w:val="false"/>
          <w:color w:val="000000"/>
          <w:sz w:val="24"/>
          <w:u w:val="single"/>
        </w:rPr>
        <w:t>Sections 5.01(b)(ii)(1)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(b)(ii)(2)</w:t>
      </w:r>
      <w:r>
        <w:rPr>
          <w:color w:val="000000"/>
        </w:rPr>
        <w:t xml:space="preserve"> </w:t>
      </w:r>
      <w:r>
        <w:rPr>
          <w:rFonts w:ascii="Times New Roman;serif" w:hAnsi="Times New Roman;serif"/>
          <w:b w:val="false"/>
          <w:color w:val="000000"/>
          <w:sz w:val="24"/>
        </w:rPr>
        <w:t>as applicable.</w:t>
      </w:r>
    </w:p>
    <w:p>
      <w:pPr>
        <w:pStyle w:val="TextBody"/>
        <w:bidi w:val="0"/>
        <w:spacing w:lineRule="auto" w:line="240" w:before="0" w:after="0"/>
        <w:ind w:left="0" w:right="0" w:firstLine="720"/>
        <w:jc w:val="both"/>
        <w:rPr/>
      </w:pPr>
      <w:bookmarkStart w:id="216" w:name="i920e2acf933d456e9adbb5168078625e"/>
      <w:bookmarkEnd w:id="216"/>
      <w:r>
        <w:rPr>
          <w:rFonts w:ascii="Times New Roman;serif" w:hAnsi="Times New Roman;serif"/>
          <w:b w:val="false"/>
          <w:color w:val="000000"/>
          <w:sz w:val="24"/>
        </w:rPr>
        <w:t>Section 5.02</w:t>
      </w:r>
      <w:r>
        <w:rPr>
          <w:rFonts w:ascii="Times New Roman;serif" w:hAnsi="Times New Roman;serif"/>
          <w:b w:val="false"/>
          <w:color w:val="000000"/>
          <w:sz w:val="24"/>
          <w:u w:val="single"/>
        </w:rPr>
        <w:t>Receipt of Payment</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Within [***] after the date of any payment of Taxes by Borrower pursuant to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Borrower shall furnish to Administrative Agent the original or a certified copy of a receipt evidencing payment thereof or other evidence reasonably satisfactory to Administrative Agent.</w:t>
      </w:r>
    </w:p>
    <w:p>
      <w:pPr>
        <w:pStyle w:val="TextBody"/>
        <w:bidi w:val="0"/>
        <w:spacing w:lineRule="auto" w:line="240" w:before="0" w:after="0"/>
        <w:ind w:left="0" w:right="0" w:firstLine="720"/>
        <w:jc w:val="both"/>
        <w:rPr/>
      </w:pPr>
      <w:bookmarkStart w:id="217" w:name="ief224c22dd09440b95e2e852c6d94180"/>
      <w:bookmarkEnd w:id="217"/>
      <w:r>
        <w:rPr>
          <w:rFonts w:ascii="Times New Roman;serif" w:hAnsi="Times New Roman;serif"/>
          <w:b w:val="false"/>
          <w:color w:val="000000"/>
          <w:sz w:val="24"/>
        </w:rPr>
        <w:t>Section 5.03</w:t>
      </w:r>
      <w:r>
        <w:rPr>
          <w:rFonts w:ascii="Times New Roman;serif" w:hAnsi="Times New Roman;serif"/>
          <w:b w:val="false"/>
          <w:color w:val="000000"/>
          <w:sz w:val="24"/>
          <w:u w:val="single"/>
        </w:rPr>
        <w:t>Other Taxes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Borrower shall promptly pay, and shall indemnify and hold the Administrative Agent and each Lender harmless from, any registration, transfer, stamp or documentary, recording or similar Taxes arising from any payment made under any Loan Document, or from the execution, delivery, performance, enforcement or registration of, the receipt or perfection of a security interest under, or otherwise with respect to, any Loan Document, except any such Taxes with respect to an assignment by a Lender that are Other Connection Taxes (all such non-excluded Taxes, “</w:t>
      </w:r>
      <w:r>
        <w:rPr>
          <w:rFonts w:ascii="Times New Roman;serif" w:hAnsi="Times New Roman;serif"/>
          <w:b w:val="false"/>
          <w:color w:val="000000"/>
          <w:sz w:val="24"/>
          <w:u w:val="single"/>
        </w:rPr>
        <w:t>Other Taxes</w:t>
      </w:r>
      <w:r>
        <w:rPr>
          <w:color w:val="000000"/>
        </w:rPr>
        <w:t>”</w:t>
      </w:r>
      <w:r>
        <w:rPr>
          <w:rFonts w:ascii="Times New Roman;serif" w:hAnsi="Times New Roman;serif"/>
          <w:b w:val="false"/>
          <w:color w:val="000000"/>
          <w:sz w:val="24"/>
        </w:rPr>
        <w:t>), to the relevant Governmental Authority in accordance with Applicable Law. As soon as practicable after any payment of any such Other Taxes by a Borrower to a Governmental Authority, Borrower shall furnish to each Lender (as applicable, with a copy to the Administrative Agent) the original or a certified copy of a receipt issued by such Governmental Authority evidencing such payment or other evidence reasonably satisfactory to the Administrative Agent of such payment.</w:t>
      </w:r>
    </w:p>
    <w:p>
      <w:pPr>
        <w:pStyle w:val="TextBody"/>
        <w:bidi w:val="0"/>
        <w:spacing w:lineRule="auto" w:line="240" w:before="0" w:after="0"/>
        <w:ind w:left="0" w:right="0" w:firstLine="720"/>
        <w:jc w:val="both"/>
        <w:rPr/>
      </w:pPr>
      <w:bookmarkStart w:id="218" w:name="i9c6c347c384244949363e00f441fa5ce"/>
      <w:bookmarkEnd w:id="218"/>
      <w:r>
        <w:rPr>
          <w:rFonts w:ascii="Times New Roman;serif" w:hAnsi="Times New Roman;serif"/>
          <w:b w:val="false"/>
          <w:color w:val="000000"/>
          <w:sz w:val="24"/>
        </w:rPr>
        <w:t>Section 5.04</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If Administrative Agent or any Lender pays any Indemnified Taxes that Borrower is required to pay pursuant to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Borrower shall indemnify Administrative Agent or such Lender within [***] after written demand therefor, in full (including any Indemnified Taxes imposed by any jurisdiction on amounts payable under this </w:t>
      </w:r>
      <w:r>
        <w:rPr>
          <w:rFonts w:ascii="Times New Roman;serif" w:hAnsi="Times New Roman;serif"/>
          <w:b w:val="false"/>
          <w:color w:val="000000"/>
          <w:sz w:val="24"/>
          <w:u w:val="single"/>
        </w:rPr>
        <w:t>Section 5.04</w:t>
      </w:r>
      <w:r>
        <w:rPr>
          <w:rFonts w:ascii="Times New Roman;serif" w:hAnsi="Times New Roman;serif"/>
          <w:b w:val="false"/>
          <w:color w:val="000000"/>
          <w:sz w:val="24"/>
        </w:rPr>
        <w:t xml:space="preserve">), including any reasonable expenses arising therefrom or with respect thereto, whether or not such Taxes were correctly or legally imposed or asserted by the relevant Governmental Authority. Any indemnification payment pursuant to this Section 5.04 shall be made to the applicable Lender within [***] from written demand therefor. A certificate of Administrative Agent or any affected Lender claiming any compensation under this </w:t>
      </w:r>
      <w:r>
        <w:rPr>
          <w:rFonts w:ascii="Times New Roman;serif" w:hAnsi="Times New Roman;serif"/>
          <w:b w:val="false"/>
          <w:color w:val="000000"/>
          <w:sz w:val="24"/>
          <w:u w:val="single"/>
        </w:rPr>
        <w:t>Section 5.04</w:t>
      </w:r>
      <w:r>
        <w:rPr>
          <w:rFonts w:ascii="Times New Roman;serif" w:hAnsi="Times New Roman;serif"/>
          <w:b w:val="false"/>
          <w:color w:val="000000"/>
          <w:sz w:val="24"/>
        </w:rPr>
        <w:t>, setting forth the amounts to be paid thereunder and delivered to Borrower, shall be conclusive, binding and final for all purposes, absent manifest error.</w:t>
      </w:r>
    </w:p>
    <w:p>
      <w:pPr>
        <w:pStyle w:val="TextBody"/>
        <w:bidi w:val="0"/>
        <w:spacing w:lineRule="auto" w:line="240" w:before="0" w:after="0"/>
        <w:ind w:left="0" w:right="0" w:firstLine="720"/>
        <w:jc w:val="both"/>
        <w:rPr/>
      </w:pPr>
      <w:bookmarkStart w:id="219" w:name="i0d5f3163a72e40b1bef1ad2e0c12df5a"/>
      <w:bookmarkEnd w:id="219"/>
      <w:r>
        <w:rPr>
          <w:rFonts w:ascii="Times New Roman;serif" w:hAnsi="Times New Roman;serif"/>
          <w:b w:val="false"/>
          <w:color w:val="000000"/>
          <w:sz w:val="24"/>
        </w:rPr>
        <w:t>Section 5.05</w:t>
      </w:r>
      <w:r>
        <w:rPr>
          <w:rFonts w:ascii="Times New Roman;serif" w:hAnsi="Times New Roman;serif"/>
          <w:b w:val="false"/>
          <w:color w:val="000000"/>
          <w:sz w:val="24"/>
          <w:u w:val="single"/>
        </w:rPr>
        <w:t>Registered Obligation</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220" w:name="i6d316af4e4e34c47a135bdab1d41d190"/>
      <w:bookmarkEnd w:id="220"/>
      <w:r>
        <w:rPr>
          <w:rFonts w:ascii="Times New Roman;serif" w:hAnsi="Times New Roman;serif"/>
          <w:b w:val="false"/>
          <w:color w:val="000000"/>
          <w:sz w:val="24"/>
        </w:rPr>
        <w:t>(a)</w:t>
      </w:r>
      <w:r>
        <w:rPr>
          <w:rFonts w:ascii="Times New Roman;serif" w:hAnsi="Times New Roman;serif"/>
          <w:b w:val="false"/>
          <w:color w:val="000000"/>
          <w:sz w:val="24"/>
        </w:rPr>
        <w:t xml:space="preserve">Borrower shall establish and maintain, at its address referred to in </w:t>
      </w:r>
      <w:r>
        <w:rPr>
          <w:rFonts w:ascii="Times New Roman;serif" w:hAnsi="Times New Roman;serif"/>
          <w:b w:val="false"/>
          <w:color w:val="000000"/>
          <w:sz w:val="24"/>
          <w:u w:val="single"/>
        </w:rPr>
        <w:t>Section 12.03</w:t>
      </w:r>
      <w:r>
        <w:rPr>
          <w:rFonts w:ascii="Times New Roman;serif" w:hAnsi="Times New Roman;serif"/>
          <w:b w:val="false"/>
          <w:color w:val="000000"/>
          <w:sz w:val="24"/>
        </w:rPr>
        <w:t xml:space="preserve">, (i) a Register in which Borrower agrees to register by book entry the interests (including any rights to receive payment hereunder) of the Lenders in the Term Loans, each of its obligations under this Agreement to participate in the Term Loans, and any assignment of any such interest, obligation or right, and (ii) accounts in the Register in accordance with its usual practice in which it shall record (1) the names and addresses of Lender(s) (and each change thereto pursuant to </w:t>
      </w:r>
      <w:r>
        <w:rPr>
          <w:rFonts w:ascii="Times New Roman;serif" w:hAnsi="Times New Roman;serif"/>
          <w:b w:val="false"/>
          <w:color w:val="000000"/>
          <w:sz w:val="24"/>
          <w:u w:val="single"/>
        </w:rPr>
        <w:t>Sections 12.01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12.02</w:t>
      </w:r>
      <w:r>
        <w:rPr>
          <w:rFonts w:ascii="Times New Roman;serif" w:hAnsi="Times New Roman;serif"/>
          <w:b w:val="false"/>
          <w:color w:val="000000"/>
          <w:sz w:val="24"/>
        </w:rPr>
        <w:t xml:space="preserve">), (2) the amount of the Term Loans described in clause (i) above, (3) the amount of any principal or interest due and payable or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paid, and (4) any other payment received and its application to the Term Loans. The entries in the Register shall be conclusive, in the absence of manifest error, and Borrower and each Lender shall treat each person whose name is recorded in the Register as the owner of the Term Loans for all purposes of this Agreement, notwithstanding notice to the contrary. No error in the Register shall diminish any of Borrower’s obligations to any Lender under this Agreement.</w:t>
      </w:r>
    </w:p>
    <w:p>
      <w:pPr>
        <w:pStyle w:val="TextBody"/>
        <w:bidi w:val="0"/>
        <w:spacing w:lineRule="auto" w:line="240" w:before="0" w:after="240"/>
        <w:ind w:left="0" w:right="0" w:firstLine="1440"/>
        <w:jc w:val="both"/>
        <w:rPr/>
      </w:pPr>
      <w:bookmarkStart w:id="221" w:name="if459a8c3b54d4671866b55b886c83c02"/>
      <w:bookmarkEnd w:id="221"/>
      <w:r>
        <w:rPr>
          <w:rFonts w:ascii="Times New Roman;serif" w:hAnsi="Times New Roman;serif"/>
          <w:b w:val="false"/>
          <w:color w:val="000000"/>
          <w:sz w:val="24"/>
        </w:rPr>
        <w:t>(b)</w:t>
      </w:r>
      <w:r>
        <w:rPr>
          <w:rFonts w:ascii="Times New Roman;serif" w:hAnsi="Times New Roman;serif"/>
          <w:b w:val="false"/>
          <w:color w:val="000000"/>
          <w:sz w:val="24"/>
        </w:rPr>
        <w:t>Notwithstanding anything to the contrary contained in this Agreement or elsewhere, the Term Loans (including any note evidencing such Term Loans) are registered obligations, the right, title and interest of a Lender and its assignees in and to the Term Loans shall be transferable only upon notation of such transfer in the Register and no assignment thereof shall be effective until recorded therein. The parties hereto intend that the Term Loans will be at all times maintained in “registered form” within the meaning of Section 5f.103-1(c) of the U.S. Treasury Regulations, Sections 163(f), 871(h)(2) and 881(c)(2) of the Code and any related regulations (and any successor provisions).</w:t>
      </w:r>
    </w:p>
    <w:p>
      <w:pPr>
        <w:pStyle w:val="TextBody"/>
        <w:bidi w:val="0"/>
        <w:spacing w:lineRule="auto" w:line="240" w:before="0" w:after="0"/>
        <w:ind w:left="0" w:right="0" w:firstLine="720"/>
        <w:jc w:val="both"/>
        <w:rPr/>
      </w:pPr>
      <w:bookmarkStart w:id="222" w:name="icabacb2d40f14516bdfb03d3bbe44e0d"/>
      <w:bookmarkEnd w:id="222"/>
      <w:r>
        <w:rPr>
          <w:rFonts w:ascii="Times New Roman;serif" w:hAnsi="Times New Roman;serif"/>
          <w:b w:val="false"/>
          <w:color w:val="000000"/>
          <w:sz w:val="24"/>
        </w:rPr>
        <w:t>Section 5.06</w:t>
      </w:r>
      <w:r>
        <w:rPr>
          <w:rFonts w:ascii="Times New Roman;serif" w:hAnsi="Times New Roman;serif"/>
          <w:b w:val="false"/>
          <w:color w:val="000000"/>
          <w:sz w:val="24"/>
          <w:u w:val="single"/>
        </w:rPr>
        <w:t>Tax Treatment</w:t>
      </w:r>
      <w:r>
        <w:rPr>
          <w:rFonts w:ascii="Times New Roman;serif" w:hAnsi="Times New Roman;serif"/>
          <w:b w:val="false"/>
          <w:color w:val="000000"/>
          <w:sz w:val="24"/>
        </w:rPr>
        <w:t>.</w: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For U.S. federal income and applicable state and local income tax purposes, the Parties agree that the Term Loans are debt.</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Each Party agrees not to take any position that is inconsistent with the intended tax treatment set forth in this Section 5.06 on any Tax return or in any audit or other administrative or judicial proceeding unless (i) each other Party has consented to such actions; or (ii) as a result of a material change in Applicable Law following the date of this Agreement, counsel for such Party has advised it in writing that taking such a position would, notwithstanding compliance with all applicable reporting requirements and disclosure obligations, subject such Party to penalties under the Code.</w:t>
      </w:r>
    </w:p>
    <w:p>
      <w:pPr>
        <w:pStyle w:val="TextBody"/>
        <w:bidi w:val="0"/>
        <w:spacing w:lineRule="auto" w:line="240" w:before="0" w:after="0"/>
        <w:ind w:left="0" w:right="0" w:firstLine="720"/>
        <w:jc w:val="both"/>
        <w:rPr/>
      </w:pPr>
      <w:bookmarkStart w:id="223" w:name="i56b449a6641e4b43b180b2361d65a3a6"/>
      <w:bookmarkEnd w:id="223"/>
      <w:r>
        <w:rPr>
          <w:rFonts w:ascii="Times New Roman;serif" w:hAnsi="Times New Roman;serif"/>
          <w:b w:val="false"/>
          <w:color w:val="000000"/>
          <w:sz w:val="24"/>
        </w:rPr>
        <w:t>Section 5.07</w:t>
      </w:r>
      <w:r>
        <w:rPr>
          <w:rFonts w:ascii="Times New Roman;serif" w:hAnsi="Times New Roman;serif"/>
          <w:b w:val="false"/>
          <w:color w:val="000000"/>
          <w:sz w:val="24"/>
          <w:u w:val="single"/>
        </w:rPr>
        <w:t>Treatment of Certain Refunds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If any party determines, in its sole discretion exercised in good faith, that it has received a refund of any Taxes as to which it has been indemnified pursuant to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(including by the payment of additional amounts pursuant to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it shall pay to the indemnifying party an amount equal to such refund (but only to the extent of indemnity payments made under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serif" w:hAnsi="Times New Roman;serif"/>
          <w:b w:val="false"/>
          <w:color w:val="000000"/>
          <w:sz w:val="24"/>
          <w:u w:val="single"/>
        </w:rPr>
        <w:t>Section 5.07</w:t>
      </w:r>
      <w:r>
        <w:rPr>
          <w:color w:val="000000"/>
        </w:rPr>
        <w:t xml:space="preserve"> </w:t>
      </w:r>
      <w:r>
        <w:rPr>
          <w:rFonts w:ascii="Times New Roman;serif" w:hAnsi="Times New Roman;serif"/>
          <w:b w:val="false"/>
          <w:color w:val="000000"/>
          <w:sz w:val="24"/>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erif" w:hAnsi="Times New Roman;serif"/>
          <w:b w:val="false"/>
          <w:color w:val="000000"/>
          <w:sz w:val="24"/>
          <w:u w:val="single"/>
        </w:rPr>
        <w:t>Section 5.07</w:t>
      </w:r>
      <w:r>
        <w:rPr>
          <w:rFonts w:ascii="Times New Roman;serif" w:hAnsi="Times New Roman;serif"/>
          <w:b w:val="false"/>
          <w:color w:val="000000"/>
          <w:sz w:val="24"/>
        </w:rPr>
        <w:t xml:space="preserve">, in no event will the indemnified party be required to pay any amount to an indemnifying party pursuant to this </w:t>
      </w:r>
      <w:r>
        <w:rPr>
          <w:rFonts w:ascii="Times New Roman;serif" w:hAnsi="Times New Roman;serif"/>
          <w:b w:val="false"/>
          <w:color w:val="000000"/>
          <w:sz w:val="24"/>
          <w:u w:val="single"/>
        </w:rPr>
        <w:t>Section 5.07</w:t>
      </w:r>
      <w:r>
        <w:rPr>
          <w:color w:val="000000"/>
        </w:rPr>
        <w:t xml:space="preserve"> </w:t>
      </w:r>
      <w:r>
        <w:rPr>
          <w:rFonts w:ascii="Times New Roman;serif" w:hAnsi="Times New Roman;serif"/>
          <w:b w:val="false"/>
          <w:color w:val="000000"/>
          <w:sz w:val="24"/>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erif" w:hAnsi="Times New Roman;serif"/>
          <w:b w:val="false"/>
          <w:color w:val="000000"/>
          <w:sz w:val="24"/>
          <w:u w:val="single"/>
        </w:rPr>
        <w:t>Section 5.07</w:t>
      </w:r>
      <w:r>
        <w:rPr>
          <w:color w:val="000000"/>
        </w:rPr>
        <w:t xml:space="preserve"> </w:t>
      </w:r>
      <w:r>
        <w:rPr>
          <w:rFonts w:ascii="Times New Roman;serif" w:hAnsi="Times New Roman;serif"/>
          <w:b w:val="false"/>
          <w:color w:val="000000"/>
          <w:sz w:val="24"/>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40" w:before="0" w:after="240"/>
        <w:jc w:val="center"/>
        <w:rPr/>
      </w:pPr>
      <w:bookmarkStart w:id="224" w:name="id13b4c504be04c92be41e00e1f8287f9"/>
      <w:bookmarkEnd w:id="224"/>
      <w:r>
        <w:rPr>
          <w:rFonts w:ascii="Times New Roman;serif" w:hAnsi="Times New Roman;serif"/>
          <w:b/>
          <w:color w:val="000000"/>
          <w:sz w:val="24"/>
        </w:rPr>
        <w:t>Article VI</w:t>
      </w:r>
      <w:r>
        <w:rPr>
          <w:rFonts w:ascii="Times New Roman;serif" w:hAnsi="Times New Roman;serif"/>
          <w:b/>
          <w:color w:val="000000"/>
          <w:sz w:val="24"/>
        </w:rPr>
        <w:br/>
        <w:t>CONDITIONS PRECEDENT</w:t>
      </w:r>
    </w:p>
    <w:p>
      <w:pPr>
        <w:pStyle w:val="TextBody"/>
        <w:bidi w:val="0"/>
        <w:spacing w:lineRule="auto" w:line="240" w:before="240" w:after="283"/>
        <w:ind w:left="0" w:right="0" w:firstLine="720"/>
        <w:jc w:val="both"/>
        <w:rPr/>
      </w:pPr>
      <w:bookmarkStart w:id="225" w:name="i55c6edf906b54887855a438932d3dbad"/>
      <w:bookmarkEnd w:id="225"/>
      <w:r>
        <w:rPr>
          <w:rFonts w:ascii="Times New Roman;serif" w:hAnsi="Times New Roman;serif"/>
          <w:b w:val="false"/>
          <w:color w:val="000000"/>
          <w:sz w:val="24"/>
        </w:rPr>
        <w:t>Section 6.01</w:t>
      </w:r>
      <w:r>
        <w:rPr>
          <w:rFonts w:ascii="Times New Roman;serif" w:hAnsi="Times New Roman;serif"/>
          <w:b w:val="false"/>
          <w:color w:val="000000"/>
          <w:sz w:val="24"/>
          <w:u w:val="single"/>
        </w:rPr>
        <w:t>Closing Date</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effectiveness of this Agreement, and the obligation of each Lender to make a Credit Extension on the Closing Date, is subject to the satisfaction of the following conditions on or before the Closing Date:</w:t>
      </w:r>
    </w:p>
    <w:p>
      <w:pPr>
        <w:pStyle w:val="TextBody"/>
        <w:bidi w:val="0"/>
        <w:spacing w:lineRule="auto" w:line="240" w:before="0" w:after="240"/>
        <w:ind w:left="0" w:right="0" w:firstLine="1440"/>
        <w:jc w:val="both"/>
        <w:rPr/>
      </w:pPr>
      <w:bookmarkStart w:id="226" w:name="ia9de18e680fe49458ddc1635eb0ad999"/>
      <w:bookmarkEnd w:id="226"/>
      <w:r>
        <w:rPr>
          <w:rFonts w:ascii="Times New Roman;serif" w:hAnsi="Times New Roman;serif"/>
          <w:b w:val="false"/>
          <w:color w:val="000000"/>
          <w:sz w:val="24"/>
        </w:rPr>
        <w:t>(a)</w:t>
      </w:r>
      <w:r>
        <w:rPr>
          <w:rFonts w:ascii="Times New Roman;serif" w:hAnsi="Times New Roman;serif"/>
          <w:b w:val="false"/>
          <w:color w:val="000000"/>
          <w:sz w:val="24"/>
        </w:rPr>
        <w:t>This Agreement and the other Loan Documents to be executed on the Closing Date shall have been executed and delivered to Administrative Agent by each party thereto.</w:t>
      </w:r>
    </w:p>
    <w:p>
      <w:pPr>
        <w:pStyle w:val="TextBody"/>
        <w:bidi w:val="0"/>
        <w:spacing w:lineRule="auto" w:line="240" w:before="0" w:after="240"/>
        <w:ind w:left="0" w:right="0" w:firstLine="1440"/>
        <w:jc w:val="both"/>
        <w:rPr/>
      </w:pPr>
      <w:bookmarkStart w:id="227" w:name="i8c19ead081a64811a1cc5ae3748a40b4"/>
      <w:bookmarkEnd w:id="227"/>
      <w:r>
        <w:rPr>
          <w:rFonts w:ascii="Times New Roman;serif" w:hAnsi="Times New Roman;serif"/>
          <w:b w:val="false"/>
          <w:color w:val="000000"/>
          <w:sz w:val="24"/>
        </w:rPr>
        <w:t>(b)</w:t>
      </w:r>
      <w:r>
        <w:rPr>
          <w:rFonts w:ascii="Times New Roman;serif" w:hAnsi="Times New Roman;serif"/>
          <w:b w:val="false"/>
          <w:color w:val="000000"/>
          <w:sz w:val="24"/>
        </w:rPr>
        <w:t>Administrative Agent shall have received an executed copy of:</w:t>
      </w:r>
    </w:p>
    <w:p>
      <w:pPr>
        <w:pStyle w:val="TextBody"/>
        <w:bidi w:val="0"/>
        <w:spacing w:lineRule="auto" w:line="240" w:before="0" w:after="240"/>
        <w:ind w:left="0" w:right="0" w:firstLine="2160"/>
        <w:jc w:val="both"/>
        <w:rPr/>
      </w:pPr>
      <w:bookmarkStart w:id="228" w:name="i84be86b5b3a7487fa8cc74b10e51007b"/>
      <w:bookmarkEnd w:id="228"/>
      <w:r>
        <w:rPr>
          <w:rFonts w:ascii="Times New Roman;serif" w:hAnsi="Times New Roman;serif"/>
          <w:b w:val="false"/>
          <w:color w:val="000000"/>
          <w:sz w:val="24"/>
        </w:rPr>
        <w:t>(i)</w:t>
      </w:r>
      <w:r>
        <w:rPr>
          <w:rFonts w:ascii="Times New Roman;serif" w:hAnsi="Times New Roman;serif"/>
          <w:b w:val="false"/>
          <w:color w:val="000000"/>
          <w:sz w:val="24"/>
        </w:rPr>
        <w:t>an opinion of (A) Gibson, Dunn &amp; Crutcher LLP, counsel to the Loan Parties, and (B) Blake, Cassels &amp; Graydon LLP, Canadian counsel to the Loan Parties, in each case dated the Closing Date in form and substance reasonably satisfactory to Administrative Agent and each Lender; and</w:t>
      </w:r>
    </w:p>
    <w:p>
      <w:pPr>
        <w:pStyle w:val="TextBody"/>
        <w:bidi w:val="0"/>
        <w:spacing w:lineRule="auto" w:line="240" w:before="0" w:after="240"/>
        <w:ind w:left="0" w:right="0" w:firstLine="2160"/>
        <w:jc w:val="both"/>
        <w:rPr/>
      </w:pPr>
      <w:bookmarkStart w:id="229" w:name="i266fdb5961ed4c628ed5fc59151caa73"/>
      <w:bookmarkEnd w:id="229"/>
      <w:r>
        <w:rPr>
          <w:rFonts w:ascii="Times New Roman;serif" w:hAnsi="Times New Roman;serif"/>
          <w:b w:val="false"/>
          <w:color w:val="000000"/>
          <w:sz w:val="24"/>
        </w:rPr>
        <w:t>(ii)</w:t>
      </w:r>
      <w:r>
        <w:rPr>
          <w:rFonts w:ascii="Times New Roman;serif" w:hAnsi="Times New Roman;serif"/>
          <w:b w:val="false"/>
          <w:color w:val="000000"/>
          <w:sz w:val="24"/>
        </w:rPr>
        <w:t xml:space="preserve">a certificate of each Loan Party, executed respectively by a Senior Officer thereof, dated the Closing Date, substantially in the form of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hereto.</w:t>
      </w:r>
    </w:p>
    <w:p>
      <w:pPr>
        <w:pStyle w:val="TextBody"/>
        <w:bidi w:val="0"/>
        <w:spacing w:lineRule="auto" w:line="240" w:before="0" w:after="240"/>
        <w:ind w:left="0" w:right="0" w:firstLine="1440"/>
        <w:jc w:val="both"/>
        <w:rPr/>
      </w:pPr>
      <w:bookmarkStart w:id="230" w:name="i582e3603d32e45ca8443bc699bd754ee"/>
      <w:bookmarkEnd w:id="230"/>
      <w:r>
        <w:rPr>
          <w:rFonts w:ascii="Times New Roman;serif" w:hAnsi="Times New Roman;serif"/>
          <w:b w:val="false"/>
          <w:color w:val="000000"/>
          <w:sz w:val="24"/>
        </w:rPr>
        <w:t>(c)</w:t>
      </w:r>
      <w:r>
        <w:rPr>
          <w:rFonts w:ascii="Times New Roman;serif" w:hAnsi="Times New Roman;serif"/>
          <w:b w:val="false"/>
          <w:color w:val="000000"/>
          <w:sz w:val="24"/>
        </w:rPr>
        <w:t>Each Loan Party shall have delivered to Administrative Agent a certificate, dated the Closing Date, of a Senior Officer (the statements in which shall be true and correct on and as of the Closing Date): (i) attaching copies, certified by such officer as true and complete, of such party’s certificate of incorporation or other organizational documents (together with any and all amendments thereto); (ii) attaching copies, certified by such officer as true and complete, of resolutions of the Board of Directors (or similar governing body) of such party authorizing and approving the execution, delivery and performance by such party of the Loan Documents to which it is a party and the transactions contemplated herein and therein; (iii) setting forth the incumbency of the officer of such party who executed and delivered such Loan Documents, including therein a signature specimen of each such officer; and (iv) attaching copies, certified by such officer as true and complete, of certificates of the appropriate Governmental Authority of the jurisdiction of formation, stating that such party was in good standing under the laws of such jurisdiction as of the Closing Date (or a date immediately prior thereto acceptable to Administrative Agent).</w:t>
      </w:r>
    </w:p>
    <w:p>
      <w:pPr>
        <w:pStyle w:val="TextBody"/>
        <w:bidi w:val="0"/>
        <w:spacing w:lineRule="auto" w:line="240" w:before="0" w:after="240"/>
        <w:ind w:left="0" w:right="0" w:firstLine="1440"/>
        <w:jc w:val="both"/>
        <w:rPr/>
      </w:pPr>
      <w:bookmarkStart w:id="231" w:name="i530e8db91dda4510b4ad5a40ef9fdf1f"/>
      <w:bookmarkEnd w:id="231"/>
      <w:r>
        <w:rPr>
          <w:rFonts w:ascii="Times New Roman;serif" w:hAnsi="Times New Roman;serif"/>
          <w:b w:val="false"/>
          <w:color w:val="000000"/>
          <w:sz w:val="24"/>
        </w:rPr>
        <w:t>(d)</w:t>
      </w:r>
      <w:r>
        <w:rPr>
          <w:rFonts w:ascii="Times New Roman;serif" w:hAnsi="Times New Roman;serif"/>
          <w:b w:val="false"/>
          <w:color w:val="000000"/>
          <w:sz w:val="24"/>
        </w:rPr>
        <w:t>The Transaction Documents shall be in full force and effect.</w:t>
      </w:r>
    </w:p>
    <w:p>
      <w:pPr>
        <w:pStyle w:val="TextBody"/>
        <w:bidi w:val="0"/>
        <w:spacing w:lineRule="auto" w:line="240" w:before="0" w:after="240"/>
        <w:ind w:left="0" w:right="0" w:firstLine="1440"/>
        <w:jc w:val="both"/>
        <w:rPr/>
      </w:pPr>
      <w:bookmarkStart w:id="232" w:name="i0a537d3cebfc45f89191231b76cf6c36"/>
      <w:bookmarkEnd w:id="232"/>
      <w:r>
        <w:rPr>
          <w:rFonts w:ascii="Times New Roman;serif" w:hAnsi="Times New Roman;serif"/>
          <w:b w:val="false"/>
          <w:color w:val="000000"/>
          <w:sz w:val="24"/>
        </w:rPr>
        <w:t>(e)</w:t>
      </w:r>
      <w:r>
        <w:rPr>
          <w:rFonts w:ascii="Times New Roman;serif" w:hAnsi="Times New Roman;serif"/>
          <w:b w:val="false"/>
          <w:color w:val="000000"/>
          <w:sz w:val="24"/>
        </w:rPr>
        <w:t>All necessary governmental and third-party approvals, notices, consents and filings, including in connection with the Term Loans, the Security Agreement, the Sale Agreement and the other Loan Documents shall have been obtained or made and shall remain in full force and effect.</w:t>
      </w:r>
    </w:p>
    <w:p>
      <w:pPr>
        <w:pStyle w:val="TextBody"/>
        <w:bidi w:val="0"/>
        <w:spacing w:lineRule="auto" w:line="240" w:before="0" w:after="240"/>
        <w:ind w:left="0" w:right="0" w:firstLine="1440"/>
        <w:jc w:val="both"/>
        <w:rPr/>
      </w:pPr>
      <w:bookmarkStart w:id="233" w:name="idea3d2e20116461b957a586be36a57eb"/>
      <w:bookmarkEnd w:id="233"/>
      <w:r>
        <w:rPr>
          <w:rFonts w:ascii="Times New Roman;serif" w:hAnsi="Times New Roman;serif"/>
          <w:b w:val="false"/>
          <w:color w:val="000000"/>
          <w:sz w:val="24"/>
        </w:rPr>
        <w:t>(f)</w:t>
      </w:r>
      <w:r>
        <w:rPr>
          <w:rFonts w:ascii="Times New Roman;serif" w:hAnsi="Times New Roman;serif"/>
          <w:b w:val="false"/>
          <w:color w:val="000000"/>
          <w:sz w:val="24"/>
        </w:rPr>
        <w:t>Borrower shall have delivered to Administrative Agent certified copies of UCC, tax and judgment lien searches, copies of PPSA searches, or equivalent reports or searches, each of a recent date listing all effective financing statements, lien notices or comparable documents that name Borrower as debtor and that are filed in those state, county, provincial and territorial jurisdictions in which Borrower is organized or maintains its principal place of business and such other searches that Administrative Agent deems necessary or appropriate, none of which encumber the Collateral covered or intended to be covered by the Loan Documents (other than any Permitted Liens).</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40" w:before="0" w:after="240"/>
        <w:ind w:left="0" w:right="0" w:firstLine="1440"/>
        <w:jc w:val="both"/>
        <w:rPr/>
      </w:pPr>
      <w:bookmarkStart w:id="234" w:name="if29015803e684ab197a4cfc1d86c79c5"/>
      <w:bookmarkEnd w:id="234"/>
      <w:r>
        <w:rPr>
          <w:rFonts w:ascii="Times New Roman;serif" w:hAnsi="Times New Roman;serif"/>
          <w:b w:val="false"/>
          <w:color w:val="000000"/>
          <w:sz w:val="24"/>
        </w:rPr>
        <w:t>(g)</w:t>
      </w:r>
      <w:r>
        <w:rPr>
          <w:rFonts w:ascii="Times New Roman;serif" w:hAnsi="Times New Roman;serif"/>
          <w:b w:val="false"/>
          <w:color w:val="000000"/>
          <w:sz w:val="24"/>
        </w:rPr>
        <w:t>Administrative Agent shall have received all UCC and PPSA financing statements in appropriate form for filing under the UCC or PPSA, as applicable, and all other certificates, agreements, instruments, filings, recordings and other actions, that are necessary or reasonably requested by Administrative Agent in order to establish, protect, preserve and perfect the security interest in the assets of Borrower constituting Collateral as provided in the Security Agreement as a valid and perfected first priority security interest with respect to such assets shall have been duly effected (or arrangements therefor satisfactory to Administrative Agent shall have been made).</w:t>
      </w:r>
    </w:p>
    <w:p>
      <w:pPr>
        <w:pStyle w:val="TextBody"/>
        <w:bidi w:val="0"/>
        <w:spacing w:lineRule="auto" w:line="240" w:before="0" w:after="240"/>
        <w:ind w:left="0" w:right="0" w:firstLine="1440"/>
        <w:jc w:val="both"/>
        <w:rPr/>
      </w:pPr>
      <w:bookmarkStart w:id="235" w:name="iecbb729d27e24a148e85ab0acf67dbc1"/>
      <w:bookmarkEnd w:id="235"/>
      <w:r>
        <w:rPr>
          <w:rFonts w:ascii="Times New Roman;serif" w:hAnsi="Times New Roman;serif"/>
          <w:b w:val="false"/>
          <w:color w:val="000000"/>
          <w:sz w:val="24"/>
        </w:rPr>
        <w:t>(h)</w:t>
      </w:r>
      <w:r>
        <w:rPr>
          <w:rFonts w:ascii="Times New Roman;serif" w:hAnsi="Times New Roman;serif"/>
          <w:b w:val="false"/>
          <w:color w:val="000000"/>
          <w:sz w:val="24"/>
        </w:rPr>
        <w:t xml:space="preserve">Administrative Agent and each Lender shall have received all documentation and other information required by bank regulatory authorities under applicable “know your customer” and anti-money laundering rules and regulations, including without limitation, the Patriot Act, including and the information described in </w:t>
      </w:r>
      <w:r>
        <w:rPr>
          <w:rFonts w:ascii="Times New Roman;serif" w:hAnsi="Times New Roman;serif"/>
          <w:b w:val="false"/>
          <w:color w:val="000000"/>
          <w:sz w:val="24"/>
          <w:u w:val="single"/>
        </w:rPr>
        <w:t>Section 12.18</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236" w:name="i03631299c0d548f8b8b582edffa68786"/>
      <w:bookmarkEnd w:id="236"/>
      <w:r>
        <w:rPr>
          <w:rFonts w:ascii="Times New Roman;serif" w:hAnsi="Times New Roman;serif"/>
          <w:b w:val="false"/>
          <w:color w:val="000000"/>
          <w:sz w:val="24"/>
        </w:rPr>
        <w:t>(i)</w:t>
      </w:r>
      <w:r>
        <w:rPr>
          <w:rFonts w:ascii="Times New Roman;serif" w:hAnsi="Times New Roman;serif"/>
          <w:b w:val="false"/>
          <w:color w:val="000000"/>
          <w:sz w:val="24"/>
        </w:rPr>
        <w:t xml:space="preserve">Administrative Agent shall have received from Company an electronic copy of all of the information and documents posted as of the Closing Date to the virtual data room established by Company and made available to Administrative Agent via </w:t>
      </w:r>
      <w:r>
        <w:rPr>
          <w:rFonts w:ascii="Times New Roman;serif" w:hAnsi="Times New Roman;serif"/>
          <w:b w:val="false"/>
          <w:color w:val="0094FF"/>
          <w:sz w:val="24"/>
        </w:rPr>
        <w:t>firmex.com.</w:t>
      </w:r>
    </w:p>
    <w:p>
      <w:pPr>
        <w:pStyle w:val="TextBody"/>
        <w:bidi w:val="0"/>
        <w:spacing w:lineRule="auto" w:line="240" w:before="0" w:after="240"/>
        <w:ind w:left="0" w:right="0" w:firstLine="1440"/>
        <w:jc w:val="both"/>
        <w:rPr/>
      </w:pPr>
      <w:bookmarkStart w:id="237" w:name="id9a96a1e35494f359ab66d857a5d4f60"/>
      <w:bookmarkEnd w:id="237"/>
      <w:r>
        <w:rPr>
          <w:rFonts w:ascii="Times New Roman;serif" w:hAnsi="Times New Roman;serif"/>
          <w:b w:val="false"/>
          <w:color w:val="000000"/>
          <w:sz w:val="24"/>
        </w:rPr>
        <w:t>(j)</w:t>
      </w:r>
      <w:r>
        <w:rPr>
          <w:rFonts w:ascii="Times New Roman;serif" w:hAnsi="Times New Roman;serif"/>
          <w:b w:val="false"/>
          <w:color w:val="000000"/>
          <w:sz w:val="24"/>
        </w:rPr>
        <w:t>Administrative Agent shall have received such other approvals, opinions, documents or materials as it may reasonably request.</w:t>
      </w:r>
    </w:p>
    <w:p>
      <w:pPr>
        <w:pStyle w:val="TextBody"/>
        <w:bidi w:val="0"/>
        <w:spacing w:lineRule="auto" w:line="240" w:before="0" w:after="240"/>
        <w:ind w:left="0" w:right="0" w:firstLine="1440"/>
        <w:jc w:val="both"/>
        <w:rPr/>
      </w:pPr>
      <w:bookmarkStart w:id="238" w:name="ifc6301859f6647eaa27bd5652cacee49"/>
      <w:bookmarkEnd w:id="238"/>
      <w:r>
        <w:rPr>
          <w:rFonts w:ascii="Times New Roman;serif" w:hAnsi="Times New Roman;serif"/>
          <w:b w:val="false"/>
          <w:color w:val="000000"/>
          <w:sz w:val="24"/>
        </w:rPr>
        <w:t>(k)</w:t>
      </w:r>
      <w:r>
        <w:rPr>
          <w:rFonts w:ascii="Times New Roman;serif" w:hAnsi="Times New Roman;serif"/>
          <w:b w:val="false"/>
          <w:color w:val="000000"/>
          <w:sz w:val="24"/>
        </w:rPr>
        <w:t xml:space="preserve">Administrative Agent shall have received a fully executed and delivered Funding Notice as and when required by </w:t>
      </w:r>
      <w:r>
        <w:rPr>
          <w:rFonts w:ascii="Times New Roman;serif" w:hAnsi="Times New Roman;serif"/>
          <w:b w:val="false"/>
          <w:color w:val="000000"/>
          <w:sz w:val="24"/>
          <w:u w:val="single"/>
        </w:rPr>
        <w:t>Section 2.01(b)(i)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239" w:name="ibf9bab06a342489cb9968fd410afe596"/>
      <w:bookmarkEnd w:id="239"/>
      <w:r>
        <w:rPr>
          <w:rFonts w:ascii="Times New Roman;serif" w:hAnsi="Times New Roman;serif"/>
          <w:b w:val="false"/>
          <w:color w:val="000000"/>
          <w:sz w:val="24"/>
        </w:rPr>
        <w:t>(l)</w:t>
      </w:r>
      <w:r>
        <w:rPr>
          <w:rFonts w:ascii="Times New Roman;serif" w:hAnsi="Times New Roman;serif"/>
          <w:b w:val="false"/>
          <w:color w:val="000000"/>
          <w:sz w:val="24"/>
        </w:rPr>
        <w:t>As of the Closing Date, no event shall have occurred and be continuing that (i) constitutes a Default or an Event of Default or (ii) would reasonably be expected to constitute a Material Adverse Effect (without giving effect to the cure period applicable to an Event of Default based thereon), in each case both at the time of, and immediately after giving effect to, the making of the Term Loan.</w:t>
      </w:r>
    </w:p>
    <w:p>
      <w:pPr>
        <w:pStyle w:val="TextBody"/>
        <w:bidi w:val="0"/>
        <w:spacing w:lineRule="auto" w:line="240" w:before="0" w:after="240"/>
        <w:ind w:left="0" w:right="0" w:firstLine="1440"/>
        <w:jc w:val="both"/>
        <w:rPr/>
      </w:pPr>
      <w:bookmarkStart w:id="240" w:name="i043d07c5801f40d89c7ff77e20da196f"/>
      <w:bookmarkEnd w:id="240"/>
      <w:r>
        <w:rPr>
          <w:rFonts w:ascii="Times New Roman;serif" w:hAnsi="Times New Roman;serif"/>
          <w:b w:val="false"/>
          <w:color w:val="000000"/>
          <w:sz w:val="24"/>
        </w:rPr>
        <w:t>(m)</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bookmarkStart w:id="241" w:name="ieb35311c7164423b8600f520816dd166"/>
      <w:bookmarkEnd w:id="241"/>
      <w:r>
        <w:rPr>
          <w:rFonts w:ascii="Times New Roman;serif" w:hAnsi="Times New Roman;serif"/>
          <w:b w:val="false"/>
          <w:color w:val="000000"/>
          <w:sz w:val="24"/>
        </w:rPr>
        <w:t>(n)</w:t>
      </w:r>
      <w:r>
        <w:rPr>
          <w:rFonts w:ascii="Times New Roman;serif" w:hAnsi="Times New Roman;serif"/>
          <w:b w:val="false"/>
          <w:color w:val="000000"/>
          <w:sz w:val="24"/>
        </w:rPr>
        <w:t>As of the Closing Date, the representations and warranties contained herein and in each other Loan Document, certificate or other writing delivered to Administrative Agent or any Lender pursuant hereto or thereto on the Closing Date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the Closing Date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pStyle w:val="TextBody"/>
        <w:bidi w:val="0"/>
        <w:spacing w:lineRule="auto" w:line="240" w:before="0" w:after="240"/>
        <w:jc w:val="center"/>
        <w:rPr/>
      </w:pPr>
      <w:bookmarkStart w:id="242" w:name="i223c7f1b288e434e848b526d45e620b3"/>
      <w:bookmarkEnd w:id="242"/>
      <w:r>
        <w:rPr>
          <w:rFonts w:ascii="Times New Roman;serif" w:hAnsi="Times New Roman;serif"/>
          <w:b/>
          <w:color w:val="000000"/>
          <w:sz w:val="24"/>
        </w:rPr>
        <w:t>Article VII</w:t>
      </w:r>
      <w:r>
        <w:rPr>
          <w:rFonts w:ascii="Times New Roman;serif" w:hAnsi="Times New Roman;serif"/>
          <w:b/>
          <w:color w:val="000000"/>
          <w:sz w:val="24"/>
        </w:rPr>
        <w:br/>
        <w:t>REPRESENTATIONS AND WARRANTIES</w:t>
      </w:r>
    </w:p>
    <w:p>
      <w:pPr>
        <w:pStyle w:val="TextBody"/>
        <w:bidi w:val="0"/>
        <w:spacing w:lineRule="auto" w:line="240" w:before="0" w:after="0"/>
        <w:ind w:left="0" w:right="0" w:firstLine="720"/>
        <w:jc w:val="both"/>
        <w:rPr/>
      </w:pPr>
      <w:bookmarkStart w:id="243" w:name="ide60ac0ed1ac432e87bd5fb76f9a3716"/>
      <w:bookmarkEnd w:id="243"/>
      <w:r>
        <w:rPr>
          <w:rFonts w:ascii="Times New Roman;serif" w:hAnsi="Times New Roman;serif"/>
          <w:b w:val="false"/>
          <w:color w:val="000000"/>
          <w:sz w:val="24"/>
        </w:rPr>
        <w:t>Section 7.01</w:t>
      </w:r>
      <w:r>
        <w:rPr>
          <w:rFonts w:ascii="Times New Roman;serif" w:hAnsi="Times New Roman;serif"/>
          <w:b w:val="false"/>
          <w:color w:val="000000"/>
          <w:sz w:val="24"/>
          <w:u w:val="single"/>
        </w:rPr>
        <w:t>Representations and Warranties of Borrower</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order to induce Administrative Agent and Lenders to enter into this Agreement and to make each Credit Extension to be made thereby, Borrower represents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warrants to Administrative Agent and the Lenders, on the Closing Date, that the following statements are true and correct:</w:t>
      </w:r>
    </w:p>
    <w:p>
      <w:pPr>
        <w:pStyle w:val="TextBody"/>
        <w:bidi w:val="0"/>
        <w:spacing w:lineRule="auto" w:line="240" w:before="0" w:after="240"/>
        <w:ind w:left="0" w:right="0" w:firstLine="1440"/>
        <w:jc w:val="both"/>
        <w:rPr/>
      </w:pPr>
      <w:bookmarkStart w:id="244" w:name="id1ef093751314c50907357628899d874"/>
      <w:bookmarkEnd w:id="244"/>
      <w:r>
        <w:rPr>
          <w:rFonts w:ascii="Times New Roman;serif" w:hAnsi="Times New Roman;serif"/>
          <w:b w:val="false"/>
          <w:color w:val="000000"/>
          <w:sz w:val="24"/>
        </w:rPr>
        <w:t>(a)</w:t>
      </w:r>
      <w:r>
        <w:rPr>
          <w:rFonts w:ascii="Times New Roman;serif" w:hAnsi="Times New Roman;serif"/>
          <w:b w:val="false"/>
          <w:color w:val="000000"/>
          <w:sz w:val="24"/>
        </w:rPr>
        <w:t>Borrower is a limited partnership duly formed and existing under the laws of British Columbia and, through Borrower GP, has all powers and authority, and all licenses, permits, franchises, authorizations, consents and approvals of all Governmental Authorities, required to own its property and conduct its business as now conducted. Borrower is duly qualified to transact business in every jurisdiction in which such qualification is required by Applicable Law. Each other Loan Party is duly organized or formed, as applicable, validly existing and in good standing under the laws of its jurisdiction of organization or formation and has all powers and authority, and all licenses, permits, franchises, authorizations, consents and approvals of all Governmental Authorities, required to own its property and conduct its business as now conducted. Each other Loan Party is duly qualified to transact business and is in good standing in every jurisdiction in which such qualification or good standing is required by Applicable Law (except where the failure to be so qualified or in good standing would not result in, and could not reasonably be expected to have resulted in a Material Adverse Effect).</w:t>
      </w:r>
    </w:p>
    <w:p>
      <w:pPr>
        <w:pStyle w:val="TextBody"/>
        <w:bidi w:val="0"/>
        <w:spacing w:lineRule="auto" w:line="240" w:before="0" w:after="240"/>
        <w:ind w:left="0" w:right="0" w:firstLine="1440"/>
        <w:jc w:val="both"/>
        <w:rPr/>
      </w:pPr>
      <w:bookmarkStart w:id="245" w:name="i83631efc9ccb4c749a9e9dd121e868f0"/>
      <w:bookmarkEnd w:id="245"/>
      <w:r>
        <w:rPr>
          <w:rFonts w:ascii="Times New Roman;serif" w:hAnsi="Times New Roman;serif"/>
          <w:b w:val="false"/>
          <w:color w:val="000000"/>
          <w:sz w:val="24"/>
        </w:rPr>
        <w:t>(b)</w:t>
      </w:r>
      <w:r>
        <w:rPr>
          <w:rFonts w:ascii="Times New Roman;serif" w:hAnsi="Times New Roman;serif"/>
          <w:b w:val="false"/>
          <w:color w:val="000000"/>
          <w:sz w:val="24"/>
        </w:rPr>
        <w:t>None of the execution and delivery by any Loan Party of any of the Loan Documents to which such Loan Party is party, the performance by such Loan Party of the obligations contemplated hereby or thereby or the consummation of the transactions contemplated hereby or thereby will: (i) contravene, conflict with, result in a breach, violation, cancellation or termination of, constitute a default (with or without notice or lapse of time, or both) under, require prepayment under, give any Person the right to exercise any remedy (including termination, cancellation or acceleration) or obtain any additional rights under, or accelerate the maturity or performance of or payment under, in any respect, (A) any Applicable Law or any judgment, order, writ, decree, permit or license of any Governmental Authority to which such Loan Party or any of its assets or properties may be subject or bound, (B) any term or provision of any contract, agreement, indenture, lease, license, deed, commitment, obligation or instrument to which such Loan Party is a party or by which such Loan Party or any of its assets or properties is bound or committed (other than the Covered Agreements and Related Agreements), (C) any term or provision of any Covered Agreement or any Related Agreement, or (D) any term or provision of any of the Organizational Documents of such Loan Party, except in the case of clause (A) or (B) where any such event would not reasonably be expected to result in a Material Adverse Effect; or (ii), except as provided in or contemplated by any of the Transaction Documents, result in or require the creation or imposition of any Lien (other than Permitted Liens).</w:t>
      </w:r>
    </w:p>
    <w:p>
      <w:pPr>
        <w:pStyle w:val="TextBody"/>
        <w:bidi w:val="0"/>
        <w:spacing w:lineRule="auto" w:line="240" w:before="0" w:after="240"/>
        <w:ind w:left="0" w:right="0" w:firstLine="1440"/>
        <w:jc w:val="both"/>
        <w:rPr/>
      </w:pPr>
      <w:bookmarkStart w:id="246" w:name="i53a34c0ad3d24e80a93504713b4524d4"/>
      <w:bookmarkEnd w:id="246"/>
      <w:r>
        <w:rPr>
          <w:rFonts w:ascii="Times New Roman;serif" w:hAnsi="Times New Roman;serif"/>
          <w:b w:val="false"/>
          <w:color w:val="000000"/>
          <w:sz w:val="24"/>
        </w:rPr>
        <w:t>(c)</w:t>
      </w:r>
      <w:r>
        <w:rPr>
          <w:rFonts w:ascii="Times New Roman;serif" w:hAnsi="Times New Roman;serif"/>
          <w:b w:val="false"/>
          <w:color w:val="000000"/>
          <w:sz w:val="24"/>
        </w:rPr>
        <w:t>Other than pursuant to the Loan Documents, no Loan Party has granted or agreed to grant any Lien on the Transferred Royalty Interest (other than, after the Closing Date, Permitted Liens), nor does there exist any Lien on the Transferred Royalty Interest or its Capital Stock (other than, after the Closing Date, Permitted Liens).</w:t>
      </w:r>
    </w:p>
    <w:p>
      <w:pPr>
        <w:pStyle w:val="TextBody"/>
        <w:bidi w:val="0"/>
        <w:spacing w:lineRule="auto" w:line="240" w:before="0" w:after="240"/>
        <w:ind w:left="0" w:right="0" w:firstLine="1440"/>
        <w:jc w:val="both"/>
        <w:rPr/>
      </w:pPr>
      <w:bookmarkStart w:id="247" w:name="i87312fb0d5a946e2a6e1ba5b5c08e2de"/>
      <w:bookmarkEnd w:id="247"/>
      <w:r>
        <w:rPr>
          <w:rFonts w:ascii="Times New Roman;serif" w:hAnsi="Times New Roman;serif"/>
          <w:b w:val="false"/>
          <w:color w:val="000000"/>
          <w:sz w:val="24"/>
        </w:rPr>
        <w:t>(d)</w:t>
      </w:r>
      <w:r>
        <w:rPr>
          <w:rFonts w:ascii="Times New Roman;serif" w:hAnsi="Times New Roman;serif"/>
          <w:b w:val="false"/>
          <w:color w:val="000000"/>
          <w:sz w:val="24"/>
        </w:rPr>
        <w:t>Each Loan Party has all powers and authority to execute and deliver and perform its obligations under the Loan Documents to which it is party, and to consummate the transactions contemplated hereby and thereby. The execution and delivery of each of the Loan Documents to which each Loan Party is party and the performance by such Loan Party of its obligations hereunder and thereunder have been duly authorized by such Loan Party. Each of the Loan Documents to which each Loan Party is party has been duly executed and delivered by such Loan Party. Each of the Loan Documents to which each Loan Party is party constitutes the legal, valid and binding obligation of such Loan Party, enforceable against such Loan Party in accordance with its respective terms, subject to applicable bankruptcy, insolvency, reorganization, moratorium or similar Applicable Laws affecting creditors’ rights generally, general equitable principles and principles of public policy.</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0" w:after="240"/>
        <w:ind w:left="0" w:right="0" w:firstLine="1440"/>
        <w:jc w:val="both"/>
        <w:rPr/>
      </w:pPr>
      <w:bookmarkStart w:id="248" w:name="idf2a7dce2de74316903a67689cefdfe2"/>
      <w:bookmarkEnd w:id="248"/>
      <w:r>
        <w:rPr>
          <w:rFonts w:ascii="Times New Roman;serif" w:hAnsi="Times New Roman;serif"/>
          <w:b w:val="false"/>
          <w:color w:val="000000"/>
          <w:sz w:val="24"/>
        </w:rPr>
        <w:t>(e)</w:t>
      </w:r>
      <w:r>
        <w:rPr>
          <w:rFonts w:ascii="Times New Roman;serif" w:hAnsi="Times New Roman;serif"/>
          <w:b w:val="false"/>
          <w:color w:val="000000"/>
          <w:sz w:val="24"/>
        </w:rPr>
        <w:t>Upon giving effect to the Sale (and subject to the terms and conditions thereof), Borrower shall be the exclusive owner of the entire right, title (legal and equitable) and interest in, to and under the Collateral, free and clear of all Liens (other than Permitted Liens) and Borrower shall be entitled to be the sole recipient of all Agreed Payments. Upon granting by Borrower of the security interests in the Collateral to Administrative Agent, Administrative Agent shall acquire a first priority security interest in the Collateral, free and clear of all Liens (other than Permitted Liens). Neither Borrower nor any of its Affiliates has caused, and to the Knowledge of the Loan Parties no other Person has caused, the claims and rights of Administrative Agent or any Lender created by any Loan Document in and to the Collateral, to be subordinated to any creditor or any other Person.</w:t>
      </w:r>
    </w:p>
    <w:p>
      <w:pPr>
        <w:pStyle w:val="TextBody"/>
        <w:bidi w:val="0"/>
        <w:spacing w:lineRule="auto" w:line="240" w:before="0" w:after="240"/>
        <w:ind w:left="0" w:right="0" w:firstLine="1440"/>
        <w:jc w:val="both"/>
        <w:rPr/>
      </w:pPr>
      <w:bookmarkStart w:id="249" w:name="ib87fa9b34766486ea9ef90a83ef79144"/>
      <w:bookmarkEnd w:id="249"/>
      <w:r>
        <w:rPr>
          <w:rFonts w:ascii="Times New Roman;serif" w:hAnsi="Times New Roman;serif"/>
          <w:b w:val="false"/>
          <w:color w:val="000000"/>
          <w:sz w:val="24"/>
        </w:rPr>
        <w:t>(f)</w:t>
      </w:r>
      <w:r>
        <w:rPr>
          <w:rFonts w:ascii="Times New Roman;serif" w:hAnsi="Times New Roman;serif"/>
          <w:b w:val="false"/>
          <w:color w:val="000000"/>
          <w:sz w:val="24"/>
        </w:rPr>
        <w:t>The execution and delivery by each Loan Party of the Loan Documents to which such Loan Party is party, the performance by such Loan Party of its obligations hereunder and thereunder and the consummation of any of the transactions contemplated hereunder and thereunder (including the granting of security interests in the Collateral to Administrative Agent) do not require any consent, approval, license, order, authorization or declaration from, notice to, action or registration by or filing with any Governmental Authority or any other Person, except for (i) the filing of any applicable notices under securities laws, (ii) the filings necessary to perfect Liens created by the Loan Documents, (iii) those previously obtained and in full force and effect, and (iv) consents, notices, filings and registrations in connection with the Sale as contemplated by the Sale Agreement.</w:t>
      </w:r>
    </w:p>
    <w:p>
      <w:pPr>
        <w:pStyle w:val="TextBody"/>
        <w:bidi w:val="0"/>
        <w:spacing w:lineRule="auto" w:line="240" w:before="0" w:after="240"/>
        <w:ind w:left="0" w:right="0" w:firstLine="1440"/>
        <w:jc w:val="both"/>
        <w:rPr/>
      </w:pPr>
      <w:bookmarkStart w:id="250" w:name="i322120e0db834ccb9c6a780f975ef6ff"/>
      <w:bookmarkEnd w:id="250"/>
      <w:r>
        <w:rPr>
          <w:rFonts w:ascii="Times New Roman;serif" w:hAnsi="Times New Roman;serif"/>
          <w:b w:val="false"/>
          <w:color w:val="000000"/>
          <w:sz w:val="24"/>
        </w:rPr>
        <w:t>(g)</w:t>
      </w:r>
      <w:r>
        <w:rPr>
          <w:rFonts w:ascii="Times New Roman;serif" w:hAnsi="Times New Roman;serif"/>
          <w:b w:val="false"/>
          <w:color w:val="000000"/>
          <w:sz w:val="24"/>
        </w:rPr>
        <w:t>There is no action, suit, arbitration proceeding, claim, citation, summons, subpoena, investigation or other proceeding (whether civil, criminal, administrative, regulatory, investigative or informal, and including by or before a Governmental Authority) pending or, to the Knowledge of the Loan Parties, threatened in writing (or, in the case of a threat by a Governmental Authority, threatened orally or in writing) by or against such Loan Party or any of its Subsidiaries, at law or in equity, that (i) if adversely determined, would reasonably be expected to result in a Material Adverse Effect or (ii) challenges or seeks to prevent or delay the consummation of any of the transactions contemplated by any of the Loan Documents to which such Loan Party is party.</w:t>
      </w:r>
    </w:p>
    <w:p>
      <w:pPr>
        <w:pStyle w:val="TextBody"/>
        <w:bidi w:val="0"/>
        <w:spacing w:lineRule="auto" w:line="240" w:before="0" w:after="240"/>
        <w:ind w:left="0" w:right="0" w:firstLine="1440"/>
        <w:jc w:val="both"/>
        <w:rPr/>
      </w:pPr>
      <w:bookmarkStart w:id="251" w:name="i15ba1391ec5e4ce2b68ab730cd521ef7"/>
      <w:bookmarkEnd w:id="251"/>
      <w:r>
        <w:rPr>
          <w:rFonts w:ascii="Times New Roman;serif" w:hAnsi="Times New Roman;serif"/>
          <w:b w:val="false"/>
          <w:color w:val="000000"/>
          <w:sz w:val="24"/>
        </w:rPr>
        <w:t>(h)</w:t>
      </w:r>
      <w:r>
        <w:rPr>
          <w:rFonts w:ascii="Times New Roman;serif" w:hAnsi="Times New Roman;serif"/>
          <w:b w:val="false"/>
          <w:color w:val="000000"/>
          <w:sz w:val="24"/>
        </w:rPr>
        <w:t>Upon consummation of the transactions contemplated by the Loan Documents and the application of the proceeds of the Term Loans to be made on the Closing Date, (i) the present fair saleable value of the properties and assets of each of Borrower and Company, on an individual basis, will be greater than the sum of its debts, liabilities and other obligations, including contingent liabilities, (ii) the present fair saleable value of the properties and assets of each of Borrower and Company, on an individual basis, will not be less than the amount that would be required to pay its probable liabilities on its existing debts, liabilities and other obligations, including contingent liabilities, as they become absolute and matured, (iii) each of Borrower and Company, on an individual basis, will be generally able to realize upon its assets and pay its debts, liabilities and other obligations, including contingent obligations, as they become absolute and matured, (iv) neither Borrower nor Company, on an individual basis, will have unreasonably small capital with which to engage in its business as now conducted, (v) neither Borrower nor Company, on an individual basis, has incurred debts or other obligations or liabilities beyond its ability to pay such debts or other obligations or liabilities as they become absolute and matured, (vi) neither Borrower nor Company, on an individual basis, will have become subject to any Insolvency Event and (vii) neither Borrower and Company, on an individual basis, will have been rendered insolvent within the meaning of any Applicable Law. No step has been taken by Borrower, Company or any of their Affiliates or, to their Knowledge, any other Person to make Borrower or Company subject to an Insolvency Event.</w:t>
      </w:r>
    </w:p>
    <w:p>
      <w:pPr>
        <w:pStyle w:val="TextBody"/>
        <w:bidi w:val="0"/>
        <w:spacing w:lineRule="auto" w:line="240" w:before="0" w:after="240"/>
        <w:ind w:left="0" w:right="0" w:firstLine="1440"/>
        <w:jc w:val="both"/>
        <w:rPr/>
      </w:pPr>
      <w:bookmarkStart w:id="252" w:name="i2c04c212d93f49bf923e3decd53aeef2"/>
      <w:bookmarkEnd w:id="252"/>
      <w:r>
        <w:rPr>
          <w:rFonts w:ascii="Times New Roman;serif" w:hAnsi="Times New Roman;serif"/>
          <w:b w:val="false"/>
          <w:color w:val="000000"/>
          <w:sz w:val="24"/>
        </w:rPr>
        <w:t>(i)</w:t>
      </w:r>
      <w:r>
        <w:rPr>
          <w:rFonts w:ascii="Times New Roman;serif" w:hAnsi="Times New Roman;serif"/>
          <w:b w:val="false"/>
          <w:color w:val="000000"/>
          <w:sz w:val="24"/>
        </w:rPr>
        <w:t>No Default or Event of Default has occurred and is continuing, and no such event will occur upon the making of the Term Loans to be made on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40" w:before="0" w:after="240"/>
        <w:ind w:left="0" w:right="0" w:firstLine="1440"/>
        <w:jc w:val="both"/>
        <w:rPr/>
      </w:pPr>
      <w:bookmarkStart w:id="253" w:name="i4342e7dfc869497b98ac69c0543e488f"/>
      <w:bookmarkEnd w:id="253"/>
      <w:r>
        <w:rPr>
          <w:rFonts w:ascii="Times New Roman;serif" w:hAnsi="Times New Roman;serif"/>
          <w:b w:val="false"/>
          <w:color w:val="000000"/>
          <w:sz w:val="24"/>
        </w:rPr>
        <w:t>(j)</w:t>
      </w:r>
      <w:r>
        <w:rPr>
          <w:rFonts w:ascii="Times New Roman;serif" w:hAnsi="Times New Roman;serif"/>
          <w:b w:val="false"/>
          <w:color w:val="000000"/>
          <w:sz w:val="24"/>
        </w:rPr>
        <w:t>Each of Borrower and Company has timely filed (or caused to be filed) when due all material income and other Tax returns and reports required by Applicable Law to have been filed by it and has paid all material Taxes required to be paid by it (including in its capacity as a withholding agent), except Taxes that are being contested in good faith by appropriate proceedings and for which Borrower or Company, as applicable, has set aside on its books adequate reserves. None of the payments received (or to be received) by Borrower or Company in respect of the right to receive the Agreed Payments has been, or under current Law will be, subject to any deduction or withholding of any Tax.</w:t>
      </w:r>
    </w:p>
    <w:p>
      <w:pPr>
        <w:pStyle w:val="TextBody"/>
        <w:bidi w:val="0"/>
        <w:spacing w:lineRule="auto" w:line="240" w:before="0" w:after="240"/>
        <w:ind w:left="0" w:right="0" w:firstLine="1440"/>
        <w:jc w:val="both"/>
        <w:rPr/>
      </w:pPr>
      <w:bookmarkStart w:id="254" w:name="if837f9b2d2454f7fbbf6367dd13470e6"/>
      <w:bookmarkEnd w:id="254"/>
      <w:r>
        <w:rPr>
          <w:rFonts w:ascii="Times New Roman;serif" w:hAnsi="Times New Roman;serif"/>
          <w:b w:val="false"/>
          <w:color w:val="000000"/>
          <w:sz w:val="24"/>
        </w:rPr>
        <w:t>(k)</w:t>
      </w:r>
      <w:r>
        <w:rPr>
          <w:rFonts w:ascii="Times New Roman;serif" w:hAnsi="Times New Roman;serif"/>
          <w:b w:val="false"/>
          <w:color w:val="000000"/>
          <w:sz w:val="24"/>
        </w:rPr>
        <w:t>No Loan Party has taken any action that would entitle any person or entity to any commission or broker’s fee in connection with the transactions contemplated by this Agreement. Except as set forth on Schedule 7.01(k), there is no investment banker, broker, finder, financial advisor or other intermediary who has been retained by or is authorized to act on behalf of any Loan Party who might be entitled to any such commission or fee in connection with the transactions contemplated by this Agreement.</w:t>
      </w:r>
    </w:p>
    <w:p>
      <w:pPr>
        <w:pStyle w:val="TextBody"/>
        <w:bidi w:val="0"/>
        <w:spacing w:lineRule="auto" w:line="240" w:before="0" w:after="240"/>
        <w:ind w:left="0" w:right="0" w:firstLine="1440"/>
        <w:jc w:val="both"/>
        <w:rPr/>
      </w:pPr>
      <w:bookmarkStart w:id="255" w:name="icc28dbb7f6ee4ae689ec1a0d1d56403d"/>
      <w:bookmarkEnd w:id="255"/>
      <w:r>
        <w:rPr>
          <w:rFonts w:ascii="Times New Roman;serif" w:hAnsi="Times New Roman;serif"/>
          <w:b w:val="false"/>
          <w:color w:val="000000"/>
          <w:sz w:val="24"/>
        </w:rPr>
        <w:t>(l)</w:t>
      </w:r>
      <w:r>
        <w:rPr>
          <w:rFonts w:ascii="Times New Roman;serif" w:hAnsi="Times New Roman;serif"/>
          <w:b w:val="false"/>
          <w:color w:val="000000"/>
          <w:sz w:val="24"/>
        </w:rPr>
        <w:t>No Loan Party (i) has violated, is in violation of, is under investigation with respect to, and has been threatened to be charged with or been given notice of any violation of, any Applicable Law or any judgment, order, writ, decree, injunction, stipulation, consent order, permit or license granted, issued or entered by any Governmental Authority and (ii) is subject to any judgment, order, writ, decree, injunction, stipulation, consent order, permit or license granted, issued or entered by any Governmental Authority, in each case, that would reasonably be expected to result in a Material Adverse Effect. Each Loan Party is in compliance with the requirements of all Applicable Laws, a breach of which would reasonably be expected to result in a Material Adverse Effect.</w:t>
      </w:r>
    </w:p>
    <w:p>
      <w:pPr>
        <w:pStyle w:val="TextBody"/>
        <w:bidi w:val="0"/>
        <w:spacing w:lineRule="auto" w:line="240" w:before="0" w:after="240"/>
        <w:ind w:left="0" w:right="0" w:firstLine="1440"/>
        <w:jc w:val="both"/>
        <w:rPr/>
      </w:pPr>
      <w:bookmarkStart w:id="256" w:name="ief1e4dc3fc91483eabe5949bec3b8f2c"/>
      <w:bookmarkEnd w:id="256"/>
      <w:r>
        <w:rPr>
          <w:rFonts w:ascii="Times New Roman;serif" w:hAnsi="Times New Roman;serif"/>
          <w:b w:val="false"/>
          <w:color w:val="000000"/>
          <w:sz w:val="24"/>
        </w:rPr>
        <w:t>(m)</w:t>
      </w:r>
      <w:r>
        <w:rPr>
          <w:rFonts w:ascii="Times New Roman;serif" w:hAnsi="Times New Roman;serif"/>
          <w:b w:val="false"/>
          <w:color w:val="000000"/>
          <w:sz w:val="24"/>
        </w:rPr>
        <w:t>No Loan Party is engaged in the business of extending credit for the purpose of buying or carrying margin stock, and no portion of the Term Loans shall be used by any Loan Party for a purpose that violates Regulation T, U or X promulgated by the Board of Governors of the Federal Reserve System from time to time.</w:t>
      </w:r>
    </w:p>
    <w:p>
      <w:pPr>
        <w:pStyle w:val="TextBody"/>
        <w:bidi w:val="0"/>
        <w:spacing w:lineRule="auto" w:line="240" w:before="0" w:after="240"/>
        <w:ind w:left="0" w:right="0" w:firstLine="1440"/>
        <w:jc w:val="both"/>
        <w:rPr/>
      </w:pPr>
      <w:bookmarkStart w:id="257" w:name="i4f829389103f4e4dbb2c94a1c50e46d2"/>
      <w:bookmarkEnd w:id="257"/>
      <w:r>
        <w:rPr>
          <w:rFonts w:ascii="Times New Roman;serif" w:hAnsi="Times New Roman;serif"/>
          <w:b w:val="false"/>
          <w:color w:val="000000"/>
          <w:sz w:val="24"/>
        </w:rPr>
        <w:t>(n)</w:t>
      </w:r>
      <w:r>
        <w:rPr>
          <w:rFonts w:ascii="Times New Roman;serif" w:hAnsi="Times New Roman;serif"/>
          <w:b w:val="false"/>
          <w:color w:val="000000"/>
          <w:sz w:val="24"/>
        </w:rPr>
        <w:t>No Loan Party nor, to the Knowledge of the Loan Parties, any Covered Agreement Counterparty, as applicable, has taken any action or omitted to take any action that would adversely impact the right of Administrative Agent to take a security interest in the Collateral.</w:t>
      </w:r>
    </w:p>
    <w:p>
      <w:pPr>
        <w:pStyle w:val="TextBody"/>
        <w:bidi w:val="0"/>
        <w:spacing w:lineRule="auto" w:line="240" w:before="0" w:after="240"/>
        <w:ind w:left="0" w:right="0" w:firstLine="1440"/>
        <w:jc w:val="both"/>
        <w:rPr/>
      </w:pPr>
      <w:bookmarkStart w:id="258" w:name="i4c48a9d412cd445580fc9c3b7f4ff3d8"/>
      <w:bookmarkEnd w:id="258"/>
      <w:r>
        <w:rPr>
          <w:rFonts w:ascii="Times New Roman;serif" w:hAnsi="Times New Roman;serif"/>
          <w:b w:val="false"/>
          <w:color w:val="000000"/>
          <w:sz w:val="24"/>
        </w:rPr>
        <w:t>(o)</w:t>
      </w:r>
      <w:r>
        <w:rPr>
          <w:rFonts w:ascii="Times New Roman;serif" w:hAnsi="Times New Roman;serif"/>
          <w:b w:val="false"/>
          <w:color w:val="000000"/>
          <w:sz w:val="24"/>
        </w:rPr>
        <w:t xml:space="preserve">Company has delivered to the Administrative Agent, or has provided the Administrative Agent access to, true, correct and complete copies of (A) all Agreed Reports provided to Company or Parent by each Covered Agreement Counterparty as of the Closing Date, (B) true, correct and complete copies of each Covered Agreement and each Related Agreement, including any amendments thereto as of the date hereof, (C) all minutes or material records from, and meeting materials of, the JSC under each respective Covered Agreement or similar team or committee established in connection with such Covered Agreement, (D) any material current plans and budgets related to any Licensed Products provided to Company or Parent by a Covered Agreement Counterparty, (E) all material communications and notices between, to or from Company or Parent and each Covered Agreement Counterparty under each Covered Agreement, including any notices or communications between the Company or Parent and any Governmental Authority or institutional review board and (F) any material notices or material communications not made pursuant to the terms of a Covered Agreement but related to the Zani Royalties, the Zymeworks IP, any Licensed Products, any Covered Agreement or any Related Agreement. Company has not proposed, or received any proposal from any Covered Agreement Counterparty or any counterparty to any Related Agreement, to amend, waive, supplement, restate or modify any provision of any Covered Agreement or any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in any manner that would reasonably be expected (with or without the giving of notice or the passage of time, or both) to result in a Material Adverse Effect.</w:t>
      </w:r>
    </w:p>
    <w:p>
      <w:pPr>
        <w:pStyle w:val="TextBody"/>
        <w:bidi w:val="0"/>
        <w:spacing w:lineRule="auto" w:line="240" w:before="0" w:after="240"/>
        <w:ind w:left="0" w:right="0" w:firstLine="1440"/>
        <w:jc w:val="both"/>
        <w:rPr/>
      </w:pPr>
      <w:bookmarkStart w:id="259" w:name="i6b7dcb9acaae48ee9e97f14af7fb2263"/>
      <w:bookmarkEnd w:id="259"/>
      <w:r>
        <w:rPr>
          <w:rFonts w:ascii="Times New Roman;serif" w:hAnsi="Times New Roman;serif"/>
          <w:b w:val="false"/>
          <w:color w:val="000000"/>
          <w:sz w:val="24"/>
        </w:rPr>
        <w:t>(p)</w:t>
      </w:r>
      <w:r>
        <w:rPr>
          <w:rFonts w:ascii="Times New Roman;serif" w:hAnsi="Times New Roman;serif"/>
          <w:b w:val="false"/>
          <w:color w:val="000000"/>
          <w:sz w:val="24"/>
        </w:rPr>
        <w:t>Each Covered Agreement and each Related Agreement is in full force and effect and has not been waived, altered or modified in any respect, whether by consent or otherwise. No party to any Covered Agreement or any Related Agreement has been released, in whole or in part, from any of its obligations under such Covered Agreement or Related Agreement. No Covered Agreement or Related Agreement has been satisfied in full, discharged, canceled, terminated, subordinated or rescinded, in whole or in part. Neither Company nor Parent has (A) given any Covered Agreement Counterparty any notice of termination of a Covered Agreement (whether in whole or in part) or any notice expressing any intention to terminate a Covered Agreement or (B) received any notice of termination of a Covered Agreement (whether in whole or in part) or any notice expressing any intention to terminate a Covered Agreement. To the Knowledge of the Loan Parties, no event has occurred that would give rise to the expiration or termination of, or any party having the right to terminate, a Covered Agreement. Neither Company nor Parent has (A) given the applicable counterparty any notice of termination of a Related Agreement (whether in whole or in part) or any notice expressing any intention to terminate a Related Agreement or (B) received any notice of termination of a Related Agreement (whether in whole or in part) or any notice expressing any intention to terminate a Related Agreement. Each Covered Agreement and each Related Agreement (individually or collectively) is the entire agreement among the parties thereto relating to the subject matter thereof, and there are no other Contracts between Company or Parent (or any predecessor or any Affiliate thereof), on the one hand, and any Covered Agreement Counterparty (or any predecessor or Affiliate thereof), on the other hand, that relate to the Zani Royalties, the LP-Specific Zyme IP or the Licensed Products (including the development or commercialization thereof), or that (with or without the giving of notice or passage of time, or both) would reasonably be expected to result in a Material Adverse Effect. Company has not conveyed, assigned or in any other way transferred all or any portion of its right, title and interest in and to the Zani Royalties, the LP-Specific Zyme IP or any Licensed Product, except as set forth in the Covered Agreements and Related Agreements. There are no Liens on all or any portion of Company’s right, title and interest in and to any Covered Agreement, any Related Agreement, the Zymeworks IP, any Licensed Product or the right to receive Agreed Payments (in each case, other than Permitted Liens). Except as set forth on Schedule 7.01(p), Company has not consented to any assignment, delegation or other transfer by any Covered Agreement Counterparty, any other counterparty or any of their respective predecessors of any of their respective rights or obligations under any Covered Agreement or any Related Agreement, as applicable.</w:t>
      </w:r>
    </w:p>
    <w:p>
      <w:pPr>
        <w:pStyle w:val="TextBody"/>
        <w:bidi w:val="0"/>
        <w:spacing w:lineRule="auto" w:line="240" w:before="0" w:after="240"/>
        <w:ind w:left="0" w:right="0" w:firstLine="1440"/>
        <w:jc w:val="both"/>
        <w:rPr/>
      </w:pPr>
      <w:bookmarkStart w:id="260" w:name="i26b8f33488a042c8a6da83de4e36571c"/>
      <w:bookmarkEnd w:id="260"/>
      <w:r>
        <w:rPr>
          <w:rFonts w:ascii="Times New Roman;serif" w:hAnsi="Times New Roman;serif"/>
          <w:b w:val="false"/>
          <w:color w:val="000000"/>
          <w:sz w:val="24"/>
        </w:rPr>
        <w:t>(q)</w:t>
      </w:r>
      <w:r>
        <w:rPr>
          <w:rFonts w:ascii="Times New Roman;serif" w:hAnsi="Times New Roman;serif"/>
          <w:b w:val="false"/>
          <w:color w:val="000000"/>
          <w:sz w:val="24"/>
        </w:rPr>
        <w:t>To the Knowledge of the Loan Parties, nothing has occurred and no condition exists that would adversely impact the right of Borrower to receive any Agreed Payments.</w:t>
      </w:r>
    </w:p>
    <w:p>
      <w:pPr>
        <w:pStyle w:val="TextBody"/>
        <w:bidi w:val="0"/>
        <w:spacing w:lineRule="auto" w:line="240" w:before="0" w:after="240"/>
        <w:ind w:left="0" w:right="0" w:firstLine="1440"/>
        <w:jc w:val="both"/>
        <w:rPr/>
      </w:pPr>
      <w:bookmarkStart w:id="261" w:name="i3f2b5cc65ccb45bd8b60ca233a6760e3"/>
      <w:bookmarkEnd w:id="261"/>
      <w:r>
        <w:rPr>
          <w:rFonts w:ascii="Times New Roman;serif" w:hAnsi="Times New Roman;serif"/>
          <w:b w:val="false"/>
          <w:color w:val="000000"/>
          <w:sz w:val="24"/>
        </w:rPr>
        <w:t>(r)</w:t>
      </w:r>
      <w:r>
        <w:rPr>
          <w:rFonts w:ascii="Times New Roman;serif" w:hAnsi="Times New Roman;serif"/>
          <w:b w:val="false"/>
          <w:color w:val="000000"/>
          <w:sz w:val="24"/>
        </w:rPr>
        <w:t>To the Knowledge of the Loan Parties, and except as scheduled on Schedule 7.01(r), all payments with respect to the Zani Royalties required to be made under the Covered Agreements have been timely made by the Covered Agreement Counterparty and received by Company in accordance with the terms thereof. Company has timely paid all amounts due under each In-License Agreement in accordance with the terms thereof. No payment of the Zani Royalties has been subject to any claim pursuant to any right of rescission, set-off, counterclaim, reduction or defense (including as a result of a Permitted Royalty Reduction) and the amount of the Zani Royalties is not, as of the date hereof, subject to any such claim (including as a result of a Permitted Royalty Reduction). To the Knowledge of the Loan Parties and except as scheduled on Schedule 7.01(r), no event or condition exists that, upon notice or passage of time or both, would reasonably be expected to permit any Covered Agreement Counterparty to claim, or have the right to claim, a Permitted Royalty Reduction.</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40" w:before="0" w:after="240"/>
        <w:ind w:left="0" w:right="0" w:firstLine="1440"/>
        <w:jc w:val="both"/>
        <w:rPr/>
      </w:pPr>
      <w:bookmarkStart w:id="262" w:name="i0e356eaca2d9403689137616abeaead3"/>
      <w:bookmarkEnd w:id="262"/>
      <w:r>
        <w:rPr>
          <w:rFonts w:ascii="Times New Roman;serif" w:hAnsi="Times New Roman;serif"/>
          <w:b w:val="false"/>
          <w:color w:val="000000"/>
          <w:sz w:val="24"/>
        </w:rPr>
        <w:t>(s)</w:t>
      </w:r>
      <w:r>
        <w:rPr>
          <w:rFonts w:ascii="Times New Roman;serif" w:hAnsi="Times New Roman;serif"/>
          <w:b w:val="false"/>
          <w:color w:val="000000"/>
          <w:sz w:val="24"/>
        </w:rPr>
        <w:t>The execution, delivery and performance of the Covered Agreements and the Related Agreements was and is within the corporate powers or other organizational power of Company and its Affiliates and, to the Knowledge of Borrower, each Covered Agreement Counterparty and each Related Agreement counterparty. Each Covered Agreement and each Related Agreement was duly authorized by all necessary corporate or partnership action on the part of, and validly executed and delivered by, Company and its Affiliates and, to the Knowledge of the Loan Parties, each Covered Agreement Counterparty and each Related Agreement counterparty. Each Covered Agreement and each Related Agreement is legal, valid, binding, enforceable against each party thereto, and will remain in full force and effect. Each Covered Agreement and each Related Agreement will not cease to be legal, valid, binding, enforceable against each party thereto, and in full force and effect on identical terms, immediately following the consummation of the transactions contemplated by this Agreement and the other Transaction Documents or as a result of the consummation of the transactions contemplated by this Agreement and the other Transaction Documents. There is no breach or default, or event which upon notice or the passage of time, or both, could give rise to any breach or default, in the performance of any Covered Agreement or Related Agreement by Company or its Affiliate or, to the Knowledge of the Loan Parties, each Covered Agreement Counterparty and Related Agreement counterparty. No event has occurred that with notice or lapse of time would (i) permit termination of a Covered Agreement or a Related Agreement or (ii) constitute a breach, default, modification or trigger acceleration under or to a Covered Agreement or a Related Agreement that would reasonably be expected (with or without the giving of notice or the passage of time, or both) to result in a Material Adverse Effect. To the Knowledge of the Loan Parties, no party to a Covered Agreement or a Related Agreement has repudiated any provision of a Covered Agreement a Related Agreement, as applicable. Neither Company nor Parent has received any notice in connection with a Covered Agreement or a Related Agreement challenging the validity, enforceability or interpretation of any provision of such agreement or any obligation to pay any portion of the Zani Royalties in accordance with the Covered Agreements.</w:t>
      </w:r>
    </w:p>
    <w:p>
      <w:pPr>
        <w:pStyle w:val="TextBody"/>
        <w:bidi w:val="0"/>
        <w:spacing w:lineRule="auto" w:line="240" w:before="0" w:after="240"/>
        <w:ind w:left="0" w:right="0" w:firstLine="1440"/>
        <w:jc w:val="both"/>
        <w:rPr/>
      </w:pPr>
      <w:bookmarkStart w:id="263" w:name="i1cad8f4ca0d4496bb338ecf6009e2815"/>
      <w:bookmarkEnd w:id="263"/>
      <w:r>
        <w:rPr>
          <w:rFonts w:ascii="Times New Roman;serif" w:hAnsi="Times New Roman;serif"/>
          <w:b w:val="false"/>
          <w:color w:val="000000"/>
          <w:sz w:val="24"/>
        </w:rPr>
        <w:t>(t)</w:t>
      </w:r>
      <w:r>
        <w:rPr>
          <w:rFonts w:ascii="Times New Roman;serif" w:hAnsi="Times New Roman;serif"/>
          <w:b w:val="false"/>
          <w:color w:val="000000"/>
          <w:sz w:val="24"/>
        </w:rPr>
        <w:t>There are no sublicenses entered into by a Covered Agreement Counterparty or any other Person (including any predecessor or Affiliate thereof) in respect of a Covered Agreement Counterparty’s rights and obligations under a Covered Agreement (including under any rights granted therein with respect to the Zymeworks IP) pursuant to which the sublicensee receives a sublicense to commercialize Licensed Products for such sublicensee’s own account (</w:t>
      </w:r>
      <w:r>
        <w:rPr>
          <w:rFonts w:ascii="Times New Roman;serif" w:hAnsi="Times New Roman;serif"/>
          <w:b w:val="false"/>
          <w:i/>
          <w:color w:val="000000"/>
          <w:sz w:val="24"/>
        </w:rPr>
        <w:t xml:space="preserve">i.e. </w:t>
      </w:r>
      <w:r>
        <w:rPr>
          <w:rFonts w:ascii="Times New Roman;serif" w:hAnsi="Times New Roman;serif"/>
          <w:b w:val="false"/>
          <w:color w:val="000000"/>
          <w:sz w:val="24"/>
        </w:rPr>
        <w:t xml:space="preserve">rather than to distribute on behalf of the applicable Counterparty). Neither Company nor Parent has received any notice from a Covered Agreement Counterparty pursuant to Section 2.2(b) of the BeOne Agreement or Section 2.2(b) of the Jazz Agreement, nor have Company or Parent been requested to give consent by or given consent to, nor are Company or Parent in negotiation with, a Covered Agreement Counterparty, pursuant to such provisions with respect to a sublicense described in this </w:t>
      </w:r>
      <w:r>
        <w:rPr>
          <w:rFonts w:ascii="Times New Roman;serif" w:hAnsi="Times New Roman;serif"/>
          <w:b w:val="false"/>
          <w:color w:val="000000"/>
          <w:sz w:val="24"/>
          <w:u w:val="single"/>
        </w:rPr>
        <w:t>Section 7.01(t)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264" w:name="i1f35c71f6a384a24bf6924a1bc31f9ff"/>
      <w:bookmarkEnd w:id="264"/>
      <w:r>
        <w:rPr>
          <w:rFonts w:ascii="Times New Roman;serif" w:hAnsi="Times New Roman;serif"/>
          <w:b w:val="false"/>
          <w:color w:val="000000"/>
          <w:sz w:val="24"/>
        </w:rPr>
        <w:t>(u)</w:t>
      </w:r>
      <w:r>
        <w:rPr>
          <w:rFonts w:ascii="Times New Roman;serif" w:hAnsi="Times New Roman;serif"/>
          <w:b w:val="false"/>
          <w:color w:val="000000"/>
          <w:sz w:val="24"/>
        </w:rPr>
        <w:t>Except as set forth on Schedule 7.01(u), Company has not notified any Covered Agreement Counterparty, any other counterparty or any other Person of, or otherwise made, any claims for indemnification under any Covered Agreement or any Related Agreement, nor has Company received any claims for indemnification under any Covered Agreement or any Related Agreement, whether pursuant to Article 13 of either Covered Agreement, or otherwise.</w:t>
      </w:r>
    </w:p>
    <w:p>
      <w:pPr>
        <w:pStyle w:val="TextBody"/>
        <w:bidi w:val="0"/>
        <w:spacing w:lineRule="auto" w:line="240" w:before="0" w:after="240"/>
        <w:ind w:left="0" w:right="0" w:firstLine="1440"/>
        <w:jc w:val="both"/>
        <w:rPr/>
      </w:pPr>
      <w:bookmarkStart w:id="265" w:name="iedfb96bf3ed541608ea20f4956380787"/>
      <w:bookmarkEnd w:id="265"/>
      <w:r>
        <w:rPr>
          <w:rFonts w:ascii="Times New Roman;serif" w:hAnsi="Times New Roman;serif"/>
          <w:b w:val="false"/>
          <w:color w:val="000000"/>
          <w:sz w:val="24"/>
        </w:rPr>
        <w:t>(v)</w:t>
      </w:r>
      <w:r>
        <w:rPr>
          <w:rFonts w:ascii="Times New Roman;serif" w:hAnsi="Times New Roman;serif"/>
          <w:b w:val="false"/>
          <w:color w:val="000000"/>
          <w:sz w:val="24"/>
        </w:rPr>
        <w:t>None of Borrower nor any Covered Agreement Counterparty has initiated, pursuant to Section 9.10(b) of any Covered Agreement or otherwise, any inspection or audit of books of accounts or other records pertaining to any Licensed Product, Net Sales (as defined in the applicable Covered Agreement), the calculation of royalties or other amounts payable to Company under the Covered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40" w:before="0" w:after="240"/>
        <w:ind w:left="0" w:right="0" w:firstLine="1440"/>
        <w:jc w:val="both"/>
        <w:rPr/>
      </w:pPr>
      <w:bookmarkStart w:id="266" w:name="ic41b18226caf4ef8a6a3adc49d4dc3a4"/>
      <w:bookmarkEnd w:id="266"/>
      <w:r>
        <w:rPr>
          <w:rFonts w:ascii="Times New Roman;serif" w:hAnsi="Times New Roman;serif"/>
          <w:b w:val="false"/>
          <w:color w:val="000000"/>
          <w:sz w:val="24"/>
        </w:rPr>
        <w:t>(w)</w:t>
      </w:r>
      <w:r>
        <w:rPr>
          <w:rFonts w:ascii="Times New Roman;serif" w:hAnsi="Times New Roman;serif"/>
          <w:b w:val="false"/>
          <w:color w:val="000000"/>
          <w:sz w:val="24"/>
        </w:rPr>
        <w:t>As of the date hereof, the parties to each Covered Agreement have established the JSC under each Covered Agreement (as defined in each such Covered Agreement). All such committees have the authority under, and have been operating under the objectives, responsibilities and in the manner provided in, such Covered Agreement, and no material disputes have arisen in connection with any matters subject to the oversight of such committees that would reasonably be expected to have a Materially Adverse Effect.</w:t>
      </w:r>
    </w:p>
    <w:p>
      <w:pPr>
        <w:pStyle w:val="TextBody"/>
        <w:bidi w:val="0"/>
        <w:spacing w:lineRule="auto" w:line="240" w:before="0" w:after="240"/>
        <w:ind w:left="0" w:right="0" w:firstLine="1440"/>
        <w:jc w:val="both"/>
        <w:rPr/>
      </w:pPr>
      <w:bookmarkStart w:id="267" w:name="i88efed01fb624028a9fffeb670ea4541"/>
      <w:bookmarkEnd w:id="267"/>
      <w:r>
        <w:rPr>
          <w:rFonts w:ascii="Times New Roman;serif" w:hAnsi="Times New Roman;serif"/>
          <w:b w:val="false"/>
          <w:color w:val="000000"/>
          <w:sz w:val="24"/>
        </w:rPr>
        <w:t>(x)</w:t>
      </w:r>
      <w:r>
        <w:rPr>
          <w:rFonts w:ascii="Times New Roman;serif" w:hAnsi="Times New Roman;serif"/>
          <w:b w:val="false"/>
          <w:color w:val="000000"/>
          <w:sz w:val="24"/>
        </w:rPr>
        <w:t>No Capital Stock has been issued by Borrower other than the Capital Stock issued to Company and Borrower GP that is subject to the pledge to Administrative Agent under the Pledge Agreement.</w:t>
      </w:r>
    </w:p>
    <w:p>
      <w:pPr>
        <w:pStyle w:val="TextBody"/>
        <w:bidi w:val="0"/>
        <w:spacing w:lineRule="auto" w:line="240" w:before="0" w:after="240"/>
        <w:ind w:left="0" w:right="0" w:firstLine="1440"/>
        <w:jc w:val="both"/>
        <w:rPr/>
      </w:pPr>
      <w:bookmarkStart w:id="268" w:name="i18ff8c9b357040a593875b43b1befb47"/>
      <w:bookmarkEnd w:id="268"/>
      <w:r>
        <w:rPr>
          <w:rFonts w:ascii="Times New Roman;serif" w:hAnsi="Times New Roman;serif"/>
          <w:b w:val="false"/>
          <w:color w:val="000000"/>
          <w:sz w:val="24"/>
        </w:rPr>
        <w:t>(y)</w:t>
      </w:r>
      <w:r>
        <w:rPr>
          <w:rFonts w:ascii="Times New Roman;serif" w:hAnsi="Times New Roman;serif"/>
          <w:b w:val="false"/>
          <w:color w:val="000000"/>
          <w:sz w:val="24"/>
        </w:rPr>
        <w:t>The chief place of business, the chief executive office, the registered office and each office where each Loan Party keeps its records regarding the right to receive the Agreed Payments are, as of the date hereof, each located at, (i) in the case of Borrower, Company and Borrower GP at each of (A) 114 East 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Avenue, Suite 800, Vancouver, BC, V5T 1G4 and (B) 1133 Melville Street, Suite 3500, The Stack, Vancouver, BC, V6E 4E5 and, (ii) in the case of Parent at each of (A) 114 East 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Avenue, Suite 800, Vancouver, BC, V5T 1G4, (B) 108 Patriot Drive, Suite A, Middletown, DE 19709 and (C) c/o The Corporation Trust Company, Corporation Trust Center, 1209 Orange St., Wilmington, DE 19801.</w:t>
      </w:r>
    </w:p>
    <w:p>
      <w:pPr>
        <w:pStyle w:val="TextBody"/>
        <w:bidi w:val="0"/>
        <w:spacing w:lineRule="auto" w:line="240" w:before="0" w:after="240"/>
        <w:ind w:left="0" w:right="0" w:firstLine="1440"/>
        <w:jc w:val="both"/>
        <w:rPr/>
      </w:pPr>
      <w:bookmarkStart w:id="269" w:name="i7c63585aa3374455a31a4e4a5ce0312a"/>
      <w:bookmarkEnd w:id="269"/>
      <w:r>
        <w:rPr>
          <w:rFonts w:ascii="Times New Roman;serif" w:hAnsi="Times New Roman;serif"/>
          <w:b w:val="false"/>
          <w:color w:val="000000"/>
          <w:sz w:val="24"/>
        </w:rPr>
        <w:t>(z)</w:t>
      </w:r>
      <w:r>
        <w:rPr>
          <w:rFonts w:ascii="Times New Roman;serif" w:hAnsi="Times New Roman;serif"/>
          <w:b w:val="false"/>
          <w:color w:val="000000"/>
          <w:sz w:val="24"/>
        </w:rPr>
        <w:t>None of Borrower, Company or Borrower GP (or any predecessor by merger, amalgamation or otherwise) has, within the three (3) year period preceding the date hereof, had a name that differs from its name as of the date hereof.</w:t>
      </w:r>
    </w:p>
    <w:p>
      <w:pPr>
        <w:pStyle w:val="TextBody"/>
        <w:bidi w:val="0"/>
        <w:spacing w:lineRule="auto" w:line="240" w:before="0" w:after="240"/>
        <w:ind w:left="0" w:right="0" w:firstLine="1440"/>
        <w:jc w:val="both"/>
        <w:rPr/>
      </w:pPr>
      <w:bookmarkStart w:id="270" w:name="ic1be43674a534da7b47cd9544554be3c"/>
      <w:bookmarkEnd w:id="270"/>
      <w:r>
        <w:rPr>
          <w:rFonts w:ascii="Times New Roman;serif" w:hAnsi="Times New Roman;serif"/>
          <w:b w:val="false"/>
          <w:color w:val="000000"/>
          <w:sz w:val="24"/>
        </w:rPr>
        <w:t>(aa)</w:t>
      </w:r>
      <w:r>
        <w:rPr>
          <w:rFonts w:ascii="Times New Roman;serif" w:hAnsi="Times New Roman;serif"/>
          <w:b w:val="false"/>
          <w:color w:val="000000"/>
          <w:sz w:val="24"/>
        </w:rPr>
        <w:t>No Loan Party is an “investment company”, or a company “controlled” by an “investment company”, within the meaning of the Investment Company Act of 1940.</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271" w:name="i655b96596ff248edbc93e4132d18a362"/>
      <w:bookmarkEnd w:id="271"/>
      <w:r>
        <w:rPr>
          <w:rFonts w:ascii="Times New Roman;serif" w:hAnsi="Times New Roman;serif"/>
          <w:b w:val="false"/>
          <w:color w:val="000000"/>
          <w:sz w:val="24"/>
        </w:rPr>
        <w:t>(bb) All written information heretofore or herein supplied by or on behalf of the Loan Parties to Administrative Agent or any Lender is accurate and complete in all material respects; provided that all written information heretofore or herein supplied by or on behalf of Borrower to Administrative Agent and produced by any Third Party is accurate and complete in all material respects to the Knowledge of Borrower. There is no fact or circumstance known to the Loan Parties that would reasonably be expected to have a Material Adverse Effect that has not been expressly disclosed to Administrative Agent and each Lender or in required reports and other information filed with the SEC under the Act and the Exchange Act (to the extent publicly available).</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272" w:name="if6bf47245418401898598b7d0befa5fd"/>
      <w:bookmarkEnd w:id="272"/>
      <w:r>
        <w:rPr>
          <w:rFonts w:ascii="Times New Roman;serif" w:hAnsi="Times New Roman;serif"/>
          <w:b w:val="false"/>
          <w:color w:val="000000"/>
          <w:sz w:val="24"/>
        </w:rPr>
        <w:t>(cc) Borrower’s exact legal name is, and since its formation has been, “Zymeworks Royalty Limited Partnership”. Borrower is, and since its formation has been, formed in British Columbia, Canada. Company’s exact legal name is, and for the immediately preceding three (3) years has been, “Zymeworks BC Inc.”. Company is, and for the prior eight (8) years has been, incorporated in British Columbia, Canada.</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273" w:name="i57af6f64515d43a0b17edd9453183bae"/>
      <w:bookmarkEnd w:id="273"/>
      <w:r>
        <w:rPr>
          <w:rFonts w:ascii="Times New Roman;serif" w:hAnsi="Times New Roman;serif"/>
          <w:b w:val="false"/>
          <w:color w:val="000000"/>
          <w:sz w:val="24"/>
        </w:rPr>
        <w:t>(dd) Ziihera® and any products containing the bispecific antibody zanidatamab as the active pharmaceutical ingredient that are owned or controlled by Company or Covered Agreement Counterparty and, with respect only to the Jazz Agreement, are not antibody-drug conjugates and with respect only to the BeOne Agreement, such antibody does not incorporate any amino acid or chemical modifications and expressly excludes the Company’s proprietary antibody, ZW49, constitute Licensed Products under each Covered Agreement. As of the date hereof, Ziihera® is the only Licensed Product that is currently being developed or commercialized under any Covered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40" w:before="0" w:after="240"/>
        <w:ind w:left="0" w:right="0" w:firstLine="1800"/>
        <w:jc w:val="both"/>
        <w:rPr>
          <w:rFonts w:ascii="Times New Roman;serif" w:hAnsi="Times New Roman;serif"/>
          <w:b w:val="false"/>
          <w:color w:val="000000"/>
          <w:sz w:val="24"/>
        </w:rPr>
      </w:pPr>
      <w:bookmarkStart w:id="274" w:name="iabffd9fc518e429a8524fcc80470803b"/>
      <w:bookmarkEnd w:id="274"/>
      <w:r>
        <w:rPr>
          <w:rFonts w:ascii="Times New Roman;serif" w:hAnsi="Times New Roman;serif"/>
          <w:b w:val="false"/>
          <w:color w:val="000000"/>
          <w:sz w:val="24"/>
        </w:rPr>
        <w:t>(ee) Intellectual Property.</w:t>
      </w:r>
    </w:p>
    <w:p>
      <w:pPr>
        <w:pStyle w:val="TextBody"/>
        <w:bidi w:val="0"/>
        <w:spacing w:lineRule="auto" w:line="240" w:before="0" w:after="240"/>
        <w:ind w:left="0" w:right="0" w:firstLine="2160"/>
        <w:jc w:val="both"/>
        <w:rPr/>
      </w:pPr>
      <w:bookmarkStart w:id="275" w:name="i8934ec8a65cb4e74aeb3c53f7a38402a"/>
      <w:bookmarkEnd w:id="275"/>
      <w:r>
        <w:rPr>
          <w:rFonts w:ascii="Times New Roman;serif" w:hAnsi="Times New Roman;serif"/>
          <w:b w:val="false"/>
          <w:color w:val="000000"/>
          <w:sz w:val="24"/>
        </w:rPr>
        <w:t>(i)</w:t>
      </w:r>
      <w:r>
        <w:rPr>
          <w:rFonts w:ascii="Times New Roman;serif" w:hAnsi="Times New Roman;serif"/>
          <w:b w:val="false"/>
          <w:color w:val="000000"/>
          <w:sz w:val="24"/>
        </w:rPr>
        <w:t xml:space="preserve">The issued patents and pending patent applications listed on </w:t>
      </w:r>
      <w:r>
        <w:rPr>
          <w:rFonts w:ascii="Times New Roman;serif" w:hAnsi="Times New Roman;serif"/>
          <w:b w:val="false"/>
          <w:color w:val="000000"/>
          <w:sz w:val="24"/>
          <w:u w:val="single"/>
        </w:rPr>
        <w:t>Schedule 7.01(ee)</w:t>
      </w:r>
      <w:r>
        <w:rPr>
          <w:color w:val="000000"/>
        </w:rPr>
        <w:t xml:space="preserve"> </w:t>
      </w:r>
      <w:r>
        <w:rPr>
          <w:rFonts w:ascii="Times New Roman;serif" w:hAnsi="Times New Roman;serif"/>
          <w:b w:val="false"/>
          <w:color w:val="000000"/>
          <w:sz w:val="24"/>
        </w:rPr>
        <w:t>are referred to in this Agreement as the “</w:t>
      </w:r>
      <w:r>
        <w:rPr>
          <w:rFonts w:ascii="Times New Roman;serif" w:hAnsi="Times New Roman;serif"/>
          <w:b w:val="false"/>
          <w:color w:val="000000"/>
          <w:sz w:val="24"/>
          <w:u w:val="single"/>
        </w:rPr>
        <w:t>Licensed Patents</w:t>
      </w:r>
      <w:r>
        <w:rPr>
          <w:color w:val="000000"/>
        </w:rPr>
        <w:t>”</w:t>
      </w:r>
      <w:r>
        <w:rPr>
          <w:rFonts w:ascii="Times New Roman;serif" w:hAnsi="Times New Roman;serif"/>
          <w:b w:val="false"/>
          <w:color w:val="000000"/>
          <w:sz w:val="24"/>
        </w:rPr>
        <w:t xml:space="preserve">. Other than the patents and patent applications included in the In-License Agreements (as identified on </w:t>
      </w:r>
      <w:r>
        <w:rPr>
          <w:rFonts w:ascii="Times New Roman;serif" w:hAnsi="Times New Roman;serif"/>
          <w:b w:val="false"/>
          <w:color w:val="000000"/>
          <w:sz w:val="24"/>
          <w:u w:val="single"/>
        </w:rPr>
        <w:t>Schedule 7.01(ee)</w:t>
      </w:r>
      <w:r>
        <w:rPr>
          <w:rFonts w:ascii="Times New Roman;serif" w:hAnsi="Times New Roman;serif"/>
          <w:b w:val="false"/>
          <w:color w:val="000000"/>
          <w:sz w:val="24"/>
        </w:rPr>
        <w:t xml:space="preserve">, for which the Company is the non-exclusive licensee), Company is the sole and exclusive owner of all of the owned Licensed Patents, free and clear of all Liens other than Permitted Liens, and has a non-exclusive interest in, all of the in-licensed Licensed Patents, free and clear of all Liens other than Permitted Liens. </w:t>
      </w:r>
      <w:r>
        <w:rPr>
          <w:rFonts w:ascii="Times New Roman;serif" w:hAnsi="Times New Roman;serif"/>
          <w:b w:val="false"/>
          <w:color w:val="000000"/>
          <w:sz w:val="24"/>
          <w:u w:val="single"/>
        </w:rPr>
        <w:t xml:space="preserve">Schedule 7.01(ee) </w:t>
      </w:r>
      <w:r>
        <w:rPr>
          <w:rFonts w:ascii="Times New Roman;serif" w:hAnsi="Times New Roman;serif"/>
          <w:b w:val="false"/>
          <w:color w:val="000000"/>
          <w:sz w:val="24"/>
        </w:rPr>
        <w:t>specifies as to each Licensed Patent the jurisdictions in which each such patent has issued or such patent application has been filed, including the respective patent numbers and application numbers and issue and filing dates, and whether such Licensed Patent constitutes LP-Specific Zyme IP. The Licensed Patents are the only issued patents and patent applications comprising the Zymeworks IP.</w:t>
      </w:r>
    </w:p>
    <w:p>
      <w:pPr>
        <w:pStyle w:val="TextBody"/>
        <w:bidi w:val="0"/>
        <w:spacing w:lineRule="auto" w:line="240" w:before="0" w:after="240"/>
        <w:ind w:left="0" w:right="0" w:firstLine="2160"/>
        <w:jc w:val="both"/>
        <w:rPr/>
      </w:pPr>
      <w:bookmarkStart w:id="276" w:name="i0ac68e03854442ffa9ee2e856d22f092"/>
      <w:bookmarkEnd w:id="276"/>
      <w:r>
        <w:rPr>
          <w:rFonts w:ascii="Times New Roman;serif" w:hAnsi="Times New Roman;serif"/>
          <w:b w:val="false"/>
          <w:color w:val="000000"/>
          <w:sz w:val="24"/>
        </w:rPr>
        <w:t>(ii)</w:t>
      </w:r>
      <w:r>
        <w:rPr>
          <w:rFonts w:ascii="Times New Roman;serif" w:hAnsi="Times New Roman;serif"/>
          <w:b w:val="false"/>
          <w:color w:val="000000"/>
          <w:sz w:val="24"/>
        </w:rPr>
        <w:t>There are no prior, no pending or, to the Knowledge of the Loan Parties, threatened, litigations, interferences, reexamination, reissue, inter partes reviews, post-grant-reviews, oppositions or like proceedings involving the Licensed Patents.</w:t>
      </w:r>
    </w:p>
    <w:p>
      <w:pPr>
        <w:pStyle w:val="TextBody"/>
        <w:bidi w:val="0"/>
        <w:spacing w:lineRule="auto" w:line="240" w:before="0" w:after="240"/>
        <w:ind w:left="0" w:right="0" w:firstLine="2160"/>
        <w:jc w:val="both"/>
        <w:rPr/>
      </w:pPr>
      <w:bookmarkStart w:id="277" w:name="i731988a31f6a447f8817dbd2ae2d21f1"/>
      <w:bookmarkEnd w:id="277"/>
      <w:r>
        <w:rPr>
          <w:rFonts w:ascii="Times New Roman;serif" w:hAnsi="Times New Roman;serif"/>
          <w:b w:val="false"/>
          <w:color w:val="000000"/>
          <w:sz w:val="24"/>
        </w:rPr>
        <w:t>(iii)</w:t>
      </w:r>
      <w:r>
        <w:rPr>
          <w:rFonts w:ascii="Times New Roman;serif" w:hAnsi="Times New Roman;serif"/>
          <w:b w:val="false"/>
          <w:color w:val="000000"/>
          <w:sz w:val="24"/>
        </w:rPr>
        <w:t>Each of the issued patents comprising the Licensed Patents is in full force and effect and has not lapsed, expired or otherwise terminated, and, to the Knowledge of the Loan Parties, is valid and enforceable. Each of the patent applications comprising the Licensed Patents is subsisting and has not lapsed, expired or otherwise terminated. Neither Company nor Parent has received any written notice relating to the lapse, expiration or other termination of any of the Licensed Patents, or any written legal opinion that alleges that any of the Licensed Patents is invalid or unenforceable.</w:t>
      </w:r>
    </w:p>
    <w:p>
      <w:pPr>
        <w:pStyle w:val="TextBody"/>
        <w:bidi w:val="0"/>
        <w:spacing w:lineRule="auto" w:line="240" w:before="0" w:after="240"/>
        <w:ind w:left="0" w:right="0" w:firstLine="2160"/>
        <w:jc w:val="both"/>
        <w:rPr/>
      </w:pPr>
      <w:bookmarkStart w:id="278" w:name="ibc770ba2e67a4076826ad1254b99c3f7"/>
      <w:bookmarkEnd w:id="278"/>
      <w:r>
        <w:rPr>
          <w:rFonts w:ascii="Times New Roman;serif" w:hAnsi="Times New Roman;serif"/>
          <w:b w:val="false"/>
          <w:color w:val="000000"/>
          <w:sz w:val="24"/>
        </w:rPr>
        <w:t>(iv)</w:t>
      </w:r>
      <w:r>
        <w:rPr>
          <w:rFonts w:ascii="Times New Roman;serif" w:hAnsi="Times New Roman;serif"/>
          <w:b w:val="false"/>
          <w:color w:val="000000"/>
          <w:sz w:val="24"/>
        </w:rPr>
        <w:t>Each individual associated with the prosecution of the Licensed Patents, including the named inventors, has complied with all applicable duties of candor and good faith in dealing with any applicable patent office, including any duty to disclose to any patent office all information known by such inventors to be material to the patentability of the Licensed Patents (including any relevant prior art), in each case, in those jurisdictions where such duties exist. There is no Person who is or claims to be an inventor under any of the Licensed Patents who is not a named inventor thereof.</w:t>
      </w:r>
    </w:p>
    <w:p>
      <w:pPr>
        <w:pStyle w:val="TextBody"/>
        <w:bidi w:val="0"/>
        <w:spacing w:lineRule="auto" w:line="240" w:before="0" w:after="240"/>
        <w:ind w:left="0" w:right="0" w:firstLine="2160"/>
        <w:jc w:val="both"/>
        <w:rPr/>
      </w:pPr>
      <w:bookmarkStart w:id="279" w:name="i46933ccb5d1149b2b2a1f8d3335e87c5"/>
      <w:bookmarkEnd w:id="279"/>
      <w:r>
        <w:rPr>
          <w:rFonts w:ascii="Times New Roman;serif" w:hAnsi="Times New Roman;serif"/>
          <w:b w:val="false"/>
          <w:color w:val="000000"/>
          <w:sz w:val="24"/>
        </w:rPr>
        <w:t>(v)</w:t>
      </w:r>
      <w:r>
        <w:rPr>
          <w:rFonts w:ascii="Times New Roman;serif" w:hAnsi="Times New Roman;serif"/>
          <w:b w:val="false"/>
          <w:color w:val="000000"/>
          <w:sz w:val="24"/>
        </w:rPr>
        <w:t>No Loan Party, and, to the Knowledge of the Loan Parties, no Covered Agreement Counterparty has, received any written notice of any claim by any Person challenging the inventorship or ownership of, the rights of Company or such Covered Agreement Counterparty, as applicable, in and to, or the patentability, validity or enforceability of, any Licensed Patent, or asserting that the development, manufacture, commercialization, use, marketing, sale, offer for sale, importation, distribution or other exploitation of the Licensed Products infringes, misappropriates or otherwise violates any patent rights or other intellectual property rights of such Person, or otherwise invites Company or a Covered Agreement Counterparty to license the patent rights or other intellectual property rights of such Person for purposes of developing, making, using, offering to sell, selling, importing or exporting Zanidatamab.</w:t>
      </w:r>
    </w:p>
    <w:p>
      <w:pPr>
        <w:pStyle w:val="TextBody"/>
        <w:bidi w:val="0"/>
        <w:spacing w:lineRule="auto" w:line="240" w:before="0" w:after="240"/>
        <w:ind w:left="0" w:right="0" w:firstLine="2160"/>
        <w:jc w:val="both"/>
        <w:rPr/>
      </w:pPr>
      <w:bookmarkStart w:id="280" w:name="i1d1663b4a4c24333ac3addffcb919768"/>
      <w:bookmarkEnd w:id="280"/>
      <w:r>
        <w:rPr>
          <w:rFonts w:ascii="Times New Roman;serif" w:hAnsi="Times New Roman;serif"/>
          <w:b w:val="false"/>
          <w:color w:val="000000"/>
          <w:sz w:val="24"/>
        </w:rPr>
        <w:t>(vi)</w:t>
      </w:r>
      <w:r>
        <w:rPr>
          <w:rFonts w:ascii="Times New Roman;serif" w:hAnsi="Times New Roman;serif"/>
          <w:b w:val="false"/>
          <w:color w:val="000000"/>
          <w:sz w:val="24"/>
        </w:rPr>
        <w:t xml:space="preserve">To the Knowledge of the Loan Parties, the development, manufacture, importation, commercialization, use, marketing, sale, offer for sale, importation, distribution or other exploitation of the Licensed Products has not infringed, misappropriated or otherwise violated, and does not and will not infringe, misappropriate or otherwise violate, any patent rights or other intellectual property rights owned by any Person. Except as set forth in </w:t>
      </w:r>
      <w:r>
        <w:rPr>
          <w:rFonts w:ascii="Times New Roman;serif" w:hAnsi="Times New Roman;serif"/>
          <w:b w:val="false"/>
          <w:color w:val="000000"/>
          <w:sz w:val="24"/>
          <w:u w:val="single"/>
        </w:rPr>
        <w:t>Schedule 7.01(ee)(vi)</w:t>
      </w:r>
      <w:r>
        <w:rPr>
          <w:rFonts w:ascii="Times New Roman;serif" w:hAnsi="Times New Roman;serif"/>
          <w:b w:val="false"/>
          <w:color w:val="000000"/>
          <w:sz w:val="24"/>
        </w:rPr>
        <w:t xml:space="preserve">, neither Company nor, to the Knowledge of the Loan Parties, any Covered Agreement Counterparty, has in-licensed any patent rights or other intellectual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property rights covering the development, manufacture, commercialization, use, marketing, sale, offer for sale, importation, distribution or other exploitation of the Licensed Products.</w:t>
      </w:r>
    </w:p>
    <w:p>
      <w:pPr>
        <w:pStyle w:val="TextBody"/>
        <w:bidi w:val="0"/>
        <w:spacing w:lineRule="auto" w:line="240" w:before="0" w:after="240"/>
        <w:ind w:left="0" w:right="0" w:firstLine="2160"/>
        <w:jc w:val="both"/>
        <w:rPr/>
      </w:pPr>
      <w:bookmarkStart w:id="281" w:name="i9b66c055d32347f2a3ec883775be658e"/>
      <w:bookmarkEnd w:id="281"/>
      <w:r>
        <w:rPr>
          <w:rFonts w:ascii="Times New Roman;serif" w:hAnsi="Times New Roman;serif"/>
          <w:b w:val="false"/>
          <w:color w:val="000000"/>
          <w:sz w:val="24"/>
        </w:rPr>
        <w:t>(vii)</w:t>
      </w:r>
      <w:r>
        <w:rPr>
          <w:rFonts w:ascii="Times New Roman;serif" w:hAnsi="Times New Roman;serif"/>
          <w:b w:val="false"/>
          <w:color w:val="000000"/>
          <w:sz w:val="24"/>
        </w:rPr>
        <w:t>To the Knowledge of the Loan Parties, no Third Party has infringed, misappropriated or otherwise violated, or is infringing, misappropriating or otherwise violating, any of the Licensed Patents or any other patent rights claiming the composition of matter of, or the method of making or using, the Licensed Products, except as would not reasonably be expected to result in a Material Adverse Effect.</w:t>
      </w:r>
    </w:p>
    <w:p>
      <w:pPr>
        <w:pStyle w:val="TextBody"/>
        <w:bidi w:val="0"/>
        <w:spacing w:lineRule="auto" w:line="240" w:before="0" w:after="240"/>
        <w:ind w:left="0" w:right="0" w:firstLine="2160"/>
        <w:jc w:val="both"/>
        <w:rPr/>
      </w:pPr>
      <w:bookmarkStart w:id="282" w:name="id93a61846a624bb884f32d608bcd5f2b"/>
      <w:bookmarkEnd w:id="282"/>
      <w:r>
        <w:rPr>
          <w:rFonts w:ascii="Times New Roman;serif" w:hAnsi="Times New Roman;serif"/>
          <w:b w:val="false"/>
          <w:color w:val="000000"/>
          <w:sz w:val="24"/>
        </w:rPr>
        <w:t>(viii)</w:t>
      </w:r>
      <w:r>
        <w:rPr>
          <w:rFonts w:ascii="Times New Roman;serif" w:hAnsi="Times New Roman;serif"/>
          <w:b w:val="false"/>
          <w:color w:val="000000"/>
          <w:sz w:val="24"/>
        </w:rPr>
        <w:t>All required maintenance fees, annuities and like payments with respect to the Licensed Patents for which any Loan Party is responsible for maintenance under Section 14.3 of the Jazz Agreement and Section 14.2 of the BeOne Agreement have been paid timely, and (y) to the Knowledge of the Loan Parties, all required maintenance fees, annuities and like payments with respect to all other Licensed Patents have been paid timely.</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283" w:name="i1d5bf8d1c0544a80ac032795c5f49995"/>
      <w:bookmarkEnd w:id="283"/>
      <w:r>
        <w:rPr>
          <w:rFonts w:ascii="Times New Roman;serif" w:hAnsi="Times New Roman;serif"/>
          <w:b w:val="false"/>
          <w:color w:val="000000"/>
          <w:sz w:val="24"/>
        </w:rPr>
        <w:t>(ff) The Borrower has not sponsored, maintained, contributed to, or otherwise incurred liability under any Canadian Defined Benefit Plan.</w:t>
      </w:r>
    </w:p>
    <w:p>
      <w:pPr>
        <w:pStyle w:val="TextBody"/>
        <w:bidi w:val="0"/>
        <w:spacing w:lineRule="auto" w:line="240" w:before="0" w:after="240"/>
        <w:ind w:left="0" w:right="0" w:firstLine="1440"/>
        <w:jc w:val="both"/>
        <w:rPr/>
      </w:pPr>
      <w:bookmarkStart w:id="284" w:name="id273861402a24340943c13fe9fe8983b"/>
      <w:bookmarkEnd w:id="284"/>
      <w:r>
        <w:rPr>
          <w:rFonts w:ascii="Times New Roman;serif" w:hAnsi="Times New Roman;serif"/>
          <w:b w:val="false"/>
          <w:color w:val="000000"/>
          <w:sz w:val="24"/>
        </w:rPr>
        <w:t xml:space="preserve">(gg) There are no agreements to which any Loan Party is a party pursuant to which such Loan Party in-licenses patents or know-how included in the Zymeworks IP that are necessary to exploit the Licensed Products pursuant to the Covered Agreements and are currently in effect other than the In-License Agreements set forth on </w:t>
      </w:r>
      <w:r>
        <w:rPr>
          <w:rFonts w:ascii="Times New Roman;serif" w:hAnsi="Times New Roman;serif"/>
          <w:b w:val="false"/>
          <w:color w:val="000000"/>
          <w:sz w:val="24"/>
          <w:u w:val="single"/>
        </w:rPr>
        <w:t>Schedule 7.01(gg)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bookmarkStart w:id="285" w:name="i1f0a8803b4ae489ba6d2874d9116bf24"/>
      <w:bookmarkEnd w:id="285"/>
      <w:r>
        <w:rPr>
          <w:rFonts w:ascii="Times New Roman;serif" w:hAnsi="Times New Roman;serif"/>
          <w:b w:val="false"/>
          <w:color w:val="000000"/>
          <w:sz w:val="24"/>
        </w:rPr>
        <w:t>(hh) No Loan Party has any obligation to supply, or does, directly or indirectly, supply Zanidatamab to the Covered Agreement Counterparties, other than obligations to supply previously manufactured Zanidatamab to clinical sites for the ZW25-301 study pursuant to Section 7.3(a) of the Jazz Agreement.</w:t>
      </w:r>
    </w:p>
    <w:p>
      <w:pPr>
        <w:pStyle w:val="TextBody"/>
        <w:bidi w:val="0"/>
        <w:spacing w:lineRule="auto" w:line="240" w:before="0" w:after="300"/>
        <w:ind w:left="0" w:right="0" w:firstLine="720"/>
        <w:jc w:val="both"/>
        <w:rPr/>
      </w:pPr>
      <w:bookmarkStart w:id="286" w:name="ib0980e71882a4acebc35788203219c90"/>
      <w:bookmarkEnd w:id="286"/>
      <w:r>
        <w:rPr>
          <w:rFonts w:ascii="Times New Roman;serif" w:hAnsi="Times New Roman;serif"/>
          <w:b w:val="false"/>
          <w:color w:val="000000"/>
          <w:sz w:val="24"/>
        </w:rPr>
        <w:t>Section 7.02</w:t>
      </w:r>
      <w:r>
        <w:rPr>
          <w:rFonts w:ascii="Times New Roman;serif" w:hAnsi="Times New Roman;serif"/>
          <w:b w:val="false"/>
          <w:color w:val="000000"/>
          <w:sz w:val="24"/>
          <w:u w:val="single"/>
        </w:rPr>
        <w:t>Survival of Representations and Warranties</w:t>
      </w:r>
      <w:r>
        <w:rPr>
          <w:rFonts w:ascii="Times New Roman;serif" w:hAnsi="Times New Roman;serif"/>
          <w:b w:val="false"/>
          <w:color w:val="000000"/>
          <w:sz w:val="24"/>
        </w:rPr>
        <w:t>. All representations and warranties by Borrower, whether with respect to Borrower, Company, any respective Affiliate or any asset or property, contained in this Agreement shall survive the execution, delivery and acceptance thereof by the Parties and the closing of the transactions described in this Agreement and continue in effect until payment of all amounts due to the Administrative Agent and the Lenders under the Transaction Documents.</w:t>
      </w:r>
    </w:p>
    <w:p>
      <w:pPr>
        <w:pStyle w:val="TextBody"/>
        <w:bidi w:val="0"/>
        <w:spacing w:lineRule="auto" w:line="240" w:before="0" w:after="240"/>
        <w:jc w:val="center"/>
        <w:rPr/>
      </w:pPr>
      <w:bookmarkStart w:id="287" w:name="iae5718cfbdf646ddac7285132feaf580"/>
      <w:bookmarkEnd w:id="287"/>
      <w:r>
        <w:rPr>
          <w:rFonts w:ascii="Times New Roman;serif" w:hAnsi="Times New Roman;serif"/>
          <w:b/>
          <w:color w:val="000000"/>
          <w:sz w:val="24"/>
        </w:rPr>
        <w:t>Article VIII</w:t>
      </w:r>
      <w:r>
        <w:rPr>
          <w:rFonts w:ascii="Times New Roman;serif" w:hAnsi="Times New Roman;serif"/>
          <w:b/>
          <w:color w:val="000000"/>
          <w:sz w:val="24"/>
        </w:rPr>
        <w:br/>
        <w:t>AFFIRMATIVE COVENANTS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Borrower covenants and agrees with Administrative Agent and the Lenders that, until Payment in Full:</w:t>
      </w:r>
    </w:p>
    <w:p>
      <w:pPr>
        <w:pStyle w:val="TextBody"/>
        <w:bidi w:val="0"/>
        <w:spacing w:lineRule="auto" w:line="240" w:before="0" w:after="0"/>
        <w:ind w:left="0" w:right="0" w:firstLine="720"/>
        <w:jc w:val="both"/>
        <w:rPr/>
      </w:pPr>
      <w:bookmarkStart w:id="288" w:name="i8c6ed99c90fb4ce09a7c91ab0f5365bf"/>
      <w:bookmarkEnd w:id="288"/>
      <w:r>
        <w:rPr>
          <w:rFonts w:ascii="Times New Roman;serif" w:hAnsi="Times New Roman;serif"/>
          <w:b w:val="false"/>
          <w:color w:val="000000"/>
          <w:sz w:val="24"/>
        </w:rPr>
        <w:t>Section 8.01</w:t>
      </w:r>
      <w:r>
        <w:rPr>
          <w:rFonts w:ascii="Times New Roman;serif" w:hAnsi="Times New Roman;serif"/>
          <w:b w:val="false"/>
          <w:color w:val="000000"/>
          <w:sz w:val="24"/>
          <w:u w:val="single"/>
        </w:rPr>
        <w:t>Maintenance of Existence</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Borrower shall at all times (a) preserve, renew and maintain in full force and effect its legal existence (except as otherwise permitted pursuant to </w:t>
      </w:r>
      <w:r>
        <w:rPr>
          <w:rFonts w:ascii="Times New Roman;serif" w:hAnsi="Times New Roman;serif"/>
          <w:b w:val="false"/>
          <w:color w:val="000000"/>
          <w:sz w:val="24"/>
          <w:u w:val="single"/>
        </w:rPr>
        <w:t>Section 9.02(a)</w:t>
      </w:r>
      <w:r>
        <w:rPr>
          <w:color w:val="000000"/>
        </w:rPr>
        <w:t xml:space="preserve"> </w:t>
      </w:r>
      <w:r>
        <w:rPr>
          <w:rFonts w:ascii="Times New Roman;serif" w:hAnsi="Times New Roman;serif"/>
          <w:b w:val="false"/>
          <w:color w:val="000000"/>
          <w:sz w:val="24"/>
        </w:rPr>
        <w:t xml:space="preserve">hereof) as a limited partnership under the Laws of the jurisdiction of its organization; (b) not change its name (including by adding any French name or any combined English/French or French/English name) or its chief executive office or registered office as set forth herein without having given Administrative Agent the notice thereof required under </w:t>
      </w:r>
      <w:r>
        <w:rPr>
          <w:rFonts w:ascii="Times New Roman;serif" w:hAnsi="Times New Roman;serif"/>
          <w:b w:val="false"/>
          <w:color w:val="000000"/>
          <w:sz w:val="24"/>
          <w:u w:val="single"/>
        </w:rPr>
        <w:t>Section 8.13</w:t>
      </w:r>
      <w:r>
        <w:rPr>
          <w:rFonts w:ascii="Times New Roman;serif" w:hAnsi="Times New Roman;serif"/>
          <w:b w:val="false"/>
          <w:color w:val="000000"/>
          <w:sz w:val="24"/>
        </w:rPr>
        <w:t>; and (c) take all reasonable action to maintain all rights, privileges, permits, licenses and franchises necessary or desirable in the normal conduct of its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40" w:before="0" w:after="0"/>
        <w:ind w:left="0" w:right="0" w:firstLine="720"/>
        <w:jc w:val="both"/>
        <w:rPr/>
      </w:pPr>
      <w:bookmarkStart w:id="289" w:name="i2ca94f7ce61f4ac893738f47347a26b2"/>
      <w:bookmarkEnd w:id="289"/>
      <w:r>
        <w:rPr>
          <w:rFonts w:ascii="Times New Roman;serif" w:hAnsi="Times New Roman;serif"/>
          <w:b w:val="false"/>
          <w:color w:val="000000"/>
          <w:sz w:val="24"/>
        </w:rPr>
        <w:t>Section 8.02</w:t>
      </w:r>
      <w:r>
        <w:rPr>
          <w:rFonts w:ascii="Times New Roman;serif" w:hAnsi="Times New Roman;serif"/>
          <w:b w:val="false"/>
          <w:color w:val="000000"/>
          <w:sz w:val="24"/>
          <w:u w:val="single"/>
        </w:rPr>
        <w:t>Use of Proceeds</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Borrower shall use the net proceeds of the Term Loans received by it to acquire assets from Company pursuant to the Sale Agreement.</w:t>
      </w:r>
    </w:p>
    <w:p>
      <w:pPr>
        <w:pStyle w:val="TextBody"/>
        <w:bidi w:val="0"/>
        <w:spacing w:lineRule="auto" w:line="240" w:before="0" w:after="240"/>
        <w:ind w:left="0" w:right="0" w:firstLine="720"/>
        <w:jc w:val="both"/>
        <w:rPr/>
      </w:pPr>
      <w:bookmarkStart w:id="290" w:name="ie4db15292b06472b98a994da6fdc3d26"/>
      <w:bookmarkEnd w:id="290"/>
      <w:r>
        <w:rPr>
          <w:rFonts w:ascii="Times New Roman;serif" w:hAnsi="Times New Roman;serif"/>
          <w:b w:val="false"/>
          <w:color w:val="000000"/>
          <w:sz w:val="24"/>
        </w:rPr>
        <w:t>Section 8.03</w:t>
      </w:r>
      <w:r>
        <w:rPr>
          <w:rFonts w:ascii="Times New Roman;serif" w:hAnsi="Times New Roman;serif"/>
          <w:b w:val="false"/>
          <w:color w:val="000000"/>
          <w:sz w:val="24"/>
          <w:u w:val="single"/>
        </w:rPr>
        <w:t>Financial Statements and Information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291" w:name="ia0b61350ca484ba597b5c3f616cd3b38"/>
      <w:bookmarkEnd w:id="291"/>
      <w:r>
        <w:rPr>
          <w:rFonts w:ascii="Times New Roman;serif" w:hAnsi="Times New Roman;serif"/>
          <w:b w:val="false"/>
          <w:color w:val="000000"/>
          <w:sz w:val="24"/>
        </w:rPr>
        <w:t>(a)</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bookmarkStart w:id="292" w:name="ia7b9c3c0a6b24a26a9f8f22d4074869b"/>
      <w:bookmarkEnd w:id="292"/>
      <w:r>
        <w:rPr>
          <w:rFonts w:ascii="Times New Roman;serif" w:hAnsi="Times New Roman;serif"/>
          <w:b w:val="false"/>
          <w:color w:val="000000"/>
          <w:sz w:val="24"/>
        </w:rPr>
        <w:t>(b)</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bookmarkStart w:id="293" w:name="iff387ee361c04f9f8b048e8449181400"/>
      <w:bookmarkEnd w:id="293"/>
      <w:r>
        <w:rPr>
          <w:rFonts w:ascii="Times New Roman;serif" w:hAnsi="Times New Roman;serif"/>
          <w:b w:val="false"/>
          <w:color w:val="000000"/>
          <w:sz w:val="24"/>
        </w:rPr>
        <w:t>(c)</w:t>
      </w:r>
      <w:r>
        <w:rPr>
          <w:rFonts w:ascii="Times New Roman;serif" w:hAnsi="Times New Roman;serif"/>
          <w:b w:val="false"/>
          <w:color w:val="000000"/>
          <w:sz w:val="24"/>
        </w:rPr>
        <w:t>Borrower shall, promptly upon receipt thereof, forward or cause to be forwarded to Administrative Agent copies of all notices, reports, updates and other data or information in accordance with Section 4.01 of the Sale Agreement.</w:t>
      </w:r>
    </w:p>
    <w:p>
      <w:pPr>
        <w:pStyle w:val="TextBody"/>
        <w:bidi w:val="0"/>
        <w:spacing w:lineRule="auto" w:line="240" w:before="0" w:after="240"/>
        <w:ind w:left="0" w:right="0" w:firstLine="1440"/>
        <w:jc w:val="both"/>
        <w:rPr/>
      </w:pPr>
      <w:bookmarkStart w:id="294" w:name="i00d78475bae146ac93707fbeec4319fe"/>
      <w:bookmarkEnd w:id="294"/>
      <w:r>
        <w:rPr>
          <w:rFonts w:ascii="Times New Roman;serif" w:hAnsi="Times New Roman;serif"/>
          <w:b w:val="false"/>
          <w:color w:val="000000"/>
          <w:sz w:val="24"/>
        </w:rPr>
        <w:t>(d)</w:t>
      </w:r>
      <w:r>
        <w:rPr>
          <w:rFonts w:ascii="Times New Roman;serif" w:hAnsi="Times New Roman;serif"/>
          <w:b w:val="false"/>
          <w:color w:val="000000"/>
          <w:sz w:val="24"/>
        </w:rPr>
        <w:t>Borrower shall, within [***] following receipt thereof, deliver or cause to be delivered to Administrative Agent (i) a true copy of each Agreed Report when received, together with a certificate of a Senior Officer of Borrower, certifying that to the Knowledge of Borrower such Agreed Report is a true, correct and complete copy of such Agreed Report as provided to Company by the applicable Covered Agreement Counterparty, (ii) copies of all JSC meeting minutes, materials and notices received or sent under the Covered Agreements that would reasonably be expected to be material to an owner of all or any portion of the Zani Royalties, and (iii) such additional information as is reasonably requested by Administrative Agent in respect of the Zani Royalties, the Licensed Products or Zymeworks IP.</w:t>
      </w:r>
    </w:p>
    <w:p>
      <w:pPr>
        <w:pStyle w:val="TextBody"/>
        <w:bidi w:val="0"/>
        <w:spacing w:lineRule="auto" w:line="240" w:before="0" w:after="240"/>
        <w:ind w:left="0" w:right="0" w:firstLine="1440"/>
        <w:jc w:val="both"/>
        <w:rPr/>
      </w:pPr>
      <w:bookmarkStart w:id="295" w:name="i0fa17ff3e5674a51a1cf4a53e3a4d1d5"/>
      <w:bookmarkEnd w:id="295"/>
      <w:r>
        <w:rPr>
          <w:rFonts w:ascii="Times New Roman;serif" w:hAnsi="Times New Roman;serif"/>
          <w:b w:val="false"/>
          <w:color w:val="000000"/>
          <w:sz w:val="24"/>
        </w:rPr>
        <w:t>(e)</w:t>
      </w:r>
      <w:r>
        <w:rPr>
          <w:rFonts w:ascii="Times New Roman;serif" w:hAnsi="Times New Roman;serif"/>
          <w:b w:val="false"/>
          <w:color w:val="000000"/>
          <w:sz w:val="24"/>
        </w:rPr>
        <w:t>Administrative Agent and its Representatives shall have the right, from time to time, not more than once per calendar quarter, during normal business hours and upon at least [***] prior written notice to Borrower (provided that, after the occurrence and during the continuance of an Event of Default, Administrative Agent shall have the right, as often, at such times and with such prior notice, as Administrative Agent determines in its reasonable discretion), to visit the offices and properties of Borrower, Parent and Company where books and records relating or pertaining to the Zani Royalties and the Collateral are kept and maintained (or, at Administrative Agent’s option, to conduct a meeting by telecommunications), to discuss, with officers of Borrower, Parent and Company, the business, operations, properties and financial and other condition of Borrower, Parent and Company, to discuss the Covered Agreements and the Licensed Products, to discuss the Agreed Reports, to verify compliance with the provisions of the Loan Documents regarding receipt and application of the Agreed Payments and, upon physical visits, to inspect and make extracts from and copies of the books and records of Borrower, Parent and Company relating or pertaining to the Zani Royalties and the Collateral.</w:t>
      </w:r>
    </w:p>
    <w:p>
      <w:pPr>
        <w:pStyle w:val="TextBody"/>
        <w:bidi w:val="0"/>
        <w:spacing w:lineRule="auto" w:line="240" w:before="0" w:after="240"/>
        <w:ind w:left="0" w:right="0" w:firstLine="1440"/>
        <w:jc w:val="both"/>
        <w:rPr/>
      </w:pPr>
      <w:bookmarkStart w:id="296" w:name="i9f01f411afca4aac863419b65a349988"/>
      <w:bookmarkEnd w:id="296"/>
      <w:r>
        <w:rPr>
          <w:rFonts w:ascii="Times New Roman;serif" w:hAnsi="Times New Roman;serif"/>
          <w:b w:val="false"/>
          <w:color w:val="000000"/>
          <w:sz w:val="24"/>
        </w:rPr>
        <w:t>(f)</w:t>
      </w:r>
      <w:r>
        <w:rPr>
          <w:rFonts w:ascii="Times New Roman;serif" w:hAnsi="Times New Roman;serif"/>
          <w:b w:val="false"/>
          <w:color w:val="000000"/>
          <w:sz w:val="24"/>
        </w:rPr>
        <w:t xml:space="preserve">All written information supplied by or on behalf of Borrower to Administrative Agent and the Lenders pursuant to this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shall be accurate and complete in all material respects as of its date or the date so supplied. For the avoidance of doubt, Borrower makes no representations or warranties regarding the accuracy or completeness of any information it receives from a Third Party that it is required to furnish to Administrative Agent or Lenders pursuant to this </w:t>
      </w:r>
      <w:r>
        <w:rPr>
          <w:rFonts w:ascii="Times New Roman;serif" w:hAnsi="Times New Roman;serif"/>
          <w:b w:val="false"/>
          <w:color w:val="000000"/>
          <w:sz w:val="24"/>
          <w:u w:val="single"/>
        </w:rPr>
        <w:t>Section 8.03</w:t>
      </w:r>
      <w:r>
        <w:rPr>
          <w:rFonts w:ascii="Times New Roman;serif" w:hAnsi="Times New Roman;serif"/>
          <w:b w:val="false"/>
          <w:color w:val="000000"/>
          <w:sz w:val="24"/>
        </w:rPr>
        <w:t>, unless to the Knowledge of Borrower or Parent such information is inaccurate or incomplete, in which case Borrower or Parent shall specify such inaccuracy or incompleteness.</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40" w:before="0" w:after="0"/>
        <w:ind w:left="0" w:right="0" w:firstLine="720"/>
        <w:jc w:val="both"/>
        <w:rPr/>
      </w:pPr>
      <w:bookmarkStart w:id="297" w:name="i46d771ca1873479aaf3a96e98b8fcae2"/>
      <w:bookmarkEnd w:id="297"/>
      <w:r>
        <w:rPr>
          <w:rFonts w:ascii="Times New Roman;serif" w:hAnsi="Times New Roman;serif"/>
          <w:b w:val="false"/>
          <w:color w:val="000000"/>
          <w:sz w:val="24"/>
        </w:rPr>
        <w:t>Section 8.04</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Borrower shall keep proper books, records and accounts in which entries in conformity with sound business practices and all requirements of Law applicable to it shall be made of all dealings and transactions in relation to its business, assets and activities and as shall permit the preparation of the consolidated financial statements of Borrower in accordance with GAAP.</w:t>
      </w:r>
    </w:p>
    <w:p>
      <w:pPr>
        <w:pStyle w:val="TextBody"/>
        <w:bidi w:val="0"/>
        <w:spacing w:lineRule="auto" w:line="240" w:before="0" w:after="0"/>
        <w:ind w:left="0" w:right="0" w:firstLine="720"/>
        <w:jc w:val="both"/>
        <w:rPr/>
      </w:pPr>
      <w:bookmarkStart w:id="298" w:name="i2852476812384e419f8ecbead9b40de3"/>
      <w:bookmarkEnd w:id="298"/>
      <w:r>
        <w:rPr>
          <w:rFonts w:ascii="Times New Roman;serif" w:hAnsi="Times New Roman;serif"/>
          <w:b w:val="false"/>
          <w:color w:val="000000"/>
          <w:sz w:val="24"/>
        </w:rPr>
        <w:t>Section 8.05</w:t>
      </w:r>
      <w:r>
        <w:rPr>
          <w:rFonts w:ascii="Times New Roman;serif" w:hAnsi="Times New Roman;serif"/>
          <w:b w:val="false"/>
          <w:color w:val="000000"/>
          <w:sz w:val="24"/>
          <w:u w:val="single"/>
        </w:rPr>
        <w:t>Governmental Authorizations</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Borrower shall obtain, make and keep in full force and effect all authorizations from and registrations with Governmental Authorities that may be required for the validity or enforceability against Borrower of this Agreement and the other Loan Documents to which it is a party.</w:t>
      </w:r>
    </w:p>
    <w:p>
      <w:pPr>
        <w:pStyle w:val="TextBody"/>
        <w:bidi w:val="0"/>
        <w:spacing w:lineRule="auto" w:line="240" w:before="0" w:after="0"/>
        <w:ind w:left="0" w:right="0" w:firstLine="720"/>
        <w:jc w:val="both"/>
        <w:rPr/>
      </w:pPr>
      <w:bookmarkStart w:id="299" w:name="ifc4c74e54cf74d30a0a250301d8b301d"/>
      <w:bookmarkEnd w:id="299"/>
      <w:r>
        <w:rPr>
          <w:rFonts w:ascii="Times New Roman;serif" w:hAnsi="Times New Roman;serif"/>
          <w:b w:val="false"/>
          <w:color w:val="000000"/>
          <w:sz w:val="24"/>
        </w:rPr>
        <w:t>Section 8.06</w:t>
      </w:r>
      <w:r>
        <w:rPr>
          <w:rFonts w:ascii="Times New Roman;serif" w:hAnsi="Times New Roman;serif"/>
          <w:b w:val="false"/>
          <w:color w:val="000000"/>
          <w:sz w:val="24"/>
          <w:u w:val="single"/>
        </w:rPr>
        <w:t>Compliance with Laws and Contracts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00" w:name="i05b7482a64e54feaa56b0aefa8adca9b"/>
      <w:bookmarkEnd w:id="300"/>
      <w:r>
        <w:rPr>
          <w:rFonts w:ascii="Times New Roman;serif" w:hAnsi="Times New Roman;serif"/>
          <w:b w:val="false"/>
          <w:color w:val="000000"/>
          <w:sz w:val="24"/>
        </w:rPr>
        <w:t>(a)</w:t>
      </w:r>
      <w:r>
        <w:rPr>
          <w:rFonts w:ascii="Times New Roman;serif" w:hAnsi="Times New Roman;serif"/>
          <w:b w:val="false"/>
          <w:color w:val="000000"/>
          <w:sz w:val="24"/>
        </w:rPr>
        <w:t>Borrower shall comply with all Applicable Laws, except where the failure to comply could not reasonably be expected to result in a Material Adverse Effect.</w:t>
      </w:r>
    </w:p>
    <w:p>
      <w:pPr>
        <w:pStyle w:val="TextBody"/>
        <w:bidi w:val="0"/>
        <w:spacing w:lineRule="auto" w:line="240" w:before="0" w:after="240"/>
        <w:ind w:left="0" w:right="0" w:firstLine="1440"/>
        <w:jc w:val="both"/>
        <w:rPr/>
      </w:pPr>
      <w:bookmarkStart w:id="301" w:name="i62f4df4e3ea34ead95d15f0c0c5d3e0e"/>
      <w:bookmarkEnd w:id="301"/>
      <w:r>
        <w:rPr>
          <w:rFonts w:ascii="Times New Roman;serif" w:hAnsi="Times New Roman;serif"/>
          <w:b w:val="false"/>
          <w:color w:val="000000"/>
          <w:sz w:val="24"/>
        </w:rPr>
        <w:t>(b)</w:t>
      </w:r>
      <w:r>
        <w:rPr>
          <w:rFonts w:ascii="Times New Roman;serif" w:hAnsi="Times New Roman;serif"/>
          <w:b w:val="false"/>
          <w:color w:val="000000"/>
          <w:sz w:val="24"/>
        </w:rPr>
        <w:t>Borrower shall at all times comply with the margin requirements set forth in Section 7 of the Exchange Act and any regulations issued pursuant thereto, including, without limitation, Regulations T, U and X of the Board of Governors of the Federal Reserve System, 12 C.F.R., Chapter II.</w:t>
      </w:r>
    </w:p>
    <w:p>
      <w:pPr>
        <w:pStyle w:val="TextBody"/>
        <w:bidi w:val="0"/>
        <w:spacing w:lineRule="auto" w:line="240" w:before="0" w:after="0"/>
        <w:ind w:left="0" w:right="0" w:firstLine="720"/>
        <w:jc w:val="both"/>
        <w:rPr/>
      </w:pPr>
      <w:bookmarkStart w:id="302" w:name="i935bc1abe42b4f69a6bda8adcb1707f5"/>
      <w:bookmarkEnd w:id="302"/>
      <w:r>
        <w:rPr>
          <w:rFonts w:ascii="Times New Roman;serif" w:hAnsi="Times New Roman;serif"/>
          <w:b w:val="false"/>
          <w:color w:val="000000"/>
          <w:sz w:val="24"/>
        </w:rPr>
        <w:t>Section 8.07</w:t>
      </w:r>
      <w:r>
        <w:rPr>
          <w:rFonts w:ascii="Times New Roman;serif" w:hAnsi="Times New Roman;serif"/>
          <w:b w:val="false"/>
          <w:color w:val="000000"/>
          <w:sz w:val="24"/>
          <w:u w:val="single"/>
        </w:rPr>
        <w:t>Plan Assets</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Borrower shall not take any action that causes its assets to be deemed to be Plan Assets at any time.</w:t>
      </w:r>
    </w:p>
    <w:p>
      <w:pPr>
        <w:pStyle w:val="TextBody"/>
        <w:bidi w:val="0"/>
        <w:spacing w:lineRule="auto" w:line="240" w:before="0" w:after="0"/>
        <w:ind w:left="0" w:right="0" w:firstLine="720"/>
        <w:jc w:val="both"/>
        <w:rPr/>
      </w:pPr>
      <w:bookmarkStart w:id="303" w:name="i922de3da6a844564aba2616487654f1b"/>
      <w:bookmarkEnd w:id="303"/>
      <w:r>
        <w:rPr>
          <w:rFonts w:ascii="Times New Roman;serif" w:hAnsi="Times New Roman;serif"/>
          <w:b w:val="false"/>
          <w:color w:val="000000"/>
          <w:sz w:val="24"/>
        </w:rPr>
        <w:t>Section 8.08</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Borrower shall give written Notice to Administrative Agent:</w:t>
      </w:r>
    </w:p>
    <w:p>
      <w:pPr>
        <w:pStyle w:val="TextBody"/>
        <w:bidi w:val="0"/>
        <w:spacing w:lineRule="auto" w:line="240" w:before="0" w:after="240"/>
        <w:ind w:left="0" w:right="0" w:firstLine="1440"/>
        <w:jc w:val="both"/>
        <w:rPr/>
      </w:pPr>
      <w:bookmarkStart w:id="304" w:name="i73b808b3dad24299b8d833f76741cc30"/>
      <w:bookmarkEnd w:id="304"/>
      <w:r>
        <w:rPr>
          <w:rFonts w:ascii="Times New Roman;serif" w:hAnsi="Times New Roman;serif"/>
          <w:b w:val="false"/>
          <w:color w:val="000000"/>
          <w:sz w:val="24"/>
        </w:rPr>
        <w:t>(a)</w:t>
      </w:r>
      <w:r>
        <w:rPr>
          <w:rFonts w:ascii="Times New Roman;serif" w:hAnsi="Times New Roman;serif"/>
          <w:b w:val="false"/>
          <w:color w:val="000000"/>
          <w:sz w:val="24"/>
        </w:rPr>
        <w:t>within [***] of obtaining Knowledge thereof of each Default, Event of Default and each other event that has or would reasonably be expected to have a Material Adverse Effect;</w:t>
      </w:r>
    </w:p>
    <w:p>
      <w:pPr>
        <w:pStyle w:val="TextBody"/>
        <w:bidi w:val="0"/>
        <w:spacing w:lineRule="auto" w:line="240" w:before="0" w:after="240"/>
        <w:ind w:left="0" w:right="0" w:firstLine="1440"/>
        <w:jc w:val="both"/>
        <w:rPr/>
      </w:pPr>
      <w:bookmarkStart w:id="305" w:name="i2b46a506b0254f4dbe7f295edd687506"/>
      <w:bookmarkEnd w:id="305"/>
      <w:r>
        <w:rPr>
          <w:rFonts w:ascii="Times New Roman;serif" w:hAnsi="Times New Roman;serif"/>
          <w:b w:val="false"/>
          <w:color w:val="000000"/>
          <w:sz w:val="24"/>
        </w:rPr>
        <w:t>(b)</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bookmarkStart w:id="306" w:name="i18a3c0d87c5c42f1bc5d7000d2075481"/>
      <w:bookmarkEnd w:id="306"/>
      <w:r>
        <w:rPr>
          <w:rFonts w:ascii="Times New Roman;serif" w:hAnsi="Times New Roman;serif"/>
          <w:b w:val="false"/>
          <w:color w:val="000000"/>
          <w:sz w:val="24"/>
        </w:rPr>
        <w:t>(c)</w:t>
      </w:r>
      <w:r>
        <w:rPr>
          <w:rFonts w:ascii="Times New Roman;serif" w:hAnsi="Times New Roman;serif"/>
          <w:b w:val="false"/>
          <w:color w:val="000000"/>
          <w:sz w:val="24"/>
        </w:rPr>
        <w:t>within [***] of obtaining Knowledge thereof, any litigation or proceedings to which Borrower is a party or which would reasonably be expected to have a Material Adverse Effect;</w:t>
      </w:r>
    </w:p>
    <w:p>
      <w:pPr>
        <w:pStyle w:val="TextBody"/>
        <w:bidi w:val="0"/>
        <w:spacing w:lineRule="auto" w:line="240" w:before="0" w:after="240"/>
        <w:ind w:left="0" w:right="0" w:firstLine="1440"/>
        <w:jc w:val="both"/>
        <w:rPr/>
      </w:pPr>
      <w:bookmarkStart w:id="307" w:name="ib92278c874f746699a97b857880db81e"/>
      <w:bookmarkEnd w:id="307"/>
      <w:r>
        <w:rPr>
          <w:rFonts w:ascii="Times New Roman;serif" w:hAnsi="Times New Roman;serif"/>
          <w:b w:val="false"/>
          <w:color w:val="000000"/>
          <w:sz w:val="24"/>
        </w:rPr>
        <w:t>(d)</w:t>
      </w:r>
      <w:r>
        <w:rPr>
          <w:rFonts w:ascii="Times New Roman;serif" w:hAnsi="Times New Roman;serif"/>
          <w:b w:val="false"/>
          <w:color w:val="000000"/>
          <w:sz w:val="24"/>
        </w:rPr>
        <w:t>within [***] of obtaining Knowledge thereof, any litigation or proceedings challenging the validity of any Covered Agreement or otherwise related to a Covered Agreement, the Transaction Documents or any of the transactions contemplated therein;</w:t>
      </w:r>
    </w:p>
    <w:p>
      <w:pPr>
        <w:pStyle w:val="TextBody"/>
        <w:bidi w:val="0"/>
        <w:spacing w:lineRule="auto" w:line="240" w:before="0" w:after="240"/>
        <w:ind w:left="0" w:right="0" w:firstLine="1440"/>
        <w:jc w:val="both"/>
        <w:rPr/>
      </w:pPr>
      <w:bookmarkStart w:id="308" w:name="i55cc28fb71034e23bded7bc1c23fecda"/>
      <w:bookmarkEnd w:id="308"/>
      <w:r>
        <w:rPr>
          <w:rFonts w:ascii="Times New Roman;serif" w:hAnsi="Times New Roman;serif"/>
          <w:b w:val="false"/>
          <w:color w:val="000000"/>
          <w:sz w:val="24"/>
        </w:rPr>
        <w:t>(e)</w:t>
      </w:r>
      <w:r>
        <w:rPr>
          <w:rFonts w:ascii="Times New Roman;serif" w:hAnsi="Times New Roman;serif"/>
          <w:b w:val="false"/>
          <w:color w:val="000000"/>
          <w:sz w:val="24"/>
        </w:rPr>
        <w:t xml:space="preserve">within [***] of obtaining Knowledge thereof, any representation or warranty made or deemed made by Borrower in any of the Loan Documents or in any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certificate delivered to Administrative Agent pursuant hereto shall prove to be untrue, inaccurate or incomplete in any material respect on the date as of which made or deemed made;</w:t>
      </w:r>
    </w:p>
    <w:p>
      <w:pPr>
        <w:pStyle w:val="TextBody"/>
        <w:bidi w:val="0"/>
        <w:spacing w:lineRule="auto" w:line="240" w:before="0" w:after="240"/>
        <w:ind w:left="0" w:right="0" w:firstLine="1440"/>
        <w:jc w:val="both"/>
        <w:rPr/>
      </w:pPr>
      <w:bookmarkStart w:id="309" w:name="ic3f34bb12baf46948f24cd0af8e1fc2f"/>
      <w:bookmarkEnd w:id="309"/>
      <w:r>
        <w:rPr>
          <w:rFonts w:ascii="Times New Roman;serif" w:hAnsi="Times New Roman;serif"/>
          <w:b w:val="false"/>
          <w:color w:val="000000"/>
          <w:sz w:val="24"/>
        </w:rPr>
        <w:t>(f)</w:t>
      </w:r>
      <w:r>
        <w:rPr>
          <w:rFonts w:ascii="Times New Roman;serif" w:hAnsi="Times New Roman;serif"/>
          <w:b w:val="false"/>
          <w:color w:val="000000"/>
          <w:sz w:val="24"/>
        </w:rPr>
        <w:t>within [***] of obtaining Knowledge thereof, the occurrence of any Material Adverse Effect; and</w:t>
      </w:r>
    </w:p>
    <w:p>
      <w:pPr>
        <w:pStyle w:val="TextBody"/>
        <w:bidi w:val="0"/>
        <w:spacing w:lineRule="auto" w:line="240" w:before="0" w:after="240"/>
        <w:ind w:left="0" w:right="0" w:firstLine="1440"/>
        <w:jc w:val="both"/>
        <w:rPr/>
      </w:pPr>
      <w:bookmarkStart w:id="310" w:name="i062c7756d0854925bd0d05f7e44f02bc"/>
      <w:bookmarkEnd w:id="310"/>
      <w:r>
        <w:rPr>
          <w:rFonts w:ascii="Times New Roman;serif" w:hAnsi="Times New Roman;serif"/>
          <w:b w:val="false"/>
          <w:color w:val="000000"/>
          <w:sz w:val="24"/>
        </w:rPr>
        <w:t>(g)</w:t>
      </w:r>
      <w:r>
        <w:rPr>
          <w:rFonts w:ascii="Times New Roman;serif" w:hAnsi="Times New Roman;serif"/>
          <w:b w:val="false"/>
          <w:color w:val="000000"/>
          <w:sz w:val="24"/>
        </w:rPr>
        <w:t>within [***] following the receipt of any written notice from a Covered Agreement Counterparty of an event which has had, or would reasonably be expected to have, individually or in the aggregate, a Material Adverse Effect, and such Notice to Administrative Agent shall include a copy of such notice together with a summary of Company’s or Borrower’s intended response to such Covered Agreement Counterparty.</w:t>
      </w:r>
    </w:p>
    <w:p>
      <w:pPr>
        <w:pStyle w:val="TextBody"/>
        <w:bidi w:val="0"/>
        <w:spacing w:lineRule="auto" w:line="240" w:before="0" w:after="0"/>
        <w:ind w:left="0" w:right="0" w:firstLine="720"/>
        <w:jc w:val="both"/>
        <w:rPr/>
      </w:pPr>
      <w:bookmarkStart w:id="311" w:name="iebae181707964ea89dd8dd771b278b65"/>
      <w:bookmarkEnd w:id="311"/>
      <w:r>
        <w:rPr>
          <w:rFonts w:ascii="Times New Roman;serif" w:hAnsi="Times New Roman;serif"/>
          <w:b w:val="false"/>
          <w:color w:val="000000"/>
          <w:sz w:val="24"/>
        </w:rPr>
        <w:t>Section 8.09</w:t>
      </w:r>
      <w:r>
        <w:rPr>
          <w:rFonts w:ascii="Times New Roman;serif" w:hAnsi="Times New Roman;serif"/>
          <w:b w:val="false"/>
          <w:color w:val="000000"/>
          <w:sz w:val="24"/>
          <w:u w:val="single"/>
        </w:rPr>
        <w:t>Payment of Taxes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Borrower shall timely file all required income and other material Tax returns and reports or extensions therefor, and timely pay all material Taxes imposed on or in respect of Borrower’s income or assets that are due and payable and before any Lien on any of its assets exists as a result of nonpayment except as provided in </w:t>
      </w:r>
      <w:r>
        <w:rPr>
          <w:rFonts w:ascii="Times New Roman;serif" w:hAnsi="Times New Roman;serif"/>
          <w:b w:val="false"/>
          <w:color w:val="000000"/>
          <w:sz w:val="24"/>
          <w:u w:val="single"/>
        </w:rPr>
        <w:t>Section 9.03</w:t>
      </w:r>
      <w:r>
        <w:rPr>
          <w:color w:val="000000"/>
        </w:rPr>
        <w:t xml:space="preserve"> </w:t>
      </w:r>
      <w:r>
        <w:rPr>
          <w:rFonts w:ascii="Times New Roman;serif" w:hAnsi="Times New Roman;serif"/>
          <w:b w:val="false"/>
          <w:color w:val="000000"/>
          <w:sz w:val="24"/>
        </w:rPr>
        <w:t>hereof and except for Taxes contested in good faith by appropriate proceedings and for which adequate reserves are maintained in accordance with GAAP.</w:t>
      </w:r>
    </w:p>
    <w:p>
      <w:pPr>
        <w:pStyle w:val="TextBody"/>
        <w:bidi w:val="0"/>
        <w:spacing w:lineRule="auto" w:line="240" w:before="0" w:after="0"/>
        <w:ind w:left="0" w:right="0" w:firstLine="720"/>
        <w:jc w:val="both"/>
        <w:rPr/>
      </w:pPr>
      <w:bookmarkStart w:id="312" w:name="ie1f3a7b8f2c94d3992a30f6c61fdf262"/>
      <w:bookmarkEnd w:id="312"/>
      <w:r>
        <w:rPr>
          <w:rFonts w:ascii="Times New Roman;serif" w:hAnsi="Times New Roman;serif"/>
          <w:b w:val="false"/>
          <w:color w:val="000000"/>
          <w:sz w:val="24"/>
        </w:rPr>
        <w:t>Section 8.10</w:t>
      </w:r>
      <w:r>
        <w:rPr>
          <w:rFonts w:ascii="Times New Roman;serif" w:hAnsi="Times New Roman;serif"/>
          <w:b w:val="false"/>
          <w:color w:val="000000"/>
          <w:sz w:val="24"/>
          <w:u w:val="single"/>
        </w:rPr>
        <w:t>Waiver of Stay, Extension or Usury Laws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Agreement or the other Loan Documents, if at any time the rate of interest payable by any Person under the Loan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 Lender under this Agreement and the other Loan Documents exceed the amount which such Lender could lawfully have received, had the interest due been calculated from the Closing Date at the Maximum Lawful Rate. Without limiting the foregoing, Borrower will not at any time, to the extent that it may lawfully not do so, insist upon, or plead, or in any manner whatsoever claim or take the benefit or advantage of, any stay or extension law or other law that would prohibit or forgive Borrower from paying all or any portion of the principal of or premium, if any, or interest on the Term Loans as contemplated herein, wherever enacted, now or at any time hereafter in force, or that may affect the covenants or the performance of this Agreement; and, to the extent that it may lawfully do so, Borrower hereby expressly waives all benefit or advantage of any such law and expressly agrees that it will not hinder, delay or impede the execution of any power herein granted to the Lenders, but will suffer and permit the execution of every such power as though no such law had been enacted.</w:t>
      </w:r>
    </w:p>
    <w:p>
      <w:pPr>
        <w:pStyle w:val="TextBody"/>
        <w:bidi w:val="0"/>
        <w:spacing w:lineRule="auto" w:line="240" w:before="0" w:after="0"/>
        <w:ind w:left="0" w:right="0" w:firstLine="720"/>
        <w:jc w:val="both"/>
        <w:rPr/>
      </w:pPr>
      <w:bookmarkStart w:id="313" w:name="i3499c6011d154ec0917f181600cc6821"/>
      <w:bookmarkEnd w:id="313"/>
      <w:r>
        <w:rPr>
          <w:rFonts w:ascii="Times New Roman;serif" w:hAnsi="Times New Roman;serif"/>
          <w:b w:val="false"/>
          <w:color w:val="000000"/>
          <w:sz w:val="24"/>
        </w:rPr>
        <w:t>Section 8.11</w:t>
      </w:r>
      <w:r>
        <w:rPr>
          <w:rFonts w:ascii="Times New Roman;serif" w:hAnsi="Times New Roman;serif"/>
          <w:b w:val="false"/>
          <w:color w:val="000000"/>
          <w:sz w:val="24"/>
        </w:rPr>
        <w:t>[</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bookmarkStart w:id="314" w:name="i305ebab913174d2aaa3d6d8825a7e8b9"/>
      <w:bookmarkEnd w:id="314"/>
      <w:r>
        <w:rPr>
          <w:rFonts w:ascii="Times New Roman;serif" w:hAnsi="Times New Roman;serif"/>
          <w:b w:val="false"/>
          <w:color w:val="000000"/>
          <w:sz w:val="24"/>
        </w:rPr>
        <w:t>Section 8.12</w:t>
      </w:r>
      <w:r>
        <w:rPr>
          <w:rFonts w:ascii="Times New Roman;serif" w:hAnsi="Times New Roman;serif"/>
          <w:b w:val="false"/>
          <w:color w:val="000000"/>
          <w:sz w:val="24"/>
          <w:u w:val="single"/>
        </w:rPr>
        <w:t>Security Documents; Further Assurances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Borrower shall promptly, upon the reasonable request of Administrative Agent, at Borrower’s expense, (a) execute, acknowledge and deliver, or cause the execution, acknowledgment and delivery of, and thereafter register, file or record, or cause to be registered, filed or recorded, in an appropriate governmental office, any document or instrument supplemental to or confirmatory of the Loan Documents or otherwise deemed by Administrative Agent reasonably necessary or desirable for the continued validity, perfection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and priority of the Liens on the Collateral covered thereby subject to no other Liens except as permitted by the applicable Loan Document, or use commercially reasonable efforts to obtain any consents or waivers as may be necessary or appropriate in connection therewith; (b) deliver or cause to be delivered to Administrative Agent from time to time such other documentation, consents, authorizations, approvals and orders in form and substance reasonably satisfactory to Administrative Agent and Administrative Agent shall reasonably deem necessary to perfect or maintain the Liens on the Collateral pursuant to the Loan Documents; and (c) upon the exercise by Administrative Agent of any power, right, privilege or remedy pursuant to any Loan Document which requires any consent, approval, registration, qualification or authorization of any Governmental Authority execute and deliver all applications, certifications, instruments and other documents and papers that Administrative Agent may require. In addition, subject to </w:t>
      </w:r>
      <w:r>
        <w:rPr>
          <w:rFonts w:ascii="Times New Roman;serif" w:hAnsi="Times New Roman;serif"/>
          <w:b w:val="false"/>
          <w:color w:val="000000"/>
          <w:sz w:val="24"/>
          <w:u w:val="single"/>
        </w:rPr>
        <w:t>Section 8.12(b)</w:t>
      </w:r>
      <w:r>
        <w:rPr>
          <w:rFonts w:ascii="Times New Roman;serif" w:hAnsi="Times New Roman;serif"/>
          <w:b w:val="false"/>
          <w:color w:val="000000"/>
          <w:sz w:val="24"/>
        </w:rPr>
        <w:t>, Borrower shall promptly, at its sole cost and expense, execute and deliver to Administrative Agent such further instruments and documents, and take such further action, as Administrative Agent may, at any time and from time to time, reasonably request in order to carry out the intent and purpose of this Agreement and the other Loan Documents to which it is a party and to establish and protect the rights, interests and remedies created, or intended to be created, in favor of Administrative Agent hereby and thereby.</w:t>
      </w:r>
    </w:p>
    <w:p>
      <w:pPr>
        <w:pStyle w:val="TextBody"/>
        <w:bidi w:val="0"/>
        <w:spacing w:lineRule="auto" w:line="240" w:before="0" w:after="0"/>
        <w:ind w:left="0" w:right="0" w:firstLine="720"/>
        <w:jc w:val="both"/>
        <w:rPr/>
      </w:pPr>
      <w:bookmarkStart w:id="315" w:name="i0dc877e4c10f41a58cc785d4554d72c2"/>
      <w:bookmarkEnd w:id="315"/>
      <w:r>
        <w:rPr>
          <w:rFonts w:ascii="Times New Roman;serif" w:hAnsi="Times New Roman;serif"/>
          <w:b w:val="false"/>
          <w:color w:val="000000"/>
          <w:sz w:val="24"/>
        </w:rPr>
        <w:t>Section 8.13</w:t>
      </w:r>
      <w:r>
        <w:rPr>
          <w:rFonts w:ascii="Times New Roman;serif" w:hAnsi="Times New Roman;serif"/>
          <w:b w:val="false"/>
          <w:color w:val="000000"/>
          <w:sz w:val="24"/>
          <w:u w:val="single"/>
        </w:rPr>
        <w:t>Information Regarding Collateral</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Borrower shall not effect any change (a) in its legal name, (b) in the location of its chief executive office or registered office, (c) in its identity or organizational structure, or (d) in its federal Taxpayer Identification Number or organizational identification number, if any (in each case, including by merging with or into any other entity, reorganizing, dissolving, liquidating, reorganizing or organizing in any other jurisdiction), or its Canada Revenue Agency business number until (i) it shall have given Administrative Agent not less than [***] prior written notice (in the form of an certificate of a duly authorized officer of Borrower), or such lesser notice period agreed to by Administrative Agent, of its intention so to do, clearly describing such change and providing such other information in connection therewith as Administrative Agent may reasonably request and (ii) it shall have taken all action reasonably satisfactory to Administrative Agent to maintain the perfection and priority of the security interest of Administrative Agent in the Collateral, if applicable (subject to the limitations set forth in </w:t>
      </w:r>
      <w:r>
        <w:rPr>
          <w:rFonts w:ascii="Times New Roman;serif" w:hAnsi="Times New Roman;serif"/>
          <w:b w:val="false"/>
          <w:color w:val="000000"/>
          <w:sz w:val="24"/>
          <w:u w:val="single"/>
        </w:rPr>
        <w:t>Section 8.12(b)</w:t>
      </w:r>
      <w:r>
        <w:rPr>
          <w:rFonts w:ascii="Times New Roman;serif" w:hAnsi="Times New Roman;serif"/>
          <w:b w:val="false"/>
          <w:color w:val="000000"/>
          <w:sz w:val="24"/>
        </w:rPr>
        <w:t>). Borrower shall not effect any change in its jurisdiction of organization. Borrower agrees to provide promptly to Administrative Agent certified Borrower’s Organizational Documents reflecting any of the changes described in the preceding sentence. Borrower also agrees to notify promptly Administrative Agent of any change in the location of any office in which it maintains books or records relating to Collateral owned by it or any office or facility at which any portion of Collateral is located (including the establishment of any such new office or facility).</w:t>
      </w:r>
    </w:p>
    <w:p>
      <w:pPr>
        <w:pStyle w:val="TextBody"/>
        <w:bidi w:val="0"/>
        <w:spacing w:lineRule="auto" w:line="240" w:before="0" w:after="0"/>
        <w:ind w:left="0" w:right="0" w:firstLine="720"/>
        <w:jc w:val="both"/>
        <w:rPr/>
      </w:pPr>
      <w:bookmarkStart w:id="316" w:name="ib7d248eaca8d40869e2fadbb650002b4"/>
      <w:bookmarkEnd w:id="316"/>
      <w:r>
        <w:rPr>
          <w:rFonts w:ascii="Times New Roman;serif" w:hAnsi="Times New Roman;serif"/>
          <w:b w:val="false"/>
          <w:color w:val="000000"/>
          <w:sz w:val="24"/>
        </w:rPr>
        <w:t>Section 8.14</w:t>
      </w:r>
      <w:r>
        <w:rPr>
          <w:rFonts w:ascii="Times New Roman;serif" w:hAnsi="Times New Roman;serif"/>
          <w:b w:val="false"/>
          <w:color w:val="000000"/>
          <w:sz w:val="24"/>
          <w:u w:val="single"/>
        </w:rPr>
        <w:t>Additional Collateral</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With respect to any Collateral acquired after the Closing Date by Borrower that is not already subject to the Lien created by any of the Loan Documents or specifically excluded from the requirement to be subject to such Lien in the Loan Documents, Borrower shall promptly (and in any event within [***] after the acquisition thereof) (a) execute and deliver to Administrative Agent such amendments or supplements to the relevant Loan Documents or such other documents as Administrative Agent shall deem necessary or advisable to grant for its benefit, a Lien on such property subject to no Liens other than Permitted Liens, and (b) take all actions necessary to cause such Lien to be duly perfected in accordance with all applicable requirements of Law, including the filing of financing statements in such jurisdictions as may be reasonably requested by Administrative Agent. Borrower shall otherwise take such actions and execute and/or deliver to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such documents as Administrative Agent shall reasonably require to confirm the validity, perfection and priority of the Lien of the Security Agreement on such after-acquired Collateral.</w:t>
      </w:r>
    </w:p>
    <w:p>
      <w:pPr>
        <w:pStyle w:val="TextBody"/>
        <w:bidi w:val="0"/>
        <w:spacing w:lineRule="auto" w:line="240" w:before="0" w:after="0"/>
        <w:ind w:left="0" w:right="0" w:firstLine="720"/>
        <w:jc w:val="both"/>
        <w:rPr/>
      </w:pPr>
      <w:bookmarkStart w:id="317" w:name="i0440637c131f41d7a342d4824c24afc1"/>
      <w:bookmarkEnd w:id="317"/>
      <w:r>
        <w:rPr>
          <w:rFonts w:ascii="Times New Roman;serif" w:hAnsi="Times New Roman;serif"/>
          <w:b w:val="false"/>
          <w:color w:val="000000"/>
          <w:sz w:val="24"/>
        </w:rPr>
        <w:t>Section 8.15</w:t>
      </w:r>
      <w:r>
        <w:rPr>
          <w:rFonts w:ascii="Times New Roman;serif" w:hAnsi="Times New Roman;serif"/>
          <w:b w:val="false"/>
          <w:color w:val="000000"/>
          <w:sz w:val="24"/>
          <w:u w:val="single"/>
        </w:rPr>
        <w:t>Post-Closing Covenants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18" w:name="ic7395068cef246508bcea8de33da0223"/>
      <w:bookmarkEnd w:id="318"/>
      <w:r>
        <w:rPr>
          <w:rFonts w:ascii="Times New Roman;serif" w:hAnsi="Times New Roman;serif"/>
          <w:b w:val="false"/>
          <w:color w:val="000000"/>
          <w:sz w:val="24"/>
        </w:rPr>
        <w:t>(a)</w:t>
      </w:r>
      <w:r>
        <w:rPr>
          <w:rFonts w:ascii="Times New Roman;serif" w:hAnsi="Times New Roman;serif"/>
          <w:b w:val="false"/>
          <w:color w:val="000000"/>
          <w:sz w:val="24"/>
        </w:rPr>
        <w:t>Within [***] following the Closing Date (or such later date as Administrative Agent may agree in its sole discretion), Borrower shall establish with the Escrow Agent the Collection Account and the Escrow Agreement.</w:t>
      </w:r>
    </w:p>
    <w:p>
      <w:pPr>
        <w:pStyle w:val="TextBody"/>
        <w:bidi w:val="0"/>
        <w:spacing w:lineRule="auto" w:line="240" w:before="0" w:after="240"/>
        <w:ind w:left="0" w:right="0" w:firstLine="1440"/>
        <w:jc w:val="both"/>
        <w:rPr/>
      </w:pPr>
      <w:bookmarkStart w:id="319" w:name="i9527fdc96aa2460caa2862443b553b10"/>
      <w:bookmarkEnd w:id="319"/>
      <w:r>
        <w:rPr>
          <w:rFonts w:ascii="Times New Roman;serif" w:hAnsi="Times New Roman;serif"/>
          <w:b w:val="false"/>
          <w:color w:val="000000"/>
          <w:sz w:val="24"/>
        </w:rPr>
        <w:t>(b)</w:t>
      </w:r>
      <w:r>
        <w:rPr>
          <w:rFonts w:ascii="Times New Roman;serif" w:hAnsi="Times New Roman;serif"/>
          <w:b w:val="false"/>
          <w:color w:val="000000"/>
          <w:sz w:val="24"/>
        </w:rPr>
        <w:t>Within [***] following the Closing Date (or such later date as Administrative Agent may agree in its sole discretion), Borrower GP shall appoint an independent director (the “</w:t>
      </w:r>
      <w:r>
        <w:rPr>
          <w:rFonts w:ascii="Times New Roman;serif" w:hAnsi="Times New Roman;serif"/>
          <w:b w:val="false"/>
          <w:color w:val="000000"/>
          <w:sz w:val="24"/>
          <w:u w:val="single"/>
        </w:rPr>
        <w:t>Independent Director</w:t>
      </w:r>
      <w:r>
        <w:rPr>
          <w:color w:val="000000"/>
        </w:rPr>
        <w:t>”</w:t>
      </w:r>
      <w:r>
        <w:rPr>
          <w:rFonts w:ascii="Times New Roman;serif" w:hAnsi="Times New Roman;serif"/>
          <w:b w:val="false"/>
          <w:color w:val="000000"/>
          <w:sz w:val="24"/>
        </w:rPr>
        <w:t>) to its board of directors, such individual to be acceptable to Administrative Agent and Lenders in their reasonable discretion.</w:t>
      </w:r>
    </w:p>
    <w:p>
      <w:pPr>
        <w:pStyle w:val="TextBody"/>
        <w:bidi w:val="0"/>
        <w:spacing w:lineRule="auto" w:line="240" w:before="0" w:after="240"/>
        <w:ind w:left="0" w:right="0" w:firstLine="1440"/>
        <w:jc w:val="both"/>
        <w:rPr/>
      </w:pPr>
      <w:bookmarkStart w:id="320" w:name="i69edd9af4f914155b1c6d303ead3d1dd"/>
      <w:bookmarkEnd w:id="320"/>
      <w:r>
        <w:rPr>
          <w:rFonts w:ascii="Times New Roman;serif" w:hAnsi="Times New Roman;serif"/>
          <w:b w:val="false"/>
          <w:color w:val="000000"/>
          <w:sz w:val="24"/>
        </w:rPr>
        <w:t>(c)</w:t>
      </w:r>
      <w:r>
        <w:rPr>
          <w:rFonts w:ascii="Times New Roman;serif" w:hAnsi="Times New Roman;serif"/>
          <w:b w:val="false"/>
          <w:color w:val="000000"/>
          <w:sz w:val="24"/>
        </w:rPr>
        <w:t>Within [***] following the Closing Date (or such later date as Administrative Agent may agree in its sole discretion), Borrower shall deliver to the Administrative Agent a fully executed amendment to the limited partnership agreement of the Borrower, in form and substance reasonably acceptable to the Administrative Agent, which amendment shall incorporate separateness provisions consistent with those set forth in Section 9.01 (Activities of Borrower) of this Agreement.</w:t>
      </w:r>
    </w:p>
    <w:p>
      <w:pPr>
        <w:pStyle w:val="TextBody"/>
        <w:bidi w:val="0"/>
        <w:spacing w:lineRule="auto" w:line="240" w:before="0" w:after="240"/>
        <w:jc w:val="center"/>
        <w:rPr/>
      </w:pPr>
      <w:bookmarkStart w:id="321" w:name="icb13398e18b0463d9856ecc1698eea2b"/>
      <w:bookmarkEnd w:id="321"/>
      <w:r>
        <w:rPr>
          <w:rFonts w:ascii="Times New Roman;serif" w:hAnsi="Times New Roman;serif"/>
          <w:b/>
          <w:color w:val="000000"/>
          <w:sz w:val="24"/>
        </w:rPr>
        <w:t>Article IX</w:t>
      </w:r>
      <w:r>
        <w:rPr>
          <w:rFonts w:ascii="Times New Roman;serif" w:hAnsi="Times New Roman;serif"/>
          <w:b/>
          <w:color w:val="000000"/>
          <w:sz w:val="24"/>
        </w:rPr>
        <w:br/>
        <w:t>NEGATIVE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Borrower covenants and agrees with Administrative Agent and the Lenders that, until Payment in Full:</w:t>
      </w:r>
    </w:p>
    <w:p>
      <w:pPr>
        <w:pStyle w:val="TextBody"/>
        <w:bidi w:val="0"/>
        <w:spacing w:lineRule="auto" w:line="240" w:before="0" w:after="0"/>
        <w:ind w:left="0" w:right="0" w:firstLine="720"/>
        <w:jc w:val="both"/>
        <w:rPr/>
      </w:pPr>
      <w:bookmarkStart w:id="322" w:name="i6479236475254b5e97658b1dc70c5b86"/>
      <w:bookmarkEnd w:id="322"/>
      <w:r>
        <w:rPr>
          <w:rFonts w:ascii="Times New Roman;serif" w:hAnsi="Times New Roman;serif"/>
          <w:b w:val="false"/>
          <w:color w:val="000000"/>
          <w:sz w:val="24"/>
        </w:rPr>
        <w:t>Section 9.01</w:t>
      </w:r>
      <w:r>
        <w:rPr>
          <w:rFonts w:ascii="Times New Roman;serif" w:hAnsi="Times New Roman;serif"/>
          <w:b w:val="false"/>
          <w:color w:val="000000"/>
          <w:sz w:val="24"/>
          <w:u w:val="single"/>
        </w:rPr>
        <w:t>Activities of Borrower</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23" w:name="i46bfacc6174b4178bbc26c39d2ba577f"/>
      <w:bookmarkEnd w:id="323"/>
      <w:r>
        <w:rPr>
          <w:rFonts w:ascii="Times New Roman;serif" w:hAnsi="Times New Roman;serif"/>
          <w:b w:val="false"/>
          <w:color w:val="000000"/>
          <w:sz w:val="24"/>
        </w:rPr>
        <w:t>(a)</w:t>
      </w:r>
      <w:r>
        <w:rPr>
          <w:rFonts w:ascii="Times New Roman;serif" w:hAnsi="Times New Roman;serif"/>
          <w:b w:val="false"/>
          <w:color w:val="000000"/>
          <w:sz w:val="24"/>
        </w:rPr>
        <w:t>Borrower shall not take any action to amend, waive, supplement, restate, cancel, terminate, discharge, compromise or otherwise modify in any respect the Sale Agreement without the consent of the Lender. Borrower shall not establish or acquire any Subsidiaries or acquire any assets other than capital contributions permitted pursuant to the Transaction Documents and the Transferred Royalty Interest (and any proceeds thereof and assets relating thereto).</w:t>
      </w:r>
    </w:p>
    <w:p>
      <w:pPr>
        <w:pStyle w:val="TextBody"/>
        <w:bidi w:val="0"/>
        <w:spacing w:lineRule="auto" w:line="240" w:before="0" w:after="240"/>
        <w:ind w:left="0" w:right="0" w:firstLine="1440"/>
        <w:jc w:val="both"/>
        <w:rPr/>
      </w:pPr>
      <w:bookmarkStart w:id="324" w:name="ie9066f291cfd436ebc7a371f7badf67a"/>
      <w:bookmarkEnd w:id="324"/>
      <w:r>
        <w:rPr>
          <w:rFonts w:ascii="Times New Roman;serif" w:hAnsi="Times New Roman;serif"/>
          <w:b w:val="false"/>
          <w:color w:val="000000"/>
          <w:sz w:val="24"/>
        </w:rPr>
        <w:t>(b)</w:t>
      </w:r>
      <w:r>
        <w:rPr>
          <w:rFonts w:ascii="Times New Roman;serif" w:hAnsi="Times New Roman;serif"/>
          <w:b w:val="false"/>
          <w:color w:val="000000"/>
          <w:sz w:val="24"/>
        </w:rPr>
        <w:t>Borrower shall not:</w:t>
      </w:r>
    </w:p>
    <w:p>
      <w:pPr>
        <w:pStyle w:val="TextBody"/>
        <w:bidi w:val="0"/>
        <w:spacing w:lineRule="auto" w:line="240" w:before="0" w:after="240"/>
        <w:ind w:left="0" w:right="0" w:firstLine="2160"/>
        <w:jc w:val="both"/>
        <w:rPr/>
      </w:pPr>
      <w:bookmarkStart w:id="325" w:name="i95781547363245e2a5e424fe783c75b0"/>
      <w:bookmarkEnd w:id="325"/>
      <w:r>
        <w:rPr>
          <w:rFonts w:ascii="Times New Roman;serif" w:hAnsi="Times New Roman;serif"/>
          <w:b w:val="false"/>
          <w:color w:val="000000"/>
          <w:sz w:val="24"/>
        </w:rPr>
        <w:t>(i)</w:t>
      </w:r>
      <w:r>
        <w:rPr>
          <w:rFonts w:ascii="Times New Roman;serif" w:hAnsi="Times New Roman;serif"/>
          <w:b w:val="false"/>
          <w:color w:val="000000"/>
          <w:sz w:val="24"/>
        </w:rPr>
        <w:t>fail to hold itself out to the public and all other persons as a legal entity separate from the owners of its Capital Stock and from any other person (it being understood that customary activities resulting from or relating to consolidation for tax or accounting purposes shall in no event be deemed a breach of this requirement);</w:t>
      </w:r>
    </w:p>
    <w:p>
      <w:pPr>
        <w:pStyle w:val="TextBody"/>
        <w:bidi w:val="0"/>
        <w:spacing w:lineRule="auto" w:line="240" w:before="0" w:after="240"/>
        <w:ind w:left="0" w:right="0" w:firstLine="2160"/>
        <w:jc w:val="both"/>
        <w:rPr/>
      </w:pPr>
      <w:bookmarkStart w:id="326" w:name="iae3232e4214346a68a5c1add63d0f782"/>
      <w:bookmarkEnd w:id="326"/>
      <w:r>
        <w:rPr>
          <w:rFonts w:ascii="Times New Roman;serif" w:hAnsi="Times New Roman;serif"/>
          <w:b w:val="false"/>
          <w:color w:val="000000"/>
          <w:sz w:val="24"/>
        </w:rPr>
        <w:t>(ii)</w:t>
      </w:r>
      <w:r>
        <w:rPr>
          <w:rFonts w:ascii="Times New Roman;serif" w:hAnsi="Times New Roman;serif"/>
          <w:b w:val="false"/>
          <w:color w:val="000000"/>
          <w:sz w:val="24"/>
        </w:rPr>
        <w:t>commingle its assets with assets of any other Person, except with respect to the Collection Account;</w:t>
      </w:r>
    </w:p>
    <w:p>
      <w:pPr>
        <w:pStyle w:val="TextBody"/>
        <w:bidi w:val="0"/>
        <w:spacing w:lineRule="auto" w:line="240" w:before="0" w:after="240"/>
        <w:ind w:left="0" w:right="0" w:firstLine="2160"/>
        <w:jc w:val="both"/>
        <w:rPr/>
      </w:pPr>
      <w:bookmarkStart w:id="327" w:name="i2b65b0de27874cdeb8351726cf613c94"/>
      <w:bookmarkEnd w:id="327"/>
      <w:r>
        <w:rPr>
          <w:rFonts w:ascii="Times New Roman;serif" w:hAnsi="Times New Roman;serif"/>
          <w:b w:val="false"/>
          <w:color w:val="000000"/>
          <w:sz w:val="24"/>
        </w:rPr>
        <w:t>(iii)</w:t>
      </w:r>
      <w:r>
        <w:rPr>
          <w:rFonts w:ascii="Times New Roman;serif" w:hAnsi="Times New Roman;serif"/>
          <w:b w:val="false"/>
          <w:color w:val="000000"/>
          <w:sz w:val="24"/>
        </w:rPr>
        <w:t>fail to conduct its business only in its own name, nor fail to comply with all organizational formalities necessary to maintain its separate existence;</w:t>
      </w:r>
    </w:p>
    <w:p>
      <w:pPr>
        <w:pStyle w:val="TextBody"/>
        <w:bidi w:val="0"/>
        <w:spacing w:lineRule="auto" w:line="240" w:before="0" w:after="240"/>
        <w:ind w:left="0" w:right="0" w:firstLine="2160"/>
        <w:jc w:val="both"/>
        <w:rPr/>
      </w:pPr>
      <w:bookmarkStart w:id="328" w:name="ifb9d52913b2e47cda9b399f8d250956f"/>
      <w:bookmarkEnd w:id="328"/>
      <w:r>
        <w:rPr>
          <w:rFonts w:ascii="Times New Roman;serif" w:hAnsi="Times New Roman;serif"/>
          <w:b w:val="false"/>
          <w:color w:val="000000"/>
          <w:sz w:val="24"/>
        </w:rPr>
        <w:t>(iv)</w:t>
      </w:r>
      <w:r>
        <w:rPr>
          <w:rFonts w:ascii="Times New Roman;serif" w:hAnsi="Times New Roman;serif"/>
          <w:b w:val="false"/>
          <w:color w:val="000000"/>
          <w:sz w:val="24"/>
        </w:rPr>
        <w:t xml:space="preserve">fail to maintain separate financial statements, showing its assets and liabilities separate and apart from those of any other person nor have its assets listed on any financial statement of any other person;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Borrower’s assets may be included in a consolidated financial statement of its Affiliates in conformity with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provisions of GAAP (provided that such assets shall also be listed on Borrower’s own separate balance sheet);</w:t>
      </w:r>
    </w:p>
    <w:p>
      <w:pPr>
        <w:pStyle w:val="TextBody"/>
        <w:bidi w:val="0"/>
        <w:spacing w:lineRule="auto" w:line="240" w:before="0" w:after="240"/>
        <w:ind w:left="0" w:right="0" w:firstLine="2160"/>
        <w:jc w:val="both"/>
        <w:rPr/>
      </w:pPr>
      <w:bookmarkStart w:id="329" w:name="ia2312e85e3af40478dffe462a475c82c"/>
      <w:bookmarkEnd w:id="329"/>
      <w:r>
        <w:rPr>
          <w:rFonts w:ascii="Times New Roman;serif" w:hAnsi="Times New Roman;serif"/>
          <w:b w:val="false"/>
          <w:color w:val="000000"/>
          <w:sz w:val="24"/>
        </w:rPr>
        <w:t>(v)</w:t>
      </w:r>
      <w:r>
        <w:rPr>
          <w:rFonts w:ascii="Times New Roman;serif" w:hAnsi="Times New Roman;serif"/>
          <w:b w:val="false"/>
          <w:color w:val="000000"/>
          <w:sz w:val="24"/>
        </w:rPr>
        <w:t>fail to pay its own liabilities and expenses only out of its own funds; provided that the foregoing shall not prohibit the payment of any liabilities and expenses by Company on behalf of Borrower so long as such payments are subject to reimbursement or are otherwise recorded as capital contributions or intercompany loans;</w:t>
      </w:r>
    </w:p>
    <w:p>
      <w:pPr>
        <w:pStyle w:val="TextBody"/>
        <w:bidi w:val="0"/>
        <w:spacing w:lineRule="auto" w:line="240" w:before="0" w:after="240"/>
        <w:ind w:left="0" w:right="0" w:firstLine="2160"/>
        <w:jc w:val="both"/>
        <w:rPr/>
      </w:pPr>
      <w:bookmarkStart w:id="330" w:name="id3dfe6633c914fc08925272d75f7cff3"/>
      <w:bookmarkEnd w:id="330"/>
      <w:r>
        <w:rPr>
          <w:rFonts w:ascii="Times New Roman;serif" w:hAnsi="Times New Roman;serif"/>
          <w:b w:val="false"/>
          <w:color w:val="000000"/>
          <w:sz w:val="24"/>
        </w:rPr>
        <w:t>(vi)</w:t>
      </w:r>
      <w:r>
        <w:rPr>
          <w:rFonts w:ascii="Times New Roman;serif" w:hAnsi="Times New Roman;serif"/>
          <w:b w:val="false"/>
          <w:color w:val="000000"/>
          <w:sz w:val="24"/>
        </w:rPr>
        <w:t>enter into any transaction with an Affiliate (other than capital contributions made by the Company to the Borrower);</w:t>
      </w:r>
    </w:p>
    <w:p>
      <w:pPr>
        <w:pStyle w:val="TextBody"/>
        <w:bidi w:val="0"/>
        <w:spacing w:lineRule="auto" w:line="240" w:before="0" w:after="240"/>
        <w:ind w:left="0" w:right="0" w:firstLine="2160"/>
        <w:jc w:val="both"/>
        <w:rPr/>
      </w:pPr>
      <w:bookmarkStart w:id="331" w:name="i5f1115a02d32480cb3023b3cfbd47bb5"/>
      <w:bookmarkEnd w:id="331"/>
      <w:r>
        <w:rPr>
          <w:rFonts w:ascii="Times New Roman;serif" w:hAnsi="Times New Roman;serif"/>
          <w:b w:val="false"/>
          <w:color w:val="000000"/>
          <w:sz w:val="24"/>
        </w:rPr>
        <w:t>(vii)</w:t>
      </w:r>
      <w:r>
        <w:rPr>
          <w:rFonts w:ascii="Times New Roman;serif" w:hAnsi="Times New Roman;serif"/>
          <w:b w:val="false"/>
          <w:color w:val="000000"/>
          <w:sz w:val="24"/>
        </w:rPr>
        <w:t>issue any securities of any kind except as contemplated by this Agreement and the other Transaction Documents;</w:t>
      </w:r>
    </w:p>
    <w:p>
      <w:pPr>
        <w:pStyle w:val="TextBody"/>
        <w:bidi w:val="0"/>
        <w:spacing w:lineRule="auto" w:line="240" w:before="0" w:after="240"/>
        <w:ind w:left="0" w:right="0" w:firstLine="2160"/>
        <w:jc w:val="both"/>
        <w:rPr/>
      </w:pPr>
      <w:bookmarkStart w:id="332" w:name="ic5d10931da98473f8df6b3cf1c90475f"/>
      <w:bookmarkEnd w:id="332"/>
      <w:r>
        <w:rPr>
          <w:rFonts w:ascii="Times New Roman;serif" w:hAnsi="Times New Roman;serif"/>
          <w:b w:val="false"/>
          <w:color w:val="000000"/>
          <w:sz w:val="24"/>
        </w:rPr>
        <w:t>(viii)</w:t>
      </w:r>
      <w:r>
        <w:rPr>
          <w:rFonts w:ascii="Times New Roman;serif" w:hAnsi="Times New Roman;serif"/>
          <w:b w:val="false"/>
          <w:color w:val="000000"/>
          <w:sz w:val="24"/>
        </w:rPr>
        <w:t>fail to correct any known misunderstanding regarding its separate identity and not identify itself as a department or division of any other Person;</w:t>
      </w:r>
    </w:p>
    <w:p>
      <w:pPr>
        <w:pStyle w:val="TextBody"/>
        <w:bidi w:val="0"/>
        <w:spacing w:lineRule="auto" w:line="240" w:before="0" w:after="240"/>
        <w:ind w:left="0" w:right="0" w:firstLine="2160"/>
        <w:jc w:val="both"/>
        <w:rPr/>
      </w:pPr>
      <w:bookmarkStart w:id="333" w:name="i3c239e6cd27142b68026325628c3d64f"/>
      <w:bookmarkEnd w:id="333"/>
      <w:r>
        <w:rPr>
          <w:rFonts w:ascii="Times New Roman;serif" w:hAnsi="Times New Roman;serif"/>
          <w:b w:val="false"/>
          <w:color w:val="000000"/>
          <w:sz w:val="24"/>
        </w:rPr>
        <w:t>(ix)</w:t>
      </w:r>
      <w:r>
        <w:rPr>
          <w:rFonts w:ascii="Times New Roman;serif" w:hAnsi="Times New Roman;serif"/>
          <w:b w:val="false"/>
          <w:color w:val="000000"/>
          <w:sz w:val="24"/>
        </w:rPr>
        <w:t>fail to maintain adequate capital in light of its contemplated business purpose, transactions and liabilities; provided, however, that without limiting any obligations under the Sale Agreement, the foregoing shall not require the holders of its Capital Stock to make additional capital contributions to Borrower;</w:t>
      </w:r>
    </w:p>
    <w:p>
      <w:pPr>
        <w:pStyle w:val="TextBody"/>
        <w:bidi w:val="0"/>
        <w:spacing w:lineRule="auto" w:line="240" w:before="0" w:after="240"/>
        <w:ind w:left="0" w:right="0" w:firstLine="2160"/>
        <w:jc w:val="both"/>
        <w:rPr/>
      </w:pPr>
      <w:bookmarkStart w:id="334" w:name="if0726ed0fbbd4553a3fb392f1af442a1"/>
      <w:bookmarkEnd w:id="334"/>
      <w:r>
        <w:rPr>
          <w:rFonts w:ascii="Times New Roman;serif" w:hAnsi="Times New Roman;serif"/>
          <w:b w:val="false"/>
          <w:color w:val="000000"/>
          <w:sz w:val="24"/>
        </w:rPr>
        <w:t>(x)</w:t>
      </w:r>
      <w:r>
        <w:rPr>
          <w:rFonts w:ascii="Times New Roman;serif" w:hAnsi="Times New Roman;serif"/>
          <w:b w:val="false"/>
          <w:color w:val="000000"/>
          <w:sz w:val="24"/>
        </w:rPr>
        <w:t>fail to cause the representatives of Borrower to act at all times with respect to Borrower consistently and in furtherance of the foregoing and in the best interests of Borrower;</w:t>
      </w:r>
    </w:p>
    <w:p>
      <w:pPr>
        <w:pStyle w:val="TextBody"/>
        <w:bidi w:val="0"/>
        <w:spacing w:lineRule="auto" w:line="240" w:before="0" w:after="240"/>
        <w:ind w:left="0" w:right="0" w:firstLine="2160"/>
        <w:jc w:val="both"/>
        <w:rPr/>
      </w:pPr>
      <w:bookmarkStart w:id="335" w:name="i8891f02c214f480fa664abb0e849311a"/>
      <w:bookmarkEnd w:id="335"/>
      <w:r>
        <w:rPr>
          <w:rFonts w:ascii="Times New Roman;serif" w:hAnsi="Times New Roman;serif"/>
          <w:b w:val="false"/>
          <w:color w:val="000000"/>
          <w:sz w:val="24"/>
        </w:rPr>
        <w:t>(xi)</w:t>
      </w:r>
      <w:r>
        <w:rPr>
          <w:rFonts w:ascii="Times New Roman;serif" w:hAnsi="Times New Roman;serif"/>
          <w:b w:val="false"/>
          <w:color w:val="000000"/>
          <w:sz w:val="24"/>
        </w:rPr>
        <w:t>make any payment or distribution of assets with respect to any obligation of any other person;</w:t>
      </w:r>
    </w:p>
    <w:p>
      <w:pPr>
        <w:pStyle w:val="TextBody"/>
        <w:bidi w:val="0"/>
        <w:spacing w:lineRule="auto" w:line="240" w:before="0" w:after="240"/>
        <w:ind w:left="0" w:right="0" w:firstLine="2160"/>
        <w:jc w:val="both"/>
        <w:rPr/>
      </w:pPr>
      <w:bookmarkStart w:id="336" w:name="i4009794437d34aa4979f00e3e82d9f92"/>
      <w:bookmarkEnd w:id="336"/>
      <w:r>
        <w:rPr>
          <w:rFonts w:ascii="Times New Roman;serif" w:hAnsi="Times New Roman;serif"/>
          <w:b w:val="false"/>
          <w:color w:val="000000"/>
          <w:sz w:val="24"/>
        </w:rPr>
        <w:t>(xii)</w:t>
      </w:r>
      <w:r>
        <w:rPr>
          <w:rFonts w:ascii="Times New Roman;serif" w:hAnsi="Times New Roman;serif"/>
          <w:b w:val="false"/>
          <w:color w:val="000000"/>
          <w:sz w:val="24"/>
        </w:rPr>
        <w:t>engage in any business activity other than exercising its rights under the Covered Agreements and the payment and repayment of amounts provided for hereunder and under the other Loan Documents and any activities ancillary or related thereto;</w:t>
      </w:r>
    </w:p>
    <w:p>
      <w:pPr>
        <w:pStyle w:val="TextBody"/>
        <w:bidi w:val="0"/>
        <w:spacing w:lineRule="auto" w:line="240" w:before="0" w:after="240"/>
        <w:ind w:left="0" w:right="0" w:firstLine="2160"/>
        <w:jc w:val="both"/>
        <w:rPr/>
      </w:pPr>
      <w:bookmarkStart w:id="337" w:name="i7433508e9b6d4c56b2261905d99f29d8"/>
      <w:bookmarkEnd w:id="337"/>
      <w:r>
        <w:rPr>
          <w:rFonts w:ascii="Times New Roman;serif" w:hAnsi="Times New Roman;serif"/>
          <w:b w:val="false"/>
          <w:color w:val="000000"/>
          <w:sz w:val="24"/>
        </w:rPr>
        <w:t>(xiii)</w:t>
      </w:r>
      <w:r>
        <w:rPr>
          <w:rFonts w:ascii="Times New Roman;serif" w:hAnsi="Times New Roman;serif"/>
          <w:b w:val="false"/>
          <w:color w:val="000000"/>
          <w:sz w:val="24"/>
        </w:rPr>
        <w:t>fail to file any tax returns and pay any taxes as may be required under Law (except for taxes contested in good faith by appropriate proceedings and for which adequate reserves are maintained in accordance with GAAP); or</w:t>
      </w:r>
    </w:p>
    <w:p>
      <w:pPr>
        <w:pStyle w:val="TextBody"/>
        <w:bidi w:val="0"/>
        <w:spacing w:lineRule="auto" w:line="240" w:before="0" w:after="240"/>
        <w:ind w:left="0" w:right="0" w:firstLine="2160"/>
        <w:jc w:val="both"/>
        <w:rPr/>
      </w:pPr>
      <w:bookmarkStart w:id="338" w:name="ia29dc6fb1463442aa10c2f8eafc8750b"/>
      <w:bookmarkEnd w:id="338"/>
      <w:r>
        <w:rPr>
          <w:rFonts w:ascii="Times New Roman;serif" w:hAnsi="Times New Roman;serif"/>
          <w:b w:val="false"/>
          <w:color w:val="000000"/>
          <w:sz w:val="24"/>
        </w:rPr>
        <w:t>(xiv)</w:t>
      </w:r>
      <w:r>
        <w:rPr>
          <w:rFonts w:ascii="Times New Roman;serif" w:hAnsi="Times New Roman;serif"/>
          <w:b w:val="false"/>
          <w:color w:val="000000"/>
          <w:sz w:val="24"/>
        </w:rPr>
        <w:t>except as required by applicable law, employ any employees.</w:t>
      </w:r>
    </w:p>
    <w:p>
      <w:pPr>
        <w:pStyle w:val="TextBody"/>
        <w:bidi w:val="0"/>
        <w:spacing w:lineRule="auto" w:line="240" w:before="0" w:after="240"/>
        <w:ind w:left="0" w:right="0" w:firstLine="1440"/>
        <w:jc w:val="both"/>
        <w:rPr/>
      </w:pPr>
      <w:bookmarkStart w:id="339" w:name="if3d7bdfd5d5b4f82a848336b17302984"/>
      <w:bookmarkEnd w:id="339"/>
      <w:r>
        <w:rPr>
          <w:rFonts w:ascii="Times New Roman;serif" w:hAnsi="Times New Roman;serif"/>
          <w:b w:val="false"/>
          <w:color w:val="000000"/>
          <w:sz w:val="24"/>
        </w:rPr>
        <w:t>(c)</w:t>
      </w:r>
      <w:r>
        <w:rPr>
          <w:rFonts w:ascii="Times New Roman;serif" w:hAnsi="Times New Roman;serif"/>
          <w:b w:val="false"/>
          <w:color w:val="000000"/>
          <w:sz w:val="24"/>
        </w:rPr>
        <w:t>Borrower shall not issue any Capital Stock in certificated form (other than the Capital Stock issued to Company and Borrower GP that is subject to the pledge to Administrative Agent under the Pledge Agreement).</w:t>
      </w:r>
    </w:p>
    <w:p>
      <w:pPr>
        <w:pStyle w:val="TextBody"/>
        <w:bidi w:val="0"/>
        <w:spacing w:lineRule="auto" w:line="240" w:before="0" w:after="0"/>
        <w:ind w:left="0" w:right="0" w:firstLine="720"/>
        <w:jc w:val="both"/>
        <w:rPr/>
      </w:pPr>
      <w:bookmarkStart w:id="340" w:name="if2a5354e89084c50971d9624f736e962"/>
      <w:bookmarkEnd w:id="340"/>
      <w:r>
        <w:rPr>
          <w:rFonts w:ascii="Times New Roman;serif" w:hAnsi="Times New Roman;serif"/>
          <w:b w:val="false"/>
          <w:color w:val="000000"/>
          <w:sz w:val="24"/>
        </w:rPr>
        <w:t>Section 9.02</w:t>
      </w:r>
      <w:r>
        <w:rPr>
          <w:rFonts w:ascii="Times New Roman;serif" w:hAnsi="Times New Roman;serif"/>
          <w:b w:val="false"/>
          <w:color w:val="000000"/>
          <w:sz w:val="24"/>
          <w:u w:val="single"/>
        </w:rPr>
        <w:t>Merger; Sale of Assets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41" w:name="i27daae2cda1d4704a53f372fa3a7c441"/>
      <w:bookmarkEnd w:id="341"/>
      <w:r>
        <w:rPr>
          <w:rFonts w:ascii="Times New Roman;serif" w:hAnsi="Times New Roman;serif"/>
          <w:b w:val="false"/>
          <w:color w:val="000000"/>
          <w:sz w:val="24"/>
        </w:rPr>
        <w:t>(a)</w:t>
      </w:r>
      <w:r>
        <w:rPr>
          <w:rFonts w:ascii="Times New Roman;serif" w:hAnsi="Times New Roman;serif"/>
          <w:b w:val="false"/>
          <w:color w:val="000000"/>
          <w:sz w:val="24"/>
        </w:rPr>
        <w:t>Borrower shall not merge or consolidate with or into (whether or not Borrower is the Surviving Person) any other Person.</w:t>
      </w:r>
    </w:p>
    <w:p>
      <w:pPr>
        <w:pStyle w:val="TextBody"/>
        <w:bidi w:val="0"/>
        <w:spacing w:lineRule="auto" w:line="240" w:before="0" w:after="240"/>
        <w:ind w:left="0" w:right="0" w:firstLine="1440"/>
        <w:jc w:val="both"/>
        <w:rPr/>
      </w:pPr>
      <w:bookmarkStart w:id="342" w:name="i884b6675845d4575aafd1dab5d482147"/>
      <w:bookmarkEnd w:id="342"/>
      <w:r>
        <w:rPr>
          <w:rFonts w:ascii="Times New Roman;serif" w:hAnsi="Times New Roman;serif"/>
          <w:b w:val="false"/>
          <w:color w:val="000000"/>
          <w:sz w:val="24"/>
        </w:rPr>
        <w:t>(b)</w:t>
      </w:r>
      <w:r>
        <w:rPr>
          <w:rFonts w:ascii="Times New Roman;serif" w:hAnsi="Times New Roman;serif"/>
          <w:b w:val="false"/>
          <w:color w:val="000000"/>
          <w:sz w:val="24"/>
        </w:rPr>
        <w:t>Borrower shall not sell, assign, convey, transfer, lease, sublease, license, sublicense or otherwise dispose of (including by way of merger or consolidation) any right, title or interest in or to, any of its assets, including, without limitation, its rights to the Agreed Payments, other than by virtue of Liens that constitute Permitted Liens.</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40" w:before="0" w:after="0"/>
        <w:ind w:left="0" w:right="0" w:firstLine="720"/>
        <w:jc w:val="both"/>
        <w:rPr/>
      </w:pPr>
      <w:bookmarkStart w:id="343" w:name="i01351f099186406e8c2181e1b2775b2e"/>
      <w:bookmarkEnd w:id="343"/>
      <w:r>
        <w:rPr>
          <w:rFonts w:ascii="Times New Roman;serif" w:hAnsi="Times New Roman;serif"/>
          <w:b w:val="false"/>
          <w:color w:val="000000"/>
          <w:sz w:val="24"/>
        </w:rPr>
        <w:t>Section 9.03</w:t>
      </w:r>
      <w:r>
        <w:rPr>
          <w:rFonts w:ascii="Times New Roman;serif" w:hAnsi="Times New Roman;serif"/>
          <w:b w:val="false"/>
          <w:color w:val="000000"/>
          <w:sz w:val="24"/>
          <w:u w:val="single"/>
        </w:rPr>
        <w:t>Liens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Borrower shall not create or suffer to exist any Lien on or with respect to any of its properties or assets, except for Permitted Liens.</w:t>
      </w:r>
    </w:p>
    <w:p>
      <w:pPr>
        <w:pStyle w:val="TextBody"/>
        <w:bidi w:val="0"/>
        <w:spacing w:lineRule="auto" w:line="240" w:before="0" w:after="0"/>
        <w:ind w:left="0" w:right="0" w:firstLine="720"/>
        <w:jc w:val="both"/>
        <w:rPr/>
      </w:pPr>
      <w:bookmarkStart w:id="344" w:name="i62a63d5fbd9347c09358944dfa3f715a"/>
      <w:bookmarkEnd w:id="344"/>
      <w:r>
        <w:rPr>
          <w:rFonts w:ascii="Times New Roman;serif" w:hAnsi="Times New Roman;serif"/>
          <w:b w:val="false"/>
          <w:color w:val="000000"/>
          <w:sz w:val="24"/>
        </w:rPr>
        <w:t>Section 9.04</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Neither Borrower nor any of its Subsidiaries shall be or become an investment company subject to registration under the Investment Company Act of 1940.</w:t>
      </w:r>
    </w:p>
    <w:p>
      <w:pPr>
        <w:pStyle w:val="TextBody"/>
        <w:bidi w:val="0"/>
        <w:spacing w:lineRule="auto" w:line="240" w:before="0" w:after="0"/>
        <w:ind w:left="0" w:right="0" w:firstLine="720"/>
        <w:jc w:val="both"/>
        <w:rPr/>
      </w:pPr>
      <w:bookmarkStart w:id="345" w:name="i5f0ddce45c8545f3ba24917ebfc5bfb4"/>
      <w:bookmarkEnd w:id="345"/>
      <w:r>
        <w:rPr>
          <w:rFonts w:ascii="Times New Roman;serif" w:hAnsi="Times New Roman;serif"/>
          <w:b w:val="false"/>
          <w:color w:val="000000"/>
          <w:sz w:val="24"/>
        </w:rPr>
        <w:t>Section 9.05</w:t>
      </w:r>
      <w:r>
        <w:rPr>
          <w:rFonts w:ascii="Times New Roman;serif" w:hAnsi="Times New Roman;serif"/>
          <w:b w:val="false"/>
          <w:color w:val="000000"/>
          <w:sz w:val="24"/>
          <w:u w:val="single"/>
        </w:rPr>
        <w:t>Limitation on Additional Indebtedness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Borrower shall not, directly or indirectly, incur or suffer to exist any Indebtedness except for Indebtedness under this Agreement.</w:t>
      </w:r>
    </w:p>
    <w:p>
      <w:pPr>
        <w:pStyle w:val="TextBody"/>
        <w:bidi w:val="0"/>
        <w:spacing w:lineRule="auto" w:line="240" w:before="0" w:after="0"/>
        <w:ind w:left="0" w:right="0" w:firstLine="720"/>
        <w:jc w:val="both"/>
        <w:rPr/>
      </w:pPr>
      <w:bookmarkStart w:id="346" w:name="i154090cbd434447789d15fdfdc4cbe94"/>
      <w:bookmarkEnd w:id="346"/>
      <w:r>
        <w:rPr>
          <w:rFonts w:ascii="Times New Roman;serif" w:hAnsi="Times New Roman;serif"/>
          <w:b w:val="false"/>
          <w:color w:val="000000"/>
          <w:sz w:val="24"/>
        </w:rPr>
        <w:t>Section 9.06</w:t>
      </w:r>
      <w:r>
        <w:rPr>
          <w:rFonts w:ascii="Times New Roman;serif" w:hAnsi="Times New Roman;serif"/>
          <w:b w:val="false"/>
          <w:color w:val="000000"/>
          <w:sz w:val="24"/>
          <w:u w:val="single"/>
        </w:rPr>
        <w:t>Limitation on Transactions with Controlled Affiliates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Borrower shall not, directly or indirectly, enter into any transaction or series of related transactions or participate in any arrangement (including any purchase, sale, lease or exchange of assets or the rendering of any service) with any Controlled Affiliate other than the Transaction Documents (other than capital contributions made by the Company to the Borrower).</w:t>
      </w:r>
    </w:p>
    <w:p>
      <w:pPr>
        <w:pStyle w:val="TextBody"/>
        <w:bidi w:val="0"/>
        <w:spacing w:lineRule="auto" w:line="240" w:before="0" w:after="0"/>
        <w:ind w:left="0" w:right="0" w:firstLine="720"/>
        <w:jc w:val="both"/>
        <w:rPr/>
      </w:pPr>
      <w:bookmarkStart w:id="347" w:name="i538260f91ea94c2ea4c0ec1d3911d1cb"/>
      <w:bookmarkEnd w:id="347"/>
      <w:r>
        <w:rPr>
          <w:rFonts w:ascii="Times New Roman;serif" w:hAnsi="Times New Roman;serif"/>
          <w:b w:val="false"/>
          <w:color w:val="000000"/>
          <w:sz w:val="24"/>
        </w:rPr>
        <w:t>Section 9.07</w:t>
      </w:r>
      <w:r>
        <w:rPr>
          <w:rFonts w:ascii="Times New Roman;serif" w:hAnsi="Times New Roman;serif"/>
          <w:b w:val="false"/>
          <w:color w:val="000000"/>
          <w:sz w:val="24"/>
          <w:u w:val="single"/>
        </w:rPr>
        <w:t>ERISA and Canadian Defined Benefit Plans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48" w:name="i9b1911d915094f478aeb9a295bf6c32e"/>
      <w:bookmarkEnd w:id="348"/>
      <w:r>
        <w:rPr>
          <w:rFonts w:ascii="Times New Roman;serif" w:hAnsi="Times New Roman;serif"/>
          <w:b w:val="false"/>
          <w:color w:val="000000"/>
          <w:sz w:val="24"/>
        </w:rPr>
        <w:t>(a)</w:t>
      </w:r>
      <w:r>
        <w:rPr>
          <w:rFonts w:ascii="Times New Roman;serif" w:hAnsi="Times New Roman;serif"/>
          <w:b w:val="false"/>
          <w:color w:val="000000"/>
          <w:sz w:val="24"/>
        </w:rPr>
        <w:t>Borrower shall not sponsor, maintain or contribute to, or agree to sponsor, maintain or contribute to, any Employee Benefit Plan whether or not subject to ERISA (or take any action or fail to take any action with respect to such Employee Benefit Plan), that could, individually or in the aggregate, reasonably be expected to have a Material Adverse Effect or result in the imposition of a Lien (other than Permitted Liens).</w:t>
      </w:r>
    </w:p>
    <w:p>
      <w:pPr>
        <w:pStyle w:val="TextBody"/>
        <w:bidi w:val="0"/>
        <w:spacing w:lineRule="auto" w:line="240" w:before="0" w:after="240"/>
        <w:ind w:left="0" w:right="0" w:firstLine="1440"/>
        <w:jc w:val="both"/>
        <w:rPr/>
      </w:pPr>
      <w:bookmarkStart w:id="349" w:name="i808d84bd2aaf47d7b053208758242309"/>
      <w:bookmarkEnd w:id="349"/>
      <w:r>
        <w:rPr>
          <w:rFonts w:ascii="Times New Roman;serif" w:hAnsi="Times New Roman;serif"/>
          <w:b w:val="false"/>
          <w:color w:val="000000"/>
          <w:sz w:val="24"/>
        </w:rPr>
        <w:t>(b)</w:t>
      </w:r>
      <w:r>
        <w:rPr>
          <w:rFonts w:ascii="Times New Roman;serif" w:hAnsi="Times New Roman;serif"/>
          <w:b w:val="false"/>
          <w:color w:val="000000"/>
          <w:sz w:val="24"/>
        </w:rPr>
        <w:t>Borrower shall not engage in a non-exempt prohibited transaction under Section 406 of ERISA or Section 4975 of the Code or in any transaction that, assuming that no assets of the Lenders are or are deemed to be Plan Assets, would cause any obligation or action taken or to be taken hereunder (or the exercise by a Lender of any of its rights under this Agreement or the other Loan Documents) to be a non-exempt prohibited transaction under such provisions.</w:t>
      </w:r>
    </w:p>
    <w:p>
      <w:pPr>
        <w:pStyle w:val="TextBody"/>
        <w:bidi w:val="0"/>
        <w:spacing w:lineRule="auto" w:line="240" w:before="0" w:after="240"/>
        <w:ind w:left="0" w:right="0" w:firstLine="1440"/>
        <w:jc w:val="both"/>
        <w:rPr/>
      </w:pPr>
      <w:bookmarkStart w:id="350" w:name="i5df94328550b47d3bb93a57f551775fb"/>
      <w:bookmarkEnd w:id="350"/>
      <w:r>
        <w:rPr>
          <w:rFonts w:ascii="Times New Roman;serif" w:hAnsi="Times New Roman;serif"/>
          <w:b w:val="false"/>
          <w:color w:val="000000"/>
          <w:sz w:val="24"/>
        </w:rPr>
        <w:t>(c)</w:t>
      </w:r>
      <w:r>
        <w:rPr>
          <w:rFonts w:ascii="Times New Roman;serif" w:hAnsi="Times New Roman;serif"/>
          <w:b w:val="false"/>
          <w:color w:val="000000"/>
          <w:sz w:val="24"/>
        </w:rPr>
        <w:t>Borrower shall not incur any liability with respect to any obligation to provide medical benefits with respect to any person beyond their retirement or other termination of service, other than coverage mandated by law, that could, individually or in the aggregate, reasonably be expected to have a Material Adverse Effect.</w:t>
      </w:r>
    </w:p>
    <w:p>
      <w:pPr>
        <w:pStyle w:val="TextBody"/>
        <w:bidi w:val="0"/>
        <w:spacing w:lineRule="auto" w:line="240" w:before="0" w:after="240"/>
        <w:ind w:left="0" w:right="0" w:firstLine="1440"/>
        <w:jc w:val="both"/>
        <w:rPr/>
      </w:pPr>
      <w:bookmarkStart w:id="351" w:name="i8fc6869344a745d5b3c3e226cc21ac6f"/>
      <w:bookmarkEnd w:id="351"/>
      <w:r>
        <w:rPr>
          <w:rFonts w:ascii="Times New Roman;serif" w:hAnsi="Times New Roman;serif"/>
          <w:b w:val="false"/>
          <w:color w:val="000000"/>
          <w:sz w:val="24"/>
        </w:rPr>
        <w:t>(d)</w:t>
      </w:r>
      <w:r>
        <w:rPr>
          <w:rFonts w:ascii="Times New Roman;serif" w:hAnsi="Times New Roman;serif"/>
          <w:b w:val="false"/>
          <w:color w:val="000000"/>
          <w:sz w:val="24"/>
        </w:rPr>
        <w:t>The Borrower will not sponsor, maintain, contribute to, or otherwise incur liability under any Canadian Defined Benefit Plan.</w:t>
      </w:r>
    </w:p>
    <w:p>
      <w:pPr>
        <w:pStyle w:val="TextBody"/>
        <w:bidi w:val="0"/>
        <w:spacing w:lineRule="auto" w:line="240" w:before="0" w:after="0"/>
        <w:ind w:left="0" w:right="0" w:firstLine="720"/>
        <w:jc w:val="both"/>
        <w:rPr/>
      </w:pPr>
      <w:bookmarkStart w:id="352" w:name="ic34d7921e7ab4438bd62a332fcc3bebc"/>
      <w:bookmarkEnd w:id="352"/>
      <w:r>
        <w:rPr>
          <w:rFonts w:ascii="Times New Roman;serif" w:hAnsi="Times New Roman;serif"/>
          <w:b w:val="false"/>
          <w:color w:val="000000"/>
          <w:sz w:val="24"/>
        </w:rPr>
        <w:t>Section 9.08</w:t>
      </w:r>
      <w:r>
        <w:rPr>
          <w:rFonts w:ascii="Times New Roman;serif" w:hAnsi="Times New Roman;serif"/>
          <w:b w:val="false"/>
          <w:color w:val="000000"/>
          <w:sz w:val="24"/>
          <w:u w:val="single"/>
        </w:rPr>
        <w:t>Dividends and Distributions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Borrower will not, directly or indirectly, make any dividends or other distributions to holders of its Capital Stock.</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40" w:before="0" w:after="0"/>
        <w:ind w:left="0" w:right="0" w:firstLine="720"/>
        <w:jc w:val="both"/>
        <w:rPr/>
      </w:pPr>
      <w:bookmarkStart w:id="353" w:name="icbeb16f10aee4af2b3428d52f52c67cb"/>
      <w:bookmarkEnd w:id="353"/>
      <w:r>
        <w:rPr>
          <w:rFonts w:ascii="Times New Roman;serif" w:hAnsi="Times New Roman;serif"/>
          <w:b w:val="false"/>
          <w:color w:val="000000"/>
          <w:sz w:val="24"/>
        </w:rPr>
        <w:t>Section 9.09</w:t>
      </w:r>
      <w:r>
        <w:rPr>
          <w:rFonts w:ascii="Times New Roman;serif" w:hAnsi="Times New Roman;serif"/>
          <w:b w:val="false"/>
          <w:color w:val="000000"/>
          <w:sz w:val="24"/>
          <w:u w:val="single"/>
        </w:rPr>
        <w:t>Power of Attorney</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Borrower acknowledges and agrees that damages may be difficult to establish and Administrative Agent and Lenders will have no adequate remedy at law if Borrower fails to enforce the obligations under Sections 4.01 and 4.03 of the Sale Agreement. In such event, Borrower agrees that the other Parties shall have the right, in addition to any other rights it may have (whether at law or in equity), to seek specific performance of this Agreement and Sections 4.01 and 4.03 of the Sale Agreement and to pursue any other equitable remedies including an injunction, without being required to prove actual damages or post any bond. In furtherance of the foregoing, Borrower hereby designates, makes, constitutes and appoints Administrative Agent, and each of its designees or agents, as its true and lawful proxy and attorney-in-fact (coupled with an interest), irrevocably and with power of substitution, and with authority to take any and all appropriate action and to execute any and all documents and instruments that may be necessary to cause this Agreement and/or Sections 4.01 and 4.03 of the Sale Agreement to be specifically performed by Borrower or to seek an injunction against any pending or proposed violation of this Agreement and/or Sections 4.01 and 4.03 of the Sale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POWER OF ATTORNEY GRANTED IN THIS SECTION IS COUPLED WITH AN INTEREST AND SHALL BE IRREVOCABLE UNTIL PAYMENT IN FULL. THIS POWER OF ATTORNEY IS CONFERRED ON THE ADMINISTRATIVE AGENT SOLELY, DURING THE CONTINUANCE OF AN EVENT OF DEFAULT, TO PROTECT, PRESERVE AND REALIZE UPON ITS RIGHTS UNDER THIS AGREEMENT AND SHALL NOT IMPOSE ANY DUTY UPON THE ADMINISTRATIVE AGENT TO EXERCISE ANY SUCH POWERS.</w:t>
      </w:r>
    </w:p>
    <w:p>
      <w:pPr>
        <w:pStyle w:val="TextBody"/>
        <w:bidi w:val="0"/>
        <w:spacing w:lineRule="auto" w:line="240" w:before="0" w:after="240"/>
        <w:jc w:val="center"/>
        <w:rPr/>
      </w:pPr>
      <w:bookmarkStart w:id="354" w:name="i0c84c37c981d454788dbaeaba6d974dc"/>
      <w:bookmarkEnd w:id="354"/>
      <w:r>
        <w:rPr>
          <w:rFonts w:ascii="Times New Roman;serif" w:hAnsi="Times New Roman;serif"/>
          <w:b/>
          <w:color w:val="000000"/>
          <w:sz w:val="24"/>
        </w:rPr>
        <w:t>Article X</w:t>
      </w:r>
      <w:r>
        <w:rPr>
          <w:rFonts w:ascii="Times New Roman;serif" w:hAnsi="Times New Roman;serif"/>
          <w:b/>
          <w:color w:val="000000"/>
          <w:sz w:val="24"/>
        </w:rPr>
        <w:br/>
        <w:t>EVENTS OF DEFAULT</w:t>
      </w:r>
    </w:p>
    <w:p>
      <w:pPr>
        <w:pStyle w:val="TextBody"/>
        <w:bidi w:val="0"/>
        <w:spacing w:lineRule="auto" w:line="240" w:before="0" w:after="0"/>
        <w:ind w:left="0" w:right="0" w:firstLine="720"/>
        <w:jc w:val="both"/>
        <w:rPr/>
      </w:pPr>
      <w:bookmarkStart w:id="355" w:name="i6f5eb43b8a794193882f19402129ca84"/>
      <w:bookmarkEnd w:id="355"/>
      <w:r>
        <w:rPr>
          <w:rFonts w:ascii="Times New Roman;serif" w:hAnsi="Times New Roman;serif"/>
          <w:b w:val="false"/>
          <w:color w:val="000000"/>
          <w:sz w:val="24"/>
        </w:rPr>
        <w:t>Section 10.01</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If one or more of Events of Default occurs and is continuing, Administrative Agent shall be entitled to the remedies set forth in </w:t>
      </w:r>
      <w:r>
        <w:rPr>
          <w:rFonts w:ascii="Times New Roman;serif" w:hAnsi="Times New Roman;serif"/>
          <w:b w:val="false"/>
          <w:color w:val="000000"/>
          <w:sz w:val="24"/>
          <w:u w:val="single"/>
        </w:rPr>
        <w:t>Section 10.02</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356" w:name="ie9fe7b9c2b2e498089b6cf938796de65"/>
      <w:bookmarkEnd w:id="356"/>
      <w:r>
        <w:rPr>
          <w:rFonts w:ascii="Times New Roman;serif" w:hAnsi="Times New Roman;serif"/>
          <w:b w:val="false"/>
          <w:color w:val="000000"/>
          <w:sz w:val="24"/>
        </w:rPr>
        <w:t>Section 10.02</w:t>
      </w:r>
      <w:r>
        <w:rPr>
          <w:rFonts w:ascii="Times New Roman;serif" w:hAnsi="Times New Roman;serif"/>
          <w:b w:val="false"/>
          <w:color w:val="000000"/>
          <w:sz w:val="24"/>
          <w:u w:val="single"/>
        </w:rPr>
        <w:t>Default Remedies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If any Event of Default shall occur and be continuing, Administrative Agent may, or at the direction of the Required Lenders shall, by Notice to Borrower, (a) exercise all rights and remedies available to Administrative Agent or the Lenders hereunder and under the other Loan Documents and applicable law (which exercise may be determined in its sole discretion and which such exercise shall not constitute an election of remedies), including enforcement of the security interests created thereby and the appointment of any receiver or receiver-manager, (b) declare the Term Loans, all interest thereon and all other Obligations to be immediately due and payable, whereupon all such amounts shall become immediately due and payable, all without diligence, presentment, demand of payment, protest or further notice of any kind, which are expressly waived by Borrower, (c) declare the obligations of the Lenders hereunder to be terminated, whereupon such obligations shall terminate and (d) exercise all voting rights and other rights of control in respect of the Capital Stock of Borrower and Borrower GP provided under the Pledge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any event of any kind referred to in clause (i) of the definition of “Event of Default” herein occurs with respect to Borrower, the obligations of the Lender hereunder shall immediately terminate, all amounts payable hereunder by Borrower shall become immediately due and payable and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Administrative Agent shall be entitled to exercise rights and remedies under the Loan Documents and applicable law without diligence, presentment, demand of payment, protest or notice of any kind (including any notice by Administrative Agent or the Required Lenders of a declaration requiring prepayment of the Term Loans under </w:t>
      </w:r>
      <w:r>
        <w:rPr>
          <w:rFonts w:ascii="Times New Roman;serif" w:hAnsi="Times New Roman;serif"/>
          <w:b w:val="false"/>
          <w:color w:val="000000"/>
          <w:sz w:val="24"/>
          <w:u w:val="single"/>
        </w:rPr>
        <w:t>Section 3.02</w:t>
      </w:r>
      <w:r>
        <w:rPr>
          <w:rFonts w:ascii="Times New Roman;serif" w:hAnsi="Times New Roman;serif"/>
          <w:b w:val="false"/>
          <w:color w:val="000000"/>
          <w:sz w:val="24"/>
        </w:rPr>
        <w:t xml:space="preserve">, should Administrative Agent or Required Lenders so elect), all of which are hereby expressly waived by Borrower. Each Notice delivered pursuant to this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shall be effective when sent.</w:t>
      </w:r>
    </w:p>
    <w:p>
      <w:pPr>
        <w:pStyle w:val="TextBody"/>
        <w:bidi w:val="0"/>
        <w:spacing w:lineRule="auto" w:line="240" w:before="0" w:after="0"/>
        <w:ind w:left="0" w:right="0" w:firstLine="720"/>
        <w:jc w:val="both"/>
        <w:rPr/>
      </w:pPr>
      <w:bookmarkStart w:id="357" w:name="i4091516e6ecc4006ad91e8eeacae219b"/>
      <w:bookmarkEnd w:id="357"/>
      <w:r>
        <w:rPr>
          <w:rFonts w:ascii="Times New Roman;serif" w:hAnsi="Times New Roman;serif"/>
          <w:b w:val="false"/>
          <w:color w:val="000000"/>
          <w:sz w:val="24"/>
        </w:rPr>
        <w:t>Section 10.03</w:t>
      </w:r>
      <w:r>
        <w:rPr>
          <w:rFonts w:ascii="Times New Roman;serif" w:hAnsi="Times New Roman;serif"/>
          <w:b w:val="false"/>
          <w:color w:val="000000"/>
          <w:sz w:val="24"/>
          <w:u w:val="single"/>
        </w:rPr>
        <w:t>Right of Set-off; Sharing of Set-off</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58" w:name="ida79a4a65d594b90b93d6345df0a96ce"/>
      <w:bookmarkEnd w:id="358"/>
      <w:r>
        <w:rPr>
          <w:rFonts w:ascii="Times New Roman;serif" w:hAnsi="Times New Roman;serif"/>
          <w:b w:val="false"/>
          <w:color w:val="000000"/>
          <w:sz w:val="24"/>
        </w:rPr>
        <w:t>(a)</w:t>
      </w:r>
      <w:r>
        <w:rPr>
          <w:rFonts w:ascii="Times New Roman;serif" w:hAnsi="Times New Roman;serif"/>
          <w:b w:val="false"/>
          <w:color w:val="000000"/>
          <w:sz w:val="24"/>
        </w:rPr>
        <w:t xml:space="preserve">If any amount payable hereunder is not paid as and when due, Borrower irrevocably authorizes Administrative Agent and each Lender (i) to proceed, to the fullest extent permitted by Applicable Law, without prior notice, by right of set-off, bankers’ lien, counterclaim or otherwise, against any assets of Borrower in any currency that may at any time be in the possession of Administrative Agent or such Lender or any Affiliate thereof, to the full extent of all amounts payable to Administrative Agent or such Lender hereunder or (ii) to charge to Borrower’s account with Administrative Agent or such Lender, or any Affiliate of thereof, to the full extent of all amounts payable by Borrower to Administrative Agent or such Lender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Administrative Agent or such Lender shall notify Borrower of the exercise of such right promptly following such exercise.</w:t>
      </w:r>
    </w:p>
    <w:p>
      <w:pPr>
        <w:pStyle w:val="TextBody"/>
        <w:bidi w:val="0"/>
        <w:spacing w:lineRule="auto" w:line="240" w:before="0" w:after="240"/>
        <w:ind w:left="0" w:right="0" w:firstLine="1440"/>
        <w:jc w:val="both"/>
        <w:rPr/>
      </w:pPr>
      <w:bookmarkStart w:id="359" w:name="if21feeda10034745adffa002c4b522a8"/>
      <w:bookmarkEnd w:id="359"/>
      <w:r>
        <w:rPr>
          <w:rFonts w:ascii="Times New Roman;serif" w:hAnsi="Times New Roman;serif"/>
          <w:b w:val="false"/>
          <w:color w:val="000000"/>
          <w:sz w:val="24"/>
        </w:rPr>
        <w:t>(b)</w:t>
      </w:r>
      <w:r>
        <w:rPr>
          <w:rFonts w:ascii="Times New Roman;serif" w:hAnsi="Times New Roman;serif"/>
          <w:b w:val="false"/>
          <w:color w:val="000000"/>
          <w:sz w:val="24"/>
        </w:rPr>
        <w:t xml:space="preserve">Any payments obtained under this </w:t>
      </w:r>
      <w:r>
        <w:rPr>
          <w:rFonts w:ascii="Times New Roman;serif" w:hAnsi="Times New Roman;serif"/>
          <w:b w:val="false"/>
          <w:color w:val="000000"/>
          <w:sz w:val="24"/>
          <w:u w:val="single"/>
        </w:rPr>
        <w:t>Section 10.03</w:t>
      </w:r>
      <w:r>
        <w:rPr>
          <w:color w:val="000000"/>
        </w:rPr>
        <w:t xml:space="preserve"> </w:t>
      </w:r>
      <w:r>
        <w:rPr>
          <w:rFonts w:ascii="Times New Roman;serif" w:hAnsi="Times New Roman;serif"/>
          <w:b w:val="false"/>
          <w:color w:val="000000"/>
          <w:sz w:val="24"/>
        </w:rPr>
        <w:t xml:space="preserve">shall be subject to the provisions of </w:t>
      </w:r>
      <w:r>
        <w:rPr>
          <w:rFonts w:ascii="Times New Roman;serif" w:hAnsi="Times New Roman;serif"/>
          <w:b w:val="false"/>
          <w:color w:val="000000"/>
          <w:sz w:val="24"/>
          <w:u w:val="single"/>
        </w:rPr>
        <w:t>Section 4.05(c)</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360" w:name="ib41ba34d449b4751b3b655abb948935a"/>
      <w:bookmarkEnd w:id="360"/>
      <w:r>
        <w:rPr>
          <w:rFonts w:ascii="Times New Roman;serif" w:hAnsi="Times New Roman;serif"/>
          <w:b w:val="false"/>
          <w:color w:val="000000"/>
          <w:sz w:val="24"/>
        </w:rPr>
        <w:t>Section 10.04</w:t>
      </w:r>
      <w:r>
        <w:rPr>
          <w:rFonts w:ascii="Times New Roman;serif" w:hAnsi="Times New Roman;serif"/>
          <w:b w:val="false"/>
          <w:color w:val="000000"/>
          <w:sz w:val="24"/>
          <w:u w:val="single"/>
        </w:rPr>
        <w:t>Rights Not Exclusive</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rights provided for herein are cumulative and are not exclusive of any other rights, powers, privileges or remedies provided by Law.</w:t>
      </w:r>
    </w:p>
    <w:p>
      <w:pPr>
        <w:pStyle w:val="TextBody"/>
        <w:bidi w:val="0"/>
        <w:spacing w:lineRule="auto" w:line="240" w:before="0" w:after="240"/>
        <w:jc w:val="center"/>
        <w:rPr/>
      </w:pPr>
      <w:bookmarkStart w:id="361" w:name="i7283ea2bacc947d29adfc6ebe27dc2d5"/>
      <w:bookmarkEnd w:id="361"/>
      <w:r>
        <w:rPr>
          <w:rFonts w:ascii="Times New Roman;serif" w:hAnsi="Times New Roman;serif"/>
          <w:b/>
          <w:color w:val="000000"/>
          <w:sz w:val="24"/>
        </w:rPr>
        <w:t>Article XI</w:t>
      </w:r>
      <w:r>
        <w:rPr>
          <w:rFonts w:ascii="Times New Roman;serif" w:hAnsi="Times New Roman;serif"/>
          <w:b/>
          <w:color w:val="000000"/>
          <w:sz w:val="24"/>
        </w:rPr>
        <w:br/>
        <w:t>INDEMNIFICATION</w:t>
      </w:r>
    </w:p>
    <w:p>
      <w:pPr>
        <w:pStyle w:val="TextBody"/>
        <w:bidi w:val="0"/>
        <w:spacing w:lineRule="auto" w:line="240" w:before="0" w:after="0"/>
        <w:ind w:left="0" w:right="0" w:firstLine="720"/>
        <w:jc w:val="both"/>
        <w:rPr/>
      </w:pPr>
      <w:bookmarkStart w:id="362" w:name="ida6535f2679a450cae7a7c5e0dd26c49"/>
      <w:bookmarkEnd w:id="362"/>
      <w:r>
        <w:rPr>
          <w:rFonts w:ascii="Times New Roman;serif" w:hAnsi="Times New Roman;serif"/>
          <w:b w:val="false"/>
          <w:color w:val="000000"/>
          <w:sz w:val="24"/>
        </w:rPr>
        <w:t>Section 11.01</w:t>
      </w:r>
      <w:r>
        <w:rPr>
          <w:rFonts w:ascii="Times New Roman;serif" w:hAnsi="Times New Roman;serif"/>
          <w:b w:val="false"/>
          <w:color w:val="000000"/>
          <w:sz w:val="24"/>
          <w:u w:val="single"/>
        </w:rPr>
        <w:t>Losses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63" w:name="i2e35256a484a4e33b462af8f5c4dc569"/>
      <w:bookmarkEnd w:id="363"/>
      <w:r>
        <w:rPr>
          <w:rFonts w:ascii="Times New Roman;serif" w:hAnsi="Times New Roman;serif"/>
          <w:b w:val="false"/>
          <w:color w:val="000000"/>
          <w:sz w:val="24"/>
        </w:rPr>
        <w:t>(a)</w:t>
      </w:r>
      <w:r>
        <w:rPr>
          <w:rFonts w:ascii="Times New Roman;serif" w:hAnsi="Times New Roman;serif"/>
          <w:b w:val="false"/>
          <w:color w:val="000000"/>
          <w:sz w:val="24"/>
        </w:rPr>
        <w:t xml:space="preserve">Borrower agrees to defend (subject to Indemnitees’ selection of counsel), indemnify, pay and hold harmless, each Indemnitee from and against any and all Indemnified Liabilities, in all cases, arising, in whole or in part, out of or relating to any claim, notice, suit or proceeding commenced or threatened in writing (including, without limitation, by electronic means) by any Person (including any Governmental Authority) other than Borrower, Company or any of Administrative Agent’s or Lender’s Affiliates;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Borrower shall not have any obligation to any Indemnitee hereunder with respect to any Indemnified Liabilities to the extent such Indemnified Liabilities arise from the gross negligence or willful misconduct of such Indemnitee or the breach by Lender of its obligations to make the Term Loan. To the extent that the undertakings to defend, indemnify, pay and hold harmless set forth in this </w:t>
      </w:r>
      <w:r>
        <w:rPr>
          <w:rFonts w:ascii="Times New Roman;serif" w:hAnsi="Times New Roman;serif"/>
          <w:b w:val="false"/>
          <w:color w:val="000000"/>
          <w:sz w:val="24"/>
          <w:u w:val="single"/>
        </w:rPr>
        <w:t>Section 11.01</w:t>
      </w:r>
      <w:r>
        <w:rPr>
          <w:color w:val="000000"/>
        </w:rPr>
        <w:t xml:space="preserve"> </w:t>
      </w:r>
      <w:r>
        <w:rPr>
          <w:rFonts w:ascii="Times New Roman;serif" w:hAnsi="Times New Roman;serif"/>
          <w:b w:val="false"/>
          <w:color w:val="000000"/>
          <w:sz w:val="24"/>
        </w:rPr>
        <w:t xml:space="preserve">may be unenforceable in whole or in part because they violate of any law or public policy, Borrower shall contribute the maximum portion that it is permitted to pay and satisfy under applicable law to the payment and satisfaction of all Indemnified Liabilities incurred by Indemnitees or any of them. This </w:t>
      </w:r>
      <w:r>
        <w:rPr>
          <w:rFonts w:ascii="Times New Roman;serif" w:hAnsi="Times New Roman;serif"/>
          <w:b w:val="false"/>
          <w:color w:val="000000"/>
          <w:sz w:val="24"/>
          <w:u w:val="single"/>
        </w:rPr>
        <w:t>Section 11.01</w:t>
      </w:r>
      <w:r>
        <w:rPr>
          <w:color w:val="000000"/>
        </w:rPr>
        <w:t xml:space="preserve"> </w:t>
      </w:r>
      <w:r>
        <w:rPr>
          <w:rFonts w:ascii="Times New Roman;serif" w:hAnsi="Times New Roman;serif"/>
          <w:b w:val="false"/>
          <w:color w:val="000000"/>
          <w:sz w:val="24"/>
        </w:rPr>
        <w:t>shall not apply with respect to Taxes other than any Taxes that represent losses, claims, damages, etc. arising from any non-Tax claim.</w:t>
      </w:r>
    </w:p>
    <w:p>
      <w:pPr>
        <w:pStyle w:val="TextBody"/>
        <w:bidi w:val="0"/>
        <w:spacing w:lineRule="auto" w:line="240" w:before="0" w:after="240"/>
        <w:ind w:left="0" w:right="0" w:firstLine="1440"/>
        <w:jc w:val="both"/>
        <w:rPr/>
      </w:pPr>
      <w:bookmarkStart w:id="364" w:name="ia40d1cec8c4f4a7795668c977eb5c8ca"/>
      <w:bookmarkEnd w:id="364"/>
      <w:r>
        <w:rPr>
          <w:rFonts w:ascii="Times New Roman;serif" w:hAnsi="Times New Roman;serif"/>
          <w:b w:val="false"/>
          <w:color w:val="000000"/>
          <w:sz w:val="24"/>
        </w:rPr>
        <w:t>(b)</w:t>
      </w:r>
      <w:r>
        <w:rPr>
          <w:rFonts w:ascii="Times New Roman;serif" w:hAnsi="Times New Roman;serif"/>
          <w:b w:val="false"/>
          <w:color w:val="000000"/>
          <w:sz w:val="24"/>
        </w:rPr>
        <w:t xml:space="preserve">To the extent permitted by applicable law, no Party shall assert, and each Party hereby waives, any claim against each other Party and such Party’s Affiliates, directors, employees, attorneys or agents, on any theory of liability, for special, indirect, consequential or punitive damages (as opposed to direct or actual damages) (whether or not the claim therefor is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the Term Loans or the use of the proceeds thereof or any act or omission or event occurring in connection therewith, and each Party hereby waives, releases and agrees not to sue upon any such claim or any such damages, whether or not accrued and whether or not known or suspected to exist in its favor.</w:t>
      </w:r>
    </w:p>
    <w:p>
      <w:pPr>
        <w:pStyle w:val="TextBody"/>
        <w:bidi w:val="0"/>
        <w:spacing w:lineRule="auto" w:line="240" w:before="0" w:after="0"/>
        <w:ind w:left="0" w:right="0" w:firstLine="720"/>
        <w:jc w:val="both"/>
        <w:rPr/>
      </w:pPr>
      <w:bookmarkStart w:id="365" w:name="i6631d8133cf1444588a8afd9c07e78a0"/>
      <w:bookmarkEnd w:id="365"/>
      <w:r>
        <w:rPr>
          <w:rFonts w:ascii="Times New Roman;serif" w:hAnsi="Times New Roman;serif"/>
          <w:b w:val="false"/>
          <w:color w:val="000000"/>
          <w:sz w:val="24"/>
        </w:rPr>
        <w:t>Section 11.02</w:t>
      </w:r>
      <w:r>
        <w:rPr>
          <w:rFonts w:ascii="Times New Roman;serif" w:hAnsi="Times New Roman;serif"/>
          <w:b w:val="false"/>
          <w:color w:val="000000"/>
          <w:sz w:val="24"/>
          <w:u w:val="single"/>
        </w:rPr>
        <w:t>Assumption of Defense; Settlements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If Administrative Agent or any Lender is entitled to indemnification under this </w:t>
      </w:r>
      <w:r>
        <w:rPr>
          <w:rFonts w:ascii="Times New Roman;serif" w:hAnsi="Times New Roman;serif"/>
          <w:b w:val="false"/>
          <w:color w:val="000000"/>
          <w:sz w:val="24"/>
          <w:u w:val="single"/>
        </w:rPr>
        <w:t xml:space="preserve">Article XI </w:t>
      </w:r>
      <w:r>
        <w:rPr>
          <w:rFonts w:ascii="Times New Roman;serif" w:hAnsi="Times New Roman;serif"/>
          <w:b w:val="false"/>
          <w:color w:val="000000"/>
          <w:sz w:val="24"/>
        </w:rPr>
        <w:t xml:space="preserve">with respect to any action or proceeding brought by a third party that is also brought against Borrower, Borrower shall be entitled to assume the defense of any such action or proceeding with counsel reasonably satisfactory to Administrative Agent and/or such Lender. Upon assumption by Borrower of the defense of any such action or proceeding, Administrative Agent and/or Lender, as applicable, shall have the right to participate in such action or proceeding and to retain its own counsel but Borrower shall not be liable for any legal expenses of other counsel subsequently incurred by such Party in connection with the defense thereof unless (i) Borrower has otherwise agreed to pay such fees and expenses, (ii) Borrower shall have failed to employ counsel reasonably satisfactory to Administrative Agent and/or Lender, as applicable, in a timely manner or (iii) Administrative Agent and/or Lender, as applicable, shall have been advised by counsel that there are actual or potential conflicting interests between Borrower and Administrative Agent or Lender, as applicable, including situations in which there are one or more legal defenses available to Administrative Agent and/or Lender, as applicable, that are different from or additional to those available to Borrower;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Borrower shall not, in connection with any one such action or proceeding or separate but substantially similar actions or proceedings arising out of the same general allegations, be liable for the fees and expenses of more than one separate firm of attorneys at any time for Administrative Agent and/or Lender, as applicable, except to the extent that local counsel, in addition to its regular counsel, is required in order to effectively defend against such action or proceeding. Borrower shall not consent to the terms of any compromise or settlement of any action defended by Borrower in accordance with the foregoing without the prior written consent of Administrative Agent and/or Lender, as applicable, unless such compromise or settlement (x) includes an unconditional release of Administrative Agent and/or Lender, as applicable, from all liability arising out of such action and (y) does not include a statement as to or an admission of fault, culpability or a failure to act, by or on behalf of Administrative Agent and/or Lender, as applicable. Borrower shall not be required to indemnify Administrative Agent or Lender for any amount paid or payable by Administrative Agent or Lender in the settlement of any action, proceeding or investigation without the written consent of Borrower, which consent shall not be unreasonably withheld, conditioned or delayed.</w:t>
      </w:r>
    </w:p>
    <w:p>
      <w:pPr>
        <w:pStyle w:val="TextBody"/>
        <w:bidi w:val="0"/>
        <w:spacing w:lineRule="auto" w:line="240" w:before="0" w:after="0"/>
        <w:ind w:left="0" w:right="0" w:firstLine="720"/>
        <w:jc w:val="both"/>
        <w:rPr/>
      </w:pPr>
      <w:bookmarkStart w:id="366" w:name="i5c3c11d8adab48ae8b960d6ff62c1c90"/>
      <w:bookmarkEnd w:id="366"/>
      <w:r>
        <w:rPr>
          <w:rFonts w:ascii="Times New Roman;serif" w:hAnsi="Times New Roman;serif"/>
          <w:b w:val="false"/>
          <w:color w:val="000000"/>
          <w:sz w:val="24"/>
        </w:rPr>
        <w:t>Section 11.03</w:t>
      </w:r>
      <w:r>
        <w:rPr>
          <w:rFonts w:ascii="Times New Roman;serif" w:hAnsi="Times New Roman;serif"/>
          <w:b w:val="false"/>
          <w:color w:val="000000"/>
          <w:sz w:val="24"/>
          <w:u w:val="single"/>
        </w:rPr>
        <w:t>Judgment Currency</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If, for the purposes of obtaining judgment in any court, it is necessary to convert a sum due hereunder or any other Transaction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in respect of such sum due from it to the Administrative Agent or the Lenders hereunder or under the other Transaction Documents shall, notwithstanding any judgment in a currency (the “</w:t>
      </w:r>
      <w:r>
        <w:rPr>
          <w:rFonts w:ascii="Times New Roman;serif" w:hAnsi="Times New Roman;serif"/>
          <w:b w:val="false"/>
          <w:color w:val="000000"/>
          <w:sz w:val="24"/>
          <w:u w:val="single"/>
        </w:rPr>
        <w:t>Judgment Currency</w:t>
      </w:r>
      <w:r>
        <w:rPr>
          <w:color w:val="000000"/>
        </w:rPr>
        <w:t>”</w:t>
      </w:r>
      <w:r>
        <w:rPr>
          <w:rFonts w:ascii="Times New Roman;serif" w:hAnsi="Times New Roman;serif"/>
          <w:b w:val="false"/>
          <w:color w:val="000000"/>
          <w:sz w:val="24"/>
        </w:rPr>
        <w:t>) other than that in which such sum is denominated in accordance with the applicable provisions of this Agreement (the “</w:t>
      </w:r>
      <w:r>
        <w:rPr>
          <w:rFonts w:ascii="Times New Roman;serif" w:hAnsi="Times New Roman;serif"/>
          <w:b w:val="false"/>
          <w:color w:val="000000"/>
          <w:sz w:val="24"/>
          <w:u w:val="single"/>
        </w:rPr>
        <w:t>Agreement Currency</w:t>
      </w:r>
      <w:r>
        <w:rPr>
          <w:color w:val="000000"/>
        </w:rPr>
        <w:t>”</w:t>
      </w:r>
      <w:r>
        <w:rPr>
          <w:rFonts w:ascii="Times New Roman;serif" w:hAnsi="Times New Roman;serif"/>
          <w:b w:val="false"/>
          <w:color w:val="000000"/>
          <w:sz w:val="24"/>
        </w:rPr>
        <w:t xml:space="preserve">), be discharged only to the extent that on the Business Day following receipt by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pStyle w:val="TextBody"/>
        <w:bidi w:val="0"/>
        <w:spacing w:lineRule="auto" w:line="240" w:before="0" w:after="240"/>
        <w:jc w:val="center"/>
        <w:rPr/>
      </w:pPr>
      <w:bookmarkStart w:id="367" w:name="ia6b93d96c7494467834a993dc86cfd3a"/>
      <w:bookmarkEnd w:id="367"/>
      <w:r>
        <w:rPr>
          <w:rFonts w:ascii="Times New Roman;serif" w:hAnsi="Times New Roman;serif"/>
          <w:b/>
          <w:color w:val="000000"/>
          <w:sz w:val="24"/>
        </w:rPr>
        <w:t>Article XII</w:t>
      </w:r>
      <w:r>
        <w:rPr>
          <w:rFonts w:ascii="Times New Roman;serif" w:hAnsi="Times New Roman;serif"/>
          <w:b/>
          <w:color w:val="000000"/>
          <w:sz w:val="24"/>
        </w:rPr>
        <w:br/>
        <w:t>ADMINISTRATIVE AGENT</w:t>
      </w:r>
    </w:p>
    <w:p>
      <w:pPr>
        <w:pStyle w:val="TextBody"/>
        <w:bidi w:val="0"/>
        <w:spacing w:lineRule="auto" w:line="240" w:before="0" w:after="0"/>
        <w:ind w:left="0" w:right="0" w:firstLine="720"/>
        <w:jc w:val="both"/>
        <w:rPr/>
      </w:pPr>
      <w:bookmarkStart w:id="368" w:name="ie2dff11ef488410289526559dfd21abe"/>
      <w:bookmarkEnd w:id="368"/>
      <w:r>
        <w:rPr>
          <w:rFonts w:ascii="Times New Roman;serif" w:hAnsi="Times New Roman;serif"/>
          <w:b w:val="false"/>
          <w:color w:val="000000"/>
          <w:sz w:val="24"/>
        </w:rPr>
        <w:t>Section 12.01</w:t>
      </w:r>
      <w:r>
        <w:rPr>
          <w:rFonts w:ascii="Times New Roman;serif" w:hAnsi="Times New Roman;serif"/>
          <w:b w:val="false"/>
          <w:color w:val="000000"/>
          <w:sz w:val="24"/>
          <w:u w:val="single"/>
        </w:rPr>
        <w:t>Appointment of Administrative Agent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69" w:name="iaa7de49e31ba4d4c9dcd1daa5047f17f"/>
      <w:bookmarkEnd w:id="369"/>
      <w:r>
        <w:rPr>
          <w:rFonts w:ascii="Times New Roman;serif" w:hAnsi="Times New Roman;serif"/>
          <w:b w:val="false"/>
          <w:color w:val="000000"/>
          <w:sz w:val="24"/>
        </w:rPr>
        <w:t>(a)</w:t>
      </w:r>
      <w:r>
        <w:rPr>
          <w:rFonts w:ascii="Times New Roman;serif" w:hAnsi="Times New Roman;serif"/>
          <w:b w:val="false"/>
          <w:color w:val="000000"/>
          <w:sz w:val="24"/>
        </w:rPr>
        <w:t>Royalty Pharma is hereby appointed Administrative Agent hereunder and under the other Loan Documents and each Lender hereby authorizes Royalty Pharma, in such capacity, to act as its agent in accordance with the terms hereof and the other Loan Documents to perform, exercise and enforce any and all other rights and remedies of the Lenders with respect to the Loan Parties, the Obligations or otherwise related to any of same to the extent reasonably incidental to the exercise by Administrative Agent of the rights and remedies specifically authorized to be exercised by Administrative Agent by the terms of this Agreement or any other Loan Parties.</w:t>
      </w:r>
    </w:p>
    <w:p>
      <w:pPr>
        <w:pStyle w:val="TextBody"/>
        <w:bidi w:val="0"/>
        <w:spacing w:lineRule="auto" w:line="240" w:before="0" w:after="240"/>
        <w:ind w:left="0" w:right="0" w:firstLine="1440"/>
        <w:jc w:val="both"/>
        <w:rPr/>
      </w:pPr>
      <w:bookmarkStart w:id="370" w:name="i19c44e740f9d472b92a1733a9277d894"/>
      <w:bookmarkEnd w:id="370"/>
      <w:r>
        <w:rPr>
          <w:rFonts w:ascii="Times New Roman;serif" w:hAnsi="Times New Roman;serif"/>
          <w:b w:val="false"/>
          <w:color w:val="000000"/>
          <w:sz w:val="24"/>
        </w:rPr>
        <w:t>(b)</w:t>
      </w:r>
      <w:r>
        <w:rPr>
          <w:rFonts w:ascii="Times New Roman;serif" w:hAnsi="Times New Roman;serif"/>
          <w:b w:val="false"/>
          <w:color w:val="000000"/>
          <w:sz w:val="24"/>
        </w:rPr>
        <w:t>Administrative Agent hereby agrees to act upon the express conditions contained herein and the other Loan Documents, as applicable. The provisions of this Article XII are solely for the benefit of Administrative Agent and Lenders and no Loan Party shall have any rights as a third party beneficiary of any of the provisions thereof. In performing its functions and duties hereunder, Administrative Agent shall act solely as an agent of Lenders and does not assume and shall not be deemed to have assumed any obligation towards or relationship of agency or trust with or for Borrower or any of its Subsidiaries.</w:t>
      </w:r>
    </w:p>
    <w:p>
      <w:pPr>
        <w:pStyle w:val="TextBody"/>
        <w:bidi w:val="0"/>
        <w:spacing w:lineRule="auto" w:line="240" w:before="0" w:after="0"/>
        <w:ind w:left="0" w:right="0" w:firstLine="720"/>
        <w:jc w:val="both"/>
        <w:rPr/>
      </w:pPr>
      <w:bookmarkStart w:id="371" w:name="ieba108f07494486084287f002d0a63eb"/>
      <w:bookmarkEnd w:id="371"/>
      <w:r>
        <w:rPr>
          <w:rFonts w:ascii="Times New Roman;serif" w:hAnsi="Times New Roman;serif"/>
          <w:b w:val="false"/>
          <w:color w:val="000000"/>
          <w:sz w:val="24"/>
        </w:rPr>
        <w:t>Section 12.02</w:t>
      </w:r>
      <w:r>
        <w:rPr>
          <w:rFonts w:ascii="Times New Roman;serif" w:hAnsi="Times New Roman;serif"/>
          <w:b w:val="false"/>
          <w:color w:val="000000"/>
          <w:sz w:val="24"/>
          <w:u w:val="single"/>
        </w:rPr>
        <w:t>Powers and Duties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Lender irrevocably authorizes Administrative Agent to take such action on such Lender’s behalf and to exercise such powers, rights and remedies hereunder and under the other Loan Documents as are specifically delegated or granted to Administrative Agent by the terms hereof and thereof, together with such powers, rights and remedies as are reasonably incidental thereto. Administrative Agent shall have only those duties and responsibilities that are expressly specified herein and the other Loan Documents. Administrative Agent may exercise such powers, rights and remedies and perform such duties by or through its agents or employees. Administrative Agent shall not have, by reason hereof or any of the other Loan Documents, a fiduciary relationship in respect of any Lender; and nothing herein or in any of the other Loan Documents, expressed or implied, is intended to or shall be so construed as to impose upon Administrative Agent any obligations in respect hereof or any of the other Loan Documents except as expressly set forth herein or therein.</w:t>
      </w:r>
    </w:p>
    <w:p>
      <w:pPr>
        <w:pStyle w:val="TextBody"/>
        <w:bidi w:val="0"/>
        <w:spacing w:lineRule="auto" w:line="240" w:before="0" w:after="0"/>
        <w:ind w:left="0" w:right="0" w:firstLine="720"/>
        <w:jc w:val="both"/>
        <w:rPr/>
      </w:pPr>
      <w:bookmarkStart w:id="372" w:name="ibd1a8a0d7aa34fc7ad7ba5ddecf6fb47"/>
      <w:bookmarkEnd w:id="372"/>
      <w:r>
        <w:rPr>
          <w:rFonts w:ascii="Times New Roman;serif" w:hAnsi="Times New Roman;serif"/>
          <w:b w:val="false"/>
          <w:color w:val="000000"/>
          <w:sz w:val="24"/>
        </w:rPr>
        <w:t>Section 12.03</w:t>
      </w:r>
      <w:r>
        <w:rPr>
          <w:rFonts w:ascii="Times New Roman;serif" w:hAnsi="Times New Roman;serif"/>
          <w:b w:val="false"/>
          <w:color w:val="000000"/>
          <w:sz w:val="24"/>
          <w:u w:val="single"/>
        </w:rPr>
        <w:t>General Immunity</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73" w:name="ifd256afc19f645e0a4ec921e3f947eb8"/>
      <w:bookmarkEnd w:id="373"/>
      <w:r>
        <w:rPr>
          <w:rFonts w:ascii="Times New Roman;serif" w:hAnsi="Times New Roman;serif"/>
          <w:b w:val="false"/>
          <w:color w:val="000000"/>
          <w:sz w:val="24"/>
        </w:rPr>
        <w:t>(a)</w:t>
      </w:r>
      <w:r>
        <w:rPr>
          <w:rFonts w:ascii="Times New Roman;serif" w:hAnsi="Times New Roman;serif"/>
          <w:b w:val="false"/>
          <w:color w:val="000000"/>
          <w:sz w:val="24"/>
          <w:u w:val="single"/>
        </w:rPr>
        <w:t>No Responsibility for Certain Matters</w:t>
      </w:r>
      <w:r>
        <w:rPr>
          <w:rFonts w:ascii="Times New Roman;serif" w:hAnsi="Times New Roman;serif"/>
          <w:b w:val="false"/>
          <w:color w:val="000000"/>
          <w:sz w:val="24"/>
        </w:rPr>
        <w:t xml:space="preserve">. Administrative Agent shall not be responsible to any Lender for the execution, effectiveness, genuineness, validity, enforceability, collectability or sufficiency hereof or any other Loan Document or for any representations, warranties, recitals or statements made herein or therein or made in any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or oral statements or in any financial or other statements, instruments, reports or certificates or any other documents furnished or made by Administrative Agent to Lenders or by or on behalf of any Loan Party to Administrative Agent or any Lender in connection with the Loan Documents and the transactions contemplated thereby or for the financial condition or business affairs of any Loan Party or any other Person liable for the payment of any Obligations, nor shall Administrative Agent be required to ascertain or inquire as to the performance or observance of any of the terms, conditions, provisions, covenants or agreements contained in any of the Loan Documents or as to the use of the proceeds of the Term Loans or as to the existence or possible existence of any Event of Default or Default or to make any disclosures with respect to the foregoing. Anything contained herein to the contrary notwithstanding, Administrative Agent shall not have any liability arising from confirmations of the amount of outstanding Term Loans or the component amounts thereof.</w:t>
      </w:r>
    </w:p>
    <w:p>
      <w:pPr>
        <w:pStyle w:val="TextBody"/>
        <w:bidi w:val="0"/>
        <w:spacing w:lineRule="auto" w:line="240" w:before="0" w:after="240"/>
        <w:ind w:left="0" w:right="0" w:firstLine="1440"/>
        <w:jc w:val="both"/>
        <w:rPr/>
      </w:pPr>
      <w:bookmarkStart w:id="374" w:name="if6d7b326de974abc9f567a76146c9147"/>
      <w:bookmarkEnd w:id="374"/>
      <w:r>
        <w:rPr>
          <w:rFonts w:ascii="Times New Roman;serif" w:hAnsi="Times New Roman;serif"/>
          <w:b w:val="false"/>
          <w:color w:val="000000"/>
          <w:sz w:val="24"/>
        </w:rPr>
        <w:t>(b)</w:t>
      </w:r>
      <w:r>
        <w:rPr>
          <w:rFonts w:ascii="Times New Roman;serif" w:hAnsi="Times New Roman;serif"/>
          <w:b w:val="false"/>
          <w:color w:val="000000"/>
          <w:sz w:val="24"/>
          <w:u w:val="single"/>
        </w:rPr>
        <w:t>Exculpatory Provisions</w:t>
      </w:r>
      <w:r>
        <w:rPr>
          <w:rFonts w:ascii="Times New Roman;serif" w:hAnsi="Times New Roman;serif"/>
          <w:b w:val="false"/>
          <w:color w:val="000000"/>
          <w:sz w:val="24"/>
        </w:rPr>
        <w:t xml:space="preserve">. Neither Administrative Agent nor any of its officers, partners, directors, employees or agents shall be liable to Lenders for any action taken or omitted by Administrative Agent under or in connection with any of the Loan Documents except to the extent caused by Administrative Agent’s gross negligence or willful misconduct, as determined by a court of competent jurisdiction in a final, non-appealable order.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Administrative Agent shall have received instructions in respect thereof from Required Lenders (or such other Lenders as may be required to give such instructions under </w:t>
      </w:r>
      <w:r>
        <w:rPr>
          <w:rFonts w:ascii="Times New Roman;serif" w:hAnsi="Times New Roman;serif"/>
          <w:b w:val="false"/>
          <w:color w:val="000000"/>
          <w:sz w:val="24"/>
          <w:u w:val="single"/>
        </w:rPr>
        <w:t>Section 13.05</w:t>
      </w:r>
      <w:r>
        <w:rPr>
          <w:rFonts w:ascii="Times New Roman;serif" w:hAnsi="Times New Roman;serif"/>
          <w:b w:val="false"/>
          <w:color w:val="000000"/>
          <w:sz w:val="24"/>
        </w:rPr>
        <w:t xml:space="preserve">) and, upon receipt of such instructions from Required Lenders (or such other Lenders, as the case may be), Administrative Agent shall be entitled to act or (where so instructed) refrain from acting, or to exercise such power, discretion or authority, in accordance with such instructions. Without prejudice to the generality of the foregoing, (i) Administrative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Borrower and its Subsidiaries), accountants, experts and other professional advisors selected by it; and (ii) no Lender shall have any right of action whatsoever against Administrative Agent as a result of Administrative Agent acting or (where so instructed) refraining from acting hereunder or any of the other Loan Documents in accordance with the instructions of Required Lenders (or such other Lenders as may be required to give such instructions under </w:t>
      </w:r>
      <w:r>
        <w:rPr>
          <w:rFonts w:ascii="Times New Roman;serif" w:hAnsi="Times New Roman;serif"/>
          <w:b w:val="false"/>
          <w:color w:val="000000"/>
          <w:sz w:val="24"/>
          <w:u w:val="single"/>
        </w:rPr>
        <w:t>Section 13.05</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bookmarkStart w:id="375" w:name="ie56990caa0fc4325b33244829f93e4cd"/>
      <w:bookmarkEnd w:id="375"/>
      <w:r>
        <w:rPr>
          <w:rFonts w:ascii="Times New Roman;serif" w:hAnsi="Times New Roman;serif"/>
          <w:b w:val="false"/>
          <w:color w:val="000000"/>
          <w:sz w:val="24"/>
        </w:rPr>
        <w:t>(c)</w:t>
      </w:r>
      <w:r>
        <w:rPr>
          <w:rFonts w:ascii="Times New Roman;serif" w:hAnsi="Times New Roman;serif"/>
          <w:b w:val="false"/>
          <w:color w:val="000000"/>
          <w:sz w:val="24"/>
          <w:u w:val="single"/>
        </w:rPr>
        <w:t>Notice of Default</w:t>
      </w:r>
      <w:r>
        <w:rPr>
          <w:rFonts w:ascii="Times New Roman;serif" w:hAnsi="Times New Roman;serif"/>
          <w:b w:val="false"/>
          <w:color w:val="000000"/>
          <w:sz w:val="24"/>
        </w:rPr>
        <w:t xml:space="preserve">. Administrative Agent shall not be deemed to have knowledge or notice of the occurrence of any Default or Event of Default, except with respect to Events of Default in the payment of principal, interest and fees required to be paid to Administrative Agent for the account of the Lenders, unless Administrative Agent shall have received written notice from a Lender or the Loan Party referring to this Agreement, describing such Default or Event of Default and stating that such notice is a “notice of default.” Administrative Agent will notify the Lenders of its receipt of any such notice. Administrative Agent shall take such action with respect to any such Default or Event of Default as may be directed by the Required Lenders in accordance with Article X;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unless and until Administrative Agent has received any such direction, Administrative Agent may (but shall not be obligated to) take such action, or refrain from taking such action, with respect to such Default or Event of Default as it shall deem advisable or in the best interest of the Lenders.</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40" w:before="0" w:after="0"/>
        <w:ind w:left="0" w:right="0" w:firstLine="720"/>
        <w:jc w:val="both"/>
        <w:rPr/>
      </w:pPr>
      <w:bookmarkStart w:id="376" w:name="i54779eb1a7304a158779f618d7bdd070"/>
      <w:bookmarkEnd w:id="376"/>
      <w:r>
        <w:rPr>
          <w:rFonts w:ascii="Times New Roman;serif" w:hAnsi="Times New Roman;serif"/>
          <w:b w:val="false"/>
          <w:color w:val="000000"/>
          <w:sz w:val="24"/>
        </w:rPr>
        <w:t>Section 12.04</w:t>
      </w:r>
      <w:r>
        <w:rPr>
          <w:rFonts w:ascii="Times New Roman;serif" w:hAnsi="Times New Roman;serif"/>
          <w:b w:val="false"/>
          <w:color w:val="000000"/>
          <w:sz w:val="24"/>
          <w:u w:val="single"/>
        </w:rPr>
        <w:t>Administrative Agent Entitled to Act as Lender</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agency hereby created shall in no way impair or affect any of the rights and powers of, or impose any duties or obligations upon, Administrative Agent in its individual capacity as a Lender hereunder. With respect to its participation in the Term Loans, Administrative Agent shall have the same rights and powers hereunder as any other Lender and may exercise the same as if it were not performing the duties and functions delegated to it hereunder, and the term “Lender” shall, unless the context clearly otherwise indicates, include Administrative Agent in its individual capacity. Administrative Agent and its Affiliates may accept deposits from, lend money to, own securities of, and generally engage in any kind of banking, trust, financial advisory or other business with Borrower or any of its Affiliates as if it were not performing the duties specified herein, and may accept fees and other consideration from Company for services in connection herewith and otherwise without having to account for the same to Lenders.</w:t>
      </w:r>
    </w:p>
    <w:p>
      <w:pPr>
        <w:pStyle w:val="TextBody"/>
        <w:bidi w:val="0"/>
        <w:spacing w:lineRule="auto" w:line="240" w:before="0" w:after="0"/>
        <w:ind w:left="0" w:right="0" w:firstLine="720"/>
        <w:jc w:val="both"/>
        <w:rPr/>
      </w:pPr>
      <w:bookmarkStart w:id="377" w:name="ic07a8894fe5642a88602bcad5a063bdc"/>
      <w:bookmarkEnd w:id="377"/>
      <w:r>
        <w:rPr>
          <w:rFonts w:ascii="Times New Roman;serif" w:hAnsi="Times New Roman;serif"/>
          <w:b w:val="false"/>
          <w:color w:val="000000"/>
          <w:sz w:val="24"/>
        </w:rPr>
        <w:t>Section 12.05</w:t>
      </w:r>
      <w:r>
        <w:rPr>
          <w:rFonts w:ascii="Times New Roman;serif" w:hAnsi="Times New Roman;serif"/>
          <w:b w:val="false"/>
          <w:color w:val="000000"/>
          <w:sz w:val="24"/>
          <w:u w:val="single"/>
        </w:rPr>
        <w:t>Lenders’ Representations, Warranties and Acknowledgment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78" w:name="i771f130c325c4e07a8420e2f48dd2a61"/>
      <w:bookmarkEnd w:id="378"/>
      <w:r>
        <w:rPr>
          <w:rFonts w:ascii="Times New Roman;serif" w:hAnsi="Times New Roman;serif"/>
          <w:b w:val="false"/>
          <w:color w:val="000000"/>
          <w:sz w:val="24"/>
        </w:rPr>
        <w:t>(a)</w:t>
      </w:r>
      <w:r>
        <w:rPr>
          <w:rFonts w:ascii="Times New Roman;serif" w:hAnsi="Times New Roman;serif"/>
          <w:b w:val="false"/>
          <w:color w:val="000000"/>
          <w:sz w:val="24"/>
        </w:rPr>
        <w:t>Each Lender represents and warrants that it has made its own independent investigation of the financial condition and affairs of Borrower and its Subsidiaries in connection with Credit Extensions hereunder and that it has made and shall continue to make its own appraisal of the creditworthiness of Borrower and its Subsidiaries.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Term Loans or at any time or times thereafter, and Administrative Agent shall not have any responsibility with respect to the accuracy of or the completeness of any information provided to Lenders.</w:t>
      </w:r>
    </w:p>
    <w:p>
      <w:pPr>
        <w:pStyle w:val="TextBody"/>
        <w:bidi w:val="0"/>
        <w:spacing w:lineRule="auto" w:line="240" w:before="0" w:after="240"/>
        <w:ind w:left="0" w:right="0" w:firstLine="1440"/>
        <w:jc w:val="both"/>
        <w:rPr/>
      </w:pPr>
      <w:bookmarkStart w:id="379" w:name="i5c18cf0a6a0749b29d8fd918fa59ba60"/>
      <w:bookmarkEnd w:id="379"/>
      <w:r>
        <w:rPr>
          <w:rFonts w:ascii="Times New Roman;serif" w:hAnsi="Times New Roman;serif"/>
          <w:b w:val="false"/>
          <w:color w:val="000000"/>
          <w:sz w:val="24"/>
        </w:rPr>
        <w:t>(b)</w:t>
      </w:r>
      <w:r>
        <w:rPr>
          <w:rFonts w:ascii="Times New Roman;serif" w:hAnsi="Times New Roman;serif"/>
          <w:b w:val="false"/>
          <w:color w:val="000000"/>
          <w:sz w:val="24"/>
        </w:rPr>
        <w:t>Each Lender, by delivering its signature page to this Agreement and funding its Term Loan on the Closing Date, shall be deemed to have acknowledged receipt of, and consented to and approved, each Loan Document and each other document required to be approved by Administrative Agent, Required Lenders or Lenders, as applicable on the Closing Date.</w:t>
      </w:r>
    </w:p>
    <w:p>
      <w:pPr>
        <w:pStyle w:val="TextBody"/>
        <w:bidi w:val="0"/>
        <w:spacing w:lineRule="auto" w:line="240" w:before="0" w:after="240"/>
        <w:ind w:left="0" w:right="0" w:firstLine="1440"/>
        <w:jc w:val="both"/>
        <w:rPr/>
      </w:pPr>
      <w:bookmarkStart w:id="380" w:name="i11f1f6a390d54973bd45a3d493eb359d"/>
      <w:bookmarkEnd w:id="380"/>
      <w:r>
        <w:rPr>
          <w:rFonts w:ascii="Times New Roman;serif" w:hAnsi="Times New Roman;serif"/>
          <w:b w:val="false"/>
          <w:color w:val="000000"/>
          <w:sz w:val="24"/>
        </w:rPr>
        <w:t>(c)</w:t>
      </w:r>
      <w:r>
        <w:rPr>
          <w:rFonts w:ascii="Times New Roman;serif" w:hAnsi="Times New Roman;serif"/>
          <w:b w:val="false"/>
          <w:color w:val="000000"/>
          <w:sz w:val="24"/>
        </w:rPr>
        <w:t>Each Lender (i) represents and warrants that as of the Closing Date neither such Lender nor its Affiliates or Related Funds owns or controls, or owns or controls any Person owning or controlling, any trade debt or Indebtedness of any Loan Party other than the Obligations or any Capital Stock of any Loan Party and (ii) covenants and agrees that from and after the Closing Date neither such Lender nor its Affiliates and Related Funds shall purchase any trade debt or Indebtedness of any Loan Party other than the Obligations or Capital Stock described in clause (i) above without the prior written consent of Administrative Agent.</w:t>
      </w:r>
    </w:p>
    <w:p>
      <w:pPr>
        <w:pStyle w:val="TextBody"/>
        <w:bidi w:val="0"/>
        <w:spacing w:lineRule="auto" w:line="240" w:before="0" w:after="0"/>
        <w:ind w:left="0" w:right="0" w:firstLine="720"/>
        <w:jc w:val="both"/>
        <w:rPr/>
      </w:pPr>
      <w:bookmarkStart w:id="381" w:name="i1882851bfa28429bb2c71271558ce124"/>
      <w:bookmarkEnd w:id="381"/>
      <w:r>
        <w:rPr>
          <w:rFonts w:ascii="Times New Roman;serif" w:hAnsi="Times New Roman;serif"/>
          <w:b w:val="false"/>
          <w:color w:val="000000"/>
          <w:sz w:val="24"/>
        </w:rPr>
        <w:t>Section 12.06</w:t>
      </w:r>
      <w:r>
        <w:rPr>
          <w:rFonts w:ascii="Times New Roman;serif" w:hAnsi="Times New Roman;serif"/>
          <w:b w:val="false"/>
          <w:color w:val="000000"/>
          <w:sz w:val="24"/>
          <w:u w:val="single"/>
        </w:rPr>
        <w:t>Right to Indemnity</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EACH LENDER, IN PROPORTION TO ITS PRO RATA SHARE, SEVERALLY AGREES TO INDEMNIFY ADMINISTRATIVE AGENT, ITS AFFILIATES AND ITS RESPECTIVE OFFICERS, PARTNERS, DIRECTORS, TRUSTEES, EMPLOYEES AND AGENTS OF ADMINISTRATIVE AGENT (EACH, AN “</w:t>
      </w:r>
      <w:r>
        <w:rPr>
          <w:rFonts w:ascii="Times New Roman;serif" w:hAnsi="Times New Roman;serif"/>
          <w:b w:val="false"/>
          <w:color w:val="000000"/>
          <w:sz w:val="24"/>
          <w:u w:val="single"/>
        </w:rPr>
        <w:t>INDEMNITEE AGENT PARTY</w:t>
      </w:r>
      <w:r>
        <w:rPr>
          <w:color w:val="000000"/>
        </w:rPr>
        <w:t>”</w:t>
      </w:r>
      <w:r>
        <w:rPr>
          <w:rFonts w:ascii="Times New Roman;serif" w:hAnsi="Times New Roman;serif"/>
          <w:b w:val="false"/>
          <w:color w:val="000000"/>
          <w:sz w:val="24"/>
        </w:rPr>
        <w:t xml:space="preserve">), TO THE EXTENT THAT SUCH INDEMNITEE AGENT PARTY SHALL NOT HAVE BEEN REIMBURSED BY ANY LOAN PARTY, FOR AND AGAINST ANY AND ALL LIABILITIES, OBLIGATIONS, LOSSES, DAMAGES, PENALTIES, ACTIONS, JUDGMENTS, SUITS, COSTS, EXPENSES (INCLUDING COUNSEL FEES AND DISBURSEMENTS) OR DISBURSEMENTS OF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ANY KIND OR NATURE WHATSOEVER WHICH MAY BE IMPOSED ON, INCURRED BY OR ASSERTED AGAINST SUCH INDEMNITEE AGENT PARTY IN EXERCISING ITS POWERS, RIGHTS AND REMEDIES OR PERFORMING ITS DUTIES HEREUNDER OR UNDER THE OTHER LOAN DOCUMENTS OR OTHERWISE IN ITS CAPACITY AS SUCH INDEMNITEE AGENT PARTY IN ANY WAY RELATING TO OR ARISING OUT OF THIS AGREEMENT OR THE OTHER LOAN DOCUMENTS, IN ALL CASES, WHETHER OR NOT CAUSED BY OR ARISING, IN WHOLE OR IN PART, OUT OF THE COMPARATIVE, CONTRIBUTORY, OR SOLE NEGLIGENCE OF SUCH INDEMNITEE AGENT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NO LENDER SHALL BE LIABLE FOR ANY PORTION OF SUCH LIABILITIES, OBLIGATIONS, LOSSES, DAMAGES, PENALTIES, ACTIONS, JUDGMENTS, SUITS, COSTS, EXPENSES OR DISBURSEMENTS RESULTING FROM SUCH INDEMNITEE AGENT PARTY’S GROSS NEGLIGENCE OR WILLFUL MISCONDUCT, AS DETERMINED BY A COURT OF COMPETENT JURISDICTION IN A FINAL, NON-APPEALABLE ORDER.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PROVIDED, IN NO EVENT SHALL THIS SENTENCE REQUIRE ANY LENDER TO INDEMNIFY ANY INDEMNITEE AGENT PARTY AGAINST ANY LIABILITY, OBLIGATION, LOSS, DAMAGE, PENALTY, ACTION, JUDGMENT, SUIT, COST, EXPENSE OR DISBURSEMENT IN EXCESS OF SUCH LENDER’S PRO RATA SHARE THEREOF; AND PROVIDED FURTHER, THIS SENTENCE SHALL NOT BE DEEMED TO REQUIRE ANY LENDER TO INDEMNIFY ANY INDEMNITEE AGENT PARTY AGAINST ANY LIABILITY, OBLIGATION, LOSS, DAMAGE, PENALTY, ACTION, JUDGMENT, SUIT, COST, EXPENSE OR DISBURSEMENT DESCRIBED IN THE PROVISO IN THE IMMEDIATELY PRECEDING SENTENCE.</w:t>
      </w:r>
    </w:p>
    <w:p>
      <w:pPr>
        <w:pStyle w:val="TextBody"/>
        <w:bidi w:val="0"/>
        <w:spacing w:lineRule="auto" w:line="240" w:before="0" w:after="0"/>
        <w:ind w:left="0" w:right="0" w:firstLine="720"/>
        <w:jc w:val="both"/>
        <w:rPr/>
      </w:pPr>
      <w:bookmarkStart w:id="382" w:name="i7c57915a7c0946a99947ee3b46477739"/>
      <w:bookmarkEnd w:id="382"/>
      <w:r>
        <w:rPr>
          <w:rFonts w:ascii="Times New Roman;serif" w:hAnsi="Times New Roman;serif"/>
          <w:b w:val="false"/>
          <w:color w:val="000000"/>
          <w:sz w:val="24"/>
        </w:rPr>
        <w:t>Section 12.07</w:t>
      </w:r>
      <w:r>
        <w:rPr>
          <w:rFonts w:ascii="Times New Roman;serif" w:hAnsi="Times New Roman;serif"/>
          <w:b w:val="false"/>
          <w:color w:val="000000"/>
          <w:sz w:val="24"/>
          <w:u w:val="single"/>
        </w:rPr>
        <w:t>Successor Administrative Agent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83" w:name="i98c02da08c6c4c2893e99601637dc697"/>
      <w:bookmarkEnd w:id="383"/>
      <w:r>
        <w:rPr>
          <w:rFonts w:ascii="Times New Roman;serif" w:hAnsi="Times New Roman;serif"/>
          <w:b w:val="false"/>
          <w:color w:val="000000"/>
          <w:sz w:val="24"/>
        </w:rPr>
        <w:t>(a)</w:t>
      </w:r>
      <w:r>
        <w:rPr>
          <w:rFonts w:ascii="Times New Roman;serif" w:hAnsi="Times New Roman;serif"/>
          <w:b w:val="false"/>
          <w:color w:val="000000"/>
          <w:sz w:val="24"/>
        </w:rPr>
        <w:t>Administrative Agent may resign at any time by giving [***] (or such shorter period as shall be agreed by the Required Lenders) prior written notice thereof to Lenders and Borrower. Upon any such notice of resignation, Required Lenders shall have the right, upon [***] notice to Borrower, to appoint a successor Administrative Agent. If no successor shall have been so appointed by the Required Lenders and shall have accepted such appointment within [***] after the retiring Administrative Agent gives notice of its resignation, then the retiring Administrative Agent may, on behalf of the Lenders appoint a successor Administrative Agent from among the Lenders.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securities or Capital Stock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After any retiring Administrative Agent’s resignation hereunder as Administrative Agent, the provisions of this Article XII shall inure to its benefit as to any actions taken or omitted to be taken by it while it was Administrative Agent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40" w:before="0" w:after="240"/>
        <w:ind w:left="0" w:right="0" w:firstLine="1440"/>
        <w:jc w:val="both"/>
        <w:rPr/>
      </w:pPr>
      <w:bookmarkStart w:id="384" w:name="i2f41cce3f4f74af98e41722e31be035b"/>
      <w:bookmarkEnd w:id="384"/>
      <w:r>
        <w:rPr>
          <w:rFonts w:ascii="Times New Roman;serif" w:hAnsi="Times New Roman;serif"/>
          <w:b w:val="false"/>
          <w:color w:val="000000"/>
          <w:sz w:val="24"/>
        </w:rPr>
        <w:t>(b)</w:t>
      </w:r>
      <w:r>
        <w:rPr>
          <w:rFonts w:ascii="Times New Roman;serif" w:hAnsi="Times New Roman;serif"/>
          <w:b w:val="false"/>
          <w:color w:val="000000"/>
          <w:sz w:val="24"/>
        </w:rPr>
        <w:t>Notwithstanding anything herein to the contrary, Administrative Agent may assign its rights and duties as Administrative Agent, as applicable, hereunder to an Affiliate of Royalty Pharma without the prior written consent of, or prior written notice to, Borrower or the Lenders; provided that Borrower and the Lenders may deem and treat such assigning Administrative Agent as Administrative Agent for all purposes hereof, unless and until such assigning Administrative Agent provides written notice to Borrower and the Lenders of such assignment. Upon such assignment such Affiliate shall succeed to and become vested with all rights, powers, privileges and duties as Administrative Agent hereunder and under the other Loan Documents.</w:t>
      </w:r>
    </w:p>
    <w:p>
      <w:pPr>
        <w:pStyle w:val="TextBody"/>
        <w:bidi w:val="0"/>
        <w:spacing w:lineRule="auto" w:line="240" w:before="0" w:after="240"/>
        <w:ind w:left="0" w:right="0" w:firstLine="1440"/>
        <w:jc w:val="both"/>
        <w:rPr/>
      </w:pPr>
      <w:bookmarkStart w:id="385" w:name="ie0b7f445d129418b8dc3c72927d1d533"/>
      <w:bookmarkEnd w:id="385"/>
      <w:r>
        <w:rPr>
          <w:rFonts w:ascii="Times New Roman;serif" w:hAnsi="Times New Roman;serif"/>
          <w:b w:val="false"/>
          <w:color w:val="000000"/>
          <w:sz w:val="24"/>
        </w:rPr>
        <w:t>(c)</w:t>
      </w:r>
      <w:r>
        <w:rPr>
          <w:rFonts w:ascii="Times New Roman;serif" w:hAnsi="Times New Roman;serif"/>
          <w:b w:val="false"/>
          <w:color w:val="000000"/>
          <w:sz w:val="24"/>
        </w:rPr>
        <w:t xml:space="preserve">Administrative Agent may perform any and all of its duties and exercise its rights and powers under this Agreement or under any other Loan Document by or through any one or more subagents appointed by Administrative Agent. Administrative Agent and any such sub-agent may perform any and all of its duties and exercise its rights and powers by or through their respective Affiliates. The exculpatory, indemnification and other provisions of </w:t>
      </w:r>
      <w:r>
        <w:rPr>
          <w:rFonts w:ascii="Times New Roman;serif" w:hAnsi="Times New Roman;serif"/>
          <w:b w:val="false"/>
          <w:color w:val="000000"/>
          <w:sz w:val="24"/>
          <w:u w:val="single"/>
        </w:rPr>
        <w:t>Section 12.03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12.06</w:t>
      </w:r>
      <w:r>
        <w:rPr>
          <w:color w:val="000000"/>
        </w:rPr>
        <w:t xml:space="preserve"> </w:t>
      </w:r>
      <w:r>
        <w:rPr>
          <w:rFonts w:ascii="Times New Roman;serif" w:hAnsi="Times New Roman;serif"/>
          <w:b w:val="false"/>
          <w:color w:val="000000"/>
          <w:sz w:val="24"/>
        </w:rPr>
        <w:t xml:space="preserve">and of this </w:t>
      </w:r>
      <w:r>
        <w:rPr>
          <w:rFonts w:ascii="Times New Roman;serif" w:hAnsi="Times New Roman;serif"/>
          <w:b w:val="false"/>
          <w:color w:val="000000"/>
          <w:sz w:val="24"/>
          <w:u w:val="single"/>
        </w:rPr>
        <w:t xml:space="preserve">Section 12.07 </w:t>
      </w:r>
      <w:r>
        <w:rPr>
          <w:rFonts w:ascii="Times New Roman;serif" w:hAnsi="Times New Roman;serif"/>
          <w:b w:val="false"/>
          <w:color w:val="000000"/>
          <w:sz w:val="24"/>
        </w:rPr>
        <w:t xml:space="preserve">shall apply to any of the Affiliates of Administrative Agent and shall apply to their respective activities in connection with the syndication of the credit facilities provided for herein as well as activities as Administrative Agent. All of the rights, benefits and privileges (including the exculpatory and indemnification provisions) of </w:t>
      </w:r>
      <w:r>
        <w:rPr>
          <w:rFonts w:ascii="Times New Roman;serif" w:hAnsi="Times New Roman;serif"/>
          <w:b w:val="false"/>
          <w:color w:val="000000"/>
          <w:sz w:val="24"/>
          <w:u w:val="single"/>
        </w:rPr>
        <w:t>Section 12.03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12.06</w:t>
      </w:r>
      <w:r>
        <w:rPr>
          <w:color w:val="000000"/>
        </w:rPr>
        <w:t xml:space="preserve"> </w:t>
      </w:r>
      <w:r>
        <w:rPr>
          <w:rFonts w:ascii="Times New Roman;serif" w:hAnsi="Times New Roman;serif"/>
          <w:b w:val="false"/>
          <w:color w:val="000000"/>
          <w:sz w:val="24"/>
        </w:rPr>
        <w:t xml:space="preserve">and of this </w:t>
      </w:r>
      <w:r>
        <w:rPr>
          <w:rFonts w:ascii="Times New Roman;serif" w:hAnsi="Times New Roman;serif"/>
          <w:b w:val="false"/>
          <w:color w:val="000000"/>
          <w:sz w:val="24"/>
          <w:u w:val="single"/>
        </w:rPr>
        <w:t>Section 12.07</w:t>
      </w:r>
      <w:r>
        <w:rPr>
          <w:color w:val="000000"/>
        </w:rPr>
        <w:t xml:space="preserve"> </w:t>
      </w:r>
      <w:r>
        <w:rPr>
          <w:rFonts w:ascii="Times New Roman;serif" w:hAnsi="Times New Roman;serif"/>
          <w:b w:val="false"/>
          <w:color w:val="000000"/>
          <w:sz w:val="24"/>
        </w:rPr>
        <w:t>shall apply to any such sub-agent and to the Affiliates of any such sub-agent, and shall apply to their respective activities as sub-agent as if such sub-agent and Affiliates were named herein. Notwithstanding anything herein to the contrary, with respect to each sub-agent appointed by Administrative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Loan Party, Lender or any other Person and no Loan Party, Lender or any other Person shall have the rights, directly or indirectly, as a third party beneficiary or otherwise, against such sub-agent.</w:t>
      </w:r>
    </w:p>
    <w:p>
      <w:pPr>
        <w:pStyle w:val="TextBody"/>
        <w:bidi w:val="0"/>
        <w:spacing w:lineRule="auto" w:line="240" w:before="0" w:after="0"/>
        <w:ind w:left="0" w:right="0" w:firstLine="720"/>
        <w:jc w:val="both"/>
        <w:rPr/>
      </w:pPr>
      <w:bookmarkStart w:id="386" w:name="id18557a474134c0fbac0e8f89b1da8e1"/>
      <w:bookmarkEnd w:id="386"/>
      <w:r>
        <w:rPr>
          <w:rFonts w:ascii="Times New Roman;serif" w:hAnsi="Times New Roman;serif"/>
          <w:b w:val="false"/>
          <w:color w:val="000000"/>
          <w:sz w:val="24"/>
        </w:rPr>
        <w:t>Section 12.08</w:t>
      </w:r>
      <w:r>
        <w:rPr>
          <w:rFonts w:ascii="Times New Roman;serif" w:hAnsi="Times New Roman;serif"/>
          <w:b w:val="false"/>
          <w:color w:val="000000"/>
          <w:sz w:val="24"/>
          <w:u w:val="single"/>
        </w:rPr>
        <w:t>Collateral Documents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87" w:name="i42fa469f44f343b0841b42b0e51112e4"/>
      <w:bookmarkEnd w:id="387"/>
      <w:r>
        <w:rPr>
          <w:rFonts w:ascii="Times New Roman;serif" w:hAnsi="Times New Roman;serif"/>
          <w:b w:val="false"/>
          <w:color w:val="000000"/>
          <w:sz w:val="24"/>
        </w:rPr>
        <w:t>(a)</w:t>
      </w:r>
      <w:r>
        <w:rPr>
          <w:rFonts w:ascii="Times New Roman;serif" w:hAnsi="Times New Roman;serif"/>
          <w:b w:val="false"/>
          <w:color w:val="000000"/>
          <w:sz w:val="24"/>
          <w:u w:val="single"/>
        </w:rPr>
        <w:t>Administrative Agent under Collateral Documents</w:t>
      </w:r>
      <w:r>
        <w:rPr>
          <w:rFonts w:ascii="Times New Roman;serif" w:hAnsi="Times New Roman;serif"/>
          <w:b w:val="false"/>
          <w:color w:val="000000"/>
          <w:sz w:val="24"/>
        </w:rPr>
        <w:t>. Each Lender hereby further authorizes Administrative Agent on behalf of and for the benefit of Lenders, to be the agent for and representative of Lenders with respect the Collateral and the Collateral Documents.</w:t>
      </w:r>
    </w:p>
    <w:p>
      <w:pPr>
        <w:pStyle w:val="TextBody"/>
        <w:bidi w:val="0"/>
        <w:spacing w:lineRule="auto" w:line="240" w:before="0" w:after="240"/>
        <w:ind w:left="0" w:right="0" w:firstLine="1440"/>
        <w:jc w:val="both"/>
        <w:rPr/>
      </w:pPr>
      <w:bookmarkStart w:id="388" w:name="ifbae968ced374874b0127a48cd60b2b1"/>
      <w:bookmarkEnd w:id="388"/>
      <w:r>
        <w:rPr>
          <w:rFonts w:ascii="Times New Roman;serif" w:hAnsi="Times New Roman;serif"/>
          <w:b w:val="false"/>
          <w:color w:val="000000"/>
          <w:sz w:val="24"/>
        </w:rPr>
        <w:t>(b)</w:t>
      </w:r>
      <w:r>
        <w:rPr>
          <w:rFonts w:ascii="Times New Roman;serif" w:hAnsi="Times New Roman;serif"/>
          <w:b w:val="false"/>
          <w:color w:val="000000"/>
          <w:sz w:val="24"/>
          <w:u w:val="single"/>
        </w:rPr>
        <w:t>Right to Realize on Collateral</w:t>
      </w:r>
      <w:r>
        <w:rPr>
          <w:rFonts w:ascii="Times New Roman;serif" w:hAnsi="Times New Roman;serif"/>
          <w:b w:val="false"/>
          <w:color w:val="000000"/>
          <w:sz w:val="24"/>
        </w:rPr>
        <w:t xml:space="preserve">. Anything contained in any of the Loan Documents to the contrary notwithstanding, Company, Administrative Agent and each Lender hereby agree that (i) no Lender shall have any right individually to realize upon any of the Collateral, it being understood and agreed that all powers, rights and remedies hereunder may be exercised solely by Administrative Agent, on behalf of Lenders in accordance with the terms hereof and all powers, rights and remedies under the Collateral Documents may be exercised solely by Administrative Agent, and (ii) in the event of a foreclosure by Administrative Agent on any of the Collateral pursuant to a public or private sale or any sale of the Collateral in a case under the Bankruptcy Code, Administrative Agent or any Lender may be the purchaser of any or all of such Collateral at any such sale and Administrative Agent, as agent for and representative of Secured Parties (but not any Lender or Lenders in its or their respective individual capacities unless Required Lenders shall otherwise agree in writing) shall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Administrative Agent at such sale.</w:t>
      </w:r>
    </w:p>
    <w:p>
      <w:pPr>
        <w:pStyle w:val="TextBody"/>
        <w:bidi w:val="0"/>
        <w:spacing w:lineRule="auto" w:line="240" w:before="0" w:after="0"/>
        <w:ind w:left="0" w:right="0" w:firstLine="720"/>
        <w:jc w:val="both"/>
        <w:rPr/>
      </w:pPr>
      <w:bookmarkStart w:id="389" w:name="i44335b02165d402593aba95c3a713136"/>
      <w:bookmarkEnd w:id="389"/>
      <w:r>
        <w:rPr>
          <w:rFonts w:ascii="Times New Roman;serif" w:hAnsi="Times New Roman;serif"/>
          <w:b w:val="false"/>
          <w:color w:val="000000"/>
          <w:sz w:val="24"/>
        </w:rPr>
        <w:t>Section 12.09</w:t>
      </w:r>
      <w:r>
        <w:rPr>
          <w:rFonts w:ascii="Times New Roman;serif" w:hAnsi="Times New Roman;serif"/>
          <w:b w:val="false"/>
          <w:color w:val="000000"/>
          <w:sz w:val="24"/>
          <w:u w:val="single"/>
        </w:rPr>
        <w:t>Agency for Perfection</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Administrative Agent and each Lender hereby appoints each other Lender as agent and bailee for the purpose of perfection the security interests in and liens upon the Collateral in assets which, in accordance with Article 9 of the UCC or sections 24 or 24.1 of the British Columbia PPSA (or any equivalent or analogous section of any PPSA), can be perfected only by possession or control (or where the security interest of a secured party with possession or control has priority over the security interest of another secured party) and Administrative Agent and each Lender hereby acknowledges that it holds possession of or otherwise controls any such Collateral for the benefit of the Lenders as secured party. Should any Lender obtain possession or control of any such Collateral, such Lender shall notify Administrative Agent thereof, and, promptly upon Administrative Agent’s request therefore shall deliver such Collateral to Administrative Agent or in accordance with Administrative Agent’s instructions. In addition, Administrative Agent shall also have the power and authority hereunder to appoint such other sub-agents as may be necessary or required under applicable state, provincial or territorial law or otherwise to perform its duties and enforce its rights with respect to the Collateral and under the Loan Documents. Each Loan Party by its execution and delivery of this Agreement hereby consents to the foregoing.</w:t>
      </w:r>
    </w:p>
    <w:p>
      <w:pPr>
        <w:pStyle w:val="TextBody"/>
        <w:bidi w:val="0"/>
        <w:spacing w:lineRule="auto" w:line="240" w:before="0" w:after="0"/>
        <w:ind w:left="0" w:right="0" w:firstLine="720"/>
        <w:jc w:val="both"/>
        <w:rPr/>
      </w:pPr>
      <w:bookmarkStart w:id="390" w:name="i9a8240d45aed4e8685d86f6e0d2a43a6"/>
      <w:bookmarkEnd w:id="390"/>
      <w:r>
        <w:rPr>
          <w:rFonts w:ascii="Times New Roman;serif" w:hAnsi="Times New Roman;serif"/>
          <w:b w:val="false"/>
          <w:color w:val="000000"/>
          <w:sz w:val="24"/>
        </w:rPr>
        <w:t>Section 12.10</w:t>
      </w:r>
      <w:r>
        <w:rPr>
          <w:rFonts w:ascii="Times New Roman;serif" w:hAnsi="Times New Roman;serif"/>
          <w:b w:val="false"/>
          <w:color w:val="000000"/>
          <w:sz w:val="24"/>
          <w:u w:val="single"/>
        </w:rPr>
        <w:t>Reports and Other Information; Confidentiality; Disclaimers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By becoming a party to this Agreement, each Lender:</w:t>
      </w:r>
    </w:p>
    <w:p>
      <w:pPr>
        <w:pStyle w:val="TextBody"/>
        <w:bidi w:val="0"/>
        <w:spacing w:lineRule="auto" w:line="240" w:before="0" w:after="240"/>
        <w:ind w:left="0" w:right="0" w:firstLine="1440"/>
        <w:jc w:val="both"/>
        <w:rPr/>
      </w:pPr>
      <w:bookmarkStart w:id="391" w:name="i8297d5a60fcc4d42af2e0aef5faea536"/>
      <w:bookmarkEnd w:id="391"/>
      <w:r>
        <w:rPr>
          <w:rFonts w:ascii="Times New Roman;serif" w:hAnsi="Times New Roman;serif"/>
          <w:b w:val="false"/>
          <w:color w:val="000000"/>
          <w:sz w:val="24"/>
        </w:rPr>
        <w:t>(a)</w:t>
      </w:r>
      <w:r>
        <w:rPr>
          <w:rFonts w:ascii="Times New Roman;serif" w:hAnsi="Times New Roman;serif"/>
          <w:b w:val="false"/>
          <w:color w:val="000000"/>
          <w:sz w:val="24"/>
        </w:rPr>
        <w:t>is deemed to have requested that Administrative Agent furnish such Lender or Administrative Agent, promptly after it becomes available, a copy of each report with respect to Borrower or its Subsidiaries (each a “</w:t>
      </w:r>
      <w:r>
        <w:rPr>
          <w:rFonts w:ascii="Times New Roman;serif" w:hAnsi="Times New Roman;serif"/>
          <w:b w:val="false"/>
          <w:color w:val="000000"/>
          <w:sz w:val="24"/>
          <w:u w:val="single"/>
        </w:rPr>
        <w:t>Report</w:t>
      </w:r>
      <w:r>
        <w:rPr>
          <w:color w:val="000000"/>
        </w:rPr>
        <w:t xml:space="preserve">” </w:t>
      </w:r>
      <w:r>
        <w:rPr>
          <w:rFonts w:ascii="Times New Roman;serif" w:hAnsi="Times New Roman;serif"/>
          <w:b w:val="false"/>
          <w:color w:val="000000"/>
          <w:sz w:val="24"/>
        </w:rPr>
        <w:t>and collectively, “</w:t>
      </w:r>
      <w:r>
        <w:rPr>
          <w:rFonts w:ascii="Times New Roman;serif" w:hAnsi="Times New Roman;serif"/>
          <w:b w:val="false"/>
          <w:color w:val="000000"/>
          <w:sz w:val="24"/>
          <w:u w:val="single"/>
        </w:rPr>
        <w:t>Reports</w:t>
      </w:r>
      <w:r>
        <w:rPr>
          <w:color w:val="000000"/>
        </w:rPr>
        <w:t>”</w:t>
      </w:r>
      <w:r>
        <w:rPr>
          <w:rFonts w:ascii="Times New Roman;serif" w:hAnsi="Times New Roman;serif"/>
          <w:b w:val="false"/>
          <w:color w:val="000000"/>
          <w:sz w:val="24"/>
        </w:rPr>
        <w:t>) prepared by or at the request of Administrative Agent, and Administrative Agent shall so furnish each Lender with such Reports,</w:t>
      </w:r>
    </w:p>
    <w:p>
      <w:pPr>
        <w:pStyle w:val="TextBody"/>
        <w:bidi w:val="0"/>
        <w:spacing w:lineRule="auto" w:line="240" w:before="0" w:after="240"/>
        <w:ind w:left="0" w:right="0" w:firstLine="1440"/>
        <w:jc w:val="both"/>
        <w:rPr/>
      </w:pPr>
      <w:bookmarkStart w:id="392" w:name="iea7381eedf814f5db010010985641d8a"/>
      <w:bookmarkEnd w:id="392"/>
      <w:r>
        <w:rPr>
          <w:rFonts w:ascii="Times New Roman;serif" w:hAnsi="Times New Roman;serif"/>
          <w:b w:val="false"/>
          <w:color w:val="000000"/>
          <w:sz w:val="24"/>
        </w:rPr>
        <w:t>(b)</w:t>
      </w:r>
      <w:r>
        <w:rPr>
          <w:rFonts w:ascii="Times New Roman;serif" w:hAnsi="Times New Roman;serif"/>
          <w:b w:val="false"/>
          <w:color w:val="000000"/>
          <w:sz w:val="24"/>
        </w:rPr>
        <w:t>expressly agrees and acknowledges that Administrative Agent does not (i) make any representation or warranty as to the accuracy of any Report, and (ii) shall not be liable for any information contained in any Report,</w:t>
      </w:r>
    </w:p>
    <w:p>
      <w:pPr>
        <w:pStyle w:val="TextBody"/>
        <w:bidi w:val="0"/>
        <w:spacing w:lineRule="auto" w:line="240" w:before="0" w:after="240"/>
        <w:ind w:left="0" w:right="0" w:firstLine="1440"/>
        <w:jc w:val="both"/>
        <w:rPr/>
      </w:pPr>
      <w:bookmarkStart w:id="393" w:name="i1eb20e7bce42442585771ea165371d0b"/>
      <w:bookmarkEnd w:id="393"/>
      <w:r>
        <w:rPr>
          <w:rFonts w:ascii="Times New Roman;serif" w:hAnsi="Times New Roman;serif"/>
          <w:b w:val="false"/>
          <w:color w:val="000000"/>
          <w:sz w:val="24"/>
        </w:rPr>
        <w:t>(c)</w:t>
      </w:r>
      <w:r>
        <w:rPr>
          <w:rFonts w:ascii="Times New Roman;serif" w:hAnsi="Times New Roman;serif"/>
          <w:b w:val="false"/>
          <w:color w:val="000000"/>
          <w:sz w:val="24"/>
        </w:rPr>
        <w:t>expressly agrees and acknowledges that the Reports are not comprehensive audits or examinations, that Administrative Agent or other party performing any audit or examination will inspect only specific information regarding Borrower and its Subsidiaries and will rely significantly upon Borrower’s and its Subsidiaries’ books and records, as well as on representations of such Person’s personnel,</w:t>
      </w:r>
    </w:p>
    <w:p>
      <w:pPr>
        <w:pStyle w:val="TextBody"/>
        <w:bidi w:val="0"/>
        <w:spacing w:lineRule="auto" w:line="240" w:before="0" w:after="240"/>
        <w:ind w:left="0" w:right="0" w:firstLine="1440"/>
        <w:jc w:val="both"/>
        <w:rPr/>
      </w:pPr>
      <w:bookmarkStart w:id="394" w:name="if5732637cad347c9a1c5578474270ac5"/>
      <w:bookmarkEnd w:id="394"/>
      <w:r>
        <w:rPr>
          <w:rFonts w:ascii="Times New Roman;serif" w:hAnsi="Times New Roman;serif"/>
          <w:b w:val="false"/>
          <w:color w:val="000000"/>
          <w:sz w:val="24"/>
        </w:rPr>
        <w:t>(d)</w:t>
      </w:r>
      <w:r>
        <w:rPr>
          <w:rFonts w:ascii="Times New Roman;serif" w:hAnsi="Times New Roman;serif"/>
          <w:b w:val="false"/>
          <w:color w:val="000000"/>
          <w:sz w:val="24"/>
        </w:rPr>
        <w:t xml:space="preserve">agrees to keep all Reports and other material, non-public information regarding Parent and its Subsidiaries and their operations, assets, and existing and contemplated business plans in a confidential manner in accordance with </w:t>
      </w:r>
      <w:r>
        <w:rPr>
          <w:rFonts w:ascii="Times New Roman;serif" w:hAnsi="Times New Roman;serif"/>
          <w:b w:val="false"/>
          <w:color w:val="000000"/>
          <w:sz w:val="24"/>
          <w:u w:val="single"/>
        </w:rPr>
        <w:t>Section 13.17</w:t>
      </w:r>
      <w:r>
        <w:rPr>
          <w:rFonts w:ascii="Times New Roman;serif" w:hAnsi="Times New Roman;serif"/>
          <w:b w:val="false"/>
          <w:color w:val="000000"/>
          <w:sz w:val="24"/>
        </w:rPr>
        <w:t>, and</w:t>
      </w:r>
    </w:p>
    <w:p>
      <w:pPr>
        <w:pStyle w:val="TextBody"/>
        <w:bidi w:val="0"/>
        <w:spacing w:lineRule="auto" w:line="240" w:before="0" w:after="240"/>
        <w:ind w:left="0" w:right="0" w:firstLine="1440"/>
        <w:jc w:val="both"/>
        <w:rPr/>
      </w:pPr>
      <w:bookmarkStart w:id="395" w:name="i54553f165db442aebc4cbd159895cc77"/>
      <w:bookmarkEnd w:id="395"/>
      <w:r>
        <w:rPr>
          <w:rFonts w:ascii="Times New Roman;serif" w:hAnsi="Times New Roman;serif"/>
          <w:b w:val="false"/>
          <w:color w:val="000000"/>
          <w:sz w:val="24"/>
        </w:rPr>
        <w:t>(e)</w:t>
      </w:r>
      <w:r>
        <w:rPr>
          <w:rFonts w:ascii="Times New Roman;serif" w:hAnsi="Times New Roman;serif"/>
          <w:b w:val="false"/>
          <w:color w:val="000000"/>
          <w:sz w:val="24"/>
        </w:rPr>
        <w:t xml:space="preserve">without limiting the generality of any other indemnification provision contained in this Agreement, agrees: (i) to hold Administrative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Company, or the indemnifying Lender’s participation in, or the indemnifying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purchase of, a loan or loans of Company, and (ii) to pay and protect, and indemnify, defend and hold Administrative Agent, and any such other Lender preparing a Report harmless from and against, the claims, actions, proceedings, damages, costs, expenses, and other amounts (including, attorneys’ fees and costs) incurred by Administrative Agent and any such other Lender or agent preparing a Report as the direct or indirect result of any third parties who might obtain all or part of any Report through the indemnifying Lender or Administrative Agent.</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 addition to the foregoing: (A) any Lender may from time to time request of Administrative Agent in writing that Administrative Agent provide to such Lender a copy of any report or document provided by Parent or its Subsidiaries to Administrative Agent that has not been contemporaneously provided by Parent or such Subsidiary to such Lender, and, upon receipt of such request, Administrative Agent promptly shall provide a copy of same to such Lender, (B) to the extent that Administrative Agent is entitled, under any provision of the Loan Documents, to request additional reports or information from Parent or its Subsidiaries, any Lender may, from time to time, reasonably request Administrative Agent to exercise such right as specified in such Lender’s notice to Administrative Agent, whereupon Administrative Agent promptly shall request the additional reports or information reasonably specified by such Lender, and, upon receipt thereof from Parent or such Subsidiary, Administrative Agent promptly shall provide a copy of same to such Lender, and (C) any time that Administrative Agent renders to Company a statement regarding the Loan Account, Administrative Agent shall send a copy of such statement to each Lender.</w:t>
      </w:r>
    </w:p>
    <w:p>
      <w:pPr>
        <w:pStyle w:val="TextBody"/>
        <w:bidi w:val="0"/>
        <w:spacing w:lineRule="auto" w:line="240" w:before="0" w:after="0"/>
        <w:ind w:left="0" w:right="0" w:firstLine="720"/>
        <w:jc w:val="both"/>
        <w:rPr/>
      </w:pPr>
      <w:bookmarkStart w:id="396" w:name="iff4383b87229419780e29604ebb2dee6"/>
      <w:bookmarkEnd w:id="396"/>
      <w:r>
        <w:rPr>
          <w:rFonts w:ascii="Times New Roman;serif" w:hAnsi="Times New Roman;serif"/>
          <w:b w:val="false"/>
          <w:color w:val="000000"/>
          <w:sz w:val="24"/>
        </w:rPr>
        <w:t>Section 12.11</w:t>
      </w:r>
      <w:r>
        <w:rPr>
          <w:rFonts w:ascii="Times New Roman;serif" w:hAnsi="Times New Roman;serif"/>
          <w:b w:val="false"/>
          <w:color w:val="000000"/>
          <w:sz w:val="24"/>
          <w:u w:val="single"/>
        </w:rPr>
        <w:t>Erroneous Payments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397" w:name="ia1a2652033f34f2988a1203915e2fe84"/>
      <w:bookmarkEnd w:id="397"/>
      <w:r>
        <w:rPr>
          <w:rFonts w:ascii="Times New Roman;serif" w:hAnsi="Times New Roman;serif"/>
          <w:b w:val="false"/>
          <w:color w:val="000000"/>
          <w:sz w:val="24"/>
        </w:rPr>
        <w:t>(a)</w:t>
      </w:r>
      <w:r>
        <w:rPr>
          <w:rFonts w:ascii="Times New Roman;serif" w:hAnsi="Times New Roman;serif"/>
          <w:b w:val="false"/>
          <w:color w:val="000000"/>
          <w:sz w:val="24"/>
        </w:rPr>
        <w:t>If Administrative Agent (i) notifies a Lender or any Person who has received funds on behalf of a Lender (any such Lender or other recipient (and each of their respective successors and assigns), a “</w:t>
      </w:r>
      <w:r>
        <w:rPr>
          <w:rFonts w:ascii="Times New Roman;serif" w:hAnsi="Times New Roman;serif"/>
          <w:b w:val="false"/>
          <w:color w:val="000000"/>
          <w:sz w:val="24"/>
          <w:u w:val="single"/>
        </w:rPr>
        <w:t>Payment Recipient</w:t>
      </w:r>
      <w:r>
        <w:rPr>
          <w:color w:val="000000"/>
        </w:rPr>
        <w:t>”</w:t>
      </w:r>
      <w:r>
        <w:rPr>
          <w:rFonts w:ascii="Times New Roman;serif" w:hAnsi="Times New Roman;serif"/>
          <w:b w:val="false"/>
          <w:color w:val="000000"/>
          <w:sz w:val="24"/>
        </w:rPr>
        <w:t>) that Administrative Agent has determined in its sole discretion (whether or not after receipt of any notice under immediately succeeding clause (b)) that any funds (as set forth in such notice from Administrative Agent)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val="false"/>
          <w:color w:val="000000"/>
          <w:sz w:val="24"/>
          <w:u w:val="single"/>
        </w:rPr>
        <w:t>Erroneous Payment</w:t>
      </w:r>
      <w:r>
        <w:rPr>
          <w:color w:val="000000"/>
        </w:rPr>
        <w:t>”</w:t>
      </w:r>
      <w:r>
        <w:rPr>
          <w:rFonts w:ascii="Times New Roman;serif" w:hAnsi="Times New Roman;serif"/>
          <w:b w:val="false"/>
          <w:color w:val="000000"/>
          <w:sz w:val="24"/>
        </w:rPr>
        <w:t xml:space="preserve">) and (ii) demands in writing the return of such Erroneous Payment (or a portion thereof), such Erroneous Payment shall at all times remain the property of Administrative Agent pending its return or repayment as contemplated below in this </w:t>
      </w:r>
      <w:r>
        <w:rPr>
          <w:rFonts w:ascii="Times New Roman;serif" w:hAnsi="Times New Roman;serif"/>
          <w:b w:val="false"/>
          <w:color w:val="000000"/>
          <w:sz w:val="24"/>
          <w:u w:val="single"/>
        </w:rPr>
        <w:t>Section 12.11</w:t>
      </w:r>
      <w:r>
        <w:rPr>
          <w:color w:val="000000"/>
        </w:rPr>
        <w:t xml:space="preserve"> </w:t>
      </w:r>
      <w:r>
        <w:rPr>
          <w:rFonts w:ascii="Times New Roman;serif" w:hAnsi="Times New Roman;serif"/>
          <w:b w:val="false"/>
          <w:color w:val="000000"/>
          <w:sz w:val="24"/>
        </w:rPr>
        <w:t>and held in trust for the benefit of Administrative Agent, and such Lender shall (or, with respect to any Payment Recipient who received such funds on its behalf, shall cause such Payment Recipient to) promptly, but in no event later than [***] thereafter (or such later date as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Administrative Agent to any Payment Recipient under this clause (a) shall be conclusive, absent manifest error.</w:t>
      </w:r>
    </w:p>
    <w:p>
      <w:pPr>
        <w:pStyle w:val="TextBody"/>
        <w:bidi w:val="0"/>
        <w:spacing w:lineRule="auto" w:line="240" w:before="0" w:after="240"/>
        <w:ind w:left="0" w:right="0" w:firstLine="1440"/>
        <w:jc w:val="both"/>
        <w:rPr/>
      </w:pPr>
      <w:bookmarkStart w:id="398" w:name="icbdca672d9f442b4a5c3d1b6cba9aa95"/>
      <w:bookmarkEnd w:id="398"/>
      <w:r>
        <w:rPr>
          <w:rFonts w:ascii="Times New Roman;serif" w:hAnsi="Times New Roman;serif"/>
          <w:b w:val="false"/>
          <w:color w:val="000000"/>
          <w:sz w:val="24"/>
        </w:rPr>
        <w:t>(b)</w:t>
      </w:r>
      <w:r>
        <w:rPr>
          <w:rFonts w:ascii="Times New Roman;serif" w:hAnsi="Times New Roman;serif"/>
          <w:b w:val="false"/>
          <w:color w:val="000000"/>
          <w:sz w:val="24"/>
        </w:rPr>
        <w:t xml:space="preserve">Without limiting immediately preceding clause (a), each Lender or any Person who has received funds on behalf of a Lender (and each of their respective successors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pStyle w:val="TextBody"/>
        <w:bidi w:val="0"/>
        <w:spacing w:lineRule="auto" w:line="240" w:before="0" w:after="240"/>
        <w:ind w:left="0" w:right="0" w:firstLine="2160"/>
        <w:jc w:val="both"/>
        <w:rPr/>
      </w:pPr>
      <w:bookmarkStart w:id="399" w:name="i8ebeffb525d045e0aac3899c3fc31d03"/>
      <w:bookmarkEnd w:id="399"/>
      <w:r>
        <w:rPr>
          <w:rFonts w:ascii="Times New Roman;serif" w:hAnsi="Times New Roman;serif"/>
          <w:b w:val="false"/>
          <w:color w:val="000000"/>
          <w:sz w:val="24"/>
        </w:rPr>
        <w:t>(i)</w:t>
      </w:r>
      <w:r>
        <w:rPr>
          <w:rFonts w:ascii="Times New Roman;serif" w:hAnsi="Times New Roman;serif"/>
          <w:b w:val="false"/>
          <w:color w:val="000000"/>
          <w:sz w:val="24"/>
        </w:rPr>
        <w:t>it acknowledges and agrees that (A) in the case of immediately preceding clauses (x) or (y), an error and mistake shall be presumed to have been made (absent written confirmation from Administrative Agent to the contrary) or (B) an error and mistake has been made (in the case of immediately preceding clause (z)), in each case, with respect to such payment, prepayment or repayment; and</w:t>
      </w:r>
    </w:p>
    <w:p>
      <w:pPr>
        <w:pStyle w:val="TextBody"/>
        <w:bidi w:val="0"/>
        <w:spacing w:lineRule="auto" w:line="240" w:before="0" w:after="240"/>
        <w:ind w:left="0" w:right="0" w:firstLine="2160"/>
        <w:jc w:val="both"/>
        <w:rPr/>
      </w:pPr>
      <w:bookmarkStart w:id="400" w:name="i3076c122d0fe43f380e48a263d627a60"/>
      <w:bookmarkEnd w:id="400"/>
      <w:r>
        <w:rPr>
          <w:rFonts w:ascii="Times New Roman;serif" w:hAnsi="Times New Roman;serif"/>
          <w:b w:val="false"/>
          <w:color w:val="000000"/>
          <w:sz w:val="24"/>
        </w:rPr>
        <w:t>(ii)</w:t>
      </w:r>
      <w:r>
        <w:rPr>
          <w:rFonts w:ascii="Times New Roman;serif" w:hAnsi="Times New Roman;serif"/>
          <w:b w:val="false"/>
          <w:color w:val="000000"/>
          <w:sz w:val="24"/>
        </w:rPr>
        <w:t xml:space="preserve">such Lender shall (and shall use commercially reasonable efforts to cause any other recipient that receives funds on its respective behalf to) promptly (and, in all events, within [***] of its knowledge of the occurrence of any of the circumstances described in immediately preceding clauses (x), (y) and (z)) notify Administrative Agent of its receipt of such payment, prepayment or repayment, the details thereof (in reasonable detail) and that it is so notifying Administrative Agent pursuant to this </w:t>
      </w:r>
      <w:r>
        <w:rPr>
          <w:rFonts w:ascii="Times New Roman;serif" w:hAnsi="Times New Roman;serif"/>
          <w:b w:val="false"/>
          <w:color w:val="000000"/>
          <w:sz w:val="24"/>
          <w:u w:val="single"/>
        </w:rPr>
        <w:t>Section 12.11(b)</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 xml:space="preserve">For the avoidance of doubt, the failure to deliver a notice to Administrative Agent pursuant to this </w:t>
      </w:r>
      <w:r>
        <w:rPr>
          <w:rFonts w:ascii="Times New Roman;serif" w:hAnsi="Times New Roman;serif"/>
          <w:b w:val="false"/>
          <w:color w:val="000000"/>
          <w:sz w:val="24"/>
          <w:u w:val="single"/>
        </w:rPr>
        <w:t>Section 12.11(b)</w:t>
      </w:r>
      <w:r>
        <w:rPr>
          <w:color w:val="000000"/>
        </w:rPr>
        <w:t xml:space="preserve"> </w:t>
      </w:r>
      <w:r>
        <w:rPr>
          <w:rFonts w:ascii="Times New Roman;serif" w:hAnsi="Times New Roman;serif"/>
          <w:b w:val="false"/>
          <w:color w:val="000000"/>
          <w:sz w:val="24"/>
        </w:rPr>
        <w:t xml:space="preserve">shall not have any effect on a Payment Recipient’s obligations pursuant to </w:t>
      </w:r>
      <w:r>
        <w:rPr>
          <w:rFonts w:ascii="Times New Roman;serif" w:hAnsi="Times New Roman;serif"/>
          <w:b w:val="false"/>
          <w:color w:val="000000"/>
          <w:sz w:val="24"/>
          <w:u w:val="single"/>
        </w:rPr>
        <w:t>Section 12.11(a)</w:t>
      </w:r>
      <w:r>
        <w:rPr>
          <w:color w:val="000000"/>
        </w:rPr>
        <w:t xml:space="preserve"> </w:t>
      </w:r>
      <w:r>
        <w:rPr>
          <w:rFonts w:ascii="Times New Roman;serif" w:hAnsi="Times New Roman;serif"/>
          <w:b w:val="false"/>
          <w:color w:val="000000"/>
          <w:sz w:val="24"/>
        </w:rPr>
        <w:t>or on whether or not an Erroneous Payment has been made.</w:t>
      </w:r>
    </w:p>
    <w:p>
      <w:pPr>
        <w:pStyle w:val="TextBody"/>
        <w:bidi w:val="0"/>
        <w:spacing w:lineRule="auto" w:line="240" w:before="0" w:after="240"/>
        <w:ind w:left="0" w:right="0" w:firstLine="1440"/>
        <w:jc w:val="both"/>
        <w:rPr/>
      </w:pPr>
      <w:bookmarkStart w:id="401" w:name="ie9aac6cfbb7d49f092975709475af7d9"/>
      <w:bookmarkEnd w:id="401"/>
      <w:r>
        <w:rPr>
          <w:rFonts w:ascii="Times New Roman;serif" w:hAnsi="Times New Roman;serif"/>
          <w:b w:val="false"/>
          <w:color w:val="000000"/>
          <w:sz w:val="24"/>
        </w:rPr>
        <w:t>(c)</w:t>
      </w:r>
      <w:r>
        <w:rPr>
          <w:rFonts w:ascii="Times New Roman;serif" w:hAnsi="Times New Roman;serif"/>
          <w:b w:val="false"/>
          <w:color w:val="000000"/>
          <w:sz w:val="24"/>
        </w:rPr>
        <w:t>Each Lender hereby authorizes Administrative Agent to set off, net and apply any and all amounts at any time owing to such Lender under any Loan Document, or otherwise payable or distributable by Administrative Agent to such Lender under any Loan Document with respect to any payment of principal, interest, fees or other amounts, against any amount that Administrative Agent has demanded to be returned under immediately preceding clause (a).</w:t>
      </w:r>
    </w:p>
    <w:p>
      <w:pPr>
        <w:pStyle w:val="TextBody"/>
        <w:bidi w:val="0"/>
        <w:spacing w:lineRule="auto" w:line="240" w:before="0" w:after="240"/>
        <w:ind w:left="0" w:right="0" w:firstLine="1440"/>
        <w:jc w:val="both"/>
        <w:rPr/>
      </w:pPr>
      <w:bookmarkStart w:id="402" w:name="i85b93d55f41f42578f687074dda6d40f"/>
      <w:bookmarkEnd w:id="402"/>
      <w:r>
        <w:rPr>
          <w:rFonts w:ascii="Times New Roman;serif" w:hAnsi="Times New Roman;serif"/>
          <w:b w:val="false"/>
          <w:color w:val="000000"/>
          <w:sz w:val="24"/>
        </w:rPr>
        <w:t>(d)</w:t>
      </w:r>
      <w:r>
        <w:rPr>
          <w:rFonts w:ascii="Times New Roman;serif" w:hAnsi="Times New Roman;serif"/>
          <w:b w:val="false"/>
          <w:color w:val="000000"/>
          <w:sz w:val="24"/>
        </w:rPr>
        <w:t>The parties hereto agree that (x) irrespective of whether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as the case may be) under the Loan Documents with respect to such amount (the “</w:t>
      </w:r>
      <w:r>
        <w:rPr>
          <w:rFonts w:ascii="Times New Roman;serif" w:hAnsi="Times New Roman;serif"/>
          <w:b w:val="false"/>
          <w:color w:val="000000"/>
          <w:sz w:val="24"/>
          <w:u w:val="single"/>
        </w:rPr>
        <w:t>Erroneous Payment Subrogation Rights</w:t>
      </w:r>
      <w:r>
        <w:rPr>
          <w:color w:val="000000"/>
        </w:rPr>
        <w:t>”</w:t>
      </w:r>
      <w:r>
        <w:rPr>
          <w:rFonts w:ascii="Times New Roman;serif" w:hAnsi="Times New Roman;serif"/>
          <w:b w:val="false"/>
          <w:color w:val="000000"/>
          <w:sz w:val="24"/>
        </w:rPr>
        <w:t xml:space="preserve">) and (y) an Erroneous Payment shall not pay, prepay, repay, discharge or otherwise satisfy any Obligations owed by the Borrower; provided that this </w:t>
      </w:r>
      <w:r>
        <w:rPr>
          <w:rFonts w:ascii="Times New Roman;serif" w:hAnsi="Times New Roman;serif"/>
          <w:b w:val="false"/>
          <w:color w:val="000000"/>
          <w:sz w:val="24"/>
          <w:u w:val="single"/>
        </w:rPr>
        <w:t>Section 12.11</w:t>
      </w:r>
      <w:r>
        <w:rPr>
          <w:color w:val="000000"/>
        </w:rPr>
        <w:t xml:space="preserve"> </w:t>
      </w:r>
      <w:r>
        <w:rPr>
          <w:rFonts w:ascii="Times New Roman;serif" w:hAnsi="Times New Roman;serif"/>
          <w:b w:val="false"/>
          <w:color w:val="000000"/>
          <w:sz w:val="24"/>
        </w:rPr>
        <w:t xml:space="preserve">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Administrative Agent;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for the avoidance of doubt, immediately preceding clauses (x) and (y) shall not apply to the extent any such Erroneous Payment is, and solely with respect to the amount of such Erroneous Payment that is, comprised of funds received by Administrative Agent from, or on behalf of (including through the exercise of remedies under any Loan Document), the Borrower for the purpose of a payment on the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40" w:before="0" w:after="240"/>
        <w:ind w:left="0" w:right="0" w:firstLine="1440"/>
        <w:jc w:val="both"/>
        <w:rPr/>
      </w:pPr>
      <w:bookmarkStart w:id="403" w:name="i8fd4e6d03d3849e0b6a1c52d0ecf4d79"/>
      <w:bookmarkEnd w:id="403"/>
      <w:r>
        <w:rPr>
          <w:rFonts w:ascii="Times New Roman;serif" w:hAnsi="Times New Roman;serif"/>
          <w:b w:val="false"/>
          <w:color w:val="000000"/>
          <w:sz w:val="24"/>
        </w:rPr>
        <w:t>(e)</w:t>
      </w:r>
      <w:r>
        <w:rPr>
          <w:rFonts w:ascii="Times New Roman;serif" w:hAnsi="Times New Roman;serif"/>
          <w:b w:val="false"/>
          <w:color w:val="000000"/>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any defense based on “discharge for value” or any similar doctrine.</w:t>
      </w:r>
    </w:p>
    <w:p>
      <w:pPr>
        <w:pStyle w:val="TextBody"/>
        <w:bidi w:val="0"/>
        <w:spacing w:lineRule="auto" w:line="240" w:before="0" w:after="240"/>
        <w:jc w:val="both"/>
        <w:rPr/>
      </w:pPr>
      <w:r>
        <w:rPr>
          <w:rFonts w:ascii="Times New Roman;serif" w:hAnsi="Times New Roman;serif"/>
          <w:b w:val="false"/>
          <w:color w:val="000000"/>
          <w:sz w:val="24"/>
        </w:rPr>
        <w:t xml:space="preserve">Each party’s obligations, agreements and waivers under this </w:t>
      </w:r>
      <w:r>
        <w:rPr>
          <w:rFonts w:ascii="Times New Roman;serif" w:hAnsi="Times New Roman;serif"/>
          <w:b w:val="false"/>
          <w:color w:val="000000"/>
          <w:sz w:val="24"/>
          <w:u w:val="single"/>
        </w:rPr>
        <w:t>Section 12.11</w:t>
      </w:r>
      <w:r>
        <w:rPr>
          <w:color w:val="000000"/>
        </w:rPr>
        <w:t xml:space="preserve"> </w:t>
      </w:r>
      <w:r>
        <w:rPr>
          <w:rFonts w:ascii="Times New Roman;serif" w:hAnsi="Times New Roman;serif"/>
          <w:b w:val="false"/>
          <w:color w:val="000000"/>
          <w:sz w:val="24"/>
        </w:rPr>
        <w:t>shall survive the resignation or replacement of Administrative Agent, any transfer of rights or obligations by, or the replacement of, a Lender, or the repayment, satisfaction or discharge of all Obligations (or any portion thereof) under any Loan Document.</w:t>
      </w:r>
    </w:p>
    <w:p>
      <w:pPr>
        <w:pStyle w:val="TextBody"/>
        <w:bidi w:val="0"/>
        <w:spacing w:lineRule="auto" w:line="240" w:before="0" w:after="240"/>
        <w:jc w:val="center"/>
        <w:rPr/>
      </w:pPr>
      <w:bookmarkStart w:id="404" w:name="i87988b82caf44a728ce1937898b9333f"/>
      <w:bookmarkEnd w:id="404"/>
      <w:r>
        <w:rPr>
          <w:rFonts w:ascii="Times New Roman;serif" w:hAnsi="Times New Roman;serif"/>
          <w:b/>
          <w:color w:val="000000"/>
          <w:sz w:val="24"/>
        </w:rPr>
        <w:t>Article XIII</w:t>
      </w:r>
      <w:r>
        <w:rPr>
          <w:rFonts w:ascii="Times New Roman;serif" w:hAnsi="Times New Roman;serif"/>
          <w:b/>
          <w:color w:val="000000"/>
          <w:sz w:val="24"/>
        </w:rPr>
        <w:br/>
        <w:t>MISCELLANEOUS</w:t>
      </w:r>
    </w:p>
    <w:p>
      <w:pPr>
        <w:pStyle w:val="TextBody"/>
        <w:bidi w:val="0"/>
        <w:spacing w:lineRule="auto" w:line="240" w:before="0" w:after="0"/>
        <w:ind w:left="0" w:right="0" w:firstLine="720"/>
        <w:jc w:val="both"/>
        <w:rPr/>
      </w:pPr>
      <w:bookmarkStart w:id="405" w:name="i64fdd80976624204b33274d18d0bb172"/>
      <w:bookmarkEnd w:id="405"/>
      <w:r>
        <w:rPr>
          <w:rFonts w:ascii="Times New Roman;serif" w:hAnsi="Times New Roman;serif"/>
          <w:b w:val="false"/>
          <w:color w:val="000000"/>
          <w:sz w:val="24"/>
        </w:rPr>
        <w:t>Section 13.01</w:t>
      </w:r>
      <w:r>
        <w:rPr>
          <w:rFonts w:ascii="Times New Roman;serif" w:hAnsi="Times New Roman;serif"/>
          <w:b w:val="false"/>
          <w:color w:val="000000"/>
          <w:sz w:val="24"/>
          <w:u w:val="single"/>
        </w:rPr>
        <w:t>Assignments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bookmarkStart w:id="406" w:name="iebd0951675dc4cf2bef8766ffc9c1500"/>
      <w:bookmarkEnd w:id="406"/>
      <w:r>
        <w:rPr>
          <w:rFonts w:ascii="Times New Roman;serif" w:hAnsi="Times New Roman;serif"/>
          <w:b w:val="false"/>
          <w:color w:val="000000"/>
          <w:sz w:val="24"/>
        </w:rPr>
        <w:t>(a)</w:t>
      </w:r>
      <w:r>
        <w:rPr>
          <w:rFonts w:ascii="Times New Roman;serif" w:hAnsi="Times New Roman;serif"/>
          <w:b w:val="false"/>
          <w:color w:val="000000"/>
          <w:sz w:val="24"/>
        </w:rPr>
        <w:t xml:space="preserve">Borrower shall not be permitted to assign this Agreement without the prior written consent of the Administrative Agent and any purported assignment in violation of this </w:t>
      </w:r>
      <w:r>
        <w:rPr>
          <w:rFonts w:ascii="Times New Roman;serif" w:hAnsi="Times New Roman;serif"/>
          <w:b w:val="false"/>
          <w:color w:val="000000"/>
          <w:sz w:val="24"/>
          <w:u w:val="single"/>
        </w:rPr>
        <w:t>Section 13.01</w:t>
      </w:r>
      <w:r>
        <w:rPr>
          <w:color w:val="000000"/>
        </w:rPr>
        <w:t xml:space="preserve"> </w:t>
      </w:r>
      <w:r>
        <w:rPr>
          <w:rFonts w:ascii="Times New Roman;serif" w:hAnsi="Times New Roman;serif"/>
          <w:b w:val="false"/>
          <w:color w:val="000000"/>
          <w:sz w:val="24"/>
        </w:rPr>
        <w:t>shall be null and void.</w:t>
      </w:r>
    </w:p>
    <w:p>
      <w:pPr>
        <w:pStyle w:val="TextBody"/>
        <w:bidi w:val="0"/>
        <w:spacing w:lineRule="auto" w:line="240" w:before="0" w:after="240"/>
        <w:ind w:left="0" w:right="0" w:firstLine="1440"/>
        <w:jc w:val="both"/>
        <w:rPr/>
      </w:pPr>
      <w:bookmarkStart w:id="407" w:name="i347daa59059a4a7d88a4a36a44e7eafc"/>
      <w:bookmarkEnd w:id="407"/>
      <w:r>
        <w:rPr>
          <w:rFonts w:ascii="Times New Roman;serif" w:hAnsi="Times New Roman;serif"/>
          <w:b w:val="false"/>
          <w:color w:val="000000"/>
          <w:sz w:val="24"/>
        </w:rPr>
        <w:t>(b)</w:t>
      </w:r>
      <w:r>
        <w:rPr>
          <w:rFonts w:ascii="Times New Roman;serif" w:hAnsi="Times New Roman;serif"/>
          <w:b w:val="false"/>
          <w:color w:val="000000"/>
          <w:sz w:val="24"/>
        </w:rPr>
        <w:t>Any Lender may at any time assign its rights and obligations hereunder, in whole or in part, to any Assignee without the consent of the Borrower; provided that, with respect to any such assignment where the Assignee is not an Affiliate of such Lender, except if an Event of Default has occurred and is continuing, no Lender may assign its rights or obligations hereunder to any Disqualified Institution without the consent of Borrower (such consent not to be unreasonably withheld). Any Lender may at any time pledge or assign a security interest in all or any portion of its rights under this Agreement to secure obligations of such Lender; provided that no such pledge or assignment of a security interest shall release a Lender from any of its obligations hereunder or substitute any such pledgee or assignee for such Lender as a party hereto. Notwithstanding the foregoing, no Assignee shall be entitled to receive any greater payment under Article V than such Lender would have been entitled to receive had such payment been made to such Lender.</w:t>
      </w:r>
    </w:p>
    <w:p>
      <w:pPr>
        <w:pStyle w:val="TextBody"/>
        <w:bidi w:val="0"/>
        <w:spacing w:lineRule="auto" w:line="240" w:before="0" w:after="240"/>
        <w:ind w:left="0" w:right="0" w:firstLine="1440"/>
        <w:jc w:val="both"/>
        <w:rPr/>
      </w:pPr>
      <w:bookmarkStart w:id="408" w:name="i056766b7e06a4d48aa3b169299573a2e"/>
      <w:bookmarkEnd w:id="408"/>
      <w:r>
        <w:rPr>
          <w:rFonts w:ascii="Times New Roman;serif" w:hAnsi="Times New Roman;serif"/>
          <w:b w:val="false"/>
          <w:color w:val="000000"/>
          <w:sz w:val="24"/>
        </w:rPr>
        <w:t>(c)</w:t>
      </w:r>
      <w:r>
        <w:rPr>
          <w:rFonts w:ascii="Times New Roman;serif" w:hAnsi="Times New Roman;serif"/>
          <w:b w:val="false"/>
          <w:color w:val="000000"/>
          <w:sz w:val="24"/>
        </w:rPr>
        <w:t xml:space="preserve">The parties to each assignment shall execute and deliver to Borrower an Assignment and Acceptance. Upon the effectiveness of a permitted assignment pursuant to </w:t>
      </w:r>
      <w:r>
        <w:rPr>
          <w:rFonts w:ascii="Times New Roman;serif" w:hAnsi="Times New Roman;serif"/>
          <w:b w:val="false"/>
          <w:color w:val="000000"/>
          <w:sz w:val="24"/>
          <w:u w:val="single"/>
        </w:rPr>
        <w:t>Section 13.01(a)</w:t>
      </w:r>
      <w:r>
        <w:rPr>
          <w:color w:val="000000"/>
        </w:rPr>
        <w:t xml:space="preserve"> </w:t>
      </w:r>
      <w:r>
        <w:rPr>
          <w:rFonts w:ascii="Times New Roman;serif" w:hAnsi="Times New Roman;serif"/>
          <w:b w:val="false"/>
          <w:color w:val="000000"/>
          <w:sz w:val="24"/>
        </w:rPr>
        <w:t xml:space="preserve">or an assignment pursuant to </w:t>
      </w:r>
      <w:r>
        <w:rPr>
          <w:rFonts w:ascii="Times New Roman;serif" w:hAnsi="Times New Roman;serif"/>
          <w:b w:val="false"/>
          <w:color w:val="000000"/>
          <w:sz w:val="24"/>
          <w:u w:val="single"/>
        </w:rPr>
        <w:t>Section 13.01(b)</w:t>
      </w:r>
      <w:r>
        <w:rPr>
          <w:color w:val="000000"/>
        </w:rPr>
        <w:t xml:space="preserve"> </w:t>
      </w:r>
      <w:r>
        <w:rPr>
          <w:rFonts w:ascii="Times New Roman;serif" w:hAnsi="Times New Roman;serif"/>
          <w:b w:val="false"/>
          <w:color w:val="000000"/>
          <w:sz w:val="24"/>
        </w:rPr>
        <w:t>hereunder, (i) each reference in this Agreement to “Lender” shall be deemed to be a reference to the assignor and the assignee to the extent of their respective interests, (ii) such assignee shall be a Lender party to this Agreement and shall have all the rights and obligations of a Lender and (iii) the assignor shall be released from its obligations hereunder to a corresponding extent of the assignment, and no further consent or action by any party shall be required.</w:t>
      </w:r>
    </w:p>
    <w:p>
      <w:pPr>
        <w:pStyle w:val="TextBody"/>
        <w:bidi w:val="0"/>
        <w:spacing w:lineRule="auto" w:line="240" w:before="0" w:after="240"/>
        <w:ind w:left="0" w:right="0" w:firstLine="1440"/>
        <w:jc w:val="both"/>
        <w:rPr/>
      </w:pPr>
      <w:bookmarkStart w:id="409" w:name="i44273e18c6de4fb2b882d25ce5801f3a"/>
      <w:bookmarkEnd w:id="409"/>
      <w:r>
        <w:rPr>
          <w:rFonts w:ascii="Times New Roman;serif" w:hAnsi="Times New Roman;serif"/>
          <w:b w:val="false"/>
          <w:color w:val="000000"/>
          <w:sz w:val="24"/>
        </w:rPr>
        <w:t>(d)</w:t>
      </w:r>
      <w:r>
        <w:rPr>
          <w:rFonts w:ascii="Times New Roman;serif" w:hAnsi="Times New Roman;serif"/>
          <w:b w:val="false"/>
          <w:color w:val="000000"/>
          <w:sz w:val="24"/>
        </w:rPr>
        <w:t>Borrower and Administrative Agent shall, from time to time at the request of the other party hereto, execute and deliver any documents that are necessary to give full force and effect to an assignment permitted hereunder.</w:t>
      </w:r>
    </w:p>
    <w:p>
      <w:pPr>
        <w:pStyle w:val="TextBody"/>
        <w:bidi w:val="0"/>
        <w:spacing w:lineRule="auto" w:line="240" w:before="0" w:after="240"/>
        <w:ind w:left="0" w:right="0" w:firstLine="1440"/>
        <w:jc w:val="both"/>
        <w:rPr/>
      </w:pPr>
      <w:bookmarkStart w:id="410" w:name="i6964b040d5f1414eb8cc460b0fa1bdfa"/>
      <w:bookmarkEnd w:id="410"/>
      <w:r>
        <w:rPr>
          <w:rFonts w:ascii="Times New Roman;serif" w:hAnsi="Times New Roman;serif"/>
          <w:b w:val="false"/>
          <w:color w:val="000000"/>
          <w:sz w:val="24"/>
        </w:rPr>
        <w:t>(e)</w:t>
      </w:r>
      <w:r>
        <w:rPr>
          <w:rFonts w:ascii="Times New Roman;serif" w:hAnsi="Times New Roman;serif"/>
          <w:b w:val="false"/>
          <w:color w:val="000000"/>
          <w:sz w:val="24"/>
        </w:rPr>
        <w:t>Administrative Agent, acting solely for this purpose as a non-fiduciary agent of Loan Parties, shall maintain at its office a copy of each Assignment and Acceptance delivered to it and a register for the recordation of the names and addresses of each Lender, and the commitments of, and principal amount (and stated interest) of the Term Loans owing to, such Lender pursuant to the terms hereof (the “</w:t>
      </w:r>
      <w:r>
        <w:rPr>
          <w:rFonts w:ascii="Times New Roman;serif" w:hAnsi="Times New Roman;serif"/>
          <w:b w:val="false"/>
          <w:color w:val="000000"/>
          <w:sz w:val="24"/>
          <w:u w:val="single"/>
        </w:rPr>
        <w:t>Lender Register</w:t>
      </w:r>
      <w:r>
        <w:rPr>
          <w:color w:val="000000"/>
        </w:rPr>
        <w:t>”</w:t>
      </w:r>
      <w:r>
        <w:rPr>
          <w:rFonts w:ascii="Times New Roman;serif" w:hAnsi="Times New Roman;serif"/>
          <w:b w:val="false"/>
          <w:color w:val="000000"/>
          <w:sz w:val="24"/>
        </w:rPr>
        <w:t xml:space="preserve">). The entries in such Lender Register shall be conclusive, absent manifest error, and Loan Parties, Administrative Agent and Lenders shall treat each Person whose name is recorded therein pursuant to the terms hereof as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 Lender hereunder for all purposes of this Agreement, notwithstanding notice to the contrary. Such Lender Register shall be available for inspection by Loan Parties and any Lender, at any reasonable time upon reasonable prior notice to Administrative Agent. Each Lender that sells a participation shall, acting solely for this purpose as an agent of Loan Parties maintain a register on which it enters the name and address of each participant and the principal amounts (and stated interest) of each participant’s interest in the Obligations (each, a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The entries in the Participant Registers shall be conclusive, absent manifest error. Each Participant Register shall be available for inspection by Loan Parties and Administrative Agent at any reasonable time upon reasonable prior notice to the applicable Lender;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(including Loan Parties) except to the extent that such disclosure is necessary to establish that such commitment, loan or other obligation is in registered form under Section 5f.103-1(c) of the United States Treasury Regulations. For the avoidance of doubt, Administrative Agent (in its capacity as Administrative Agent) shall have no responsibility for maintaining a Participant Register.</w:t>
      </w:r>
    </w:p>
    <w:p>
      <w:pPr>
        <w:pStyle w:val="TextBody"/>
        <w:bidi w:val="0"/>
        <w:spacing w:lineRule="auto" w:line="240" w:before="0" w:after="0"/>
        <w:ind w:left="0" w:right="0" w:firstLine="720"/>
        <w:jc w:val="both"/>
        <w:rPr/>
      </w:pPr>
      <w:bookmarkStart w:id="411" w:name="i40ae4f39ce7e445492f1b64a4e6d2541"/>
      <w:bookmarkEnd w:id="411"/>
      <w:r>
        <w:rPr>
          <w:rFonts w:ascii="Times New Roman;serif" w:hAnsi="Times New Roman;serif"/>
          <w:b w:val="false"/>
          <w:color w:val="000000"/>
          <w:sz w:val="24"/>
        </w:rPr>
        <w:t>Section 13.02</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Agreement shall be binding upon and inure to the benefit of the Parties and their respective successors and permitted assigns.</w:t>
      </w:r>
    </w:p>
    <w:p>
      <w:pPr>
        <w:pStyle w:val="TextBody"/>
        <w:bidi w:val="0"/>
        <w:spacing w:lineRule="auto" w:line="240" w:before="0" w:after="0"/>
        <w:ind w:left="0" w:right="0" w:firstLine="720"/>
        <w:jc w:val="both"/>
        <w:rPr/>
      </w:pPr>
      <w:bookmarkStart w:id="412" w:name="i2518f6ce560c4d93a9b1595649abde36"/>
      <w:bookmarkEnd w:id="412"/>
      <w:r>
        <w:rPr>
          <w:rFonts w:ascii="Times New Roman;serif" w:hAnsi="Times New Roman;serif"/>
          <w:b w:val="false"/>
          <w:color w:val="000000"/>
          <w:sz w:val="24"/>
        </w:rPr>
        <w:t>Section 13.03</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All Notices authorized or required to be given pursuant to this Agreement shall be given in writing and either personally delivered to the Party to whom it is given or delivered by an established delivery service by which receipts are given or mailed by registered or certified mail, postage prepaid, or sent by electronic mail with a copy sent on the following Business Day by one of the other methods of giving notice described herein, addressed to the Party at its address listed below:</w:t>
      </w:r>
    </w:p>
    <w:p>
      <w:pPr>
        <w:pStyle w:val="TextBody"/>
        <w:bidi w:val="0"/>
        <w:spacing w:lineRule="auto" w:line="240" w:before="0" w:after="240"/>
        <w:ind w:left="0" w:right="0" w:firstLine="1440"/>
        <w:jc w:val="both"/>
        <w:rPr/>
      </w:pPr>
      <w:bookmarkStart w:id="413" w:name="i84fe8c2c374044c3803da53156ad2b7a"/>
      <w:bookmarkEnd w:id="413"/>
      <w:r>
        <w:rPr>
          <w:rFonts w:ascii="Times New Roman;serif" w:hAnsi="Times New Roman;serif"/>
          <w:b w:val="false"/>
          <w:color w:val="000000"/>
          <w:sz w:val="24"/>
        </w:rPr>
        <w:t>(a)</w:t>
      </w:r>
      <w:r>
        <w:rPr>
          <w:rFonts w:ascii="Times New Roman;serif" w:hAnsi="Times New Roman;serif"/>
          <w:b w:val="false"/>
          <w:color w:val="000000"/>
          <w:sz w:val="24"/>
        </w:rPr>
        <w:t>If to Borrower: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Zymeworks Royalty Limited Partnership </w:t>
      </w:r>
    </w:p>
    <w:p>
      <w:pPr>
        <w:pStyle w:val="TextBody"/>
        <w:bidi w:val="0"/>
        <w:spacing w:lineRule="auto" w:line="288" w:before="0" w:after="0"/>
        <w:jc w:val="both"/>
        <w:rPr/>
      </w:pPr>
      <w:r>
        <w:rPr>
          <w:rFonts w:ascii="Times New Roman;serif" w:hAnsi="Times New Roman;serif"/>
          <w:b w:val="false"/>
          <w:color w:val="000000"/>
          <w:sz w:val="24"/>
        </w:rPr>
        <w:t>114 East 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Avenue, Suite 800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Vancouver, BC, V5T 1G4, Canada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Legal Department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Gibson, Dunn &amp; Crutcher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200 Park Avenue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New York, NY 10166-0193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Jin Hee Kim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40" w:before="0" w:after="240"/>
        <w:ind w:left="0" w:right="0" w:firstLine="1440"/>
        <w:jc w:val="both"/>
        <w:rPr/>
      </w:pPr>
      <w:bookmarkStart w:id="414" w:name="idb8a884315454a29a8bedcb9ca070cc8"/>
      <w:bookmarkEnd w:id="414"/>
      <w:r>
        <w:rPr>
          <w:rFonts w:ascii="Times New Roman;serif" w:hAnsi="Times New Roman;serif"/>
          <w:b w:val="false"/>
          <w:color w:val="000000"/>
          <w:sz w:val="24"/>
        </w:rPr>
        <w:t>(b)</w:t>
      </w:r>
      <w:r>
        <w:rPr>
          <w:rFonts w:ascii="Times New Roman;serif" w:hAnsi="Times New Roman;serif"/>
          <w:b w:val="false"/>
          <w:color w:val="000000"/>
          <w:sz w:val="24"/>
        </w:rPr>
        <w:t>If to Administrative Agent:</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Royalty Pharma Development Funding, LLC</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110 East 59th Street, Floor 33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New York, NY 10022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Email:    [***]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Covington &amp; Burling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30 Hudson Yards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New York, NY 10001-2170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Peter A. Schwartz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Party may change its address for the receipt of Notices at any time by giving Notice thereof to the other Party. Except as otherwise provided herein, any Notice authorized or required to be given by this Agreement shall be effective when received.</w:t>
      </w:r>
    </w:p>
    <w:p>
      <w:pPr>
        <w:pStyle w:val="TextBody"/>
        <w:bidi w:val="0"/>
        <w:spacing w:lineRule="auto" w:line="240" w:before="0" w:after="0"/>
        <w:ind w:left="0" w:right="0" w:firstLine="720"/>
        <w:jc w:val="both"/>
        <w:rPr/>
      </w:pPr>
      <w:bookmarkStart w:id="415" w:name="ia8dd69ed27a0484cb75af9b794376e2d"/>
      <w:bookmarkEnd w:id="415"/>
      <w:r>
        <w:rPr>
          <w:rFonts w:ascii="Times New Roman;serif" w:hAnsi="Times New Roman;serif"/>
          <w:b w:val="false"/>
          <w:color w:val="000000"/>
          <w:sz w:val="24"/>
        </w:rPr>
        <w:t>Section 13.04</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Agreement, together with the Appendices, Exhibits and Schedules hereto (which are incorporated herein by reference), and the other Loan Documents constitutes the entire agreement between the Parties with respect to the subject matter hereof and supersede all prior agreements (including the Confidentiality Agreement), understandings, negotiations and discussions, both written and oral, between the Parties with respect to the subject matter of this Agreement. There are no conditions, representations, warranties, obligations or other agreements between the Parties in connection with the subject matter of this Agreement (whether oral or written, express or implied, statutory or otherwise) except as explicitly set out in this Agreement or in the other Loan Documents.</w:t>
      </w:r>
    </w:p>
    <w:p>
      <w:pPr>
        <w:pStyle w:val="TextBody"/>
        <w:bidi w:val="0"/>
        <w:spacing w:lineRule="auto" w:line="240" w:before="0" w:after="0"/>
        <w:ind w:left="0" w:right="0" w:firstLine="720"/>
        <w:jc w:val="both"/>
        <w:rPr/>
      </w:pPr>
      <w:bookmarkStart w:id="416" w:name="ic327af7d1a3e40928a3c6b0c69a867f8"/>
      <w:bookmarkEnd w:id="416"/>
      <w:r>
        <w:rPr>
          <w:rFonts w:ascii="Times New Roman;serif" w:hAnsi="Times New Roman;serif"/>
          <w:b w:val="false"/>
          <w:color w:val="000000"/>
          <w:sz w:val="24"/>
        </w:rPr>
        <w:t>Section 13.05</w:t>
      </w:r>
      <w:r>
        <w:rPr>
          <w:rFonts w:ascii="Times New Roman;serif" w:hAnsi="Times New Roman;serif"/>
          <w:b w:val="false"/>
          <w:color w:val="000000"/>
          <w:sz w:val="24"/>
          <w:u w:val="single"/>
        </w:rPr>
        <w:t>Modification</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 Loan Document or provision thereof may be waived, amended or modified except, in the case of this Agreement, by an agreement or agreements in writing executed by Borrower and Administrative Agent or, in the case of any other Loan Document, by an agreement or agreements in writing entered into by the parties thereto with the prior written consent of Administrative Agent.</w:t>
      </w:r>
    </w:p>
    <w:p>
      <w:pPr>
        <w:pStyle w:val="TextBody"/>
        <w:bidi w:val="0"/>
        <w:spacing w:lineRule="auto" w:line="240" w:before="0" w:after="0"/>
        <w:ind w:left="0" w:right="0" w:firstLine="720"/>
        <w:jc w:val="both"/>
        <w:rPr/>
      </w:pPr>
      <w:bookmarkStart w:id="417" w:name="ibb5982c28a054c4db2093f43a6b3efc3"/>
      <w:bookmarkEnd w:id="417"/>
      <w:r>
        <w:rPr>
          <w:rFonts w:ascii="Times New Roman;serif" w:hAnsi="Times New Roman;serif"/>
          <w:b w:val="false"/>
          <w:color w:val="000000"/>
          <w:sz w:val="24"/>
        </w:rPr>
        <w:t>Section 13.06</w:t>
      </w:r>
      <w:r>
        <w:rPr>
          <w:rFonts w:ascii="Times New Roman;serif" w:hAnsi="Times New Roman;serif"/>
          <w:b w:val="false"/>
          <w:color w:val="000000"/>
          <w:sz w:val="24"/>
          <w:u w:val="single"/>
        </w:rPr>
        <w:t>No Delay; Waivers; etc</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 delay on the part of Administrative Agent in exercising any power or right hereunder shall operate as a waiver thereof nor shall any single or partial exercise of any power or right hereunder preclude other or further exercise thereof or the exercise of any other power or right. Administrative Agent shall not be deemed to have waived any rights hereunder unless such waiver shall be in writing and signed by Administrative Agent.</w:t>
      </w:r>
    </w:p>
    <w:p>
      <w:pPr>
        <w:pStyle w:val="TextBody"/>
        <w:bidi w:val="0"/>
        <w:spacing w:lineRule="auto" w:line="240" w:before="0" w:after="0"/>
        <w:ind w:left="0" w:right="0" w:firstLine="720"/>
        <w:jc w:val="both"/>
        <w:rPr/>
      </w:pPr>
      <w:bookmarkStart w:id="418" w:name="i5590366ef0c84a428e18187cf06fa409"/>
      <w:bookmarkEnd w:id="418"/>
      <w:r>
        <w:rPr>
          <w:rFonts w:ascii="Times New Roman;serif" w:hAnsi="Times New Roman;serif"/>
          <w:b w:val="false"/>
          <w:color w:val="000000"/>
          <w:sz w:val="24"/>
        </w:rPr>
        <w:t>Section 13.07</w:t>
      </w:r>
      <w:r>
        <w:rPr>
          <w:rFonts w:ascii="Times New Roman;serif" w:hAnsi="Times New Roman;serif"/>
          <w:b w:val="false"/>
          <w:color w:val="000000"/>
          <w:sz w:val="24"/>
          <w:u w:val="single"/>
        </w:rPr>
        <w:t>Severability</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any provision of this Agreement is held to be invalid or unenforceable, the remaining provisions shall nevertheless be given full force and effect. Any provision of this Agreement held invalid or unenforceable only in part or degree by a court of competent jurisdiction shall remain in full force and effect to the extent not held invalid or unenforceable.</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40" w:before="0" w:after="0"/>
        <w:ind w:left="0" w:right="0" w:firstLine="720"/>
        <w:jc w:val="both"/>
        <w:rPr/>
      </w:pPr>
      <w:bookmarkStart w:id="419" w:name="i83d5370575094549803d59e2ed020cf4"/>
      <w:bookmarkEnd w:id="419"/>
      <w:r>
        <w:rPr>
          <w:rFonts w:ascii="Times New Roman;serif" w:hAnsi="Times New Roman;serif"/>
          <w:b w:val="false"/>
          <w:color w:val="000000"/>
          <w:sz w:val="24"/>
        </w:rPr>
        <w:t>Section 13.08</w:t>
      </w:r>
      <w:r>
        <w:rPr>
          <w:rFonts w:ascii="Times New Roman;serif" w:hAnsi="Times New Roman;serif"/>
          <w:b w:val="false"/>
          <w:color w:val="000000"/>
          <w:sz w:val="24"/>
          <w:u w:val="single"/>
        </w:rPr>
        <w:t>Determinations</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determination or calculation by Administrative Agent hereunder shall, in the absence of manifest error, be conclusive and binding on the Parties.</w:t>
      </w:r>
    </w:p>
    <w:p>
      <w:pPr>
        <w:pStyle w:val="TextBody"/>
        <w:bidi w:val="0"/>
        <w:spacing w:lineRule="auto" w:line="240" w:before="0" w:after="0"/>
        <w:ind w:left="0" w:right="0" w:firstLine="720"/>
        <w:jc w:val="both"/>
        <w:rPr/>
      </w:pPr>
      <w:bookmarkStart w:id="420" w:name="i921680cda73040ecaa5fb3888b625f47"/>
      <w:bookmarkEnd w:id="420"/>
      <w:r>
        <w:rPr>
          <w:rFonts w:ascii="Times New Roman;serif" w:hAnsi="Times New Roman;serif"/>
          <w:b w:val="false"/>
          <w:color w:val="000000"/>
          <w:sz w:val="24"/>
        </w:rPr>
        <w:t>Section 13.09</w:t>
      </w:r>
      <w:r>
        <w:rPr>
          <w:rFonts w:ascii="Times New Roman;serif" w:hAnsi="Times New Roman;serif"/>
          <w:b w:val="false"/>
          <w:color w:val="000000"/>
          <w:sz w:val="24"/>
          <w:u w:val="single"/>
        </w:rPr>
        <w:t>Recourse</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Except as otherwise expressly provided in Article VII of the Sale Agreement, the payment and performance of the Obligations of Borrower shall be fully recourse solely to Borrower and its properties and assets.</w:t>
      </w:r>
    </w:p>
    <w:p>
      <w:pPr>
        <w:pStyle w:val="TextBody"/>
        <w:bidi w:val="0"/>
        <w:spacing w:lineRule="auto" w:line="240" w:before="0" w:after="0"/>
        <w:ind w:left="0" w:right="0" w:firstLine="720"/>
        <w:jc w:val="both"/>
        <w:rPr/>
      </w:pPr>
      <w:bookmarkStart w:id="421" w:name="ia746463e4c6a49f8876aa2bb6be22a1f"/>
      <w:bookmarkEnd w:id="421"/>
      <w:r>
        <w:rPr>
          <w:rFonts w:ascii="Times New Roman;serif" w:hAnsi="Times New Roman;serif"/>
          <w:b w:val="false"/>
          <w:color w:val="000000"/>
          <w:sz w:val="24"/>
        </w:rPr>
        <w:t>Section 13.10</w:t>
      </w:r>
      <w:r>
        <w:rPr>
          <w:rFonts w:ascii="Times New Roman;serif" w:hAnsi="Times New Roman;serif"/>
          <w:b w:val="false"/>
          <w:color w:val="000000"/>
          <w:sz w:val="24"/>
          <w:u w:val="single"/>
        </w:rPr>
        <w:t>Governing Law</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color w:val="000000"/>
          <w:sz w:val="24"/>
        </w:rPr>
      </w:pPr>
      <w:r>
        <w:rPr>
          <w:rFonts w:ascii="Times New Roman;serif" w:hAnsi="Times New Roman;serif"/>
          <w:b/>
          <w:color w:val="000000"/>
          <w:sz w:val="24"/>
        </w:rPr>
        <w:t>THIS AGREEMENT AND EACH NOTE SHALL BE GOVERNED BY AND CONSTRUED IN ACCORDANCE WITH THE LAWS OF THE STATE OF NEW YORK, INCLUDING GENERAL OBLIGATIONS LAW SECTIONS 5-1401 AND 5-1402 BUT OTHERWISE WITHOUT GIVING EFFECT TO LAWS CONCERNING CONFLICT OF LAWS OR CHOICE OF FORUM THAT WOULD REQUIRE APPLICATION OF THE LAWS OF ANOTHER JURISDICTION.</w:t>
      </w:r>
    </w:p>
    <w:p>
      <w:pPr>
        <w:pStyle w:val="TextBody"/>
        <w:bidi w:val="0"/>
        <w:spacing w:lineRule="auto" w:line="240" w:before="0" w:after="0"/>
        <w:ind w:left="0" w:right="0" w:firstLine="720"/>
        <w:jc w:val="both"/>
        <w:rPr/>
      </w:pPr>
      <w:bookmarkStart w:id="422" w:name="i6ccdccb1aa3e420a94407859a9f786d8"/>
      <w:bookmarkEnd w:id="422"/>
      <w:r>
        <w:rPr>
          <w:rFonts w:ascii="Times New Roman;serif" w:hAnsi="Times New Roman;serif"/>
          <w:b w:val="false"/>
          <w:color w:val="000000"/>
          <w:sz w:val="24"/>
        </w:rPr>
        <w:t>Section 13.11</w:t>
      </w:r>
      <w:r>
        <w:rPr>
          <w:rFonts w:ascii="Times New Roman;serif" w:hAnsi="Times New Roman;serif"/>
          <w:b w:val="false"/>
          <w:color w:val="000000"/>
          <w:sz w:val="24"/>
          <w:u w:val="single"/>
        </w:rPr>
        <w:t>Jurisdiction</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party irrevocably submits to the exclusive jurisdiction of the courts of the State of New York and of the U.S. District Court for the Southern District of New York. Each party hereto agrees to commence any action, suit or other proceeding arising out of, relating to or in connection with this Agreement or any transaction contemplated hereby in the U.S. District Court for the Southern District of New York or if such suit, action or other proceeding may not be brought in such court for jurisdictional reasons, in the courts of the State of New York located in New York County, New York. Each Party irrevocably waives, to the fullest extent permitted by law, any objection which it may now or hereafter have to the laying of venue of any Proceeding and any claim that any Proceeding has been brought in an inconvenient forum. Any process or summons for purposes of any Proceeding may be served on Borrower by mailing a copy thereof by registered mail, or a form of mail substantially equivalent thereto, addressed to it at its address as provided for Notices hereunder.</w:t>
      </w:r>
    </w:p>
    <w:p>
      <w:pPr>
        <w:pStyle w:val="TextBody"/>
        <w:bidi w:val="0"/>
        <w:spacing w:lineRule="auto" w:line="240" w:before="0" w:after="0"/>
        <w:ind w:left="0" w:right="0" w:firstLine="720"/>
        <w:jc w:val="both"/>
        <w:rPr/>
      </w:pPr>
      <w:bookmarkStart w:id="423" w:name="i317f43d87d954cbdb76ca6402e821e93"/>
      <w:bookmarkEnd w:id="423"/>
      <w:r>
        <w:rPr>
          <w:rFonts w:ascii="Times New Roman;serif" w:hAnsi="Times New Roman;serif"/>
          <w:b w:val="false"/>
          <w:color w:val="000000"/>
          <w:sz w:val="24"/>
        </w:rPr>
        <w:t>Section 13.12</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color w:val="000000"/>
          <w:sz w:val="24"/>
        </w:rPr>
        <w:t xml:space="preserve">EACH PARTY HEREBY IRREVOCABLY WAIVES, TO THE FULLEST EXTENT PERMITTED BY APPLICABLE LAW, ANY AND ALL RIGHT TO TRIAL BY JURY IN ANY ACTION, PROCEEDING, CLAIM OR COUNTERCLAIM ARISING OUT OF OR RELATING TO ANY TRANSACTION DOCUMENT OR THE TRANSACTIONS CONTEMPLATED UNDER ANY TRANSACTION DOCUMENT (WHETHER BASED ON CONTRACT, TORT OR ANY OTHER THEORY). THIS WAIVER SHALL APPLY TO ANY SUBSEQUENT AMENDMENTS, RENEWALS, SUPPLEMENTS OR MODIFICATIONS TO ANY TRANSACTION DOCUMENT. EACH PARTY HERETO (A) CERTIFIES THAT NO REPRESENTATIVE, AGENT OR ATTORNEY OF THE OTHER PARTY HERETO HAS REPRESENTED, EXPRESSLY OR OTHERWISE, THAT THE OTHER PARTY HERETO WOULD NOT, IN THE EVENT OF LITIGATION, SEEK TO ENFORCE THE FOREGOING WAIVER AND (B) ACKNOWLEDGES THAT IT AND THE OTHER PARTY HERETO HAVE BEEN INDUCED TO ENTER INTO THIS AGREEMENT BY, AMONG OTHER THINGS, THE MUTUAL WAIVERS AND CERTIFICATIONS IN THIS </w:t>
      </w:r>
      <w:r>
        <w:rPr>
          <w:rFonts w:ascii="Times New Roman;serif" w:hAnsi="Times New Roman;serif"/>
          <w:b/>
          <w:color w:val="000000"/>
          <w:sz w:val="24"/>
          <w:u w:val="single"/>
        </w:rPr>
        <w:t>SECTION 13.12</w:t>
      </w:r>
      <w:r>
        <w:rPr>
          <w:rFonts w:ascii="Times New Roman;serif" w:hAnsi="Times New Roman;serif"/>
          <w:b/>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40" w:before="0" w:after="0"/>
        <w:ind w:left="0" w:right="0" w:firstLine="720"/>
        <w:jc w:val="both"/>
        <w:rPr/>
      </w:pPr>
      <w:bookmarkStart w:id="424" w:name="iec4e67fac7964608aab7f004cbe74f07"/>
      <w:bookmarkEnd w:id="424"/>
      <w:r>
        <w:rPr>
          <w:rFonts w:ascii="Times New Roman;serif" w:hAnsi="Times New Roman;serif"/>
          <w:b w:val="false"/>
          <w:color w:val="000000"/>
          <w:sz w:val="24"/>
        </w:rPr>
        <w:t>Section 13.13</w:t>
      </w:r>
      <w:r>
        <w:rPr>
          <w:rFonts w:ascii="Times New Roman;serif" w:hAnsi="Times New Roman;serif"/>
          <w:b w:val="false"/>
          <w:color w:val="000000"/>
          <w:sz w:val="24"/>
          <w:u w:val="single"/>
        </w:rPr>
        <w:t>Waiver of Immunity</w:t>
      </w:r>
      <w:r>
        <w:rPr>
          <w:rFonts w:ascii="Times New Roman;serif" w:hAnsi="Times New Roman;serif"/>
          <w:b w:val="false"/>
          <w:color w:val="000000"/>
          <w:sz w:val="24"/>
        </w:rPr>
        <w:t>.</w:t>
      </w:r>
    </w:p>
    <w:p>
      <w:pPr>
        <w:pStyle w:val="TextBody"/>
        <w:bidi w:val="0"/>
        <w:spacing w:lineRule="auto" w:line="240" w:before="30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To the extent that Borrower has or hereafter may be entitled to claim or may acquire, for itself or any of its assets, any immunity from suit, jurisdiction of any court or from any legal process (whether through service or notice, attachment prior to judgment, attachment in aid of execution, or otherwise) with respect to itself or any of its property, Borrower hereby irrevocably waives such immunity in respect of its obligations hereunder to the fullest extent permitted by law.</w:t>
      </w:r>
    </w:p>
    <w:p>
      <w:pPr>
        <w:pStyle w:val="TextBody"/>
        <w:bidi w:val="0"/>
        <w:spacing w:lineRule="auto" w:line="240" w:before="0" w:after="0"/>
        <w:ind w:left="0" w:right="0" w:firstLine="720"/>
        <w:jc w:val="both"/>
        <w:rPr/>
      </w:pPr>
      <w:bookmarkStart w:id="425" w:name="i299a968cf580445aa3c72924b5836780"/>
      <w:bookmarkEnd w:id="425"/>
      <w:r>
        <w:rPr>
          <w:rFonts w:ascii="Times New Roman;serif" w:hAnsi="Times New Roman;serif"/>
          <w:b w:val="false"/>
          <w:color w:val="000000"/>
          <w:sz w:val="24"/>
        </w:rPr>
        <w:t>Section 13.14</w:t>
      </w:r>
      <w:r>
        <w:rPr>
          <w:rFonts w:ascii="Times New Roman;serif" w:hAnsi="Times New Roman;serif"/>
          <w:b w:val="false"/>
          <w:color w:val="000000"/>
          <w:sz w:val="24"/>
          <w:u w:val="single"/>
        </w:rPr>
        <w:t>Counterparts; Delivery</w:t>
      </w:r>
      <w:r>
        <w:rPr>
          <w:rFonts w:ascii="Times New Roman;serif" w:hAnsi="Times New Roman;serif"/>
          <w:b w:val="false"/>
          <w:color w:val="000000"/>
          <w:sz w:val="24"/>
        </w:rPr>
        <w:t>.</w:t>
      </w:r>
    </w:p>
    <w:p>
      <w:pPr>
        <w:pStyle w:val="TextBody"/>
        <w:bidi w:val="0"/>
        <w:spacing w:lineRule="auto" w:line="240" w:before="30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Agreement may be executed in any number of counterparts, each of which shall be deemed an original, but all of which shall constitute one and the same instrument. Delivery of an executed counterpart of a signature page of this Agreement in Portable Document Format (PDF) or any electronic signature complying with Applicable Law shall be effective as delivery of a manually executed original counterpart of this Agreement.</w:t>
      </w:r>
    </w:p>
    <w:p>
      <w:pPr>
        <w:pStyle w:val="TextBody"/>
        <w:bidi w:val="0"/>
        <w:spacing w:lineRule="auto" w:line="240" w:before="0" w:after="0"/>
        <w:ind w:left="0" w:right="0" w:firstLine="720"/>
        <w:jc w:val="both"/>
        <w:rPr/>
      </w:pPr>
      <w:bookmarkStart w:id="426" w:name="i6c02d5f53e3340199d937b56c3b5d474"/>
      <w:bookmarkEnd w:id="426"/>
      <w:r>
        <w:rPr>
          <w:rFonts w:ascii="Times New Roman;serif" w:hAnsi="Times New Roman;serif"/>
          <w:b w:val="false"/>
          <w:color w:val="000000"/>
          <w:sz w:val="24"/>
        </w:rPr>
        <w:t>Section 13.15</w:t>
      </w:r>
      <w:r>
        <w:rPr>
          <w:rFonts w:ascii="Times New Roman;serif" w:hAnsi="Times New Roman;serif"/>
          <w:b w:val="false"/>
          <w:color w:val="000000"/>
          <w:sz w:val="24"/>
          <w:u w:val="single"/>
        </w:rPr>
        <w:t>Limitation on Rights of Others</w:t>
      </w:r>
      <w:r>
        <w:rPr>
          <w:rFonts w:ascii="Times New Roman;serif" w:hAnsi="Times New Roman;serif"/>
          <w:b w:val="false"/>
          <w:color w:val="000000"/>
          <w:sz w:val="24"/>
        </w:rPr>
        <w:t>.</w:t>
      </w:r>
    </w:p>
    <w:p>
      <w:pPr>
        <w:pStyle w:val="TextBody"/>
        <w:bidi w:val="0"/>
        <w:spacing w:lineRule="auto" w:line="240" w:before="300" w:after="240"/>
        <w:ind w:left="0" w:right="0" w:firstLine="1440"/>
        <w:jc w:val="both"/>
        <w:rPr/>
      </w:pPr>
      <w:r>
        <w:rPr>
          <w:rFonts w:ascii="Times New Roman;serif" w:hAnsi="Times New Roman;serif"/>
          <w:b w:val="false"/>
          <w:color w:val="000000"/>
          <w:sz w:val="24"/>
        </w:rPr>
        <w:t xml:space="preserve">Except for the Indemnitees referred to in </w:t>
      </w:r>
      <w:r>
        <w:rPr>
          <w:rFonts w:ascii="Times New Roman;serif" w:hAnsi="Times New Roman;serif"/>
          <w:b w:val="false"/>
          <w:color w:val="000000"/>
          <w:sz w:val="24"/>
          <w:u w:val="single"/>
        </w:rPr>
        <w:t>Section 11.01</w:t>
      </w:r>
      <w:r>
        <w:rPr>
          <w:rFonts w:ascii="Times New Roman;serif" w:hAnsi="Times New Roman;serif"/>
          <w:b w:val="false"/>
          <w:color w:val="000000"/>
          <w:sz w:val="24"/>
        </w:rPr>
        <w:t>, no Person other than a Party shall have any legal or equitable right, remedy or claim under or in respect of this Agreement.</w:t>
      </w:r>
    </w:p>
    <w:p>
      <w:pPr>
        <w:pStyle w:val="TextBody"/>
        <w:bidi w:val="0"/>
        <w:spacing w:lineRule="auto" w:line="240" w:before="0" w:after="0"/>
        <w:ind w:left="0" w:right="0" w:firstLine="720"/>
        <w:jc w:val="both"/>
        <w:rPr/>
      </w:pPr>
      <w:bookmarkStart w:id="427" w:name="ied82d493b0d74193ba93431d47001761"/>
      <w:bookmarkEnd w:id="427"/>
      <w:r>
        <w:rPr>
          <w:rFonts w:ascii="Times New Roman;serif" w:hAnsi="Times New Roman;serif"/>
          <w:b w:val="false"/>
          <w:color w:val="000000"/>
          <w:sz w:val="24"/>
        </w:rPr>
        <w:t>Section 13.16</w:t>
      </w:r>
      <w:r>
        <w:rPr>
          <w:rFonts w:ascii="Times New Roman;serif" w:hAnsi="Times New Roman;serif"/>
          <w:b w:val="false"/>
          <w:color w:val="000000"/>
          <w:sz w:val="24"/>
          <w:u w:val="single"/>
        </w:rPr>
        <w:t>Survival</w:t>
      </w:r>
      <w:r>
        <w:rPr>
          <w:rFonts w:ascii="Times New Roman;serif" w:hAnsi="Times New Roman;serif"/>
          <w:b w:val="false"/>
          <w:color w:val="000000"/>
          <w:sz w:val="24"/>
        </w:rPr>
        <w:t>.</w:t>
      </w:r>
    </w:p>
    <w:p>
      <w:pPr>
        <w:pStyle w:val="TextBody"/>
        <w:bidi w:val="0"/>
        <w:spacing w:lineRule="auto" w:line="240" w:before="300" w:after="240"/>
        <w:ind w:left="0" w:right="0" w:firstLine="1440"/>
        <w:jc w:val="both"/>
        <w:rPr/>
      </w:pPr>
      <w:r>
        <w:rPr>
          <w:rFonts w:ascii="Times New Roman;serif" w:hAnsi="Times New Roman;serif"/>
          <w:b w:val="false"/>
          <w:color w:val="000000"/>
          <w:sz w:val="24"/>
        </w:rPr>
        <w:t xml:space="preserve">The obligations of Borrower contained in </w:t>
      </w:r>
      <w:r>
        <w:rPr>
          <w:rFonts w:ascii="Times New Roman;serif" w:hAnsi="Times New Roman;serif"/>
          <w:b w:val="false"/>
          <w:color w:val="000000"/>
          <w:sz w:val="24"/>
          <w:u w:val="single"/>
        </w:rPr>
        <w:t>Sections 4.05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13.16</w:t>
      </w:r>
      <w:r>
        <w:rPr>
          <w:color w:val="000000"/>
        </w:rPr>
        <w:t xml:space="preserve"> </w:t>
      </w:r>
      <w:r>
        <w:rPr>
          <w:rFonts w:ascii="Times New Roman;serif" w:hAnsi="Times New Roman;serif"/>
          <w:b w:val="false"/>
          <w:color w:val="000000"/>
          <w:sz w:val="24"/>
        </w:rPr>
        <w:t>shall survive the repayment of the Term Loans and the termination of the other obligations of Borrower hereunder.</w:t>
      </w:r>
    </w:p>
    <w:p>
      <w:pPr>
        <w:pStyle w:val="TextBody"/>
        <w:bidi w:val="0"/>
        <w:spacing w:lineRule="auto" w:line="240" w:before="0" w:after="0"/>
        <w:ind w:left="0" w:right="0" w:firstLine="720"/>
        <w:jc w:val="both"/>
        <w:rPr/>
      </w:pPr>
      <w:bookmarkStart w:id="428" w:name="i034ad2b1c7c7428983c0148e12af6087"/>
      <w:bookmarkEnd w:id="428"/>
      <w:r>
        <w:rPr>
          <w:rFonts w:ascii="Times New Roman;serif" w:hAnsi="Times New Roman;serif"/>
          <w:b w:val="false"/>
          <w:color w:val="000000"/>
          <w:sz w:val="24"/>
        </w:rPr>
        <w:t>Section 13.17</w:t>
      </w:r>
      <w:r>
        <w:rPr>
          <w:rFonts w:ascii="Times New Roman;serif" w:hAnsi="Times New Roman;serif"/>
          <w:b w:val="false"/>
          <w:color w:val="000000"/>
          <w:sz w:val="24"/>
          <w:u w:val="single"/>
        </w:rPr>
        <w:t>Confidentiality</w:t>
      </w:r>
      <w:r>
        <w:rPr>
          <w:rFonts w:ascii="Times New Roman;serif" w:hAnsi="Times New Roman;serif"/>
          <w:b w:val="false"/>
          <w:color w:val="000000"/>
          <w:sz w:val="24"/>
        </w:rPr>
        <w:t>.</w:t>
      </w:r>
    </w:p>
    <w:p>
      <w:pPr>
        <w:pStyle w:val="TextBody"/>
        <w:bidi w:val="0"/>
        <w:spacing w:lineRule="auto" w:line="240" w:before="300" w:after="240"/>
        <w:ind w:left="0" w:right="0" w:firstLine="1440"/>
        <w:jc w:val="both"/>
        <w:rPr/>
      </w:pPr>
      <w:bookmarkStart w:id="429" w:name="icea8f5d6092c4c7380a11ff80c039aac"/>
      <w:bookmarkEnd w:id="429"/>
      <w:r>
        <w:rPr>
          <w:rFonts w:ascii="Times New Roman;serif" w:hAnsi="Times New Roman;serif"/>
          <w:b w:val="false"/>
          <w:color w:val="000000"/>
          <w:sz w:val="24"/>
        </w:rPr>
        <w:t>(a)</w:t>
      </w:r>
      <w:r>
        <w:rPr>
          <w:rFonts w:ascii="Times New Roman;serif" w:hAnsi="Times New Roman;serif"/>
          <w:b w:val="false"/>
          <w:color w:val="000000"/>
          <w:sz w:val="24"/>
        </w:rPr>
        <w:t xml:space="preserve">Until the payment of all amounts required pursuant to </w:t>
      </w:r>
      <w:r>
        <w:rPr>
          <w:rFonts w:ascii="Times New Roman;serif" w:hAnsi="Times New Roman;serif"/>
          <w:b w:val="false"/>
          <w:color w:val="000000"/>
          <w:sz w:val="24"/>
          <w:u w:val="single"/>
        </w:rPr>
        <w:t>Section 3.01</w:t>
      </w:r>
      <w:r>
        <w:rPr>
          <w:rFonts w:ascii="Times New Roman;serif" w:hAnsi="Times New Roman;serif"/>
          <w:b w:val="false"/>
          <w:color w:val="000000"/>
          <w:sz w:val="24"/>
        </w:rPr>
        <w:t>, and for a period of three (3) years thereafter, each Party shall maintain in strict confidence all Confidential Information and materials disclosed or provided to it by the other Party, except as approved in writing in advance by the disclosing Party, and shall not use or reproduce the disclosing Party’s Confidential Information for any purpose other than as required to carry out its obligations and exercise its rights pursuant to this Agreement (the “</w:t>
      </w:r>
      <w:r>
        <w:rPr>
          <w:rFonts w:ascii="Times New Roman;serif" w:hAnsi="Times New Roman;serif"/>
          <w:b w:val="false"/>
          <w:color w:val="000000"/>
          <w:sz w:val="24"/>
          <w:u w:val="single"/>
        </w:rPr>
        <w:t>Purpose</w:t>
      </w:r>
      <w:r>
        <w:rPr>
          <w:color w:val="000000"/>
        </w:rPr>
        <w:t>”</w:t>
      </w:r>
      <w:r>
        <w:rPr>
          <w:rFonts w:ascii="Times New Roman;serif" w:hAnsi="Times New Roman;serif"/>
          <w:b w:val="false"/>
          <w:color w:val="000000"/>
          <w:sz w:val="24"/>
        </w:rPr>
        <w:t xml:space="preserve">). Notwithstanding the foregoing, the obligations of confidentiality and non-use set forth in </w:t>
      </w:r>
      <w:r>
        <w:rPr>
          <w:rFonts w:ascii="Times New Roman;serif" w:hAnsi="Times New Roman;serif"/>
          <w:b w:val="false"/>
          <w:color w:val="000000"/>
          <w:sz w:val="24"/>
          <w:u w:val="single"/>
        </w:rPr>
        <w:t>Section 13.17</w:t>
      </w:r>
      <w:r>
        <w:rPr>
          <w:color w:val="000000"/>
        </w:rPr>
        <w:t xml:space="preserve"> </w:t>
      </w:r>
      <w:r>
        <w:rPr>
          <w:rFonts w:ascii="Times New Roman;serif" w:hAnsi="Times New Roman;serif"/>
          <w:b w:val="false"/>
          <w:color w:val="000000"/>
          <w:sz w:val="24"/>
        </w:rPr>
        <w:t xml:space="preserve">shall not apply to the extent that the receiving Party or its Affiliates: (a) discloses such Confidential Information solely on a “need to know basis” to its employees, consultants and Affiliates as well as any actual or potential acquirers, merger partners, licensees, permitted assignees, collaborators (including licensees), subcontractors, investment bankers, investors, limited partners, partners, lenders, financing sources or other financial partners, and its and their respective directors, employees, contractors and agents, on a confidential basis to the extent requested by an authorized representative of a U.S. or non-U.S. tax authority, or (b) discloses Confidential Information in response to a routine audit or examination by, or a blanket document request from, a Governmental Authority. A Party receiving any such Confidential Information hereunder agrees to institute measures to protect the Confidential Information in a manner consistent with the measures it uses to protect its own most sensitive proprietary and confidential information, which in any event must not be less than a reasonable standard of care. Each Party shall be responsible for the breach of this </w:t>
      </w:r>
      <w:r>
        <w:rPr>
          <w:rFonts w:ascii="Times New Roman;serif" w:hAnsi="Times New Roman;serif"/>
          <w:b w:val="false"/>
          <w:color w:val="000000"/>
          <w:sz w:val="24"/>
          <w:u w:val="single"/>
        </w:rPr>
        <w:t>Section 13.17</w:t>
      </w:r>
      <w:r>
        <w:rPr>
          <w:color w:val="000000"/>
        </w:rPr>
        <w:t xml:space="preserve"> </w:t>
      </w:r>
      <w:r>
        <w:rPr>
          <w:rFonts w:ascii="Times New Roman;serif" w:hAnsi="Times New Roman;serif"/>
          <w:b w:val="false"/>
          <w:color w:val="000000"/>
          <w:sz w:val="24"/>
        </w:rPr>
        <w:t xml:space="preserve">by its employees, consultants or Third Parties to whom such disclosure is made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40" w:before="300" w:after="240"/>
        <w:jc w:val="both"/>
        <w:rPr/>
      </w:pPr>
      <w:r>
        <w:rPr>
          <w:rFonts w:ascii="Times New Roman;serif" w:hAnsi="Times New Roman;serif"/>
          <w:b w:val="false"/>
          <w:color w:val="000000"/>
          <w:sz w:val="24"/>
          <w:u w:val="single"/>
        </w:rPr>
        <w:t>Section 13.17</w:t>
      </w:r>
      <w:r>
        <w:rPr>
          <w:rFonts w:ascii="Times New Roman;serif" w:hAnsi="Times New Roman;serif"/>
          <w:b w:val="false"/>
          <w:color w:val="000000"/>
          <w:sz w:val="24"/>
        </w:rPr>
        <w:t>. Each Party shall immediately notify the other Party upon discovery of any loss or unauthorized disclosure of the other Party’s Confidential Information.</w:t>
      </w:r>
    </w:p>
    <w:p>
      <w:pPr>
        <w:pStyle w:val="TextBody"/>
        <w:bidi w:val="0"/>
        <w:spacing w:lineRule="auto" w:line="240" w:before="300" w:after="240"/>
        <w:ind w:left="0" w:right="0" w:firstLine="1440"/>
        <w:jc w:val="both"/>
        <w:rPr/>
      </w:pPr>
      <w:bookmarkStart w:id="430" w:name="i13171eecc9ed4d0ca0a6b99cdc9f1580"/>
      <w:bookmarkEnd w:id="430"/>
      <w:r>
        <w:rPr>
          <w:rFonts w:ascii="Times New Roman;serif" w:hAnsi="Times New Roman;serif"/>
          <w:b w:val="false"/>
          <w:color w:val="000000"/>
          <w:sz w:val="24"/>
        </w:rPr>
        <w:t>(b)</w:t>
      </w:r>
      <w:r>
        <w:rPr>
          <w:rFonts w:ascii="Times New Roman;serif" w:hAnsi="Times New Roman;serif"/>
          <w:b w:val="false"/>
          <w:color w:val="000000"/>
          <w:sz w:val="24"/>
        </w:rPr>
        <w:t xml:space="preserve">The obligations of confidentiality and non-use set forth in </w:t>
      </w:r>
      <w:r>
        <w:rPr>
          <w:rFonts w:ascii="Times New Roman;serif" w:hAnsi="Times New Roman;serif"/>
          <w:b w:val="false"/>
          <w:color w:val="000000"/>
          <w:sz w:val="24"/>
          <w:u w:val="single"/>
        </w:rPr>
        <w:t>Section 13.17(a)</w:t>
      </w:r>
      <w:r>
        <w:rPr>
          <w:color w:val="000000"/>
        </w:rPr>
        <w:t xml:space="preserve"> </w:t>
      </w:r>
      <w:r>
        <w:rPr>
          <w:rFonts w:ascii="Times New Roman;serif" w:hAnsi="Times New Roman;serif"/>
          <w:b w:val="false"/>
          <w:color w:val="000000"/>
          <w:sz w:val="24"/>
        </w:rPr>
        <w:t xml:space="preserve">shall not apply to the extent that the receiving Party or its Affiliates is required to disclose Confidential Information pursuant to: (i) an order of a court of competent jurisdiction; (ii) Applicable Laws; (iii) regulations or rules of a securities exchange; or (iv) requirement of a Governmental Authority. If a Party or any of its Affiliates receives a request or is legally required to disclose Confidential Information, such Party shall (A) immediately notify the disclosing Party of the request or requirement, (B) consult with the disclosing Party on the advisability of taking legally available steps to resist or narrow the request or lawfully avoid the requirement, and (C) if requested by the disclosing Party, take all necessary steps at the cost and expense of the disclosing Party to seek a protective order or other appropriate remedy, all to the extent permitted by Applicable Law. If a protective order or other remedy is not available, or if the disclosing Party waives compliance with the provisions of this </w:t>
      </w:r>
      <w:r>
        <w:rPr>
          <w:rFonts w:ascii="Times New Roman;serif" w:hAnsi="Times New Roman;serif"/>
          <w:b w:val="false"/>
          <w:color w:val="000000"/>
          <w:sz w:val="24"/>
          <w:u w:val="single"/>
        </w:rPr>
        <w:t>Section 13.17(b)</w:t>
      </w:r>
      <w:r>
        <w:rPr>
          <w:rFonts w:ascii="Times New Roman;serif" w:hAnsi="Times New Roman;serif"/>
          <w:b w:val="false"/>
          <w:color w:val="000000"/>
          <w:sz w:val="24"/>
        </w:rPr>
        <w:t>, the Party whom received the request, may disclose to the Person requiring disclosure only that portion of the Confidential Information which such receiving Party is advised by counsel (which may be internal counsel) is legally required to be disclosed, and such receiving Party shall not be liable for such disclosure unless such disclosure was caused by or resulted from a previous disclosure by such receiving Party or its Affiliates not permitted by this Agreement.</w:t>
      </w:r>
    </w:p>
    <w:p>
      <w:pPr>
        <w:pStyle w:val="TextBody"/>
        <w:bidi w:val="0"/>
        <w:spacing w:lineRule="auto" w:line="240" w:before="0" w:after="240"/>
        <w:ind w:left="0" w:right="0" w:firstLine="1440"/>
        <w:jc w:val="both"/>
        <w:rPr/>
      </w:pPr>
      <w:bookmarkStart w:id="431" w:name="i48ca320355b549ed8377098294415171"/>
      <w:bookmarkEnd w:id="431"/>
      <w:r>
        <w:rPr>
          <w:rFonts w:ascii="Times New Roman;serif" w:hAnsi="Times New Roman;serif"/>
          <w:b w:val="false"/>
          <w:color w:val="000000"/>
          <w:sz w:val="24"/>
        </w:rPr>
        <w:t>(c)</w:t>
      </w:r>
      <w:r>
        <w:rPr>
          <w:rFonts w:ascii="Times New Roman;serif" w:hAnsi="Times New Roman;serif"/>
          <w:b w:val="false"/>
          <w:color w:val="000000"/>
          <w:sz w:val="24"/>
        </w:rPr>
        <w:t xml:space="preserve">This Agreement supersedes the Confidentiality Agreement and the Confidentiality Agreement shall cease to be of any force and effect as of the Closing Date; provided, however, that all information falling within the definition of “Confidential Information” set forth in the Confidentiality Agreement shall also be deemed Confidential Information disclosed pursuant to this Agreement and subject to the provisions of </w:t>
      </w:r>
      <w:r>
        <w:rPr>
          <w:rFonts w:ascii="Times New Roman;serif" w:hAnsi="Times New Roman;serif"/>
          <w:b w:val="false"/>
          <w:color w:val="000000"/>
          <w:sz w:val="24"/>
          <w:u w:val="single"/>
        </w:rPr>
        <w:t>Section 13.17</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bookmarkStart w:id="432" w:name="i79724fe78179484b8116e7c1fde274fb"/>
      <w:bookmarkEnd w:id="432"/>
      <w:r>
        <w:rPr>
          <w:rFonts w:ascii="Times New Roman;serif" w:hAnsi="Times New Roman;serif"/>
          <w:b w:val="false"/>
          <w:color w:val="000000"/>
          <w:sz w:val="24"/>
        </w:rPr>
        <w:t>Section 13.18</w:t>
      </w:r>
      <w:r>
        <w:rPr>
          <w:rFonts w:ascii="Times New Roman;serif" w:hAnsi="Times New Roman;serif"/>
          <w:b w:val="false"/>
          <w:color w:val="000000"/>
          <w:sz w:val="24"/>
          <w:u w:val="single"/>
        </w:rPr>
        <w:t>Patriot Act Notification</w:t>
      </w:r>
      <w:r>
        <w:rPr>
          <w:rFonts w:ascii="Times New Roman;serif" w:hAnsi="Times New Roman;serif"/>
          <w:b w:val="false"/>
          <w:color w:val="000000"/>
          <w:sz w:val="24"/>
        </w:rPr>
        <w:t>.</w:t>
      </w:r>
    </w:p>
    <w:p>
      <w:pPr>
        <w:pStyle w:val="TextBody"/>
        <w:bidi w:val="0"/>
        <w:spacing w:lineRule="auto" w:line="240" w:before="300" w:after="3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Lender hereby notifies Borrower that, consistent with the Patriot Act, regulations promulgated thereunder and under other Applicable Law, such Lender’s procedures and customer due diligence standards may require it to obtain, verify and record information that identifies Borrower, including among other things name, address, information regarding Persons with authority or control over Borrower, and other information regarding Borrower, its operations and transactions with such Lender. Borrower agrees to provide such information and take such actions as are reasonably requested by such Lender in order to assist such Lender in maintaining compliance with its procedures, the Patriot Act and any other Applicable Laws.</w:t>
      </w:r>
    </w:p>
    <w:p>
      <w:pPr>
        <w:pStyle w:val="TextBody"/>
        <w:bidi w:val="0"/>
        <w:spacing w:lineRule="auto" w:line="240" w:before="0" w:after="0"/>
        <w:ind w:left="0" w:right="0" w:firstLine="720"/>
        <w:jc w:val="both"/>
        <w:rPr/>
      </w:pPr>
      <w:bookmarkStart w:id="433" w:name="idc457908cbb94bf988e55696a974ed21"/>
      <w:bookmarkEnd w:id="433"/>
      <w:r>
        <w:rPr>
          <w:rFonts w:ascii="Times New Roman;serif" w:hAnsi="Times New Roman;serif"/>
          <w:b w:val="false"/>
          <w:color w:val="000000"/>
          <w:sz w:val="24"/>
        </w:rPr>
        <w:t>Section 13.19</w:t>
      </w:r>
      <w:r>
        <w:rPr>
          <w:rFonts w:ascii="Times New Roman;serif" w:hAnsi="Times New Roman;serif"/>
          <w:b w:val="false"/>
          <w:color w:val="000000"/>
          <w:sz w:val="24"/>
          <w:u w:val="single"/>
        </w:rPr>
        <w:t>Disclosure</w:t>
      </w:r>
      <w:r>
        <w:rPr>
          <w:rFonts w:ascii="Times New Roman;serif" w:hAnsi="Times New Roman;serif"/>
          <w:b w:val="false"/>
          <w:color w:val="000000"/>
          <w:sz w:val="24"/>
        </w:rPr>
        <w:t>.</w:t>
      </w:r>
    </w:p>
    <w:p>
      <w:pPr>
        <w:pStyle w:val="TextBody"/>
        <w:bidi w:val="0"/>
        <w:spacing w:lineRule="auto" w:line="240" w:before="30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Except for a press release previously approved in form and substance by Borrower and Administrative Agent or any other public announcement using substantially the same text as such press release or other public announcement made in accordance with this Loan Agreement, neither Administrative Agent nor Borrower shall, and each party shall cause its respective Representatives, Affiliates and Affiliates’ Representatives not to, issue a press release or other public announcement or otherwise make any public disclosure with respect to this Loan Agreement or the subject matter hereof without the prior written consent of the other party except as may be required by applicable law or stock exchange rule (in which case either party required to make the press release or other public announcement or disclosure shall allow the other party reasonable time to comment on, and, if applicable, reasonably request the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40" w:before="300" w:after="240"/>
        <w:jc w:val="both"/>
        <w:rPr>
          <w:rFonts w:ascii="Times New Roman;serif" w:hAnsi="Times New Roman;serif"/>
          <w:b w:val="false"/>
          <w:color w:val="000000"/>
          <w:sz w:val="24"/>
        </w:rPr>
      </w:pPr>
      <w:r>
        <w:rPr>
          <w:rFonts w:ascii="Times New Roman;serif" w:hAnsi="Times New Roman;serif"/>
          <w:b w:val="false"/>
          <w:color w:val="000000"/>
          <w:sz w:val="24"/>
        </w:rPr>
        <w:t>disclosing party to seek confidential treatment in respect of portions of, such press release or other public announcement or disclosure).</w:t>
      </w:r>
    </w:p>
    <w:p>
      <w:pPr>
        <w:pStyle w:val="TextBody"/>
        <w:bidi w:val="0"/>
        <w:spacing w:lineRule="auto" w:line="288" w:before="360" w:after="240"/>
        <w:jc w:val="center"/>
        <w:rPr>
          <w:rFonts w:ascii="Times New Roman;serif" w:hAnsi="Times New Roman;serif"/>
          <w:b/>
          <w:color w:val="000000"/>
          <w:sz w:val="24"/>
        </w:rPr>
      </w:pPr>
      <w:r>
        <w:rPr>
          <w:rFonts w:ascii="Times New Roman;serif" w:hAnsi="Times New Roman;serif"/>
          <w:b/>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duly executed this Agreement as of the day and year first above written.</w:t>
      </w:r>
    </w:p>
    <w:p>
      <w:pPr>
        <w:pStyle w:val="TextBody"/>
        <w:bidi w:val="0"/>
        <w:spacing w:lineRule="auto" w:line="288" w:before="0" w:after="480"/>
        <w:jc w:val="left"/>
        <w:rPr/>
      </w:pPr>
      <w:r>
        <w:rPr>
          <w:rFonts w:ascii="Times New Roman;serif" w:hAnsi="Times New Roman;serif"/>
          <w:b/>
          <w:color w:val="000000"/>
          <w:sz w:val="24"/>
        </w:rPr>
        <w:t>ZYMEWORKS ROYALTY LIMITED PARTNERSHIP,</w:t>
      </w:r>
      <w:r>
        <w:rPr>
          <w:color w:val="000000"/>
        </w:rPr>
        <w:t xml:space="preserve"> </w:t>
      </w:r>
      <w:r>
        <w:rPr>
          <w:rFonts w:ascii="Times New Roman;serif" w:hAnsi="Times New Roman;serif"/>
          <w:b w:val="false"/>
          <w:color w:val="000000"/>
          <w:sz w:val="24"/>
        </w:rPr>
        <w:t>by its general partner,</w:t>
      </w:r>
      <w:r>
        <w:rPr>
          <w:color w:val="000000"/>
        </w:rPr>
        <w:t xml:space="preserve"> </w:t>
      </w:r>
      <w:r>
        <w:rPr>
          <w:rFonts w:ascii="Times New Roman;serif" w:hAnsi="Times New Roman;serif"/>
          <w:b/>
          <w:color w:val="000000"/>
          <w:sz w:val="24"/>
        </w:rPr>
        <w:t>ZYMEWORKS GENERAL PARTNER ULC</w:t>
        <w:br/>
      </w:r>
      <w:r>
        <w:rPr>
          <w:rFonts w:ascii="Times New Roman;serif" w:hAnsi="Times New Roman;serif"/>
          <w:b w:val="false"/>
          <w:color w:val="000000"/>
          <w:sz w:val="24"/>
        </w:rPr>
        <w:t>as Borrower</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Kenneth Galbraith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Kenneth Galbraith</w:t>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Title: Director and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Loan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Loan Agreement]</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4"/>
        </w:rPr>
        <w:t>ROYALTY PHARMA DEVELOPMENT FUNDING, LLC</w:t>
      </w:r>
      <w:r>
        <w:rPr>
          <w:rFonts w:ascii="Times New Roman;serif" w:hAnsi="Times New Roman;serif"/>
          <w:b w:val="false"/>
          <w:color w:val="000000"/>
          <w:sz w:val="24"/>
        </w:rPr>
        <w:br/>
        <w:t xml:space="preserve">as a Lender </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By: Royalty Pharma Sub-Manager, LLC, its Manager and lawfully appointed attorney</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Arthur R. McGivern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Arthur R. McGivern</w:t>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Title:    EVP, Investments &amp; General Counsel</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Loan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Loan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ROYALTY PHARMA DEVELOPMENT</w:t>
      </w:r>
    </w:p>
    <w:p>
      <w:pPr>
        <w:pStyle w:val="TextBody"/>
        <w:bidi w:val="0"/>
        <w:spacing w:lineRule="auto" w:line="288" w:before="0" w:after="240"/>
        <w:jc w:val="left"/>
        <w:rPr/>
      </w:pPr>
      <w:r>
        <w:rPr>
          <w:rFonts w:ascii="Times New Roman;serif" w:hAnsi="Times New Roman;serif"/>
          <w:b/>
          <w:color w:val="000000"/>
          <w:sz w:val="24"/>
        </w:rPr>
        <w:t>FUNDING, LLC</w:t>
        <w:br/>
      </w:r>
      <w:r>
        <w:rPr>
          <w:rFonts w:ascii="Times New Roman;serif" w:hAnsi="Times New Roman;serif"/>
          <w:b w:val="false"/>
          <w:color w:val="000000"/>
          <w:sz w:val="24"/>
        </w:rPr>
        <w:t>as Administrative Agent</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By: Royalty Pharma Sub-Manager, LLC, its Manager and lawfully appointed attorney</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Arthur R. McGivern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Arthur R. McGivern</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EVP, Investments &amp;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Loan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Loan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APPENDIX A</w:t>
        <w:br/>
        <w:t>TO LOAN AGREEMENT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Term Loan Commitment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br/>
        <w:t>FORM OF ASSIGNMENT AND ACCEPTANCE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 TO</w:t>
        <w:br/>
        <w:t>ASSIGNMENT AND ACCEPTANCE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B</w:t>
        <w:br/>
        <w:br/>
        <w:t>FORM OF FUNDING NOTICE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C</w:t>
        <w:br/>
        <w:b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D</w:t>
        <w:br/>
        <w:br/>
        <w:t>FORM OF PAYMENT DATE DISTRIBUTION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E-1</w:t>
        <w:br/>
        <w:br/>
        <w:t>FORM OF U.S. TAX COMPLIANCE CERTIFICATE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E-2</w:t>
        <w:br/>
        <w:br/>
        <w:t>FORM OF U.S. TAX COMPLIANCE CERTIFICATE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E-3</w:t>
        <w:br/>
        <w:br/>
        <w:t>FORM OF U.S. TAX COMPLIANCE CERTIFICATE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E-4</w:t>
        <w:br/>
        <w:br/>
        <w:t>FORM OF U.S. TAX COMPLIANCE CERTIFICATE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F</w:t>
        <w:br/>
        <w:br/>
        <w:t>FORM OF OFFICER’S CERTIFICATE</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4.05(a)</w:t>
        <w:br/>
        <w:br/>
        <w:t>Illustrative Examples</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7.01(k)</w:t>
        <w:br/>
        <w:br/>
        <w:t>Bankers and Brokers</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7.01(p)</w:t>
        <w:br/>
        <w:br/>
        <w:t>Assignments</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7.01(r)</w:t>
        <w:br/>
        <w:br/>
        <w:t>Late Payments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Royalty Reductions</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7.01(u)</w:t>
        <w:br/>
        <w:br/>
        <w:t>Indemnification</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7.01(ee)</w:t>
        <w:br/>
        <w:t>Intellectual Property</w:t>
      </w:r>
    </w:p>
    <w:p>
      <w:pPr>
        <w:pStyle w:val="TextBody"/>
        <w:bidi w:val="0"/>
        <w:spacing w:lineRule="auto" w:line="288" w:before="0" w:after="240"/>
        <w:jc w:val="center"/>
        <w:rPr/>
      </w:pPr>
      <w:r>
        <w:rPr>
          <w:rFonts w:ascii="Times New Roman;serif" w:hAnsi="Times New Roman;serif"/>
          <w:b w:val="false"/>
          <w:color w:val="000000"/>
          <w:sz w:val="24"/>
          <w:u w:val="single"/>
        </w:rPr>
        <w:t>Patents and Patent Applications</w:t>
      </w:r>
      <w:r>
        <w:rPr>
          <w:rFonts w:ascii="Times New Roman;serif" w:hAnsi="Times New Roman;serif"/>
          <w:b w:val="false"/>
          <w:color w:val="000000"/>
          <w:sz w:val="24"/>
        </w:rPr>
        <w: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7.01(gg)</w:t>
        <w:br/>
        <w:t>In-Licenses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685925" cy="647700"/>
            <wp:effectExtent l="0" t="0" r="0" b="0"/>
            <wp:docPr id="20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 descr=""/>
                    <pic:cNvPicPr>
                      <a:picLocks noChangeAspect="1" noChangeArrowheads="1"/>
                    </pic:cNvPicPr>
                  </pic:nvPicPr>
                  <pic:blipFill>
                    <a:blip r:embed="rId14"/>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07"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20"/>
        <w:jc w:val="right"/>
        <w:rPr>
          <w:rFonts w:ascii="Times New Roman;serif" w:hAnsi="Times New Roman;serif"/>
          <w:b/>
          <w:color w:val="000000"/>
          <w:sz w:val="24"/>
        </w:rPr>
      </w:pPr>
      <w:r>
        <w:rPr>
          <w:rFonts w:ascii="Times New Roman;serif" w:hAnsi="Times New Roman;serif"/>
          <w:b/>
          <w:color w:val="000000"/>
          <w:sz w:val="24"/>
        </w:rPr>
        <w:t>Exhibit 10.4</w:t>
      </w:r>
    </w:p>
    <w:tbl>
      <w:tblPr>
        <w:tblW w:w="6960" w:type="dxa"/>
        <w:jc w:val="left"/>
        <w:tblInd w:w="0" w:type="dxa"/>
        <w:tblLayout w:type="fixed"/>
        <w:tblCellMar>
          <w:top w:w="28" w:type="dxa"/>
          <w:left w:w="28" w:type="dxa"/>
          <w:bottom w:w="28" w:type="dxa"/>
          <w:right w:w="28" w:type="dxa"/>
        </w:tblCellMar>
      </w:tblPr>
      <w:tblGrid>
        <w:gridCol w:w="2227"/>
        <w:gridCol w:w="1958"/>
        <w:gridCol w:w="2775"/>
      </w:tblGrid>
      <w:tr>
        <w:trPr/>
        <w:tc>
          <w:tcPr>
            <w:tcW w:w="2227"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AGREEMENT is made and effective as of April 9, 2026 (the “Effective Date”), regardless of the last date of signature hereto.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lineRule="auto" w:line="288" w:before="0" w:after="240"/>
        <w:jc w:val="both"/>
        <w:rPr/>
      </w:pPr>
      <w:r>
        <w:rPr>
          <w:rFonts w:ascii="Times New Roman;serif" w:hAnsi="Times New Roman;serif"/>
          <w:b/>
          <w:color w:val="000000"/>
          <w:sz w:val="24"/>
        </w:rPr>
        <w:t xml:space="preserve">ADAM SCHAYOWITZ, </w:t>
      </w:r>
      <w:r>
        <w:rPr>
          <w:rFonts w:ascii="Times New Roman;serif" w:hAnsi="Times New Roman;serif"/>
          <w:b w:val="false"/>
          <w:color w:val="000000"/>
          <w:sz w:val="24"/>
        </w:rPr>
        <w:t>having a residence at</w:t>
      </w:r>
      <w:r>
        <w:rPr>
          <w:color w:val="000000"/>
        </w:rPr>
        <w:t xml:space="preserve"> </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“Employee”)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both"/>
        <w:rPr/>
      </w:pPr>
      <w:r>
        <w:rPr>
          <w:rFonts w:ascii="Times New Roman;serif" w:hAnsi="Times New Roman;serif"/>
          <w:b/>
          <w:color w:val="000000"/>
          <w:sz w:val="24"/>
        </w:rPr>
        <w:t>ZYMEWORKS BIOPHARMACEUTICALS INC</w:t>
      </w:r>
      <w:r>
        <w:rPr>
          <w:rFonts w:ascii="Times New Roman;serif" w:hAnsi="Times New Roman;serif"/>
          <w:b w:val="false"/>
          <w:color w:val="000000"/>
          <w:sz w:val="24"/>
        </w:rPr>
        <w:t>., a corporation registered in the State of Washington and having its principal place of business at 777-108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Avenue NE, Suite 1700, Bellevue, Washington, 98004, USA</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WHEREAS</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is an affiliate of ZYMEWORKS INC., a Delaware corporation having its principal executive offices at 108 Patriot Drive, Suite A, Middletown, Delaware, 19709 (“Parent”);</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is a clinical-stage biopharmaceutical company dedicated to the development of next-generation multifunctional biotherapeutics;</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val="false"/>
          <w:color w:val="000000"/>
          <w:sz w:val="24"/>
        </w:rPr>
        <w:t>The Employee first began working for the Company on a half-time basis on October 9, 2025 (the “Start Date”) as set forth in that certain Employment Agreement between the Employee and the Company dated effective October 9, 2025 (the “Prior Employment Agreement”);</w:t>
      </w:r>
    </w:p>
    <w:p>
      <w:pPr>
        <w:pStyle w:val="TextBody"/>
        <w:bidi w:val="0"/>
        <w:spacing w:lineRule="auto" w:line="240" w:before="0" w:after="2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Company wishes to employ the Employee, and the Employee wishes to be employed by the Company, on a full-time basis; </w:t>
      </w:r>
    </w:p>
    <w:p>
      <w:pPr>
        <w:pStyle w:val="TextBody"/>
        <w:bidi w:val="0"/>
        <w:spacing w:lineRule="auto" w:line="240" w:before="0" w:after="2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 consideration of the Employee’s continued commitment to the Company and the Company increasing the compensation payable to Employee as stated in Articles 3 and 4 herein, the Company and Employee have agreed to amend and restate the terms and conditions of the Prior Employment Agreement as provided herein and have this Amended and Restated Employment Agreement (“Agreement”) supersede and replace all previous employment agreements and related amendments as of the Effective Date; and </w:t>
      </w:r>
    </w:p>
    <w:p>
      <w:pPr>
        <w:pStyle w:val="TextBody"/>
        <w:bidi w:val="0"/>
        <w:spacing w:lineRule="auto" w:line="240" w:before="0" w:after="240"/>
        <w:jc w:val="both"/>
        <w:rPr/>
      </w:pPr>
      <w:r>
        <w:rPr>
          <w:rFonts w:ascii="Times New Roman;serif" w:hAnsi="Times New Roman;serif"/>
          <w:b w:val="false"/>
          <w:color w:val="000000"/>
          <w:sz w:val="24"/>
        </w:rPr>
        <w:t>F.</w:t>
      </w:r>
      <w:r>
        <w:rPr>
          <w:rFonts w:ascii="Times New Roman;serif" w:hAnsi="Times New Roman;serif"/>
          <w:b w:val="false"/>
          <w:color w:val="000000"/>
          <w:sz w:val="24"/>
        </w:rPr>
        <w:t>The Company has agreed to offer employment to the Employee, and the Employee has agreed to accept employment with the Company on the terms and conditions set out in this Agreement.</w:t>
      </w:r>
    </w:p>
    <w:p>
      <w:pPr>
        <w:pStyle w:val="TextBody"/>
        <w:bidi w:val="0"/>
        <w:spacing w:before="0" w:after="0"/>
        <w:jc w:val="right"/>
        <w:rPr/>
      </w:pPr>
      <w:r>
        <w:rPr/>
        <w:drawing>
          <wp:inline distT="0" distB="0" distL="0" distR="0">
            <wp:extent cx="1685925" cy="647700"/>
            <wp:effectExtent l="0" t="0" r="0" b="0"/>
            <wp:docPr id="20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3" descr=""/>
                    <pic:cNvPicPr>
                      <a:picLocks noChangeAspect="1" noChangeArrowheads="1"/>
                    </pic:cNvPicPr>
                  </pic:nvPicPr>
                  <pic:blipFill>
                    <a:blip r:embed="rId15"/>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16840"/>
                <wp:effectExtent l="0" t="0" r="0" b="0"/>
                <wp:wrapNone/>
                <wp:docPr id="209" name="Frame2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1 - 24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NOW THEREFORE THIS AGREEMENT WITNESSES that for and in consideration of the promises and mutual covenants and agreements hereinafter contained, the parties hereto covenant and agree as follows:</w:t>
      </w:r>
    </w:p>
    <w:p>
      <w:pPr>
        <w:pStyle w:val="TextBody"/>
        <w:bidi w:val="0"/>
        <w:spacing w:lineRule="auto" w:line="240" w:before="240" w:after="240"/>
        <w:jc w:val="both"/>
        <w:rPr/>
      </w:pPr>
      <w:r>
        <w:rPr>
          <w:rFonts w:ascii="Times New Roman;serif" w:hAnsi="Times New Roman;serif"/>
          <w:b/>
          <w:color w:val="000000"/>
          <w:sz w:val="24"/>
        </w:rPr>
        <w:t>Article 1</w:t>
      </w:r>
      <w:r>
        <w:rPr>
          <w:color w:val="000000"/>
        </w:rPr>
        <w:t xml:space="preserve"> – </w:t>
      </w:r>
      <w:r>
        <w:rPr>
          <w:rFonts w:ascii="Times New Roman;serif" w:hAnsi="Times New Roman;serif"/>
          <w:b/>
          <w:color w:val="000000"/>
          <w:sz w:val="24"/>
        </w:rPr>
        <w:t>GENERAL</w:t>
      </w:r>
    </w:p>
    <w:p>
      <w:pPr>
        <w:pStyle w:val="TextBody"/>
        <w:bidi w:val="0"/>
        <w:spacing w:lineRule="auto" w:line="240" w:before="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Definitions</w:t>
      </w:r>
      <w:r>
        <w:rPr>
          <w:rFonts w:ascii="Times New Roman;serif" w:hAnsi="Times New Roman;serif"/>
          <w:b w:val="false"/>
          <w:color w:val="000000"/>
          <w:sz w:val="24"/>
        </w:rPr>
        <w:t>. Unless otherwise defined, all capitalized terms used in this Agreement will have the meanings given below:</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Business” means the business of researching, developing and commercializing therapeutic proteins, antibodies, and any other research, development and manufacturing work considered, planned or undertaken by the Company and/or Parent during the Employee’s employment;</w:t>
      </w:r>
    </w:p>
    <w:p>
      <w:pPr>
        <w:pStyle w:val="TextBody"/>
        <w:bidi w:val="0"/>
        <w:spacing w:lineRule="auto" w:line="240" w:before="0" w:after="200"/>
        <w:ind w:left="0" w:right="0" w:hanging="72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Confidential Information” means trade secrets and other information, in whatever form or media, in the possession or control of the Company, which is owned by the Company or by one of its clients or suppliers or a third party with whom the Company has a business relationship, including, without limitation, Parent (collectively, the “Associates”), and which is not generally known to the public and has been specifically identified as confidential or proprietary by the Company, or its nature is such that it would generally be considered confidential in the industry in which the Company or its Associates operate, or which the Company is obligated to treat as confidential or proprietary. Confidential Information includes, without limitation, the following:</w:t>
      </w:r>
    </w:p>
    <w:p>
      <w:pPr>
        <w:pStyle w:val="TextBody"/>
        <w:bidi w:val="0"/>
        <w:spacing w:lineRule="auto" w:line="240"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products and confidential or proprietary facts, data, techniques, materials and other information related to the business of the Company, including all related development or experimental work or research, related documentation owned or marketed by the Company and related formulas, algorithms, patent applications, concepts, designs, flowcharts, ideas, programming techniques, specifications and software programs (including source code listings), methods, processes, inventions, sources, drawings, computer models, prototypes and patterns;</w:t>
      </w:r>
    </w:p>
    <w:p>
      <w:pPr>
        <w:pStyle w:val="TextBody"/>
        <w:bidi w:val="0"/>
        <w:spacing w:lineRule="auto" w:line="240"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(ii)information regarding the Company’s business operations, methods and practices, including corporate strategy, market research, market strategies, marketing plans, public relations strategies, product pricing and strategies, advertising sources, lists and information concerning current and prospective customers, billing information, suppliers, packaging, merchandizing, distribution, methods of production, manufacturing, pending projects or proposals, margins and hourly rates for staff and information regarding the financial, legal and corporate affairs of the Company, including business plans and projections and information regarding the Company’s financial condition, operations, assets and liabilities, financial data, business structures, business ventures, existing or contemplated businesses, products, or services;</w:t>
      </w:r>
    </w:p>
    <w:p>
      <w:pPr>
        <w:pStyle w:val="TextBody"/>
        <w:bidi w:val="0"/>
        <w:spacing w:lineRule="auto" w:line="240"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(iii)employee information, contacts, and wage information (other than Employee’s own);</w:t>
      </w:r>
    </w:p>
    <w:p>
      <w:pPr>
        <w:pStyle w:val="TextBody"/>
        <w:bidi w:val="0"/>
        <w:spacing w:before="0" w:after="0"/>
        <w:jc w:val="right"/>
        <w:rPr/>
      </w:pPr>
      <w:r>
        <w:rPr/>
        <w:drawing>
          <wp:inline distT="0" distB="0" distL="0" distR="0">
            <wp:extent cx="1685925" cy="647700"/>
            <wp:effectExtent l="0" t="0" r="0" b="0"/>
            <wp:docPr id="2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4" descr=""/>
                    <pic:cNvPicPr>
                      <a:picLocks noChangeAspect="1" noChangeArrowheads="1"/>
                    </pic:cNvPicPr>
                  </pic:nvPicPr>
                  <pic:blipFill>
                    <a:blip r:embed="rId16"/>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16840"/>
                <wp:effectExtent l="0" t="0" r="0" b="0"/>
                <wp:wrapNone/>
                <wp:docPr id="211" name="Frame2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2 - 24</w:t>
                      </w:r>
                    </w:p>
                  </w:txbxContent>
                </v:textbox>
                <w10:wrap type="none"/>
              </v:rect>
            </w:pict>
          </mc:Fallback>
        </mc:AlternateContent>
      </w:r>
    </w:p>
    <w:p>
      <w:pPr>
        <w:pStyle w:val="TextBody"/>
        <w:bidi w:val="0"/>
        <w:spacing w:lineRule="auto" w:line="240"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(iv)employee information, contacts, and wage information (other than Employee’s own); and</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(v)technical and business information of, or regarding, the Company’s Associates.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above list is not exhaustive, and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before="0" w:after="0"/>
        <w:jc w:val="left"/>
        <w:rPr/>
      </w:pPr>
      <w:r>
        <w:rPr/>
      </w:r>
    </w:p>
    <w:p>
      <w:pPr>
        <w:pStyle w:val="TextBody"/>
        <w:bidi w:val="0"/>
        <w:spacing w:lineRule="auto" w:line="240" w:before="0" w:after="220"/>
        <w:ind w:left="0" w:right="0" w:hanging="72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rPr>
        <w:t>Developments” means all inventions, ideas, concepts, designs, improvements, discoveries, modifications, computer software, and other results which are or have been conceived of, developed by, written, or reduced to practice by the Employee, alone or jointly with others (including, where applicable, all modifications, derivatives, progeny, models, specifications, source code, design documents, creations, scripts, artwork, text, graphics, photos and pictures) at any time;</w:t>
      </w:r>
    </w:p>
    <w:p>
      <w:pPr>
        <w:pStyle w:val="TextBody"/>
        <w:bidi w:val="0"/>
        <w:spacing w:lineRule="auto" w:line="240" w:before="0" w:after="200"/>
        <w:ind w:left="0" w:right="0" w:hanging="72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rPr>
        <w:t>Excluded Developments” means any Development that meets the following requirements:</w:t>
      </w:r>
    </w:p>
    <w:p>
      <w:pPr>
        <w:pStyle w:val="TextBody"/>
        <w:bidi w:val="0"/>
        <w:spacing w:lineRule="auto" w:line="288" w:before="0" w:after="200"/>
        <w:jc w:val="both"/>
        <w:rPr>
          <w:rFonts w:ascii="Times New Roman;serif" w:hAnsi="Times New Roman;serif"/>
          <w:b w:val="false"/>
          <w:i/>
          <w:color w:val="000000"/>
          <w:sz w:val="24"/>
        </w:rPr>
      </w:pPr>
      <w:r>
        <w:rPr>
          <w:rFonts w:ascii="Times New Roman;serif" w:hAnsi="Times New Roman;serif"/>
          <w:b w:val="false"/>
          <w:i/>
          <w:color w:val="000000"/>
          <w:sz w:val="24"/>
        </w:rPr>
        <w:t xml:space="preserve">an invention for which no equipment, supplies, facility, or trade secret information of the employer was used and which was developed entirely on the employee's own time, unless </w:t>
      </w:r>
    </w:p>
    <w:p>
      <w:pPr>
        <w:pStyle w:val="TextBody"/>
        <w:bidi w:val="0"/>
        <w:spacing w:lineRule="auto" w:line="288" w:before="0" w:after="200"/>
        <w:jc w:val="both"/>
        <w:rPr>
          <w:rFonts w:ascii="Times New Roman;serif" w:hAnsi="Times New Roman;serif"/>
          <w:b w:val="false"/>
          <w:i/>
          <w:color w:val="000000"/>
          <w:sz w:val="24"/>
        </w:rPr>
      </w:pPr>
      <w:r>
        <w:rPr>
          <w:rFonts w:ascii="Times New Roman;serif" w:hAnsi="Times New Roman;serif"/>
          <w:b w:val="false"/>
          <w:i/>
          <w:color w:val="000000"/>
          <w:sz w:val="24"/>
        </w:rPr>
        <w:t xml:space="preserve">(i) the invention relates (A) directly to the business of the employer, or (B) to the employer’s actual or demonstrably anticipated research or development, or </w:t>
      </w:r>
    </w:p>
    <w:p>
      <w:pPr>
        <w:pStyle w:val="TextBody"/>
        <w:bidi w:val="0"/>
        <w:spacing w:lineRule="auto" w:line="288" w:before="0" w:after="220"/>
        <w:jc w:val="both"/>
        <w:rPr>
          <w:rFonts w:ascii="Times New Roman;serif" w:hAnsi="Times New Roman;serif"/>
          <w:b w:val="false"/>
          <w:i/>
          <w:color w:val="000000"/>
          <w:sz w:val="24"/>
        </w:rPr>
      </w:pPr>
      <w:r>
        <w:rPr>
          <w:rFonts w:ascii="Times New Roman;serif" w:hAnsi="Times New Roman;serif"/>
          <w:b w:val="false"/>
          <w:i/>
          <w:color w:val="000000"/>
          <w:sz w:val="24"/>
        </w:rPr>
        <w:t>(ii) the invention results from any work performed by the employee for the employer.</w:t>
      </w:r>
    </w:p>
    <w:p>
      <w:pPr>
        <w:pStyle w:val="TextBody"/>
        <w:bidi w:val="0"/>
        <w:spacing w:lineRule="auto" w:line="240" w:before="0" w:after="220"/>
        <w:ind w:left="0" w:right="0" w:hanging="720"/>
        <w:jc w:val="left"/>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rPr>
        <w:t xml:space="preserve">Prior Developments” means any Development that the Employee establishes was developed prior to the Employee performing such services for the Company and precedes the Employee’s initial engagement with the Company. </w:t>
      </w:r>
    </w:p>
    <w:p>
      <w:pPr>
        <w:pStyle w:val="TextBody"/>
        <w:bidi w:val="0"/>
        <w:spacing w:lineRule="auto" w:line="240"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Sections and Headings</w:t>
      </w:r>
      <w:r>
        <w:rPr>
          <w:rFonts w:ascii="Times New Roman;serif" w:hAnsi="Times New Roman;serif"/>
          <w:b w:val="false"/>
          <w:color w:val="000000"/>
          <w:sz w:val="24"/>
        </w:rPr>
        <w:t>. The division of this Agreement into Articles and Sections and the insertion of headings are for the convenience of reference only and do not affect the construction or interpretation of this Agreement. The terms “hereof”, “hereunder” and similar expressions refer to this Agreement and not to any particular Article, Section or other portion hereof and include any agreement supplemental hereto. Unless something in the subject matter or context is inconsistent therewith, references herein to Articles and Sections are to Articles and Sections of this Agreement.</w:t>
      </w:r>
    </w:p>
    <w:p>
      <w:pPr>
        <w:pStyle w:val="TextBody"/>
        <w:bidi w:val="0"/>
        <w:spacing w:before="0" w:after="0"/>
        <w:jc w:val="right"/>
        <w:rPr/>
      </w:pPr>
      <w:r>
        <w:rPr/>
        <w:drawing>
          <wp:inline distT="0" distB="0" distL="0" distR="0">
            <wp:extent cx="1685925" cy="647700"/>
            <wp:effectExtent l="0" t="0" r="0" b="0"/>
            <wp:docPr id="2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5" descr=""/>
                    <pic:cNvPicPr>
                      <a:picLocks noChangeAspect="1" noChangeArrowheads="1"/>
                    </pic:cNvPicPr>
                  </pic:nvPicPr>
                  <pic:blipFill>
                    <a:blip r:embed="rId17"/>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16840"/>
                <wp:effectExtent l="0" t="0" r="0" b="0"/>
                <wp:wrapNone/>
                <wp:docPr id="213" name="Frame2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3 - 24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3 - 24</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color w:val="000000"/>
          <w:sz w:val="24"/>
        </w:rPr>
        <w:t>Article 2</w:t>
      </w:r>
      <w:r>
        <w:rPr>
          <w:color w:val="000000"/>
        </w:rPr>
        <w:t xml:space="preserve"> – </w:t>
      </w:r>
      <w:r>
        <w:rPr>
          <w:rFonts w:ascii="Times New Roman;serif" w:hAnsi="Times New Roman;serif"/>
          <w:b/>
          <w:color w:val="000000"/>
          <w:sz w:val="24"/>
        </w:rPr>
        <w:t>EMPLOYMENT</w:t>
      </w:r>
    </w:p>
    <w:p>
      <w:pPr>
        <w:pStyle w:val="TextBody"/>
        <w:bidi w:val="0"/>
        <w:spacing w:lineRule="auto" w:line="240" w:before="0" w:after="2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Services</w:t>
      </w:r>
      <w:r>
        <w:rPr>
          <w:rFonts w:ascii="Times New Roman;serif" w:hAnsi="Times New Roman;serif"/>
          <w:b w:val="false"/>
          <w:color w:val="000000"/>
          <w:sz w:val="24"/>
        </w:rPr>
        <w:t>.</w: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On the Effective Date, the Employee will continue employment with the Company in the position of Head of Research &amp; Development on the terms and conditions set out in this Agreement. For the purposes of calculating any entitlements pursuant to this Agreement based on length of service, the Company will use the Start Date for all calculations.</w:t>
      </w:r>
    </w:p>
    <w:p>
      <w:pPr>
        <w:pStyle w:val="TextBody"/>
        <w:bidi w:val="0"/>
        <w:spacing w:lineRule="auto" w:line="240" w:before="0" w:after="2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Qualifications</w:t>
      </w:r>
      <w:r>
        <w:rPr>
          <w:rFonts w:ascii="Times New Roman;serif" w:hAnsi="Times New Roman;serif"/>
          <w:b w:val="false"/>
          <w:color w:val="000000"/>
          <w:sz w:val="24"/>
        </w:rPr>
        <w:t>.</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Employee acknowledges that the falsification or misrepresentation of qualifications, including but not limited to education, skills, prior experience, depth and/or breadth of knowledge, references or similar matters, used to secure the position of Head of Research &amp; Development, represents a breach of this contract.</w:t>
      </w:r>
    </w:p>
    <w:p>
      <w:pPr>
        <w:pStyle w:val="TextBody"/>
        <w:bidi w:val="0"/>
        <w:spacing w:lineRule="auto" w:line="240" w:before="0" w:after="22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Employment Duties</w:t>
      </w:r>
      <w:r>
        <w:rPr>
          <w:rFonts w:ascii="Times New Roman;serif" w:hAnsi="Times New Roman;serif"/>
          <w:b w:val="false"/>
          <w:color w:val="000000"/>
          <w:sz w:val="24"/>
        </w:rPr>
        <w:t>. The Employee shall report to the Company’s Chief Executive Officer. Subject to the direction and control of the Chief Executive Officer and other senior management of the Company and/or Parent (“Management”), the Employee will perform the duties set out in a job description for the Employee’s position provided by the Company and any other duties that may be reasonably assigned to the Employee by Management from time to time. The Employee’s employment with the Company may involve duties to Parent. The salary, benefits, and other compensation provided to the Employee by the Company are intended to compensate the Employee for all work performed by the Employee for the Company, Parent, and their respective affiliates. Management may alter the duties Employee is expected to perform for the Company at any time with or without notice.</w:t>
      </w:r>
    </w:p>
    <w:p>
      <w:pPr>
        <w:pStyle w:val="TextBody"/>
        <w:bidi w:val="0"/>
        <w:spacing w:lineRule="auto" w:line="240" w:before="0" w:after="220"/>
        <w:jc w:val="both"/>
        <w:rPr/>
      </w:pPr>
      <w:r>
        <w:rPr>
          <w:rFonts w:ascii="Times New Roman;serif" w:hAnsi="Times New Roman;serif"/>
          <w:b w:val="false"/>
          <w:color w:val="000000"/>
          <w:sz w:val="24"/>
        </w:rPr>
        <w:t>2.3</w:t>
      </w:r>
      <w:r>
        <w:rPr>
          <w:rFonts w:ascii="Times New Roman;serif" w:hAnsi="Times New Roman;serif"/>
          <w:b w:val="false"/>
          <w:color w:val="000000"/>
          <w:sz w:val="24"/>
        </w:rPr>
        <w:t>Throughout the term of this Agreement, the Employee will:</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(a)diligently, honestly and faithfully serve the Company and will use all reasonable efforts to promote and advance the interests and goodwill of the Company and/or Parent;</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(b)devote himself in a full-time capacity to the business and affairs of the Company;</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(c)adhere to all applicable policies and procedures of the Company and/or Parent as in effect and as amended from time to time, including but not limited to the Company’s and Parent’s Codes of Business Conduct and Ethics;</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(d)exercise the degree, diligence and skill that a reasonably prudent Head of Research &amp; Development would exercise in comparable circumstances; </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(e)refrain from engaging in any activity which will in any manner, directly or indirectly, compete with the trade or business of the Company and/or Parent except in accordance with Sections 2.4, 2.5 and 2.6 herein and as outlined under the Conflict of Interest guidelines in Company’s or the Parent’s corporate policies and procedures as in effect and as amended from time to time; and</w:t>
      </w:r>
    </w:p>
    <w:p>
      <w:pPr>
        <w:pStyle w:val="TextBody"/>
        <w:bidi w:val="0"/>
        <w:spacing w:before="0" w:after="0"/>
        <w:jc w:val="right"/>
        <w:rPr/>
      </w:pPr>
      <w:r>
        <w:rPr/>
        <w:drawing>
          <wp:inline distT="0" distB="0" distL="0" distR="0">
            <wp:extent cx="1685925" cy="647700"/>
            <wp:effectExtent l="0" t="0" r="0" b="0"/>
            <wp:docPr id="2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6" descr=""/>
                    <pic:cNvPicPr>
                      <a:picLocks noChangeAspect="1" noChangeArrowheads="1"/>
                    </pic:cNvPicPr>
                  </pic:nvPicPr>
                  <pic:blipFill>
                    <a:blip r:embed="rId18"/>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16840"/>
                <wp:effectExtent l="0" t="0" r="0" b="0"/>
                <wp:wrapNone/>
                <wp:docPr id="215" name="Frame2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4 - 24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4 - 24</w:t>
                      </w:r>
                    </w:p>
                  </w:txbxContent>
                </v:textbox>
                <w10:wrap type="none"/>
              </v:rect>
            </w:pict>
          </mc:Fallback>
        </mc:AlternateConten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(f)not acquire, directly or indirectly, any interest that constitutes 5% or more of the voting rights attached to the outstanding shares of any corporation or 5% or more of the equity or assets in any firm, partnership or association, the business and operations of which in any manner, directly or indirectly, compete with the trade or business of the Company.</w:t>
      </w:r>
    </w:p>
    <w:p>
      <w:pPr>
        <w:pStyle w:val="TextBody"/>
        <w:bidi w:val="0"/>
        <w:spacing w:lineRule="auto" w:line="240" w:before="0" w:after="220"/>
        <w:jc w:val="both"/>
        <w:rPr/>
      </w:pPr>
      <w:r>
        <w:rPr>
          <w:rFonts w:ascii="Times New Roman;serif" w:hAnsi="Times New Roman;serif"/>
          <w:b w:val="false"/>
          <w:color w:val="000000"/>
          <w:sz w:val="24"/>
        </w:rPr>
        <w:t>2.4</w:t>
      </w:r>
      <w:r>
        <w:rPr>
          <w:rFonts w:ascii="Times New Roman;serif" w:hAnsi="Times New Roman;serif"/>
          <w:b w:val="false"/>
          <w:color w:val="000000"/>
          <w:sz w:val="24"/>
        </w:rPr>
        <w:t>The Employee will disclose to Management all potential conflicts of interest and activities which could reasonably be seen to compete, indirectly or directly, with the trade or business of the Company and/or Parent. Management will determine, in its sole discretion, whether the activity in question constitutes a conflict of interest or competition with the Company and/or Parent. To the extent that Management, acting reasonably, determines a conflict of interest or competition exists, the Employee will discontinue such activity forthwith or within such longer period as Management agrees. The Employee will immediately certify in writing to the Company that Employee has discontinued such activity and that Employee has, as required by Management, cancelled any contracts or sold or otherwise disposed of any interest or assets over the 5% threshold described in Section 2.3(f) herein acquired by the Employee by virtue of engaging in the impugned activity, or where no market exists to enable such sale or disposition, by transfer of the Employee’s beneficial interest into blind trust or other fiduciary arrangements over which the Employee has no control or direction, or other action that is acceptable to the Company’s Board of Directors (the “Board”).</w:t>
      </w:r>
    </w:p>
    <w:p>
      <w:pPr>
        <w:pStyle w:val="TextBody"/>
        <w:bidi w:val="0"/>
        <w:spacing w:lineRule="auto" w:line="240" w:before="0" w:after="220"/>
        <w:jc w:val="both"/>
        <w:rPr/>
      </w:pPr>
      <w:r>
        <w:rPr>
          <w:rFonts w:ascii="Times New Roman;serif" w:hAnsi="Times New Roman;serif"/>
          <w:b w:val="false"/>
          <w:color w:val="000000"/>
          <w:sz w:val="24"/>
        </w:rPr>
        <w:t>2.5</w:t>
      </w:r>
      <w:r>
        <w:rPr>
          <w:rFonts w:ascii="Times New Roman;serif" w:hAnsi="Times New Roman;serif"/>
          <w:b w:val="false"/>
          <w:color w:val="000000"/>
          <w:sz w:val="24"/>
        </w:rPr>
        <w:t xml:space="preserve">The Employee agrees not to be employed by another company or provide consulting or other services to other companies or commercial entities while employed by the Company, without the expressed written permission of the Company. By seeking and accepting employment with the Company, the Employee recognizes that the Employee is employed by the Company for the expressed benefit of advancing the scientific, development and business objectives of the Company and Parent and that concurrent employment outside the Company may detract from those objectives. </w:t>
      </w:r>
    </w:p>
    <w:p>
      <w:pPr>
        <w:pStyle w:val="TextBody"/>
        <w:bidi w:val="0"/>
        <w:spacing w:lineRule="auto" w:line="240" w:before="0" w:after="220"/>
        <w:jc w:val="both"/>
        <w:rPr/>
      </w:pPr>
      <w:r>
        <w:rPr>
          <w:rFonts w:ascii="Times New Roman;serif" w:hAnsi="Times New Roman;serif"/>
          <w:b w:val="false"/>
          <w:color w:val="000000"/>
          <w:sz w:val="24"/>
        </w:rPr>
        <w:t>2.6</w:t>
      </w:r>
      <w:r>
        <w:rPr>
          <w:rFonts w:ascii="Times New Roman;serif" w:hAnsi="Times New Roman;serif"/>
          <w:b w:val="false"/>
          <w:color w:val="000000"/>
          <w:sz w:val="24"/>
        </w:rPr>
        <w:t>Notwithstanding Sections 2.3, 2.4 and 6.3, the Employee is not restricted from nor is required to obtain the consent of the Company to make investments constituting an ownership interest of 5% or less in any company which is involved in pharmaceuticals or biotechnology with securities listed for trading on any Canadian or U.S. stock exchange, quotation system or the over-the-counter market.</w:t>
      </w:r>
    </w:p>
    <w:p>
      <w:pPr>
        <w:pStyle w:val="TextBody"/>
        <w:bidi w:val="0"/>
        <w:spacing w:lineRule="auto" w:line="240" w:before="0" w:after="220"/>
        <w:jc w:val="both"/>
        <w:rPr/>
      </w:pPr>
      <w:r>
        <w:rPr>
          <w:rFonts w:ascii="Times New Roman;serif" w:hAnsi="Times New Roman;serif"/>
          <w:b w:val="false"/>
          <w:color w:val="000000"/>
          <w:sz w:val="24"/>
        </w:rPr>
        <w:t>2.7</w:t>
      </w:r>
      <w:r>
        <w:rPr>
          <w:rFonts w:ascii="Times New Roman;serif" w:hAnsi="Times New Roman;serif"/>
          <w:b w:val="false"/>
          <w:color w:val="000000"/>
          <w:sz w:val="24"/>
        </w:rPr>
        <w:t>For the purposes of Sections 2.3, 2.4 and 2.6 herein, “Employee” includes any entity or company owned or controlled by the Employee.</w:t>
      </w:r>
    </w:p>
    <w:p>
      <w:pPr>
        <w:pStyle w:val="TextBody"/>
        <w:bidi w:val="0"/>
        <w:spacing w:lineRule="auto" w:line="240" w:before="0" w:after="220"/>
        <w:jc w:val="both"/>
        <w:rPr/>
      </w:pPr>
      <w:r>
        <w:rPr>
          <w:rFonts w:ascii="Times New Roman;serif" w:hAnsi="Times New Roman;serif"/>
          <w:b w:val="false"/>
          <w:color w:val="000000"/>
          <w:sz w:val="24"/>
        </w:rPr>
        <w:t>2.8</w:t>
      </w:r>
      <w:r>
        <w:rPr>
          <w:rFonts w:ascii="Times New Roman;serif" w:hAnsi="Times New Roman;serif"/>
          <w:b w:val="false"/>
          <w:color w:val="000000"/>
          <w:sz w:val="24"/>
        </w:rPr>
        <w:t>To the extent applicable, the Employee’s employment with the Company shall at all times be conditional upon the Employee being in possession of all necessary permits and work passes for the Employee to work in the United States. For purposes of federal immigration law, Employee will be required to provide to the Company documentary evidence of Employee’s identity and eligibility for employment in the United States. Such valid documentation must be provided within three (3) business days of the start of Employee’s employment, or Employee’s employment relationship with the Company may be terminated, which such termination would constitute a termination for “Cause”.</w:t>
      </w:r>
    </w:p>
    <w:p>
      <w:pPr>
        <w:pStyle w:val="TextBody"/>
        <w:bidi w:val="0"/>
        <w:spacing w:lineRule="auto" w:line="240" w:before="0" w:after="22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Usual Place of Business</w:t>
      </w:r>
      <w:r>
        <w:rPr>
          <w:rFonts w:ascii="Times New Roman;serif" w:hAnsi="Times New Roman;serif"/>
          <w:b w:val="false"/>
          <w:color w:val="000000"/>
          <w:sz w:val="24"/>
        </w:rPr>
        <w:t xml:space="preserve">. The Employee’s principal work location for the Company will be the Employee’s home office in Massachusetts, subject to travel as may be required by the Company in its discretion. The Employee agrees that the Employee will not relocate to a </w:t>
      </w:r>
    </w:p>
    <w:p>
      <w:pPr>
        <w:pStyle w:val="TextBody"/>
        <w:bidi w:val="0"/>
        <w:spacing w:before="0" w:after="0"/>
        <w:jc w:val="right"/>
        <w:rPr/>
      </w:pPr>
      <w:r>
        <w:rPr/>
        <w:drawing>
          <wp:inline distT="0" distB="0" distL="0" distR="0">
            <wp:extent cx="1685925" cy="647700"/>
            <wp:effectExtent l="0" t="0" r="0" b="0"/>
            <wp:docPr id="2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7" descr=""/>
                    <pic:cNvPicPr>
                      <a:picLocks noChangeAspect="1" noChangeArrowheads="1"/>
                    </pic:cNvPicPr>
                  </pic:nvPicPr>
                  <pic:blipFill>
                    <a:blip r:embed="rId19"/>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16840"/>
                <wp:effectExtent l="0" t="0" r="0" b="0"/>
                <wp:wrapNone/>
                <wp:docPr id="217" name="Frame2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5 - 24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5 - 24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4"/>
        </w:rPr>
      </w:pPr>
      <w:r>
        <w:rPr>
          <w:rFonts w:ascii="Times New Roman;serif" w:hAnsi="Times New Roman;serif"/>
          <w:b w:val="false"/>
          <w:color w:val="000000"/>
          <w:sz w:val="24"/>
        </w:rPr>
        <w:t>location outside of Massachusetts without obtaining approval from Human Resources.</w:t>
      </w:r>
    </w:p>
    <w:p>
      <w:pPr>
        <w:pStyle w:val="TextBody"/>
        <w:bidi w:val="0"/>
        <w:spacing w:lineRule="auto" w:line="240" w:before="220" w:after="220"/>
        <w:jc w:val="both"/>
        <w:rPr/>
      </w:pPr>
      <w:r>
        <w:rPr>
          <w:rFonts w:ascii="Times New Roman;serif" w:hAnsi="Times New Roman;serif"/>
          <w:b/>
          <w:color w:val="000000"/>
          <w:sz w:val="24"/>
        </w:rPr>
        <w:t>Article 3</w:t>
      </w:r>
      <w:r>
        <w:rPr>
          <w:color w:val="000000"/>
        </w:rPr>
        <w:t xml:space="preserve"> – </w:t>
      </w:r>
      <w:r>
        <w:rPr>
          <w:rFonts w:ascii="Times New Roman;serif" w:hAnsi="Times New Roman;serif"/>
          <w:b/>
          <w:color w:val="000000"/>
          <w:sz w:val="24"/>
        </w:rPr>
        <w:t>COMPENSATION</w:t>
      </w:r>
    </w:p>
    <w:p>
      <w:pPr>
        <w:pStyle w:val="TextBody"/>
        <w:bidi w:val="0"/>
        <w:spacing w:lineRule="auto" w:line="240" w:before="0" w:after="2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Base Salary</w:t>
      </w:r>
      <w:r>
        <w:rPr>
          <w:rFonts w:ascii="Times New Roman;serif" w:hAnsi="Times New Roman;serif"/>
          <w:b w:val="false"/>
          <w:color w:val="000000"/>
          <w:sz w:val="24"/>
        </w:rPr>
        <w:t xml:space="preserve">. As compensation for all services rendered under this Agreement, the Company will pay to the Employee and the Employee will accept from the Company a base salary at the rate of $550,000 (USD) per annum. The base salary will be paid semi-monthly, in equal installments, less statutory and other authorized deductions. </w:t>
      </w:r>
    </w:p>
    <w:p>
      <w:pPr>
        <w:pStyle w:val="TextBody"/>
        <w:bidi w:val="0"/>
        <w:spacing w:lineRule="auto" w:line="240" w:before="0" w:after="240"/>
        <w:jc w:val="left"/>
        <w:rPr/>
      </w:pPr>
      <w:r>
        <w:rPr>
          <w:rFonts w:ascii="Times New Roman;serif" w:hAnsi="Times New Roman;serif"/>
          <w:b w:val="false"/>
          <w:color w:val="000000"/>
          <w:sz w:val="24"/>
        </w:rPr>
        <w:t>3.2</w:t>
      </w:r>
      <w:r>
        <w:rPr>
          <w:rFonts w:ascii="Times New Roman;serif" w:hAnsi="Times New Roman;serif"/>
          <w:b w:val="false"/>
          <w:color w:val="000000"/>
          <w:sz w:val="24"/>
          <w:u w:val="single"/>
        </w:rPr>
        <w:t>Signing Bonus</w:t>
      </w:r>
      <w:r>
        <w:rPr>
          <w:rFonts w:ascii="Times New Roman;serif" w:hAnsi="Times New Roman;serif"/>
          <w:b w:val="false"/>
          <w:color w:val="000000"/>
          <w:sz w:val="24"/>
        </w:rPr>
        <w:t xml:space="preserve">. The Employee shall receive a Signing Bonus of $55,000 (USD) (less applicable withholdings) to be paid on the first scheduled pay day following the Effective Date of this Agreement. The Signing Bonus shall be repayable in full to the Company within 30 days of the Employee’s employment termination date if the Employee’s employment with the Company is terminated by the Company for Cause or by the Employee for any reason other than death or disability, in either case, within one (1) year of the Effective Date. </w:t>
      </w:r>
    </w:p>
    <w:p>
      <w:pPr>
        <w:pStyle w:val="TextBody"/>
        <w:bidi w:val="0"/>
        <w:spacing w:lineRule="auto" w:line="240" w:before="0" w:after="2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Stock Options</w:t>
      </w:r>
      <w:r>
        <w:rPr>
          <w:rFonts w:ascii="Times New Roman;serif" w:hAnsi="Times New Roman;serif"/>
          <w:b w:val="false"/>
          <w:color w:val="000000"/>
          <w:sz w:val="24"/>
        </w:rPr>
        <w:t>. Subject to approval by the Board or its delegate, the Employee shall be granted 70,000 options (the “Options”) to acquire shares of common stock of Parent (the “Shares”), provided the Employee is employed by the Company on the grant date, which grant date shall be the Effective Date or as soon as practicable thereafter. The exercise price of the Options will be set in accordance with the terms of Zymeworks Inc.’s Amended and Restated Stock Option and Equity Compensation Plan as it may hereafter be amended (the “Equity Compensation Plan”). Subject to Sections 4.3 and 4.4 and to the Board’s approval, the Options will vest over a four-year period as follows: (i) 25% of the Options will vest on the one-year anniversary of the grant date; and (ii) 1/36 of the remaining Options will vest on the last day of each month following the one-year anniversary of the grant date, subject to Employee’s continued employment with the Company or a Company subsidiary through each applicable date.</w:t>
      </w:r>
    </w:p>
    <w:p>
      <w:pPr>
        <w:pStyle w:val="TextBody"/>
        <w:bidi w:val="0"/>
        <w:spacing w:lineRule="auto" w:line="240" w:before="0" w:after="2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Restricted Stock Units</w:t>
      </w:r>
      <w:r>
        <w:rPr>
          <w:rFonts w:ascii="Times New Roman;serif" w:hAnsi="Times New Roman;serif"/>
          <w:b w:val="false"/>
          <w:color w:val="000000"/>
          <w:sz w:val="24"/>
        </w:rPr>
        <w:t xml:space="preserve">. Subject to approval by the Board or its delegate, the Employee shall be granted 47,000 restricted stock units (the “RSUs”) settled in Shares, provided the Employee is employed by the Company on the grant date, which grant date shall be the Effective Date or as soon as practicable thereafter. Subject to Sections 4.3 and 4.4 and to the Board’s approval, the RSUs will vest </w:t>
      </w:r>
      <w:r>
        <w:rPr>
          <w:rFonts w:ascii="Times New Roman;serif" w:hAnsi="Times New Roman;serif"/>
          <w:b w:val="false"/>
          <w:color w:val="212529"/>
          <w:sz w:val="24"/>
          <w:shd w:fill="FFFFFF" w:val="clear"/>
        </w:rPr>
        <w:t xml:space="preserve">over a four-year period as follows: (i) 1/4 of the RSUs will vest on the one-year 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(ii) 1/4 of the RSUs will vest on the two-year 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(iii) 1/4 of the RSUs will vest on the three-year 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and (iv) the remaining 1/4 of the RSUs will vest on the four-year 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subject </w:t>
      </w:r>
      <w:r>
        <w:rPr>
          <w:rFonts w:ascii="Times New Roman;serif" w:hAnsi="Times New Roman;serif"/>
          <w:b w:val="false"/>
          <w:color w:val="000000"/>
          <w:sz w:val="24"/>
        </w:rPr>
        <w:t>to Employee’s continued employment with the Company or a Company subsidiary through each applicable date.</w:t>
      </w:r>
    </w:p>
    <w:p>
      <w:pPr>
        <w:pStyle w:val="TextBody"/>
        <w:bidi w:val="0"/>
        <w:spacing w:lineRule="auto" w:line="240" w:before="0" w:after="22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Performance Stock Units</w:t>
      </w:r>
      <w:r>
        <w:rPr>
          <w:rFonts w:ascii="Times New Roman;serif" w:hAnsi="Times New Roman;serif"/>
          <w:b w:val="false"/>
          <w:color w:val="000000"/>
          <w:sz w:val="24"/>
        </w:rPr>
        <w:t>. Subject to approval by the Board or its delegate, the Employee shall be granted 38,000 performance-based restricted stock units (the “PSUs”) settled in Shares, provided the Employee is employed by the Company on the grant date, which grant date shall be the Effective Date or as soon as practicable thereafter. Subject to Sections 4.3 and 4.4 and to the Board’s approval, the PSUs will vest in accordance with the terms set forth in the PSU grant agreement, subject to Employee’s continued employment with the Company or a Company subsidiary through each applicable date.</w:t>
      </w:r>
    </w:p>
    <w:p>
      <w:pPr>
        <w:pStyle w:val="TextBody"/>
        <w:bidi w:val="0"/>
        <w:spacing w:lineRule="auto" w:line="240" w:before="0" w:after="220"/>
        <w:jc w:val="both"/>
        <w:rPr/>
      </w:pPr>
      <w:r>
        <w:rPr>
          <w:rFonts w:ascii="Times New Roman;serif" w:hAnsi="Times New Roman;serif"/>
          <w:b w:val="false"/>
          <w:color w:val="000000"/>
          <w:sz w:val="24"/>
        </w:rPr>
        <w:t>3.6</w:t>
      </w:r>
      <w:r>
        <w:rPr>
          <w:color w:val="000000"/>
          <w:u w:val="single"/>
        </w:rPr>
        <w:t xml:space="preserve"> </w:t>
      </w:r>
      <w:r>
        <w:rPr>
          <w:rFonts w:ascii="Times New Roman;serif" w:hAnsi="Times New Roman;serif"/>
          <w:b w:val="false"/>
          <w:color w:val="000000"/>
          <w:sz w:val="24"/>
          <w:u w:val="single"/>
        </w:rPr>
        <w:t>Incentive Plans</w:t>
      </w:r>
      <w:r>
        <w:rPr>
          <w:rFonts w:ascii="Times New Roman;serif" w:hAnsi="Times New Roman;serif"/>
          <w:b w:val="false"/>
          <w:color w:val="000000"/>
          <w:sz w:val="24"/>
        </w:rPr>
        <w:t xml:space="preserve">. The Employee shall be entitled to participate in certain incentive programs for the Company’s employees, including, without limiting the generality of the </w:t>
      </w:r>
    </w:p>
    <w:p>
      <w:pPr>
        <w:pStyle w:val="TextBody"/>
        <w:bidi w:val="0"/>
        <w:spacing w:before="0" w:after="0"/>
        <w:jc w:val="right"/>
        <w:rPr/>
      </w:pPr>
      <w:r>
        <w:rPr/>
        <w:drawing>
          <wp:inline distT="0" distB="0" distL="0" distR="0">
            <wp:extent cx="1685925" cy="647700"/>
            <wp:effectExtent l="0" t="0" r="0" b="0"/>
            <wp:docPr id="2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8" descr=""/>
                    <pic:cNvPicPr>
                      <a:picLocks noChangeAspect="1" noChangeArrowheads="1"/>
                    </pic:cNvPicPr>
                  </pic:nvPicPr>
                  <pic:blipFill>
                    <a:blip r:embed="rId20"/>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16840"/>
                <wp:effectExtent l="0" t="0" r="0" b="0"/>
                <wp:wrapNone/>
                <wp:docPr id="219" name="Frame2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6 - 24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6 - 24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4"/>
        </w:rPr>
      </w:pPr>
      <w:r>
        <w:rPr>
          <w:rFonts w:ascii="Times New Roman;serif" w:hAnsi="Times New Roman;serif"/>
          <w:b w:val="false"/>
          <w:color w:val="000000"/>
          <w:sz w:val="24"/>
        </w:rPr>
        <w:t>foregoing, share option plans, share purchase plans, profit-sharing or bonus plans (including target annual bonus, if applicable) (collectively, the “Incentive Plans”). Such participation shall be on the terms and conditions of such Incentive Plans as at the date hereof or as may from time to time be amended or implemented by the Company in its sole discretion.</w:t>
      </w:r>
    </w:p>
    <w:p>
      <w:pPr>
        <w:pStyle w:val="TextBody"/>
        <w:bidi w:val="0"/>
        <w:spacing w:lineRule="auto" w:line="240" w:before="0" w:after="240"/>
        <w:jc w:val="both"/>
        <w:rPr/>
      </w:pPr>
      <w:r>
        <w:rPr>
          <w:rFonts w:ascii="Times New Roman;serif" w:hAnsi="Times New Roman;serif"/>
          <w:b w:val="false"/>
          <w:color w:val="000000"/>
          <w:sz w:val="24"/>
        </w:rPr>
        <w:t>3.7</w:t>
      </w:r>
      <w:r>
        <w:rPr>
          <w:rFonts w:ascii="Times New Roman;serif" w:hAnsi="Times New Roman;serif"/>
          <w:b w:val="false"/>
          <w:color w:val="000000"/>
          <w:sz w:val="24"/>
          <w:u w:val="single"/>
        </w:rPr>
        <w:t>Target Annual Bonus</w:t>
      </w:r>
      <w:r>
        <w:rPr>
          <w:rFonts w:ascii="Times New Roman;serif" w:hAnsi="Times New Roman;serif"/>
          <w:b w:val="false"/>
          <w:color w:val="000000"/>
          <w:sz w:val="24"/>
        </w:rPr>
        <w:t xml:space="preserve">. In accordance with the Parent’s Executive Incentive Compensation Plan, and subject to Management and/or Parent Board discretion based on factors determined by Management and/or the Parent Board including Company performance, the Employee will be eligible to earn an annual cash bonus, with an initial target amount of 45% of base salary. The Employee will be eligible to receive up to a full (non-prorated bonus) if the Effective Date is on or prior to June 30 of the year of the Effective Date. The Employee will be eligible to receive a prorated bonus if the Effective Date is on or after July 1 of the year of the Effective Date. The achieved portion (if any) of the annual cash bonus will be payable, less applicable withholdings, on the date the Company pays such bonuses to other similarly-situated employees, subject to the Employee’s continued employment with the Company through the applicable payment date. </w:t>
      </w:r>
    </w:p>
    <w:p>
      <w:pPr>
        <w:pStyle w:val="TextBody"/>
        <w:bidi w:val="0"/>
        <w:spacing w:lineRule="auto" w:line="240" w:before="0" w:after="240"/>
        <w:jc w:val="both"/>
        <w:rPr/>
      </w:pPr>
      <w:r>
        <w:rPr>
          <w:rFonts w:ascii="Times New Roman;serif" w:hAnsi="Times New Roman;serif"/>
          <w:b w:val="false"/>
          <w:color w:val="000000"/>
          <w:sz w:val="24"/>
        </w:rPr>
        <w:t>3.8</w:t>
      </w:r>
      <w:r>
        <w:rPr>
          <w:rFonts w:ascii="Times New Roman;serif" w:hAnsi="Times New Roman;serif"/>
          <w:b w:val="false"/>
          <w:color w:val="000000"/>
          <w:sz w:val="24"/>
          <w:u w:val="single"/>
        </w:rPr>
        <w:t>Performance and Salary Review</w:t>
      </w:r>
      <w:r>
        <w:rPr>
          <w:rFonts w:ascii="Times New Roman;serif" w:hAnsi="Times New Roman;serif"/>
          <w:b w:val="false"/>
          <w:color w:val="000000"/>
          <w:sz w:val="24"/>
        </w:rPr>
        <w:t>. Management will review the Employee’s performance, base salary, and equity participation level under the terms of any Incentive Plans annually beginning in December 2026, or as otherwise approved by the Compensation Committee. The timing of performance and salary reviews may from time to time be amended by the Company in its sole discretion.</w:t>
      </w:r>
    </w:p>
    <w:p>
      <w:pPr>
        <w:pStyle w:val="TextBody"/>
        <w:bidi w:val="0"/>
        <w:spacing w:lineRule="auto" w:line="240" w:before="0" w:after="220"/>
        <w:jc w:val="both"/>
        <w:rPr/>
      </w:pPr>
      <w:r>
        <w:rPr>
          <w:rFonts w:ascii="Times New Roman;serif" w:hAnsi="Times New Roman;serif"/>
          <w:b w:val="false"/>
          <w:color w:val="000000"/>
          <w:sz w:val="24"/>
        </w:rPr>
        <w:t>3.9</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will reimburse the Employee for all ordinary and necessary expenses incurred by the Employee in the performance of the Employee’s duties under this Agreement. Reimbursement of such expenses will be made in accordance with the Company’s policies.</w:t>
      </w:r>
    </w:p>
    <w:p>
      <w:pPr>
        <w:pStyle w:val="TextBody"/>
        <w:bidi w:val="0"/>
        <w:spacing w:lineRule="auto" w:line="240" w:before="0" w:after="240"/>
        <w:jc w:val="both"/>
        <w:rPr/>
      </w:pPr>
      <w:r>
        <w:rPr>
          <w:rFonts w:ascii="Times New Roman;serif" w:hAnsi="Times New Roman;serif"/>
          <w:b w:val="false"/>
          <w:color w:val="000000"/>
          <w:sz w:val="24"/>
        </w:rPr>
        <w:t>3.10</w:t>
      </w:r>
      <w:r>
        <w:rPr>
          <w:rFonts w:ascii="Times New Roman;serif" w:hAnsi="Times New Roman;serif"/>
          <w:b w:val="false"/>
          <w:color w:val="000000"/>
          <w:sz w:val="24"/>
          <w:u w:val="single"/>
        </w:rPr>
        <w:t>Professional Fees</w:t>
      </w:r>
      <w:r>
        <w:rPr>
          <w:rFonts w:ascii="Times New Roman;serif" w:hAnsi="Times New Roman;serif"/>
          <w:b w:val="false"/>
          <w:color w:val="000000"/>
          <w:sz w:val="24"/>
        </w:rPr>
        <w:t>. The Company will reimburse the Employee for annual registration and/or licensing fees required to maintain the Employee’s status as a member in good standing with the appropriate professional bodies required to continue effective employment, and which were held by the Employee as of the Effective Date. The Company will reimburse reasonable costs incurred by the Employee to complete the minimum annual continuing professional development requirements required to maintain such status.</w:t>
      </w:r>
    </w:p>
    <w:p>
      <w:pPr>
        <w:pStyle w:val="TextBody"/>
        <w:bidi w:val="0"/>
        <w:spacing w:lineRule="auto" w:line="240" w:before="0" w:after="240"/>
        <w:jc w:val="both"/>
        <w:rPr/>
      </w:pPr>
      <w:r>
        <w:rPr>
          <w:rFonts w:ascii="Times New Roman;serif" w:hAnsi="Times New Roman;serif"/>
          <w:b w:val="false"/>
          <w:color w:val="000000"/>
          <w:sz w:val="24"/>
        </w:rPr>
        <w:t>3.11</w:t>
      </w:r>
      <w:r>
        <w:rPr>
          <w:rFonts w:ascii="Times New Roman;serif" w:hAnsi="Times New Roman;serif"/>
          <w:b w:val="false"/>
          <w:color w:val="000000"/>
          <w:sz w:val="24"/>
          <w:u w:val="single"/>
        </w:rPr>
        <w:t>Vacation</w:t>
      </w:r>
      <w:r>
        <w:rPr>
          <w:rFonts w:ascii="Times New Roman;serif" w:hAnsi="Times New Roman;serif"/>
          <w:b w:val="false"/>
          <w:color w:val="000000"/>
          <w:sz w:val="24"/>
        </w:rPr>
        <w:t>. The Employee will be eligible for vacation in accordance with the Company’s paid time off policies as may be in effect from time to time.</w:t>
      </w:r>
    </w:p>
    <w:p>
      <w:pPr>
        <w:pStyle w:val="TextBody"/>
        <w:bidi w:val="0"/>
        <w:spacing w:lineRule="auto" w:line="240" w:before="0" w:after="220"/>
        <w:jc w:val="both"/>
        <w:rPr/>
      </w:pPr>
      <w:r>
        <w:rPr>
          <w:rFonts w:ascii="Times New Roman;serif" w:hAnsi="Times New Roman;serif"/>
          <w:b w:val="false"/>
          <w:color w:val="000000"/>
          <w:sz w:val="24"/>
        </w:rPr>
        <w:t>3.12</w:t>
      </w:r>
      <w:r>
        <w:rPr>
          <w:rFonts w:ascii="Times New Roman;serif" w:hAnsi="Times New Roman;serif"/>
          <w:b w:val="false"/>
          <w:color w:val="000000"/>
          <w:sz w:val="24"/>
          <w:u w:val="single"/>
        </w:rPr>
        <w:t>Benefits</w:t>
      </w:r>
      <w:r>
        <w:rPr>
          <w:rFonts w:ascii="Times New Roman;serif" w:hAnsi="Times New Roman;serif"/>
          <w:b w:val="false"/>
          <w:color w:val="000000"/>
          <w:sz w:val="24"/>
        </w:rPr>
        <w:t xml:space="preserve">. The Employee will be eligible to participate in all benefit plans generally available to Employees of the Company, subject to meeting applicable eligibility requirements of such plans. The Company may amend, terminate, and/or replace such plans from time to time in its discretion. </w:t>
      </w:r>
    </w:p>
    <w:p>
      <w:pPr>
        <w:pStyle w:val="TextBody"/>
        <w:bidi w:val="0"/>
        <w:spacing w:lineRule="auto" w:line="240" w:before="0" w:after="240"/>
        <w:jc w:val="both"/>
        <w:rPr/>
      </w:pPr>
      <w:r>
        <w:rPr>
          <w:rFonts w:ascii="Times New Roman;serif" w:hAnsi="Times New Roman;serif"/>
          <w:b w:val="false"/>
          <w:color w:val="000000"/>
          <w:sz w:val="24"/>
        </w:rPr>
        <w:t>3.13</w:t>
      </w:r>
      <w:r>
        <w:rPr>
          <w:rFonts w:ascii="Times New Roman;serif" w:hAnsi="Times New Roman;serif"/>
          <w:b w:val="false"/>
          <w:color w:val="000000"/>
          <w:sz w:val="24"/>
          <w:u w:val="single"/>
        </w:rPr>
        <w:t>Sick Leave</w:t>
      </w:r>
      <w:r>
        <w:rPr>
          <w:rFonts w:ascii="Times New Roman;serif" w:hAnsi="Times New Roman;serif"/>
          <w:b w:val="false"/>
          <w:color w:val="000000"/>
          <w:sz w:val="24"/>
        </w:rPr>
        <w:t xml:space="preserve">. The Employee will be entitled to sick leave in accordance with the Company’s sick leave policy as may be in effect from time to time and applicable law. </w:t>
      </w:r>
    </w:p>
    <w:p>
      <w:pPr>
        <w:pStyle w:val="TextBody"/>
        <w:bidi w:val="0"/>
        <w:spacing w:before="0" w:after="0"/>
        <w:jc w:val="right"/>
        <w:rPr/>
      </w:pPr>
      <w:r>
        <w:rPr/>
        <w:drawing>
          <wp:inline distT="0" distB="0" distL="0" distR="0">
            <wp:extent cx="1685925" cy="647700"/>
            <wp:effectExtent l="0" t="0" r="0" b="0"/>
            <wp:docPr id="2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 descr=""/>
                    <pic:cNvPicPr>
                      <a:picLocks noChangeAspect="1" noChangeArrowheads="1"/>
                    </pic:cNvPicPr>
                  </pic:nvPicPr>
                  <pic:blipFill>
                    <a:blip r:embed="rId21"/>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16840"/>
                <wp:effectExtent l="0" t="0" r="0" b="0"/>
                <wp:wrapNone/>
                <wp:docPr id="221" name="Frame2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7 - 24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7 - 24</w:t>
                      </w:r>
                    </w:p>
                  </w:txbxContent>
                </v:textbox>
                <w10:wrap type="none"/>
              </v:rect>
            </w:pict>
          </mc:Fallback>
        </mc:AlternateContent>
      </w:r>
    </w:p>
    <w:p>
      <w:pPr>
        <w:pStyle w:val="TextBody"/>
        <w:bidi w:val="0"/>
        <w:spacing w:lineRule="auto" w:line="240" w:before="220" w:after="220"/>
        <w:jc w:val="both"/>
        <w:rPr/>
      </w:pPr>
      <w:r>
        <w:rPr>
          <w:rFonts w:ascii="Times New Roman;serif" w:hAnsi="Times New Roman;serif"/>
          <w:b/>
          <w:color w:val="000000"/>
          <w:sz w:val="24"/>
        </w:rPr>
        <w:t>Article 4</w:t>
      </w:r>
      <w:r>
        <w:rPr>
          <w:color w:val="000000"/>
        </w:rPr>
        <w:t xml:space="preserve"> – </w:t>
      </w:r>
      <w:r>
        <w:rPr>
          <w:rFonts w:ascii="Times New Roman;serif" w:hAnsi="Times New Roman;serif"/>
          <w:b/>
          <w:color w:val="000000"/>
          <w:sz w:val="24"/>
        </w:rPr>
        <w:t>TERM AND TERMINATION</w:t>
      </w:r>
    </w:p>
    <w:p>
      <w:pPr>
        <w:pStyle w:val="TextBody"/>
        <w:bidi w:val="0"/>
        <w:spacing w:lineRule="auto" w:line="240" w:before="0" w:after="24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Term</w:t>
      </w:r>
      <w:r>
        <w:rPr>
          <w:rFonts w:ascii="Times New Roman;serif" w:hAnsi="Times New Roman;serif"/>
          <w:b w:val="false"/>
          <w:color w:val="000000"/>
          <w:sz w:val="24"/>
        </w:rPr>
        <w:t>. This Agreement will commence on the Effective Date and will terminate on the effective date of termination by either the Employee or the Company in accordance with Section 4.2 of this Agreement.</w:t>
      </w:r>
    </w:p>
    <w:p>
      <w:pPr>
        <w:pStyle w:val="TextBody"/>
        <w:bidi w:val="0"/>
        <w:spacing w:lineRule="auto" w:line="240" w:before="0" w:after="24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Employment At Will</w:t>
      </w:r>
      <w:r>
        <w:rPr>
          <w:rFonts w:ascii="Times New Roman;serif" w:hAnsi="Times New Roman;serif"/>
          <w:b w:val="false"/>
          <w:color w:val="000000"/>
          <w:sz w:val="24"/>
        </w:rPr>
        <w:t xml:space="preserve">. Employment with the Company is “at-will.” This means that either the Company or the Employee may terminate the employment relationship at any time, with or without cause, with or without notice. </w:t>
      </w:r>
    </w:p>
    <w:p>
      <w:pPr>
        <w:pStyle w:val="TextBody"/>
        <w:bidi w:val="0"/>
        <w:spacing w:lineRule="auto" w:line="240" w:before="0" w:after="24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Severance upon Termination of Employment</w:t>
      </w:r>
      <w:r>
        <w:rPr>
          <w:rFonts w:ascii="Times New Roman;serif" w:hAnsi="Times New Roman;serif"/>
          <w:b w:val="false"/>
          <w:color w:val="000000"/>
          <w:sz w:val="24"/>
        </w:rPr>
        <w:t>. Although Employee is employed on an at-will basis, the Employee’s eligibility for severance payments upon termination of employment is set forth in this Section 4.3.</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i/>
          <w:color w:val="000000"/>
          <w:sz w:val="24"/>
        </w:rPr>
        <w:t>Resignation</w:t>
      </w:r>
      <w:r>
        <w:rPr>
          <w:rFonts w:ascii="Times New Roman;serif" w:hAnsi="Times New Roman;serif"/>
          <w:b w:val="false"/>
          <w:color w:val="000000"/>
          <w:sz w:val="24"/>
        </w:rPr>
        <w:t>. In the event that Employee voluntarily resigns employment, the Company will pay the Employee all wages earned through the time of termination. With the exception of reimbursement for business expenses in accordance with the Company’s policies, the Employee is not entitled to any additional compensation upon resignation of employment. The Company requests – but does not require – that the Employee provide prior written notice to Management of not less than thirty (30) days prior to resignation of employment, or such shorter period as the Employee and Management may agree. If the Employee provides 30 days’ notice as requested, the Company may choose to waive all or part of the notice period and pay to the Employee the base salary to be earned during the balance of the notice period instead.</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i/>
          <w:color w:val="000000"/>
          <w:sz w:val="24"/>
        </w:rPr>
        <w:t>Termination for Cause</w:t>
      </w:r>
      <w:r>
        <w:rPr>
          <w:rFonts w:ascii="Times New Roman;serif" w:hAnsi="Times New Roman;serif"/>
          <w:b w:val="false"/>
          <w:color w:val="000000"/>
          <w:sz w:val="24"/>
        </w:rPr>
        <w:t xml:space="preserve">. In the event that Employee’s employment is terminated for Cause, the Company will pay the Employee all wages earned through the time of termination. With the exception of reimbursement for business expenses in accordance with the Company’s policies, the Employee will not be entitled to any additional compensation of any kind. For purposes of this Agreement, “Cause” shall mean: (i) a material breach by the Employee of any of Employee’s material obligations hereunder; (ii) any act of misappropriation, embezzlement, intentional fraud or similar conduct involving the Company, Parent, or any of their respective affiliates; (iii) the conviction or the plea of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or the equivalent in respect of a criminal offense that would have a direct and specific negative bearing on Employee’s ability to perform the responsibilities of the position; (iv) the Company’s or Parent’s conclusion, following a reasonable and good-faith investigation, that Employee has violated the Company’s and/or Parent’s policies applicable to the Employee with respect to Equal Employment Opportunity or prohibition of harassment, discrimination, or retaliation; or (v) intentional infliction of any damage of a material nature to any property of the Company, Parent, or any of their respective affiliates or employees.</w:t>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i/>
          <w:color w:val="000000"/>
          <w:sz w:val="24"/>
        </w:rPr>
        <w:t>Termination Without Cause</w:t>
      </w:r>
      <w:r>
        <w:rPr>
          <w:rFonts w:ascii="Times New Roman;serif" w:hAnsi="Times New Roman;serif"/>
          <w:b w:val="false"/>
          <w:color w:val="000000"/>
          <w:sz w:val="24"/>
        </w:rPr>
        <w:t>. If the Company terminates the employment of the Employee without Cause, the Company agrees to provide the Employee with:</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(i)written notice or payment in lieu of notice to the Employee as follows: </w:t>
      </w:r>
    </w:p>
    <w:p>
      <w:pPr>
        <w:pStyle w:val="TextBody"/>
        <w:bidi w:val="0"/>
        <w:spacing w:before="0" w:after="0"/>
        <w:jc w:val="right"/>
        <w:rPr/>
      </w:pPr>
      <w:r>
        <w:rPr/>
        <w:drawing>
          <wp:inline distT="0" distB="0" distL="0" distR="0">
            <wp:extent cx="1685925" cy="647700"/>
            <wp:effectExtent l="0" t="0" r="0" b="0"/>
            <wp:docPr id="2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0" descr=""/>
                    <pic:cNvPicPr>
                      <a:picLocks noChangeAspect="1" noChangeArrowheads="1"/>
                    </pic:cNvPicPr>
                  </pic:nvPicPr>
                  <pic:blipFill>
                    <a:blip r:embed="rId22"/>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16840"/>
                <wp:effectExtent l="0" t="0" r="0" b="0"/>
                <wp:wrapNone/>
                <wp:docPr id="223" name="Frame2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8 - 24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8 - 24</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A.twelve (12) months of notice or the equivalent of twelve (12) months of base salary as of the date notice is given, or any combination thereof that totals twelve (12) months of combined notice and base salary, if termination of employment occurs during the first three years of employment measured from the Start Date (with any base salary equivalent payable over twelve (12) months);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B.commencing in the fourth year of employment measured from the Start Date, an additional one (1) month of notice or the equivalent of one (1) month of base salary as of the date notice is given, or any combination thereof, for each additional completed year of service, up to a total maximum of eighteen (18) months (payable over eighteen (18) months);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(ii)continuation of group extended health and dental benefits through the applicable notice period stated in Section 4.3(c) herein, which may be provided by the Company paying for or reimbursing the Employee’s COBRA premium costs for continuation coverage (where all other benefits terminate on the last day worked by the Employee) and further subject to Section 4.7 of this Agreement.</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rFonts w:ascii="Times New Roman;serif" w:hAnsi="Times New Roman;serif"/>
          <w:b w:val="false"/>
          <w:i/>
          <w:color w:val="000000"/>
          <w:sz w:val="24"/>
        </w:rPr>
        <w:t>Termination following Change of Control</w:t>
      </w:r>
      <w:r>
        <w:rPr>
          <w:rFonts w:ascii="Times New Roman;serif" w:hAnsi="Times New Roman;serif"/>
          <w:b w:val="false"/>
          <w:color w:val="000000"/>
          <w:sz w:val="24"/>
        </w:rPr>
        <w:t xml:space="preserve">. Notwithstanding any other provision in this Agreement, if within twelve (12) months following a Change of Control of the Company (as defined below), the Employee’s employment is terminated by the Company without Cause, the Employee shall receive (x) as severance, payment equal to eighteen (18) months of base salary as of the date of termination (with the severance payable over eighteen (18) months, or to the extent available under Section 409A of the Internal Revenue Code, paid sooner, at the sole discretion of the Company), (y) continuation of group extended health and dental benefits provided by the Company paying for the Employee’s premium costs for COBRA continuation coverage for up to eighteen (18) months following the Employee’s termination date, provided that the Employee timely elects and remains eligible for COBRA continuation coverage, and further subject to Section 4.5 of this Agreement, and (z) full vesting acceleration of all unvested and outstanding stock options or other Company or Parent unvested and outstanding equity grants made to the Employee as of the date of termination. For all purposes of this Agreement, “Change of Control” means: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(i)the acquisition, directly or indirectly, by any person or group of persons acting jointly or in concert, of common shares of Parent which, when added to all other common shares of Parent at the time held directly or indirectly by such person or persons acting jointly or in concert constitutes for the first time in the aggregate 40% of more of the outstanding common shares of Parent and such shareholding exceeds the collective shareholding of the current directors of Parent, excluding any directors acting in concert with the acquiring party;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removal, by extraordinary resolution of the shareholders of Parent, of more than 51% of the then incumbent Board of Parent, or the election of a majority of Board members to Parent’s board who were not nominees </w:t>
      </w:r>
    </w:p>
    <w:p>
      <w:pPr>
        <w:pStyle w:val="TextBody"/>
        <w:bidi w:val="0"/>
        <w:spacing w:before="0" w:after="0"/>
        <w:jc w:val="right"/>
        <w:rPr/>
      </w:pPr>
      <w:r>
        <w:rPr/>
        <w:drawing>
          <wp:inline distT="0" distB="0" distL="0" distR="0">
            <wp:extent cx="1685925" cy="647700"/>
            <wp:effectExtent l="0" t="0" r="0" b="0"/>
            <wp:docPr id="2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 descr=""/>
                    <pic:cNvPicPr>
                      <a:picLocks noChangeAspect="1" noChangeArrowheads="1"/>
                    </pic:cNvPicPr>
                  </pic:nvPicPr>
                  <pic:blipFill>
                    <a:blip r:embed="rId23"/>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16840"/>
                <wp:effectExtent l="0" t="0" r="0" b="0"/>
                <wp:wrapNone/>
                <wp:docPr id="225" name="Frame2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9 - 24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9 - 24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of Parent’s incumbent board at the time immediately preceding such election;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(iii)consummation of a sale of all or substantially all of the assets of Parent;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(iv)the consummation of a reorganization, plan of arrangement, merger, or other transaction which has substantially the same effect as to above.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under Section 4.3(d) herein will be in lieu of and not in addition to payment under Section 4.3(c).</w:t>
      </w:r>
    </w:p>
    <w:p>
      <w:pPr>
        <w:pStyle w:val="TextBody"/>
        <w:bidi w:val="0"/>
        <w:spacing w:lineRule="auto" w:line="240" w:before="0" w:after="240"/>
        <w:ind w:left="0" w:right="0" w:hanging="720"/>
        <w:jc w:val="both"/>
        <w:rPr/>
      </w:pPr>
      <w:r>
        <w:rPr>
          <w:rFonts w:ascii="Times New Roman;serif" w:hAnsi="Times New Roman;serif"/>
          <w:b w:val="false"/>
          <w:color w:val="000000"/>
          <w:sz w:val="24"/>
        </w:rPr>
        <w:t>(e)</w:t>
      </w:r>
      <w:r>
        <w:rPr>
          <w:rFonts w:ascii="Times New Roman;serif" w:hAnsi="Times New Roman;serif"/>
          <w:b w:val="false"/>
          <w:i/>
          <w:color w:val="000000"/>
          <w:sz w:val="24"/>
        </w:rPr>
        <w:t>Severance Pay Timing</w:t>
      </w:r>
      <w:r>
        <w:rPr>
          <w:rFonts w:ascii="Times New Roman;serif" w:hAnsi="Times New Roman;serif"/>
          <w:b w:val="false"/>
          <w:color w:val="000000"/>
          <w:sz w:val="24"/>
        </w:rPr>
        <w:t xml:space="preserve">. Payments of any severance under Section 4.3(c) or Section 4.3(d) will be paid, or, in the case of installments will commence, on the first Company payroll date following the effective date of the Release (as defined below), provided that if the timeframe for executing the Release as set forth in the Release (which timeframe shall not exceed a 60-day period following termination of employment) spans two calendar years, any severance payments or benefits that qualify as “nonqualified deferred compensation” (as described in Section 9.9 of this Agreement), will not be paid or otherwise commence until no earlier than January 1 of the second calendar year, and subject to any delay under Section 9.9 of this Agreement. For purposes of compliance with Section 409A of the Internal Revenue Code (described more thoroughly in Section 9.9 of this Agreement), each severance benefit payment under Section 4.3(c) or Section 4.3(d) will be treated as a separate payment, and the right to a series of installment payments under this Agreement will be treated as a right to a series of separate payments. </w:t>
      </w:r>
    </w:p>
    <w:p>
      <w:pPr>
        <w:pStyle w:val="TextBody"/>
        <w:bidi w:val="0"/>
        <w:spacing w:lineRule="auto" w:line="240" w:before="0" w:after="24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Equity Awards on Termination</w:t>
      </w:r>
      <w:r>
        <w:rPr>
          <w:rFonts w:ascii="Times New Roman;serif" w:hAnsi="Times New Roman;serif"/>
          <w:b w:val="false"/>
          <w:color w:val="000000"/>
          <w:sz w:val="24"/>
        </w:rPr>
        <w:t>. Except as provided by Section 4.3(d), the vesting and exercise of any outstanding equity award granted to the Employee in the event the Employee’s employment with the Company or this Agreement terminates, for any reason, shall be governed by the terms of the applicable Equity Compensation Plan and any applicable award agreement in effect between the Company and the Employee at the time of termination.</w:t>
      </w:r>
    </w:p>
    <w:p>
      <w:pPr>
        <w:pStyle w:val="TextBody"/>
        <w:bidi w:val="0"/>
        <w:spacing w:lineRule="auto" w:line="240" w:before="0" w:after="24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Benefits Continuation and No Mitigation</w:t>
      </w:r>
      <w:r>
        <w:rPr>
          <w:rFonts w:ascii="Times New Roman;serif" w:hAnsi="Times New Roman;serif"/>
          <w:b w:val="false"/>
          <w:color w:val="000000"/>
          <w:sz w:val="24"/>
        </w:rPr>
        <w:t>. The Employee shall not be required to mitigate the amount of any payments provided for in this Article 4 by seeking other employment or otherwise, nor shall the amount of any payment provided for in this Article 4 be reduced by any compensation earned by the Employee as the result of employment by another employer after the date of termination, or otherwise. Notwithstanding the forgoing, the Employee is required to report to the Company if Employee obtains replacement benefits coverage through new employment during any period of group extended health and dental benefits continuation contemplated by this Article 4, and such benefits coverage by the Company will cease effective the date the Employee receives such new coverage and the Employee will not be entitled to any payment in respect of such benefits coverage from the Company in respect of any notice period or severance payment contemplated in this Article 4.</w:t>
      </w:r>
    </w:p>
    <w:p>
      <w:pPr>
        <w:pStyle w:val="TextBody"/>
        <w:bidi w:val="0"/>
        <w:spacing w:lineRule="auto" w:line="240" w:before="0" w:after="24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No Additional Payments</w:t>
      </w:r>
      <w:r>
        <w:rPr>
          <w:rFonts w:ascii="Times New Roman;serif" w:hAnsi="Times New Roman;serif"/>
          <w:b w:val="false"/>
          <w:color w:val="000000"/>
          <w:sz w:val="24"/>
        </w:rPr>
        <w:t xml:space="preserve">. Payment of severance, if any, in accordance with Section 4.3(c) or Section 4.3(d) above, to the Employee by the Company will be full and adequate compensation to the Employee with respect to any claim relating to the Employee’s employment or termination or manner of termination of the Employee’s employment, and the </w:t>
      </w:r>
    </w:p>
    <w:p>
      <w:pPr>
        <w:pStyle w:val="TextBody"/>
        <w:bidi w:val="0"/>
        <w:spacing w:before="0" w:after="0"/>
        <w:jc w:val="right"/>
        <w:rPr/>
      </w:pPr>
      <w:r>
        <w:rPr/>
        <w:drawing>
          <wp:inline distT="0" distB="0" distL="0" distR="0">
            <wp:extent cx="1685925" cy="647700"/>
            <wp:effectExtent l="0" t="0" r="0" b="0"/>
            <wp:docPr id="2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2" descr=""/>
                    <pic:cNvPicPr>
                      <a:picLocks noChangeAspect="1" noChangeArrowheads="1"/>
                    </pic:cNvPicPr>
                  </pic:nvPicPr>
                  <pic:blipFill>
                    <a:blip r:embed="rId24"/>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16840"/>
                <wp:effectExtent l="0" t="0" r="0" b="0"/>
                <wp:wrapNone/>
                <wp:docPr id="227" name="Frame2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10 - 24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10 - 24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Employee waives any right that Employee may have to claim further payment, compensation or damages from the Company.</w:t>
      </w:r>
    </w:p>
    <w:p>
      <w:pPr>
        <w:pStyle w:val="TextBody"/>
        <w:bidi w:val="0"/>
        <w:spacing w:lineRule="auto" w:line="240" w:before="0" w:after="24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Condition to Payment</w:t>
      </w:r>
      <w:r>
        <w:rPr>
          <w:rFonts w:ascii="Times New Roman;serif" w:hAnsi="Times New Roman;serif"/>
          <w:b w:val="false"/>
          <w:color w:val="000000"/>
          <w:sz w:val="24"/>
        </w:rPr>
        <w:t>. Payment of any amount of severance under this Agreement to the Employee is conditional upon execution by the Employee of a separation agreement and general release of all claims on a form provided by the Company (the “Release”) within the timeframe set forth in the Release (which timeframe shall not exceed a 60-day period following termination of employment).</w:t>
      </w:r>
    </w:p>
    <w:p>
      <w:pPr>
        <w:pStyle w:val="TextBody"/>
        <w:bidi w:val="0"/>
        <w:spacing w:lineRule="auto" w:line="240" w:before="0" w:after="2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Survival</w:t>
      </w:r>
      <w:r>
        <w:rPr>
          <w:rFonts w:ascii="Times New Roman;serif" w:hAnsi="Times New Roman;serif"/>
          <w:b w:val="false"/>
          <w:color w:val="000000"/>
          <w:sz w:val="24"/>
        </w:rPr>
        <w:t>. Upon a termination of this Agreement for any reason, the Employee will continue to be bound by the provisions of Article 4, Article 5, Article 6, Article 7, Article 8, and Section 9.10.</w:t>
      </w:r>
    </w:p>
    <w:p>
      <w:pPr>
        <w:pStyle w:val="TextBody"/>
        <w:bidi w:val="0"/>
        <w:spacing w:lineRule="auto" w:line="240" w:before="220" w:after="220"/>
        <w:jc w:val="both"/>
        <w:rPr/>
      </w:pPr>
      <w:r>
        <w:rPr>
          <w:rFonts w:ascii="Times New Roman;serif" w:hAnsi="Times New Roman;serif"/>
          <w:b/>
          <w:color w:val="000000"/>
          <w:sz w:val="24"/>
        </w:rPr>
        <w:t>Article 5</w:t>
      </w:r>
      <w:r>
        <w:rPr>
          <w:color w:val="000000"/>
        </w:rPr>
        <w:t xml:space="preserve"> – </w:t>
      </w:r>
      <w:r>
        <w:rPr>
          <w:rFonts w:ascii="Times New Roman;serif" w:hAnsi="Times New Roman;serif"/>
          <w:b/>
          <w:color w:val="000000"/>
          <w:sz w:val="24"/>
        </w:rPr>
        <w:t>CONFIDENTIALITY</w:t>
      </w:r>
    </w:p>
    <w:p>
      <w:pPr>
        <w:pStyle w:val="TextBody"/>
        <w:bidi w:val="0"/>
        <w:spacing w:lineRule="auto" w:line="240" w:before="0" w:after="22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w:t>
      </w:r>
    </w:p>
    <w:p>
      <w:pPr>
        <w:pStyle w:val="TextBody"/>
        <w:bidi w:val="0"/>
        <w:spacing w:lineRule="auto" w:line="240" w:before="0" w:after="220"/>
        <w:ind w:left="0" w:right="0" w:hanging="720"/>
        <w:jc w:val="both"/>
        <w:rPr/>
      </w:pPr>
      <w:r>
        <w:rPr>
          <w:rFonts w:ascii="Times New Roman;serif" w:hAnsi="Times New Roman;serif"/>
          <w:b w:val="false"/>
          <w:color w:val="000000"/>
          <w:sz w:val="24"/>
        </w:rPr>
        <w:t>(a)</w:t>
      </w:r>
      <w:r>
        <w:rPr>
          <w:rFonts w:ascii="Times New Roman;serif" w:hAnsi="Times New Roman;serif"/>
          <w:b w:val="false"/>
          <w:i/>
          <w:color w:val="000000"/>
          <w:sz w:val="24"/>
        </w:rPr>
        <w:t>Ownership of Confidential Information</w:t>
      </w:r>
      <w:r>
        <w:rPr>
          <w:color w:val="000000"/>
        </w:rPr>
        <w:t xml:space="preserve"> </w:t>
      </w:r>
      <w:r>
        <w:rPr>
          <w:rFonts w:ascii="Times New Roman;serif" w:hAnsi="Times New Roman;serif"/>
          <w:b w:val="false"/>
          <w:color w:val="000000"/>
          <w:sz w:val="24"/>
        </w:rPr>
        <w:t>- The Employee acknowledges that the Confidential Information is and will be the sole and exclusive property of the Company and/or Parent. The Company has a legitimate business interest in protecting its Confidential Information, including its trade secrets, as well as its substantial and ongoing customer, industry, and employee relationships. The Employee acknowledges that the Employee has not, and will not, acquire any right, title or interest in or to any of the Confidential Information.</w:t>
      </w:r>
    </w:p>
    <w:p>
      <w:pPr>
        <w:pStyle w:val="TextBody"/>
        <w:bidi w:val="0"/>
        <w:spacing w:lineRule="auto" w:line="240" w:before="0" w:after="220"/>
        <w:ind w:left="0" w:right="0" w:hanging="720"/>
        <w:jc w:val="both"/>
        <w:rPr/>
      </w:pPr>
      <w:r>
        <w:rPr>
          <w:rFonts w:ascii="Times New Roman;serif" w:hAnsi="Times New Roman;serif"/>
          <w:b w:val="false"/>
          <w:color w:val="000000"/>
          <w:sz w:val="24"/>
        </w:rPr>
        <w:t>(b)</w:t>
      </w:r>
      <w:r>
        <w:rPr>
          <w:rFonts w:ascii="Times New Roman;serif" w:hAnsi="Times New Roman;serif"/>
          <w:b w:val="false"/>
          <w:i/>
          <w:color w:val="000000"/>
          <w:sz w:val="24"/>
        </w:rPr>
        <w:t>Non-Disclosure, Use and Reproduction of Confidential Information</w:t>
      </w:r>
      <w:r>
        <w:rPr>
          <w:color w:val="000000"/>
        </w:rPr>
        <w:t xml:space="preserve"> </w:t>
      </w:r>
      <w:r>
        <w:rPr>
          <w:rFonts w:ascii="Times New Roman;serif" w:hAnsi="Times New Roman;serif"/>
          <w:b w:val="false"/>
          <w:color w:val="000000"/>
          <w:sz w:val="24"/>
        </w:rPr>
        <w:t>- The Company and its related entities, parents, subsidiaries, predecessors, successors, and affiliates, may provide and make available to the Employee certain Confidential Information regarding its business. This Confidential Information is of substantial value and highly confidential, is not known to the general public, is the subject of the Company’s reasonable efforts to maintain its secrecy, includes professional and trade secrets, and is being provided and disclosed to the Employee solely for use in connection with and during the Employee’s employment with the Company. The Employee will keep all the Confidential Information strictly confidential, and will not, either directly or indirectly, either during or subsequent to employment with the Company, disclose, allow access to, transmit, transfer, use or reproduce any of the Confidential Information in any manner except (A) as required to perform the duties of the Employee for the Company and in accordance with all procedures established by the Company for the protection of the Confidential Information or (B) as expressly provided herein. Without limiting the foregoing, the Employee:</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(i)will ensure that all the Confidential Information and all copies thereof, are clearly marked, or otherwise identified as confidential to the Company and proprietary to the person or entity that first provided the Confidential Information, and are stored in a secure place while in the Employee’s possession, custody, charge or control;</w:t>
      </w:r>
    </w:p>
    <w:p>
      <w:pPr>
        <w:pStyle w:val="TextBody"/>
        <w:bidi w:val="0"/>
        <w:spacing w:before="0" w:after="0"/>
        <w:jc w:val="right"/>
        <w:rPr/>
      </w:pPr>
      <w:r>
        <w:rPr/>
        <w:drawing>
          <wp:inline distT="0" distB="0" distL="0" distR="0">
            <wp:extent cx="1685925" cy="647700"/>
            <wp:effectExtent l="0" t="0" r="0" b="0"/>
            <wp:docPr id="2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3" descr=""/>
                    <pic:cNvPicPr>
                      <a:picLocks noChangeAspect="1" noChangeArrowheads="1"/>
                    </pic:cNvPicPr>
                  </pic:nvPicPr>
                  <pic:blipFill>
                    <a:blip r:embed="rId25"/>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16840"/>
                <wp:effectExtent l="0" t="0" r="0" b="0"/>
                <wp:wrapNone/>
                <wp:docPr id="229" name="Frame2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11 - 24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11 - 24</w:t>
                      </w:r>
                    </w:p>
                  </w:txbxContent>
                </v:textbox>
                <w10:wrap type="none"/>
              </v:rect>
            </w:pict>
          </mc:Fallback>
        </mc:AlternateConten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(ii)will not, either directly or indirectly, disclose, allow access to, transmit or transfer any of the Confidential Information to any person other than (A) to an employee, officer, or director of the Company on a “need to know” basis for the benefit of the Company, without the prior written authorization of Management or (B) as expressly provided herein; and</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(iii)will not, except as required by the Employee’s position or as expressly provided herein, use any of the Confidential Information to create, maintain or market any product or service which is competitive with any product or service produced, marketed, licensed, sold or otherwise dealt in by the Company, or assist any other person to do so.</w:t>
      </w:r>
    </w:p>
    <w:p>
      <w:pPr>
        <w:pStyle w:val="TextBody"/>
        <w:bidi w:val="0"/>
        <w:spacing w:lineRule="auto" w:line="240" w:before="0" w:after="220"/>
        <w:ind w:left="0" w:right="0" w:hanging="720"/>
        <w:jc w:val="both"/>
        <w:rPr/>
      </w:pPr>
      <w:r>
        <w:rPr>
          <w:rFonts w:ascii="Times New Roman;serif" w:hAnsi="Times New Roman;serif"/>
          <w:b w:val="false"/>
          <w:color w:val="000000"/>
          <w:sz w:val="24"/>
        </w:rPr>
        <w:t>(c)</w:t>
      </w:r>
      <w:r>
        <w:rPr>
          <w:rFonts w:ascii="Times New Roman;serif" w:hAnsi="Times New Roman;serif"/>
          <w:b w:val="false"/>
          <w:i/>
          <w:color w:val="000000"/>
          <w:sz w:val="24"/>
        </w:rPr>
        <w:t>Legally Required Disclosure</w:t>
      </w:r>
      <w:r>
        <w:rPr>
          <w:color w:val="000000"/>
        </w:rPr>
        <w:t xml:space="preserve"> </w:t>
      </w:r>
      <w:r>
        <w:rPr>
          <w:rFonts w:ascii="Times New Roman;serif" w:hAnsi="Times New Roman;serif"/>
          <w:b w:val="false"/>
          <w:color w:val="000000"/>
          <w:sz w:val="24"/>
        </w:rPr>
        <w:t xml:space="preserve">- Nothing in this Agreement prohibits the Employee from filing and/or pursuing a charge or complaint with, reporting possible violations of law or regulation to, or otherwise communicating or cooperating with or participating in any investigation or proceeding of any governmental agency or entity, including but not limited to the Department of Justice, the Securities and Exchange Commission, the Congress, and any agency Inspector General, or making other disclosures or engaging in other activities that are protected under the whistleblower provisions of local, state, or federal law or regulation, including disclosing documents or other information as permitted by law. Nothing in this Agreement prohibits the Employee from speaking with law enforcement, the Equal Employment Opportunity Commission, the state division of human rights, a local commission on human rights, or an attorney retained by the Employee. The Employee does not need the prior authorization of the Company to make any such reports or disclosures, and the Employee is not required to notify the Company that Employee has made such reports or disclosures. However, in making any such disclosures or communications, the Employee must take all reasonable precautions to prevent any unauthorized use or disclosure of any Confidential Information to or by any parties other than the applicable government agencies and/or an attorney retained by the Employee. The Employee further understands that the Employee is not permitted to disclose the Company’s attorney-client privileged communication or attorney work product. Nothing in this Agreement limits the Employee’s rights to discuss the terms and conditions of employment or the Employee’s wages, or to infringe upon the Employee’s rights under the National Labor Relations Act, the Defend Trade Secrets Act (“DTSA”) and applicable state law. The Employee is hereby notified that the DTSA protects individuals from criminal or civil liability where the disclosure of a trade secret is made: </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(i)in confidence to a Federal, State, or local government official, either directly or indirectly, or to an attorney, and the confidential disclosure is made solely for the purpose of reporting or investigating a suspected violation of law; and </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(ii)the trade secret disclosure is made in a complaint or other document filed in a lawsuit or other proceeding, and the disclosure is made under seal.</w: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 xml:space="preserve">Nothing in this Agreement restricts or impedes the Employee from exercising protected rights to the extent that such rights cannot be waived by agreement or </w:t>
      </w:r>
    </w:p>
    <w:p>
      <w:pPr>
        <w:pStyle w:val="TextBody"/>
        <w:bidi w:val="0"/>
        <w:spacing w:before="0" w:after="0"/>
        <w:jc w:val="right"/>
        <w:rPr/>
      </w:pPr>
      <w:r>
        <w:rPr/>
        <w:drawing>
          <wp:inline distT="0" distB="0" distL="0" distR="0">
            <wp:extent cx="1685925" cy="647700"/>
            <wp:effectExtent l="0" t="0" r="0" b="0"/>
            <wp:docPr id="2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4" descr=""/>
                    <pic:cNvPicPr>
                      <a:picLocks noChangeAspect="1" noChangeArrowheads="1"/>
                    </pic:cNvPicPr>
                  </pic:nvPicPr>
                  <pic:blipFill>
                    <a:blip r:embed="rId26"/>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16840"/>
                <wp:effectExtent l="0" t="0" r="0" b="0"/>
                <wp:wrapNone/>
                <wp:docPr id="231" name="Frame2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12 - 24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12 - 24</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 xml:space="preserve">from complying with any applicable law or regulation or a valid order of a court of competent jurisdiction or an authorized government agency, provided that such compliance does not exceed that required by the law, regulation, or court order. The Employee shall promptly provide written notice of any such court order to the Head of Global Human Resources and the Head of Legal of the Company and/or Parent, as applicable. </w:t>
      </w:r>
    </w:p>
    <w:p>
      <w:pPr>
        <w:pStyle w:val="TextBody"/>
        <w:bidi w:val="0"/>
        <w:spacing w:lineRule="auto" w:line="240" w:before="0" w:after="220"/>
        <w:ind w:left="0" w:right="0" w:hanging="720"/>
        <w:jc w:val="both"/>
        <w:rPr/>
      </w:pPr>
      <w:r>
        <w:rPr>
          <w:rFonts w:ascii="Times New Roman;serif" w:hAnsi="Times New Roman;serif"/>
          <w:b w:val="false"/>
          <w:color w:val="000000"/>
          <w:sz w:val="24"/>
        </w:rPr>
        <w:t>(d)</w:t>
      </w:r>
      <w:r>
        <w:rPr>
          <w:rFonts w:ascii="Times New Roman;serif" w:hAnsi="Times New Roman;serif"/>
          <w:b w:val="false"/>
          <w:i/>
          <w:color w:val="000000"/>
          <w:sz w:val="24"/>
        </w:rPr>
        <w:t>Return of Materials, Equipment and Confidential Information</w:t>
      </w:r>
      <w:r>
        <w:rPr>
          <w:color w:val="000000"/>
        </w:rPr>
        <w:t xml:space="preserve"> </w:t>
      </w:r>
      <w:r>
        <w:rPr>
          <w:rFonts w:ascii="Times New Roman;serif" w:hAnsi="Times New Roman;serif"/>
          <w:b w:val="false"/>
          <w:color w:val="000000"/>
          <w:sz w:val="24"/>
        </w:rPr>
        <w:t>- Upon request by the Company, and in any event when the Employee leaves the employ of the Company, the Employee will immediately return to the Company all the Confidential Information and all other materials, computer programs, documents, memoranda, notes, papers, reports, lists, manuals, specifications, designs, devices, drawings, notebooks, correspondence, equipment, keys, pass cards, and property, and all copies thereof, in any medium, in the Employee’s possession, charge, control or custody, which are owned by, or relate in any way to the Business or affairs of the Company, Parent, and/or any of their respective affiliates.</w:t>
      </w:r>
    </w:p>
    <w:p>
      <w:pPr>
        <w:pStyle w:val="TextBody"/>
        <w:bidi w:val="0"/>
        <w:spacing w:lineRule="auto" w:line="240" w:before="0" w:after="220"/>
        <w:ind w:left="0" w:right="0" w:hanging="720"/>
        <w:jc w:val="both"/>
        <w:rPr/>
      </w:pPr>
      <w:r>
        <w:rPr>
          <w:rFonts w:ascii="Times New Roman;serif" w:hAnsi="Times New Roman;serif"/>
          <w:b w:val="false"/>
          <w:color w:val="000000"/>
          <w:sz w:val="24"/>
        </w:rPr>
        <w:t>(e)</w:t>
      </w:r>
      <w:r>
        <w:rPr>
          <w:rFonts w:ascii="Times New Roman;serif" w:hAnsi="Times New Roman;serif"/>
          <w:b w:val="false"/>
          <w:i/>
          <w:color w:val="000000"/>
          <w:sz w:val="24"/>
        </w:rPr>
        <w:t xml:space="preserve">Exceptions </w:t>
      </w:r>
      <w:r>
        <w:rPr>
          <w:rFonts w:ascii="Times New Roman;serif" w:hAnsi="Times New Roman;serif"/>
          <w:b w:val="false"/>
          <w:color w:val="000000"/>
          <w:sz w:val="24"/>
        </w:rPr>
        <w:t>- The non-disclosure obligations of Employee under this Agreement shall not apply to Confidential Information which the Employee can establish:</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(i)is, or becomes, readily available to the public other than through a breach of this Agreement;</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(ii)is disclosed, lawfully and not in breach of any contractual or other legal obligation, to Employee by a third party; or</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(iii)through written records, was known to Employee, prior to the date of first disclosure of the Confidential Information to Employee by the Company.</w:t>
      </w:r>
    </w:p>
    <w:p>
      <w:pPr>
        <w:pStyle w:val="TextBody"/>
        <w:bidi w:val="0"/>
        <w:spacing w:lineRule="auto" w:line="240" w:before="0" w:after="22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Ownership of Developments</w:t>
      </w:r>
    </w:p>
    <w:p>
      <w:pPr>
        <w:pStyle w:val="TextBody"/>
        <w:bidi w:val="0"/>
        <w:spacing w:lineRule="auto" w:line="240" w:before="0" w:after="220"/>
        <w:ind w:left="0" w:right="0" w:hanging="720"/>
        <w:jc w:val="both"/>
        <w:rPr/>
      </w:pPr>
      <w:r>
        <w:rPr>
          <w:rFonts w:ascii="Times New Roman;serif" w:hAnsi="Times New Roman;serif"/>
          <w:b w:val="false"/>
          <w:color w:val="000000"/>
          <w:sz w:val="24"/>
        </w:rPr>
        <w:t>(a)</w:t>
      </w:r>
      <w:r>
        <w:rPr>
          <w:rFonts w:ascii="Times New Roman;serif" w:hAnsi="Times New Roman;serif"/>
          <w:b w:val="false"/>
          <w:i/>
          <w:color w:val="000000"/>
          <w:sz w:val="24"/>
        </w:rPr>
        <w:t>Acknowledgment of Company Ownership</w:t>
      </w:r>
      <w:r>
        <w:rPr>
          <w:color w:val="000000"/>
        </w:rPr>
        <w:t xml:space="preserve"> </w:t>
      </w:r>
      <w:r>
        <w:rPr>
          <w:rFonts w:ascii="Times New Roman;serif" w:hAnsi="Times New Roman;serif"/>
          <w:b w:val="false"/>
          <w:color w:val="000000"/>
          <w:sz w:val="24"/>
        </w:rPr>
        <w:t xml:space="preserve">- The Employee acknowledges that the Company will be the exclusive owner of all the Developments made during the term of the Employee’s employment by the Company except Excluded Developments and to all intellectual property rights in and to such Developments. The Employee hereby assigns all right, title and interest in and to such Developments and their associated intellectual property rights throughout the world and universe to the Company, including without limitation, all trade secrets, patent rights and the right to claim priority to patent applications arising from such Developments, copyrights, mask works, industrial designs and any other intellectual property rights in and to each such Development, effective at the time each is created. Further, the Employee irrevocably waives, and agrees to waive, all moral rights the Employee may have in such Developments. </w:t>
      </w:r>
    </w:p>
    <w:p>
      <w:pPr>
        <w:pStyle w:val="TextBody"/>
        <w:bidi w:val="0"/>
        <w:spacing w:lineRule="auto" w:line="240" w:before="0" w:after="220"/>
        <w:ind w:left="0" w:right="0" w:hanging="720"/>
        <w:jc w:val="both"/>
        <w:rPr/>
      </w:pPr>
      <w:r>
        <w:rPr>
          <w:rFonts w:ascii="Times New Roman;serif" w:hAnsi="Times New Roman;serif"/>
          <w:b w:val="false"/>
          <w:color w:val="000000"/>
          <w:sz w:val="24"/>
        </w:rPr>
        <w:t>(b)</w:t>
      </w:r>
      <w:r>
        <w:rPr>
          <w:rFonts w:ascii="Times New Roman;serif" w:hAnsi="Times New Roman;serif"/>
          <w:b w:val="false"/>
          <w:i/>
          <w:color w:val="000000"/>
          <w:sz w:val="24"/>
        </w:rPr>
        <w:t>Excluded Developments and Prior Developments</w:t>
      </w:r>
      <w:r>
        <w:rPr>
          <w:color w:val="000000"/>
        </w:rPr>
        <w:t xml:space="preserve"> </w:t>
      </w:r>
      <w:r>
        <w:rPr>
          <w:rFonts w:ascii="Times New Roman;serif" w:hAnsi="Times New Roman;serif"/>
          <w:b w:val="false"/>
          <w:color w:val="000000"/>
          <w:sz w:val="24"/>
        </w:rPr>
        <w:t>- The Company acknowledges that it will not own any Excluded Developments or Prior Developments.</w:t>
      </w:r>
    </w:p>
    <w:p>
      <w:pPr>
        <w:pStyle w:val="TextBody"/>
        <w:bidi w:val="0"/>
        <w:spacing w:before="0" w:after="0"/>
        <w:jc w:val="right"/>
        <w:rPr/>
      </w:pPr>
      <w:r>
        <w:rPr/>
        <w:drawing>
          <wp:inline distT="0" distB="0" distL="0" distR="0">
            <wp:extent cx="1685925" cy="647700"/>
            <wp:effectExtent l="0" t="0" r="0" b="0"/>
            <wp:docPr id="2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5" descr=""/>
                    <pic:cNvPicPr>
                      <a:picLocks noChangeAspect="1" noChangeArrowheads="1"/>
                    </pic:cNvPicPr>
                  </pic:nvPicPr>
                  <pic:blipFill>
                    <a:blip r:embed="rId27"/>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16840"/>
                <wp:effectExtent l="0" t="0" r="0" b="0"/>
                <wp:wrapNone/>
                <wp:docPr id="233" name="Frame2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13 - 24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13 - 24</w:t>
                      </w:r>
                    </w:p>
                  </w:txbxContent>
                </v:textbox>
                <w10:wrap type="none"/>
              </v:rect>
            </w:pict>
          </mc:Fallback>
        </mc:AlternateContent>
      </w:r>
    </w:p>
    <w:p>
      <w:pPr>
        <w:pStyle w:val="TextBody"/>
        <w:bidi w:val="0"/>
        <w:spacing w:lineRule="auto" w:line="240" w:before="0" w:after="220"/>
        <w:ind w:left="0" w:right="0" w:hanging="720"/>
        <w:jc w:val="both"/>
        <w:rPr/>
      </w:pPr>
      <w:r>
        <w:rPr>
          <w:rFonts w:ascii="Times New Roman;serif" w:hAnsi="Times New Roman;serif"/>
          <w:b w:val="false"/>
          <w:color w:val="000000"/>
          <w:sz w:val="24"/>
        </w:rPr>
        <w:t>(c)</w:t>
      </w:r>
      <w:r>
        <w:rPr>
          <w:rFonts w:ascii="Times New Roman;serif" w:hAnsi="Times New Roman;serif"/>
          <w:b w:val="false"/>
          <w:i/>
          <w:color w:val="000000"/>
          <w:sz w:val="24"/>
        </w:rPr>
        <w:t>Disclosure of Developments</w:t>
      </w:r>
      <w:r>
        <w:rPr>
          <w:color w:val="000000"/>
        </w:rPr>
        <w:t xml:space="preserve"> </w:t>
      </w:r>
      <w:r>
        <w:rPr>
          <w:rFonts w:ascii="Times New Roman;serif" w:hAnsi="Times New Roman;serif"/>
          <w:b w:val="false"/>
          <w:color w:val="000000"/>
          <w:sz w:val="24"/>
        </w:rPr>
        <w:t>- To avoid any disputes over the ownership of Developments, the Employee will provide the Company with a general written description of any of the Developments the Employee believes the Company does not own because they are Excluded Developments or Prior Developments. Thereafter, the Employee agrees to make full and prompt disclosure to the Company of all Developments, including, without limitation, Excluded Developments, made during the term of the Employee’s employment with the Company. The Company will hold any information it receives regarding Excluded Developments and Prior Developments in confidence.</w:t>
      </w:r>
    </w:p>
    <w:p>
      <w:pPr>
        <w:pStyle w:val="TextBody"/>
        <w:bidi w:val="0"/>
        <w:spacing w:lineRule="auto" w:line="240" w:before="0" w:after="220"/>
        <w:ind w:left="0" w:right="0" w:hanging="720"/>
        <w:jc w:val="both"/>
        <w:rPr/>
      </w:pPr>
      <w:r>
        <w:rPr>
          <w:rFonts w:ascii="Times New Roman;serif" w:hAnsi="Times New Roman;serif"/>
          <w:b w:val="false"/>
          <w:color w:val="000000"/>
          <w:sz w:val="24"/>
        </w:rPr>
        <w:t>(d)</w:t>
      </w:r>
      <w:r>
        <w:rPr>
          <w:rFonts w:ascii="Times New Roman;serif" w:hAnsi="Times New Roman;serif"/>
          <w:b w:val="false"/>
          <w:i/>
          <w:color w:val="000000"/>
          <w:sz w:val="24"/>
        </w:rPr>
        <w:t>Further Acts</w:t>
      </w:r>
      <w:r>
        <w:rPr>
          <w:color w:val="000000"/>
        </w:rPr>
        <w:t xml:space="preserve"> </w:t>
      </w:r>
      <w:r>
        <w:rPr>
          <w:rFonts w:ascii="Times New Roman;serif" w:hAnsi="Times New Roman;serif"/>
          <w:b w:val="false"/>
          <w:color w:val="000000"/>
          <w:sz w:val="24"/>
        </w:rPr>
        <w:t>- The Employee agrees to cooperate fully with the Company both during and after the Employee’s employment by the Company, with respect to (i) signing further documents and doing such acts and other things reasonably requested by the Company to confirm the Company’s ownership of the Developments other than Excluded Developments and Prior Developments, the transfer of ownership of such Developments to the Company, and the waiver of the Employee’s moral rights therein, and (ii) obtaining or enforcing patent, copyright, trade secret or other protection for such Developments; provided that the Company pays all the Employee’s expenses in doing so, and reasonable compensation if such acts are required after the Employee leaves the employment by the Company.</w:t>
      </w:r>
    </w:p>
    <w:p>
      <w:pPr>
        <w:pStyle w:val="TextBody"/>
        <w:bidi w:val="0"/>
        <w:spacing w:lineRule="auto" w:line="240" w:before="0" w:after="220"/>
        <w:ind w:left="0" w:right="0" w:hanging="720"/>
        <w:jc w:val="both"/>
        <w:rPr/>
      </w:pPr>
      <w:r>
        <w:rPr>
          <w:rFonts w:ascii="Times New Roman;serif" w:hAnsi="Times New Roman;serif"/>
          <w:b w:val="false"/>
          <w:color w:val="000000"/>
          <w:sz w:val="24"/>
        </w:rPr>
        <w:t>(e)</w:t>
      </w:r>
      <w:r>
        <w:rPr>
          <w:rFonts w:ascii="Times New Roman;serif" w:hAnsi="Times New Roman;serif"/>
          <w:b w:val="false"/>
          <w:i/>
          <w:color w:val="000000"/>
          <w:sz w:val="24"/>
        </w:rPr>
        <w:t>Employee-owned Inventions</w:t>
      </w:r>
      <w:r>
        <w:rPr>
          <w:color w:val="000000"/>
        </w:rPr>
        <w:t xml:space="preserve"> </w:t>
      </w:r>
      <w:r>
        <w:rPr>
          <w:rFonts w:ascii="Times New Roman;serif" w:hAnsi="Times New Roman;serif"/>
          <w:b w:val="false"/>
          <w:color w:val="000000"/>
          <w:sz w:val="24"/>
        </w:rPr>
        <w:t>- The Employee hereby covenants and agrees with the Company that, unless the Company agrees in writing otherwise, the Employee will not use or incorporate any Excluded Development or Prior Development in any work product, services, or other deliverables the Employee provides to the Company. If the Employee uses or incorporates any Excluded Development or Prior Development with the Company’s permission, as provided above, the Employee (i) represents and warrants that he or she owns all proprietary interest in such Excluded Development or Prior Development and (ii) grants to the Company, at no charge, a non-exclusive, irrevocable, perpetual, worldwide license to use, distribute, transmit, broadcast, sub-license, produce, reproduce, perform, publish, practice, make, and modify such Excluded Development or Prior Development.</w:t>
      </w:r>
    </w:p>
    <w:p>
      <w:pPr>
        <w:pStyle w:val="TextBody"/>
        <w:bidi w:val="0"/>
        <w:spacing w:lineRule="auto" w:line="240" w:before="0" w:after="220"/>
        <w:ind w:left="0" w:right="0" w:hanging="720"/>
        <w:jc w:val="both"/>
        <w:rPr/>
      </w:pPr>
      <w:r>
        <w:rPr>
          <w:rFonts w:ascii="Times New Roman;serif" w:hAnsi="Times New Roman;serif"/>
          <w:b w:val="false"/>
          <w:color w:val="000000"/>
          <w:sz w:val="24"/>
        </w:rPr>
        <w:t>(f)</w:t>
      </w:r>
      <w:r>
        <w:rPr>
          <w:rFonts w:ascii="Times New Roman;serif" w:hAnsi="Times New Roman;serif"/>
          <w:b w:val="false"/>
          <w:i/>
          <w:color w:val="000000"/>
          <w:sz w:val="24"/>
        </w:rPr>
        <w:t>Prior Employer Information</w:t>
      </w:r>
      <w:r>
        <w:rPr>
          <w:color w:val="000000"/>
        </w:rPr>
        <w:t xml:space="preserve"> </w:t>
      </w:r>
      <w:r>
        <w:rPr>
          <w:rFonts w:ascii="Times New Roman;serif" w:hAnsi="Times New Roman;serif"/>
          <w:b w:val="false"/>
          <w:color w:val="000000"/>
          <w:sz w:val="24"/>
        </w:rPr>
        <w:t xml:space="preserve">- The Employee hereby covenants and agrees with the Company that during the Employee’s employment by the Company, the Employee will not improperly use or disclose any confidential or proprietary information of any former employer, partner, principal, co-venturer, customer, or independent contractor of the Employee and that the Employee will not bring onto the Company’s premises any unpublished documents or any property belonging to any such persons or entities unless such persons or entities have given their consent. In addition, the Employee will not violate any non-disclosure, non-compete, non-solicit or proprietary rights agreement the Employee has signed with any person or entity prior to the Employee’s execution of this Agreement, or knowingly infringe the intellectual property rights of any third party while employed by the Company. The Employee agrees to fully indemnify the Company and its respective directors, officers, agents, employees, investors, shareholders, administrators, divisions, affiliates, parent corporations, subsidiaries, predecessor and successor corporations and assigns, for all verdicts, judgments, settlements, and other losses incurred by any of them </w:t>
      </w:r>
    </w:p>
    <w:p>
      <w:pPr>
        <w:pStyle w:val="TextBody"/>
        <w:bidi w:val="0"/>
        <w:spacing w:before="0" w:after="0"/>
        <w:jc w:val="right"/>
        <w:rPr/>
      </w:pPr>
      <w:r>
        <w:rPr/>
        <w:drawing>
          <wp:inline distT="0" distB="0" distL="0" distR="0">
            <wp:extent cx="1685925" cy="647700"/>
            <wp:effectExtent l="0" t="0" r="0" b="0"/>
            <wp:docPr id="2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6" descr=""/>
                    <pic:cNvPicPr>
                      <a:picLocks noChangeAspect="1" noChangeArrowheads="1"/>
                    </pic:cNvPicPr>
                  </pic:nvPicPr>
                  <pic:blipFill>
                    <a:blip r:embed="rId28"/>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16840"/>
                <wp:effectExtent l="0" t="0" r="0" b="0"/>
                <wp:wrapNone/>
                <wp:docPr id="235" name="Frame2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14 - 24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14 - 24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4"/>
        </w:rPr>
      </w:pPr>
      <w:r>
        <w:rPr>
          <w:rFonts w:ascii="Times New Roman;serif" w:hAnsi="Times New Roman;serif"/>
          <w:b w:val="false"/>
          <w:color w:val="000000"/>
          <w:sz w:val="24"/>
        </w:rPr>
        <w:t>resulting from Employee’s breach of Employee’s obligations under any agreement with a third party, as well as any reasonable attorneys’ fees and costs if the plaintiff is the prevailing party in such an action.</w:t>
      </w:r>
    </w:p>
    <w:p>
      <w:pPr>
        <w:pStyle w:val="TextBody"/>
        <w:bidi w:val="0"/>
        <w:spacing w:lineRule="auto" w:line="240" w:before="0" w:after="220"/>
        <w:ind w:left="0" w:right="0" w:hanging="720"/>
        <w:jc w:val="both"/>
        <w:rPr/>
      </w:pPr>
      <w:r>
        <w:rPr>
          <w:rFonts w:ascii="Times New Roman;serif" w:hAnsi="Times New Roman;serif"/>
          <w:b w:val="false"/>
          <w:color w:val="000000"/>
          <w:sz w:val="24"/>
        </w:rPr>
        <w:t>(g)</w:t>
      </w:r>
      <w:r>
        <w:rPr>
          <w:rFonts w:ascii="Times New Roman;serif" w:hAnsi="Times New Roman;serif"/>
          <w:b w:val="false"/>
          <w:i/>
          <w:color w:val="000000"/>
          <w:sz w:val="24"/>
        </w:rPr>
        <w:t>Protection of Computer Systems and Software</w:t>
      </w:r>
      <w:r>
        <w:rPr>
          <w:color w:val="000000"/>
        </w:rPr>
        <w:t xml:space="preserve"> </w:t>
      </w:r>
      <w:r>
        <w:rPr>
          <w:rFonts w:ascii="Times New Roman;serif" w:hAnsi="Times New Roman;serif"/>
          <w:b w:val="false"/>
          <w:color w:val="000000"/>
          <w:sz w:val="24"/>
        </w:rPr>
        <w:t>- The Employee agrees to take all necessary precautions to protect the computer systems and software of the Company, including, without limitation, complying with the obligations set out in the Company’s policies.</w:t>
      </w:r>
    </w:p>
    <w:p>
      <w:pPr>
        <w:pStyle w:val="TextBody"/>
        <w:bidi w:val="0"/>
        <w:spacing w:lineRule="auto" w:line="240" w:before="0" w:after="220"/>
        <w:jc w:val="left"/>
        <w:rPr/>
      </w:pPr>
      <w:r>
        <w:rPr>
          <w:rFonts w:ascii="Times New Roman;serif" w:hAnsi="Times New Roman;serif"/>
          <w:b w:val="false"/>
          <w:color w:val="000000"/>
          <w:sz w:val="24"/>
        </w:rPr>
        <w:t>5.3</w:t>
      </w:r>
      <w:r>
        <w:rPr>
          <w:rFonts w:ascii="Times New Roman;serif" w:hAnsi="Times New Roman;serif"/>
          <w:b w:val="false"/>
          <w:color w:val="000000"/>
          <w:sz w:val="24"/>
          <w:u w:val="single"/>
        </w:rPr>
        <w:t>Defend Trade Secrets Act</w:t>
      </w:r>
      <w:r>
        <w:rPr>
          <w:rFonts w:ascii="Times New Roman;serif" w:hAnsi="Times New Roman;serif"/>
          <w:b w:val="false"/>
          <w:color w:val="000000"/>
          <w:sz w:val="24"/>
        </w:rPr>
        <w:t xml:space="preserve">. Pursuant to the </w:t>
      </w:r>
      <w:r>
        <w:rPr>
          <w:rFonts w:ascii="Times New Roman;serif" w:hAnsi="Times New Roman;serif"/>
          <w:b w:val="false"/>
          <w:i/>
          <w:color w:val="000000"/>
          <w:sz w:val="24"/>
        </w:rPr>
        <w:t>Defend Trade Secrets Act</w:t>
      </w:r>
      <w:r>
        <w:rPr>
          <w:color w:val="000000"/>
        </w:rPr>
        <w:t xml:space="preserve"> </w:t>
      </w:r>
      <w:r>
        <w:rPr>
          <w:rFonts w:ascii="Times New Roman;serif" w:hAnsi="Times New Roman;serif"/>
          <w:b w:val="false"/>
          <w:color w:val="000000"/>
          <w:sz w:val="24"/>
        </w:rPr>
        <w:t>of 2016, the Employee understands that:</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(a)an individual may not be held criminally or civilly liable under any federal or state trade secret law for the disclosure of a trade secret that: </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(i)is made (A) in confidence to a federal, state, or local government official, either directly or indirectly, or to an attorney; and (B) solely for the purpose of reporting or investigating a suspected violation of law; or </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(ii)is made in a complaint or other document that is filed under seal in a lawsuit or other proceeding.</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(b)Further, an individual who files a lawsuit for retaliation by an employer for reporting a suspected violation of law may disclose the employer's trade secrets to the attorney and use the trade secret information in the court proceeding if the individual: </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(i)files any document containing the trade secret under seal; and </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(ii)does not disclose the trade secret, except pursuant to court order. </w:t>
      </w:r>
    </w:p>
    <w:p>
      <w:pPr>
        <w:pStyle w:val="TextBody"/>
        <w:bidi w:val="0"/>
        <w:spacing w:lineRule="auto" w:line="240" w:before="220" w:after="220"/>
        <w:jc w:val="both"/>
        <w:rPr/>
      </w:pPr>
      <w:r>
        <w:rPr>
          <w:rFonts w:ascii="Times New Roman;serif" w:hAnsi="Times New Roman;serif"/>
          <w:b/>
          <w:color w:val="000000"/>
          <w:sz w:val="24"/>
        </w:rPr>
        <w:t>Article 6</w:t>
      </w:r>
      <w:r>
        <w:rPr>
          <w:color w:val="000000"/>
        </w:rPr>
        <w:t xml:space="preserve"> – </w:t>
      </w:r>
      <w:r>
        <w:rPr>
          <w:rFonts w:ascii="Times New Roman;serif" w:hAnsi="Times New Roman;serif"/>
          <w:b/>
          <w:color w:val="000000"/>
          <w:sz w:val="24"/>
        </w:rPr>
        <w:t>RESTRICTIVE COVENANTS</w:t>
      </w:r>
    </w:p>
    <w:p>
      <w:pPr>
        <w:pStyle w:val="TextBody"/>
        <w:bidi w:val="0"/>
        <w:spacing w:lineRule="auto" w:line="240" w:before="0" w:after="22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Non-solicitation by the Employee</w:t>
      </w:r>
      <w:r>
        <w:rPr>
          <w:rFonts w:ascii="Times New Roman;serif" w:hAnsi="Times New Roman;serif"/>
          <w:b w:val="false"/>
          <w:color w:val="000000"/>
          <w:sz w:val="24"/>
        </w:rPr>
        <w:t xml:space="preserve">. The Employee agrees that at any time while employed by the Company and for a period of one (1) year thereafter, the Employee will not, without the prior written consent of the Company induce or attempt to influence, directly or indirectly, an employee of the Company, Parent or any of their affiliates to leave the employ of the Company or Parent, as applicable. </w:t>
      </w:r>
    </w:p>
    <w:p>
      <w:pPr>
        <w:pStyle w:val="TextBody"/>
        <w:bidi w:val="0"/>
        <w:spacing w:lineRule="auto" w:line="240" w:before="0" w:after="22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Reasonableness of Non-solicitation Obligations</w:t>
      </w:r>
      <w:r>
        <w:rPr>
          <w:rFonts w:ascii="Times New Roman;serif" w:hAnsi="Times New Roman;serif"/>
          <w:b w:val="false"/>
          <w:color w:val="000000"/>
          <w:sz w:val="24"/>
        </w:rPr>
        <w:t>. The Employee confirms that the obligations in Section 6.1 are fair and reasonable given that, among other reasons:</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sustained contact the Employee will have with the clients of the Company will expose the Employee to the Confidential Information regarding the particular requirements of these clients and the Company’s unique methods of satisfying the needs of these clients, all of which the Employee agrees not to act upon to the detriment of the Company; and/or</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(b)the Employee will be performing important development work on the products or services owned, developed or marketed by the Company;</w:t>
      </w:r>
    </w:p>
    <w:p>
      <w:pPr>
        <w:pStyle w:val="TextBody"/>
        <w:bidi w:val="0"/>
        <w:spacing w:before="0" w:after="0"/>
        <w:jc w:val="right"/>
        <w:rPr/>
      </w:pPr>
      <w:r>
        <w:rPr/>
        <w:drawing>
          <wp:inline distT="0" distB="0" distL="0" distR="0">
            <wp:extent cx="1685925" cy="647700"/>
            <wp:effectExtent l="0" t="0" r="0" b="0"/>
            <wp:docPr id="2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7" descr=""/>
                    <pic:cNvPicPr>
                      <a:picLocks noChangeAspect="1" noChangeArrowheads="1"/>
                    </pic:cNvPicPr>
                  </pic:nvPicPr>
                  <pic:blipFill>
                    <a:blip r:embed="rId29"/>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16840"/>
                <wp:effectExtent l="0" t="0" r="0" b="0"/>
                <wp:wrapNone/>
                <wp:docPr id="237" name="Frame2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15 - 24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15 - 24</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and the Employee agrees that the obligations in Section 6.1, together with the Employee’s other obligations under this Agreement, are reasonably necessary for the protection of the Company’s good will, trade secrets and proprietary interests. The Employee also agrees that the obligations in Section 6.1 are in addition to the confidentiality and non-disclosure obligations provided for in this Agreement.</w:t>
      </w:r>
    </w:p>
    <w:p>
      <w:pPr>
        <w:pStyle w:val="TextBody"/>
        <w:bidi w:val="0"/>
        <w:spacing w:lineRule="auto" w:line="240" w:before="0" w:after="220"/>
        <w:jc w:val="both"/>
        <w:rPr/>
      </w:pPr>
      <w:r>
        <w:rPr>
          <w:rFonts w:ascii="Times New Roman;serif" w:hAnsi="Times New Roman;serif"/>
          <w:b w:val="false"/>
          <w:color w:val="000000"/>
          <w:sz w:val="24"/>
        </w:rPr>
        <w:t>6.3</w:t>
      </w:r>
      <w:r>
        <w:rPr>
          <w:rFonts w:ascii="Times New Roman;serif" w:hAnsi="Times New Roman;serif"/>
          <w:b w:val="false"/>
          <w:color w:val="000000"/>
          <w:sz w:val="24"/>
          <w:u w:val="single"/>
        </w:rPr>
        <w:t>Conflict of Interest</w:t>
      </w:r>
      <w:r>
        <w:rPr>
          <w:rFonts w:ascii="Times New Roman;serif" w:hAnsi="Times New Roman;serif"/>
          <w:b w:val="false"/>
          <w:color w:val="000000"/>
          <w:sz w:val="24"/>
        </w:rPr>
        <w:t xml:space="preserve">. The Employee recognizes that the Employee is employed by the Company in a position of responsibility and trust and agrees that during the Employee’s employment with the Company, the Employee will not engage in any activity or otherwise put the Employee in a position which conflicts with the Company’s and/or Parent’s interests. Without limiting this general statement, the Employee agrees that during the Employee’s employment with the Company, the Employee will not knowingly lend money to, guarantee the debts or obligations of or permit the name of the Employee or any part thereof to be used or employed by any corporation or firm which directly or indirectly is engaged in or concerned with or interested in any business in competition with the Business of the Company and/or Parent unless the Employee receives prior written authorization from the Company. </w:t>
      </w:r>
    </w:p>
    <w:p>
      <w:pPr>
        <w:pStyle w:val="TextBody"/>
        <w:bidi w:val="0"/>
        <w:spacing w:lineRule="auto" w:line="240" w:before="0" w:after="220"/>
        <w:jc w:val="both"/>
        <w:rPr/>
      </w:pPr>
      <w:r>
        <w:rPr>
          <w:rFonts w:ascii="Times New Roman;serif" w:hAnsi="Times New Roman;serif"/>
          <w:b w:val="false"/>
          <w:color w:val="000000"/>
          <w:sz w:val="24"/>
        </w:rPr>
        <w:t>6.4</w:t>
      </w:r>
      <w:r>
        <w:rPr>
          <w:rFonts w:ascii="Times New Roman;serif" w:hAnsi="Times New Roman;serif"/>
          <w:b w:val="false"/>
          <w:color w:val="000000"/>
          <w:sz w:val="24"/>
          <w:u w:val="single"/>
        </w:rPr>
        <w:t>Acknowledgments</w:t>
      </w:r>
      <w:r>
        <w:rPr>
          <w:rFonts w:ascii="Times New Roman;serif" w:hAnsi="Times New Roman;serif"/>
          <w:b w:val="false"/>
          <w:color w:val="000000"/>
          <w:sz w:val="24"/>
        </w:rPr>
        <w:t xml:space="preserve">. The Employee acknowledges that as of the date of this Agreement: </w:t>
      </w:r>
    </w:p>
    <w:p>
      <w:pPr>
        <w:pStyle w:val="TextBody"/>
        <w:bidi w:val="0"/>
        <w:spacing w:lineRule="auto" w:line="240" w:before="0" w:after="2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(a)a breach of this Agreement would cause the Company irreparable harm and as a result the Employee consents to the issuance of an injunction or other appropriate remedy required to enforce the covenants contained herein; </w:t>
      </w:r>
    </w:p>
    <w:p>
      <w:pPr>
        <w:pStyle w:val="TextBody"/>
        <w:bidi w:val="0"/>
        <w:spacing w:lineRule="auto" w:line="240" w:before="0" w:after="2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(b)in the event the Employee breaches any covenant contained herein, the one (1) year period provided for in Sections 6.1 will be extended for a period of three (3) months from the date any such breach is cured; and </w:t>
      </w:r>
    </w:p>
    <w:p>
      <w:pPr>
        <w:pStyle w:val="TextBody"/>
        <w:bidi w:val="0"/>
        <w:spacing w:lineRule="auto" w:line="240" w:before="0" w:after="2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(c)in the event it is necessary for either party to retain legal counsel to enforce any of the terms and conditions of this Agreement, the prevailing party will pay the other parties’ reasonable legal fees, court costs and other related expenses. </w:t>
      </w:r>
    </w:p>
    <w:p>
      <w:pPr>
        <w:pStyle w:val="TextBody"/>
        <w:bidi w:val="0"/>
        <w:spacing w:lineRule="auto" w:line="240" w:before="220" w:after="220"/>
        <w:jc w:val="both"/>
        <w:rPr/>
      </w:pPr>
      <w:r>
        <w:rPr>
          <w:rFonts w:ascii="Times New Roman;serif" w:hAnsi="Times New Roman;serif"/>
          <w:b/>
          <w:color w:val="000000"/>
          <w:sz w:val="24"/>
        </w:rPr>
        <w:t>Article 7</w:t>
      </w:r>
      <w:r>
        <w:rPr>
          <w:color w:val="000000"/>
        </w:rPr>
        <w:t xml:space="preserve"> – </w:t>
      </w:r>
      <w:r>
        <w:rPr>
          <w:rFonts w:ascii="Times New Roman;serif" w:hAnsi="Times New Roman;serif"/>
          <w:b/>
          <w:color w:val="000000"/>
          <w:sz w:val="24"/>
        </w:rPr>
        <w:t>ENFORCEMENT</w:t>
      </w:r>
    </w:p>
    <w:p>
      <w:pPr>
        <w:pStyle w:val="TextBody"/>
        <w:bidi w:val="0"/>
        <w:spacing w:lineRule="auto" w:line="240" w:before="0" w:after="22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Consent to Personal Jurisdiction</w:t>
      </w:r>
      <w:r>
        <w:rPr>
          <w:rFonts w:ascii="Times New Roman;serif" w:hAnsi="Times New Roman;serif"/>
          <w:b w:val="false"/>
          <w:color w:val="000000"/>
          <w:sz w:val="24"/>
        </w:rPr>
        <w:t>. This Agreement will be governed by the laws of the Commonwealth of Massachusetts without regards to Massachusetts’s conflicts of law rules that may result in the application of the laws of any jurisdiction other than Massachusetts. In the event of a breach or threatened breach of this Agreement, nothing in this Agreement precludes the Company, Parent, or the Employee from applying to a court of competent jurisdiction to seek injunctive relief or otherwise protect or enforce its rights hereunder before an arbitrator can be appointed pursuant to Article 8 below, to the extent permitted by law.</w:t>
      </w:r>
    </w:p>
    <w:p>
      <w:pPr>
        <w:pStyle w:val="TextBody"/>
        <w:bidi w:val="0"/>
        <w:spacing w:lineRule="auto" w:line="240" w:before="0" w:after="22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Severability and Limitation</w:t>
      </w:r>
      <w:r>
        <w:rPr>
          <w:rFonts w:ascii="Times New Roman;serif" w:hAnsi="Times New Roman;serif"/>
          <w:b w:val="false"/>
          <w:color w:val="000000"/>
          <w:sz w:val="24"/>
        </w:rPr>
        <w:t xml:space="preserve">. All agreements and covenants contained herein are severable and, in the event any of them will be held to be invalid by any competent court, this Agreement will be interpreted as if such invalid agreements or covenants were not contained herein. Should any court or other legally constituted authority determine that for any such agreement or covenant to be effective that it must be modified to limit its duration or scope, the parties hereto will consider such agreement or covenant to be amended or modified with respect to duration and scope so as to comply with the orders of any such court or other legally constituted authority or to be enforceable under the laws of the Commonwealth of </w:t>
      </w:r>
    </w:p>
    <w:p>
      <w:pPr>
        <w:pStyle w:val="TextBody"/>
        <w:bidi w:val="0"/>
        <w:spacing w:before="0" w:after="0"/>
        <w:jc w:val="right"/>
        <w:rPr/>
      </w:pPr>
      <w:r>
        <w:rPr/>
        <w:drawing>
          <wp:inline distT="0" distB="0" distL="0" distR="0">
            <wp:extent cx="1685925" cy="647700"/>
            <wp:effectExtent l="0" t="0" r="0" b="0"/>
            <wp:docPr id="2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8" descr=""/>
                    <pic:cNvPicPr>
                      <a:picLocks noChangeAspect="1" noChangeArrowheads="1"/>
                    </pic:cNvPicPr>
                  </pic:nvPicPr>
                  <pic:blipFill>
                    <a:blip r:embed="rId30"/>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16840"/>
                <wp:effectExtent l="0" t="0" r="0" b="0"/>
                <wp:wrapNone/>
                <wp:docPr id="239" name="Frame2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16 - 24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16 - 24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4"/>
        </w:rPr>
      </w:pPr>
      <w:r>
        <w:rPr>
          <w:rFonts w:ascii="Times New Roman;serif" w:hAnsi="Times New Roman;serif"/>
          <w:b w:val="false"/>
          <w:color w:val="000000"/>
          <w:sz w:val="24"/>
        </w:rPr>
        <w:t>Massachusetts, and as to all other portions of such agreement or covenants they will remain in full force and effect as originally written.</w:t>
      </w:r>
    </w:p>
    <w:p>
      <w:pPr>
        <w:pStyle w:val="TextBody"/>
        <w:bidi w:val="0"/>
        <w:spacing w:lineRule="auto" w:line="240" w:before="220" w:after="220"/>
        <w:jc w:val="both"/>
        <w:rPr/>
      </w:pPr>
      <w:r>
        <w:rPr>
          <w:rFonts w:ascii="Times New Roman;serif" w:hAnsi="Times New Roman;serif"/>
          <w:b/>
          <w:color w:val="000000"/>
          <w:sz w:val="24"/>
        </w:rPr>
        <w:t>Article 8</w:t>
      </w:r>
      <w:r>
        <w:rPr>
          <w:color w:val="000000"/>
        </w:rPr>
        <w:t xml:space="preserve">– </w:t>
      </w:r>
      <w:r>
        <w:rPr>
          <w:rFonts w:ascii="Times New Roman;serif" w:hAnsi="Times New Roman;serif"/>
          <w:b/>
          <w:color w:val="000000"/>
          <w:sz w:val="24"/>
        </w:rPr>
        <w:t>MEDIATION AND ARBITRATION</w:t>
      </w:r>
    </w:p>
    <w:p>
      <w:pPr>
        <w:pStyle w:val="TextBody"/>
        <w:bidi w:val="0"/>
        <w:spacing w:lineRule="auto" w:line="240" w:before="0" w:after="220"/>
        <w:jc w:val="both"/>
        <w:rPr/>
      </w:pPr>
      <w:r>
        <w:rPr>
          <w:rFonts w:ascii="Times New Roman;serif" w:hAnsi="Times New Roman;serif"/>
          <w:b w:val="false"/>
          <w:color w:val="000000"/>
          <w:sz w:val="24"/>
        </w:rPr>
        <w:t>8.1</w:t>
      </w:r>
      <w:r>
        <w:rPr>
          <w:rFonts w:ascii="Times New Roman;serif" w:hAnsi="Times New Roman;serif"/>
          <w:b w:val="false"/>
          <w:color w:val="000000"/>
          <w:sz w:val="24"/>
          <w:u w:val="single"/>
        </w:rPr>
        <w:t>Agreement to Arbitrate Claims</w:t>
      </w:r>
      <w:r>
        <w:rPr>
          <w:rFonts w:ascii="Times New Roman;serif" w:hAnsi="Times New Roman;serif"/>
          <w:b w:val="false"/>
          <w:color w:val="000000"/>
          <w:sz w:val="24"/>
        </w:rPr>
        <w:t xml:space="preserve">. Except as set forth in Section 8.4 below, both the Employee and the Company agree that any claim that the Employee may have against the Company, Parent, or their respective owners, directors, officers, managers, employees, agents, and other parties affiliated with the Company and/or Parent and their respective employee benefit and health plans (together, “Affiliated Persons”), or that the Company or Parent may have against the Employee, shall be submitted to and determined exclusively in the County in which the Employee most recently primarily worked for the Company, by a single neutral arbitrator, through to final and binding arbitration pursuant to the Federal Arbitration Act (“FAA”), and not to any court, in accordance with the JAMS Employment Arbitration Rules &amp; Procedures (the “JAMS Rules”) then in effect except as modified by this Agreement. The JAMS arbitrator shall be chosen by mutual agreement of the parties or if the parties cannot agree, in accordance with the JAMS arbitration selection procedure. A copy of the current JAMS Rules can be obtained at the following website: </w:t>
      </w:r>
      <w:r>
        <w:rPr>
          <w:rFonts w:ascii="Times New Roman;serif" w:hAnsi="Times New Roman;serif"/>
          <w:b w:val="false"/>
          <w:color w:val="3051F2"/>
          <w:sz w:val="24"/>
        </w:rPr>
        <w:t>https://www.jamsadr.com/rules-employment-arbitration/english</w:t>
      </w:r>
      <w:r>
        <w:rPr>
          <w:color w:val="000000"/>
        </w:rPr>
        <w:t xml:space="preserve"> </w:t>
      </w:r>
      <w:r>
        <w:rPr>
          <w:rFonts w:ascii="Times New Roman;serif" w:hAnsi="Times New Roman;serif"/>
          <w:b w:val="false"/>
          <w:color w:val="000000"/>
          <w:sz w:val="24"/>
        </w:rPr>
        <w:t xml:space="preserve">or by requesting in writing a copy from the Company’s Human Resources Team. In the event that a court or arbitrator of competent jurisdiction holds that the FAA does not apply and the Employee has not voluntarily elected to participate in arbitration in such case, the court or arbitrator shall apply the Massachusetts Uniform Arbitration Act and such other Massachusetts laws that may apply to determine the enforceability of this Agreement. </w:t>
      </w:r>
    </w:p>
    <w:p>
      <w:pPr>
        <w:pStyle w:val="TextBody"/>
        <w:bidi w:val="0"/>
        <w:spacing w:lineRule="auto" w:line="240" w:before="0" w:after="220"/>
        <w:jc w:val="both"/>
        <w:rPr/>
      </w:pPr>
      <w:r>
        <w:rPr>
          <w:rFonts w:ascii="Times New Roman;serif" w:hAnsi="Times New Roman;serif"/>
          <w:b w:val="false"/>
          <w:color w:val="000000"/>
          <w:sz w:val="24"/>
        </w:rPr>
        <w:t>8.2</w:t>
      </w:r>
      <w:r>
        <w:rPr>
          <w:rFonts w:ascii="Times New Roman;serif" w:hAnsi="Times New Roman;serif"/>
          <w:b w:val="false"/>
          <w:color w:val="000000"/>
          <w:sz w:val="24"/>
          <w:u w:val="single"/>
        </w:rPr>
        <w:t>Claims Covered by This Agreement</w:t>
      </w:r>
      <w:r>
        <w:rPr>
          <w:rFonts w:ascii="Times New Roman;serif" w:hAnsi="Times New Roman;serif"/>
          <w:b w:val="false"/>
          <w:color w:val="000000"/>
          <w:sz w:val="24"/>
        </w:rPr>
        <w:t>. The claims that are to be arbitrated under this Agreement are any and all claims that arise between the Employee and the Company, Parent or any Affiliated Person except as excluded by this Agreement in Section 8.4 below (the “Claims”). The Claims include but are not limited to any dispute relating to the Employee’s employment or the termination of employment with the Company (pre-hire through post-termination), including but not limited to claims arising out of or related to tort, bad faith, contract, wages and benefits, liabilities, debts, obligations, damages, compensatory damages, punitive damages, penalties, liquidated damages, costs, attorneys’ fees, expenses, actions and causes of action in any way related to the Employee’s employment with the Company or the termination of the Employee’s employment. The Claims also include but are not limited to any claims for wrongful discharge or breach of the covenant of good faith and fair dealing, any and all claims under federal, state, and local laws, ordinances, regulations or orders, charges of discrimination, retaliation, or harassment on account of race, color, religion, sex, sexual orientation, age, citizenship, national origin, mental or physical disability, medical condition, marital status, pregnancy, gender identity or perception, or any other protected classification, and all other employment-related claims, except as excluded by this Agreement in Section 8.4 below. The Claims further include any dispute arising out of or relating to the interpretation or application of this Agreement including the enforceability, revocability, or validity of this Agreement, and the Parties delegate authority to decide those issues solely to the arbitrator. Both the Employee and the Company are giving up any right that either might have to have a judge or jury decide the Claims.</w:t>
      </w:r>
    </w:p>
    <w:p>
      <w:pPr>
        <w:pStyle w:val="TextBody"/>
        <w:bidi w:val="0"/>
        <w:spacing w:lineRule="auto" w:line="240" w:before="0" w:after="220"/>
        <w:jc w:val="both"/>
        <w:rPr/>
      </w:pPr>
      <w:r>
        <w:rPr>
          <w:rFonts w:ascii="Times New Roman;serif" w:hAnsi="Times New Roman;serif"/>
          <w:b w:val="false"/>
          <w:color w:val="000000"/>
          <w:sz w:val="24"/>
        </w:rPr>
        <w:t>8.3</w:t>
      </w:r>
      <w:r>
        <w:rPr>
          <w:rFonts w:ascii="Times New Roman;serif" w:hAnsi="Times New Roman;serif"/>
          <w:b w:val="false"/>
          <w:color w:val="000000"/>
          <w:sz w:val="24"/>
          <w:u w:val="single"/>
        </w:rPr>
        <w:t>Class Action, Collective Action, and Representative Action Waiver</w:t>
      </w:r>
      <w:r>
        <w:rPr>
          <w:rFonts w:ascii="Times New Roman;serif" w:hAnsi="Times New Roman;serif"/>
          <w:b w:val="false"/>
          <w:color w:val="000000"/>
          <w:sz w:val="24"/>
        </w:rPr>
        <w:t xml:space="preserve">. Both the Employee and the Company agree that any proceedings pursuant to this Agreement will be conducted on an individual basis only and that Claims by the Employee or by the Company may only be </w:t>
      </w:r>
    </w:p>
    <w:p>
      <w:pPr>
        <w:pStyle w:val="TextBody"/>
        <w:bidi w:val="0"/>
        <w:spacing w:before="0" w:after="0"/>
        <w:jc w:val="right"/>
        <w:rPr/>
      </w:pPr>
      <w:r>
        <w:rPr/>
        <w:drawing>
          <wp:inline distT="0" distB="0" distL="0" distR="0">
            <wp:extent cx="1685925" cy="647700"/>
            <wp:effectExtent l="0" t="0" r="0" b="0"/>
            <wp:docPr id="2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9" descr=""/>
                    <pic:cNvPicPr>
                      <a:picLocks noChangeAspect="1" noChangeArrowheads="1"/>
                    </pic:cNvPicPr>
                  </pic:nvPicPr>
                  <pic:blipFill>
                    <a:blip r:embed="rId31"/>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16840"/>
                <wp:effectExtent l="0" t="0" r="0" b="0"/>
                <wp:wrapNone/>
                <wp:docPr id="241" name="Frame2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17 - 24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17 - 24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4"/>
        </w:rPr>
      </w:pPr>
      <w:r>
        <w:rPr>
          <w:rFonts w:ascii="Times New Roman;serif" w:hAnsi="Times New Roman;serif"/>
          <w:b w:val="false"/>
          <w:color w:val="000000"/>
          <w:sz w:val="24"/>
        </w:rPr>
        <w:t>brought in the party’s individual capacity may not be brought on a class action, collective action, or representative basis, and may not be consolidated with other persons or entities. Further, the Employee and the Company agree to waive their respective rights to participate in any and all class actions, collective actions, and/or other representative actions, including participating as a named plaintiff or as a member of a class action, collective action, and/or other representative action. Accordingly, there shall be no right or authority for any Claims subject to this Agreement to be brought, heard or arbitrated as a class action, collective action, or representative action (“Class Action Waiver”). The Class Action Waiver shall be severable at the option of the Employee or the Company from this Agreement in any case in which both of the following are true: (a) the Claim is filed or pursued as a class action, collective action, or representative action; and (b) the Class Action Waiver is found to be unenforceable. In such instances, the class action, collective action, or representative action must be litigated in a civil court of competent jurisdiction. The Class Action Waiver shall be severable in any case in which the dispute is filed or pursued as an individual action and severance is necessary to ensure that the individual action proceeds in arbitration.</w:t>
      </w:r>
    </w:p>
    <w:p>
      <w:pPr>
        <w:pStyle w:val="TextBody"/>
        <w:bidi w:val="0"/>
        <w:spacing w:lineRule="auto" w:line="240" w:before="0" w:after="220"/>
        <w:jc w:val="both"/>
        <w:rPr/>
      </w:pPr>
      <w:r>
        <w:rPr>
          <w:rFonts w:ascii="Times New Roman;serif" w:hAnsi="Times New Roman;serif"/>
          <w:b w:val="false"/>
          <w:color w:val="000000"/>
          <w:sz w:val="24"/>
        </w:rPr>
        <w:t>8.4</w:t>
      </w:r>
      <w:r>
        <w:rPr>
          <w:rFonts w:ascii="Times New Roman;serif" w:hAnsi="Times New Roman;serif"/>
          <w:b w:val="false"/>
          <w:color w:val="000000"/>
          <w:sz w:val="24"/>
          <w:u w:val="single"/>
        </w:rPr>
        <w:t>Claims Not Covered by the Agreement</w:t>
      </w:r>
      <w:r>
        <w:rPr>
          <w:rFonts w:ascii="Times New Roman;serif" w:hAnsi="Times New Roman;serif"/>
          <w:b w:val="false"/>
          <w:color w:val="000000"/>
          <w:sz w:val="24"/>
        </w:rPr>
        <w:t>. To the extent required by law, any and all claims for workers’ compensation insurance and unemployment insurance are not covered by this Agreement. Unless agreed by the Employee, this arbitration provision shall not apply to claims of sexual harassment or sexual assault, or any other claim that cannot be subject to mandatory arbitration as a matter of law. Nothing in this agreement prohibits the Employee from filing a claim or charge with the National Labor Relations Board or from filing an administrative charge or complaint of discrimination or harassment with either the Equal Employment Opportunity Commission or any state or local equal employment opportunity agency. Either party may seek from a court any injunctive relief (preliminary or permanent) available under applicable laws for any purpose. The Employee understands that except as provided in this Section and Section 8.11 below, arbitration shall be the only method for resolving all disputes between the Employee and the Company.</w:t>
      </w:r>
    </w:p>
    <w:p>
      <w:pPr>
        <w:pStyle w:val="TextBody"/>
        <w:bidi w:val="0"/>
        <w:spacing w:lineRule="auto" w:line="240" w:before="0" w:after="220"/>
        <w:jc w:val="both"/>
        <w:rPr/>
      </w:pPr>
      <w:r>
        <w:rPr>
          <w:rFonts w:ascii="Times New Roman;serif" w:hAnsi="Times New Roman;serif"/>
          <w:b w:val="false"/>
          <w:color w:val="000000"/>
          <w:sz w:val="24"/>
        </w:rPr>
        <w:t>8.5</w:t>
      </w:r>
      <w:r>
        <w:rPr>
          <w:rFonts w:ascii="Times New Roman;serif" w:hAnsi="Times New Roman;serif"/>
          <w:b w:val="false"/>
          <w:color w:val="000000"/>
          <w:sz w:val="24"/>
          <w:u w:val="single"/>
        </w:rPr>
        <w:t>Pre-Arbitration Mediation</w:t>
      </w:r>
      <w:r>
        <w:rPr>
          <w:rFonts w:ascii="Times New Roman;serif" w:hAnsi="Times New Roman;serif"/>
          <w:b w:val="false"/>
          <w:color w:val="000000"/>
          <w:sz w:val="24"/>
        </w:rPr>
        <w:t>. The Employee and the Company agree that prior to submitting a Claim for arbitration, the parties will first seek to resolve the dispute through voluntary mediation. Either party may give written notice to the other party requesting mediation of the dispute (the “Mediation Notice”). A single mediator, with experience mediating employment disputes, will be jointly selected by the parties. The Company agrees to pay the mediator’s fee for a private mediation, up to one day in length. If mediation is unsuccessful, either of the parties may submit the dispute to binding arbitration by giving written notice to the other party and the mediator requesting arbitration of the dispute (the “Arbitration Notice”). The parties agree that any applicable statute of limitations shall be tolled from the date the Mediation Notice is provided until the date the Arbitration Notice is provided, or 30 days following the unsuccessful mediation session, whichever occurs first. Either party may elect to submit a claim for injunctive relief without first utilizing this pre-arbitration mediation process.</w:t>
      </w:r>
    </w:p>
    <w:p>
      <w:pPr>
        <w:pStyle w:val="TextBody"/>
        <w:bidi w:val="0"/>
        <w:spacing w:lineRule="auto" w:line="240" w:before="0" w:after="220"/>
        <w:jc w:val="both"/>
        <w:rPr/>
      </w:pPr>
      <w:r>
        <w:rPr>
          <w:rFonts w:ascii="Times New Roman;serif" w:hAnsi="Times New Roman;serif"/>
          <w:b w:val="false"/>
          <w:color w:val="000000"/>
          <w:sz w:val="24"/>
        </w:rPr>
        <w:t>8.6</w:t>
      </w:r>
      <w:r>
        <w:rPr>
          <w:rFonts w:ascii="Times New Roman;serif" w:hAnsi="Times New Roman;serif"/>
          <w:b w:val="false"/>
          <w:color w:val="000000"/>
          <w:sz w:val="24"/>
          <w:u w:val="single"/>
        </w:rPr>
        <w:t>Arbitration Procedure</w:t>
      </w:r>
      <w:r>
        <w:rPr>
          <w:rFonts w:ascii="Times New Roman;serif" w:hAnsi="Times New Roman;serif"/>
          <w:b w:val="false"/>
          <w:color w:val="000000"/>
          <w:sz w:val="24"/>
        </w:rPr>
        <w:t xml:space="preserve">. The Employee and the Company agree that Claims will be submitted to a single, neutral arbitrator, who will make a ruling in a signed writing, including findings of fact and law, within thirty days following the arbitration proceeding. The arbitrator alone and not a court shall have jurisdiction to decide the arbitrator’s jurisdiction, any questions as to the arbitrability of Claims, whether an agreement to arbitrate exists and is valid, and whether the agreement to arbitrate covers the dispute in question. Provided, however, that to the extent any Claims subject to this Agreement are brought as a class action, collective action, or representative action and the arbitrator finds the Class Action Waiver set forth in Section 8.3 </w:t>
      </w:r>
    </w:p>
    <w:p>
      <w:pPr>
        <w:pStyle w:val="TextBody"/>
        <w:bidi w:val="0"/>
        <w:spacing w:before="0" w:after="0"/>
        <w:jc w:val="right"/>
        <w:rPr/>
      </w:pPr>
      <w:r>
        <w:rPr/>
        <w:drawing>
          <wp:inline distT="0" distB="0" distL="0" distR="0">
            <wp:extent cx="1685925" cy="647700"/>
            <wp:effectExtent l="0" t="0" r="0" b="0"/>
            <wp:docPr id="2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0" descr=""/>
                    <pic:cNvPicPr>
                      <a:picLocks noChangeAspect="1" noChangeArrowheads="1"/>
                    </pic:cNvPicPr>
                  </pic:nvPicPr>
                  <pic:blipFill>
                    <a:blip r:embed="rId32"/>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16840"/>
                <wp:effectExtent l="0" t="0" r="0" b="0"/>
                <wp:wrapNone/>
                <wp:docPr id="243" name="Frame2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18 - 24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18 - 24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4"/>
        </w:rPr>
      </w:pPr>
      <w:r>
        <w:rPr>
          <w:rFonts w:ascii="Times New Roman;serif" w:hAnsi="Times New Roman;serif"/>
          <w:b w:val="false"/>
          <w:color w:val="000000"/>
          <w:sz w:val="24"/>
        </w:rPr>
        <w:t>is unenforceable, the arbitrator shall not have jurisdiction to hear or arbitrate any such Claims on a class action, collective action, or representative action basis. In such instances, the class action, collective action, or representative action must be litigated in a civil court of a competent jurisdiction. The arbitrator will be permitted to award only those remedies in law or equity that are requested by the parties and allowed by local, state and/or federal substantive law applicable to the Claim(s). The Employee understands and agrees that the arbitrator’s ruling will state the facts and the law on which the decision is based, will be final and binding on both the Employee and the Company and any other party in the arbitration proceeding, and cannot be reviewed for error of law or legal reasoning of any kind. A judgment upon an award rendered by the arbitrator may be entered in any court of competent jurisdiction.</w:t>
      </w:r>
    </w:p>
    <w:p>
      <w:pPr>
        <w:pStyle w:val="TextBody"/>
        <w:bidi w:val="0"/>
        <w:spacing w:lineRule="auto" w:line="240" w:before="0" w:after="220"/>
        <w:jc w:val="both"/>
        <w:rPr/>
      </w:pPr>
      <w:r>
        <w:rPr>
          <w:rFonts w:ascii="Times New Roman;serif" w:hAnsi="Times New Roman;serif"/>
          <w:b w:val="false"/>
          <w:color w:val="000000"/>
          <w:sz w:val="24"/>
        </w:rPr>
        <w:t>8.7</w:t>
      </w:r>
      <w:r>
        <w:rPr>
          <w:rFonts w:ascii="Times New Roman;serif" w:hAnsi="Times New Roman;serif"/>
          <w:b w:val="false"/>
          <w:color w:val="000000"/>
          <w:sz w:val="24"/>
          <w:u w:val="single"/>
        </w:rPr>
        <w:t>Administrative Remedies / Statute of Limitations</w:t>
      </w:r>
      <w:r>
        <w:rPr>
          <w:rFonts w:ascii="Times New Roman;serif" w:hAnsi="Times New Roman;serif"/>
          <w:b w:val="false"/>
          <w:color w:val="000000"/>
          <w:sz w:val="24"/>
        </w:rPr>
        <w:t xml:space="preserve">. If either the Employee or the Company fails to make a written request for arbitration within the statute of limitations period applicable to a Claim under applicable law or otherwise fails to comply with the administrative prerequisites to filing certain types of claims, the Employee and/or the Company will have waived the right to raise that claim in any forum. In the event that the Employee or the Company should file an action in court in violation of this Agreement, that court shall require the Parties to arbitrate all Claims and, additionally, shall order the Parties to arbitrate the issue of whether or not the Claims are subject to the arbitration. </w:t>
      </w:r>
    </w:p>
    <w:p>
      <w:pPr>
        <w:pStyle w:val="TextBody"/>
        <w:bidi w:val="0"/>
        <w:spacing w:lineRule="auto" w:line="240" w:before="0" w:after="220"/>
        <w:jc w:val="both"/>
        <w:rPr/>
      </w:pPr>
      <w:r>
        <w:rPr>
          <w:rFonts w:ascii="Times New Roman;serif" w:hAnsi="Times New Roman;serif"/>
          <w:b w:val="false"/>
          <w:color w:val="000000"/>
          <w:sz w:val="24"/>
        </w:rPr>
        <w:t>8.8</w:t>
      </w:r>
      <w:r>
        <w:rPr>
          <w:rFonts w:ascii="Times New Roman;serif" w:hAnsi="Times New Roman;serif"/>
          <w:b w:val="false"/>
          <w:color w:val="000000"/>
          <w:sz w:val="24"/>
          <w:u w:val="single"/>
        </w:rPr>
        <w:t>Witnesses and Evidence</w:t>
      </w:r>
      <w:r>
        <w:rPr>
          <w:rFonts w:ascii="Times New Roman;serif" w:hAnsi="Times New Roman;serif"/>
          <w:b w:val="false"/>
          <w:color w:val="000000"/>
          <w:sz w:val="24"/>
        </w:rPr>
        <w:t xml:space="preserve">. The Employee and the Company will have the right to conduct discovery in accordance with Massachusetts law, and the arbitrator shall have the power to decide any discovery disputes between the parties. The Employee and the Company may also call witnesses, cross-examine the other party’s witnesses, and present evidence during the arbitration proceeding in accordance with Massachusetts’s Rules of Civil Procedure, as applied by the arbitrator. </w:t>
      </w:r>
    </w:p>
    <w:p>
      <w:pPr>
        <w:pStyle w:val="TextBody"/>
        <w:bidi w:val="0"/>
        <w:spacing w:lineRule="auto" w:line="240" w:before="0" w:after="220"/>
        <w:jc w:val="both"/>
        <w:rPr/>
      </w:pPr>
      <w:r>
        <w:rPr>
          <w:rFonts w:ascii="Times New Roman;serif" w:hAnsi="Times New Roman;serif"/>
          <w:b w:val="false"/>
          <w:color w:val="000000"/>
          <w:sz w:val="24"/>
        </w:rPr>
        <w:t>8.9</w:t>
      </w:r>
      <w:r>
        <w:rPr>
          <w:rFonts w:ascii="Times New Roman;serif" w:hAnsi="Times New Roman;serif"/>
          <w:b w:val="false"/>
          <w:color w:val="000000"/>
          <w:sz w:val="24"/>
          <w:u w:val="single"/>
        </w:rPr>
        <w:t>Cost of Arbitration and Legal Fees</w:t>
      </w:r>
      <w:r>
        <w:rPr>
          <w:rFonts w:ascii="Times New Roman;serif" w:hAnsi="Times New Roman;serif"/>
          <w:b w:val="false"/>
          <w:color w:val="000000"/>
          <w:sz w:val="24"/>
        </w:rPr>
        <w:t>. The cost of arbitration will be paid by the Company, except that the Employee will be required to pay the initial filing fee if the Employee initiates arbitration, to the extent that the filing fee does not exceed the fee to file a complaint in state or federal court. The Company will pay for the balance of the arbitrator’s fees and all administrative costs related to the arbitration. The parties will each bear their own costs for legal representation, discovery, deposition, expert witnesses, and other legal costs ordinarily borne by a party in litigation, provided, however, that the arbitrator shall have the authority to require one party to pay the costs and fees for the other party’s representation during the arbitration, but only to the extent permitted under relevant federal or state laws, as a part of any remedy that may be ordered.</w:t>
      </w:r>
    </w:p>
    <w:p>
      <w:pPr>
        <w:pStyle w:val="TextBody"/>
        <w:bidi w:val="0"/>
        <w:spacing w:lineRule="auto" w:line="240" w:before="0" w:after="220"/>
        <w:jc w:val="both"/>
        <w:rPr/>
      </w:pPr>
      <w:r>
        <w:rPr>
          <w:rFonts w:ascii="Times New Roman;serif" w:hAnsi="Times New Roman;serif"/>
          <w:b w:val="false"/>
          <w:color w:val="000000"/>
          <w:sz w:val="24"/>
        </w:rPr>
        <w:t>8.10</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The parties shall maintain the confidential nature of the arbitration proceedings and the award including the hearing, except as may be necessary to prepare for or conduct the arbitration hearing on the merits, or except as may be necessary in connection with a court application for a preliminary remedy, a judicial challenge to an award or its enforcement, or unless otherwise required by law. Resolution of the dispute shall be based solely upon the law governing the claims and defenses pleaded, and the arbitrator may not invoke any basis (including but not limited to notions of “just cause”) other than such controlling law. The arbitrator(s) shall render an award(s) that shall be based upon a written, reasoned opinion.</w:t>
      </w:r>
    </w:p>
    <w:p>
      <w:pPr>
        <w:pStyle w:val="TextBody"/>
        <w:bidi w:val="0"/>
        <w:spacing w:lineRule="auto" w:line="240" w:before="0" w:after="220"/>
        <w:jc w:val="both"/>
        <w:rPr/>
      </w:pPr>
      <w:r>
        <w:rPr>
          <w:rFonts w:ascii="Times New Roman;serif" w:hAnsi="Times New Roman;serif"/>
          <w:b w:val="false"/>
          <w:color w:val="000000"/>
          <w:sz w:val="24"/>
        </w:rPr>
        <w:t>8.11</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The interpretation, construction and performance of this Agreement will be governed by the laws of the Commonwealth of Massachusetts that are applicable to agreements made and to be performed in Massachusetts, except that questions concerning the </w:t>
      </w:r>
    </w:p>
    <w:p>
      <w:pPr>
        <w:pStyle w:val="TextBody"/>
        <w:bidi w:val="0"/>
        <w:spacing w:before="0" w:after="0"/>
        <w:jc w:val="right"/>
        <w:rPr/>
      </w:pPr>
      <w:r>
        <w:rPr/>
        <w:drawing>
          <wp:inline distT="0" distB="0" distL="0" distR="0">
            <wp:extent cx="1685925" cy="647700"/>
            <wp:effectExtent l="0" t="0" r="0" b="0"/>
            <wp:docPr id="24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1" descr=""/>
                    <pic:cNvPicPr>
                      <a:picLocks noChangeAspect="1" noChangeArrowheads="1"/>
                    </pic:cNvPicPr>
                  </pic:nvPicPr>
                  <pic:blipFill>
                    <a:blip r:embed="rId33"/>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16840"/>
                <wp:effectExtent l="0" t="0" r="0" b="0"/>
                <wp:wrapNone/>
                <wp:docPr id="245" name="Frame2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19 - 24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19 - 24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4"/>
        </w:rPr>
      </w:pPr>
      <w:r>
        <w:rPr>
          <w:rFonts w:ascii="Times New Roman;serif" w:hAnsi="Times New Roman;serif"/>
          <w:b w:val="false"/>
          <w:color w:val="000000"/>
          <w:sz w:val="24"/>
        </w:rPr>
        <w:t>enforceability of this Agreement shall be decided by the arbitrator pursuant to the FAA.</w:t>
      </w:r>
    </w:p>
    <w:p>
      <w:pPr>
        <w:pStyle w:val="TextBody"/>
        <w:bidi w:val="0"/>
        <w:spacing w:lineRule="auto" w:line="240" w:before="220" w:after="220"/>
        <w:jc w:val="both"/>
        <w:rPr/>
      </w:pPr>
      <w:r>
        <w:rPr>
          <w:rFonts w:ascii="Times New Roman;serif" w:hAnsi="Times New Roman;serif"/>
          <w:b/>
          <w:color w:val="000000"/>
          <w:sz w:val="24"/>
        </w:rPr>
        <w:t>Article 9</w:t>
      </w:r>
      <w:r>
        <w:rPr>
          <w:color w:val="000000"/>
        </w:rPr>
        <w:t xml:space="preserve"> – </w:t>
      </w:r>
      <w:r>
        <w:rPr>
          <w:rFonts w:ascii="Times New Roman;serif" w:hAnsi="Times New Roman;serif"/>
          <w:b/>
          <w:color w:val="000000"/>
          <w:sz w:val="24"/>
        </w:rPr>
        <w:t>GENERAL</w:t>
      </w:r>
    </w:p>
    <w:p>
      <w:pPr>
        <w:pStyle w:val="TextBody"/>
        <w:bidi w:val="0"/>
        <w:spacing w:lineRule="auto" w:line="240" w:before="0" w:after="220"/>
        <w:jc w:val="both"/>
        <w:rPr/>
      </w:pPr>
      <w:r>
        <w:rPr>
          <w:rFonts w:ascii="Times New Roman;serif" w:hAnsi="Times New Roman;serif"/>
          <w:b w:val="false"/>
          <w:color w:val="000000"/>
          <w:sz w:val="24"/>
        </w:rPr>
        <w:t>9.1</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notices to be given hereunder by either party to the other party may be effected in writing, either by personal delivery or by mail if sent certified, postage prepaid, with return receipt requested. Mailed notices will be addressed to the parties at the address set out on the first page of this Agreement, or as otherwise specified from time to time. Notice will be effective upon delivery.</w:t>
      </w:r>
    </w:p>
    <w:p>
      <w:pPr>
        <w:pStyle w:val="TextBody"/>
        <w:bidi w:val="0"/>
        <w:spacing w:lineRule="auto" w:line="240" w:before="0" w:after="220"/>
        <w:jc w:val="both"/>
        <w:rPr/>
      </w:pPr>
      <w:r>
        <w:rPr>
          <w:rFonts w:ascii="Times New Roman;serif" w:hAnsi="Times New Roman;serif"/>
          <w:b w:val="false"/>
          <w:color w:val="000000"/>
          <w:sz w:val="24"/>
        </w:rPr>
        <w:t>9.2</w:t>
      </w:r>
      <w:r>
        <w:rPr>
          <w:rFonts w:ascii="Times New Roman;serif" w:hAnsi="Times New Roman;serif"/>
          <w:b w:val="false"/>
          <w:color w:val="000000"/>
          <w:sz w:val="24"/>
          <w:u w:val="single"/>
        </w:rPr>
        <w:t>Independent Legal Advice</w:t>
      </w:r>
      <w:r>
        <w:rPr>
          <w:rFonts w:ascii="Times New Roman;serif" w:hAnsi="Times New Roman;serif"/>
          <w:b w:val="false"/>
          <w:color w:val="000000"/>
          <w:sz w:val="24"/>
        </w:rPr>
        <w:t xml:space="preserve">. The Employee specifically confirms that Employee has been advised to retain Employee’s own independent legal advice prior to entering into this Agreement. </w:t>
      </w:r>
    </w:p>
    <w:p>
      <w:pPr>
        <w:pStyle w:val="TextBody"/>
        <w:bidi w:val="0"/>
        <w:spacing w:lineRule="auto" w:line="240" w:before="0" w:after="220"/>
        <w:jc w:val="both"/>
        <w:rPr/>
      </w:pPr>
      <w:r>
        <w:rPr>
          <w:rFonts w:ascii="Times New Roman;serif" w:hAnsi="Times New Roman;serif"/>
          <w:b w:val="false"/>
          <w:color w:val="000000"/>
          <w:sz w:val="24"/>
        </w:rPr>
        <w:t>9.3</w:t>
      </w:r>
      <w:r>
        <w:rPr>
          <w:rFonts w:ascii="Times New Roman;serif" w:hAnsi="Times New Roman;serif"/>
          <w:b w:val="false"/>
          <w:color w:val="000000"/>
          <w:sz w:val="24"/>
          <w:u w:val="single"/>
        </w:rPr>
        <w:t>Construction</w:t>
      </w:r>
      <w:r>
        <w:rPr>
          <w:rFonts w:ascii="Times New Roman;serif" w:hAnsi="Times New Roman;serif"/>
          <w:b w:val="false"/>
          <w:color w:val="000000"/>
          <w:sz w:val="24"/>
        </w:rPr>
        <w:t xml:space="preserve">. The parties acknowledge that each party and its respective counsel have had the opportunity to independently review and negotiate the terms and conditions of this Agreement, and that the normal rule of construction to the effect that any ambiguities are to be construed against the drafting party will not be employed in the interpretation of this Agreement or any exhibits or amendments hereto. </w:t>
      </w:r>
    </w:p>
    <w:p>
      <w:pPr>
        <w:pStyle w:val="TextBody"/>
        <w:bidi w:val="0"/>
        <w:spacing w:lineRule="auto" w:line="240" w:before="0" w:after="220"/>
        <w:jc w:val="both"/>
        <w:rPr/>
      </w:pPr>
      <w:r>
        <w:rPr>
          <w:rFonts w:ascii="Times New Roman;serif" w:hAnsi="Times New Roman;serif"/>
          <w:b w:val="false"/>
          <w:color w:val="000000"/>
          <w:sz w:val="24"/>
        </w:rPr>
        <w:t>9.4</w:t>
      </w:r>
      <w:r>
        <w:rPr>
          <w:rFonts w:ascii="Times New Roman;serif" w:hAnsi="Times New Roman;serif"/>
          <w:b w:val="false"/>
          <w:color w:val="000000"/>
          <w:sz w:val="24"/>
          <w:u w:val="single"/>
        </w:rPr>
        <w:t>Assignment</w:t>
      </w:r>
      <w:r>
        <w:rPr>
          <w:rFonts w:ascii="Times New Roman;serif" w:hAnsi="Times New Roman;serif"/>
          <w:b w:val="false"/>
          <w:color w:val="000000"/>
          <w:sz w:val="24"/>
        </w:rPr>
        <w:t>. The Employee cannot assign Employee’s interest in this Agreement.</w:t>
      </w:r>
    </w:p>
    <w:p>
      <w:pPr>
        <w:pStyle w:val="TextBody"/>
        <w:bidi w:val="0"/>
        <w:spacing w:lineRule="auto" w:line="240" w:before="0" w:after="220"/>
        <w:jc w:val="both"/>
        <w:rPr/>
      </w:pPr>
      <w:r>
        <w:rPr>
          <w:rFonts w:ascii="Times New Roman;serif" w:hAnsi="Times New Roman;serif"/>
          <w:b w:val="false"/>
          <w:color w:val="000000"/>
          <w:sz w:val="24"/>
        </w:rPr>
        <w:t>9.5</w:t>
      </w:r>
      <w:r>
        <w:rPr>
          <w:rFonts w:ascii="Times New Roman;serif" w:hAnsi="Times New Roman;serif"/>
          <w:b w:val="false"/>
          <w:color w:val="000000"/>
          <w:sz w:val="24"/>
          <w:u w:val="single"/>
        </w:rPr>
        <w:t>Benefit of Agreement</w:t>
      </w:r>
      <w:r>
        <w:rPr>
          <w:rFonts w:ascii="Times New Roman;serif" w:hAnsi="Times New Roman;serif"/>
          <w:b w:val="false"/>
          <w:color w:val="000000"/>
          <w:sz w:val="24"/>
        </w:rPr>
        <w:t>. This Agreement will inure to the benefit of and be binding upon the respective heirs, executors, administrators, successors and permitted assigns of the parties hereto.</w:t>
      </w:r>
    </w:p>
    <w:p>
      <w:pPr>
        <w:pStyle w:val="TextBody"/>
        <w:bidi w:val="0"/>
        <w:spacing w:lineRule="auto" w:line="240" w:before="0" w:after="220"/>
        <w:jc w:val="both"/>
        <w:rPr/>
      </w:pPr>
      <w:r>
        <w:rPr>
          <w:rFonts w:ascii="Times New Roman;serif" w:hAnsi="Times New Roman;serif"/>
          <w:b w:val="false"/>
          <w:color w:val="000000"/>
          <w:sz w:val="24"/>
        </w:rPr>
        <w:t>9.6</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The terms and conditions contained within this Agreement constitute the entire agreement between the parties hereto with respect to the subject matter hereof and cancels and supersedes any prior employment agreements, understandings and arrangements between the parties hereto with respect thereto. There are no representations, warranties, terms, conditions, undertakings or collateral agreements, express, implied or statutory, between the parties other than as expressly set forth in this Agreement.</w:t>
      </w:r>
    </w:p>
    <w:p>
      <w:pPr>
        <w:pStyle w:val="TextBody"/>
        <w:bidi w:val="0"/>
        <w:spacing w:lineRule="auto" w:line="240" w:before="0" w:after="220"/>
        <w:jc w:val="both"/>
        <w:rPr/>
      </w:pPr>
      <w:r>
        <w:rPr>
          <w:rFonts w:ascii="Times New Roman;serif" w:hAnsi="Times New Roman;serif"/>
          <w:b w:val="false"/>
          <w:color w:val="000000"/>
          <w:sz w:val="24"/>
        </w:rPr>
        <w:t>9.7</w:t>
      </w:r>
      <w:r>
        <w:rPr>
          <w:rFonts w:ascii="Times New Roman;serif" w:hAnsi="Times New Roman;serif"/>
          <w:b w:val="false"/>
          <w:color w:val="000000"/>
          <w:sz w:val="24"/>
          <w:u w:val="single"/>
        </w:rPr>
        <w:t>Amendments and Waivers</w:t>
      </w:r>
      <w:r>
        <w:rPr>
          <w:rFonts w:ascii="Times New Roman;serif" w:hAnsi="Times New Roman;serif"/>
          <w:b w:val="false"/>
          <w:color w:val="000000"/>
          <w:sz w:val="24"/>
        </w:rPr>
        <w:t>. No amendment to this Agreement will be valid or binding unless set forth in writing and duly executed by the Employee and the Head of Global Human Resources of the Company or his/her duly authorized designee. No waiver of any breach of any provision of this Agreement will be effective or binding unless made in writing and signed by the party purporting to give the same and, unless otherwise provided in the written waiver, will be limited to the specific breach waived.</w:t>
      </w:r>
    </w:p>
    <w:p>
      <w:pPr>
        <w:pStyle w:val="TextBody"/>
        <w:bidi w:val="0"/>
        <w:spacing w:lineRule="auto" w:line="240" w:before="0" w:after="220"/>
        <w:jc w:val="both"/>
        <w:rPr/>
      </w:pPr>
      <w:r>
        <w:rPr>
          <w:rFonts w:ascii="Times New Roman;serif" w:hAnsi="Times New Roman;serif"/>
          <w:b w:val="false"/>
          <w:color w:val="000000"/>
          <w:sz w:val="24"/>
        </w:rPr>
        <w:t>9.8</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will be governed by and construed, enforced and interpreted exclusively in accordance with the laws of the Commonwealth of Massachusetts, except as specified in Articles 5.3 and 8 above.</w:t>
      </w:r>
    </w:p>
    <w:p>
      <w:pPr>
        <w:pStyle w:val="TextBody"/>
        <w:bidi w:val="0"/>
        <w:spacing w:lineRule="auto" w:line="240" w:before="0" w:after="220"/>
        <w:jc w:val="both"/>
        <w:rPr/>
      </w:pPr>
      <w:r>
        <w:rPr>
          <w:rFonts w:ascii="Times New Roman;serif" w:hAnsi="Times New Roman;serif"/>
          <w:b w:val="false"/>
          <w:color w:val="000000"/>
          <w:sz w:val="24"/>
        </w:rPr>
        <w:t>9.9</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xml:space="preserve">. The parties intend that payments and benefits under this Agreement are exempt from or comply with Internal Revenue Code Section 409A and the regulations and guidance thereunder (collectively “Code Section 409A”) and, accordingly, to the maximum extent permitted, this Agreement will be interpreted to be in compliance with Code Section 409A. </w:t>
      </w:r>
    </w:p>
    <w:p>
      <w:pPr>
        <w:pStyle w:val="TextBody"/>
        <w:bidi w:val="0"/>
        <w:spacing w:before="0" w:after="0"/>
        <w:jc w:val="right"/>
        <w:rPr/>
      </w:pPr>
      <w:r>
        <w:rPr/>
        <w:drawing>
          <wp:inline distT="0" distB="0" distL="0" distR="0">
            <wp:extent cx="1685925" cy="647700"/>
            <wp:effectExtent l="0" t="0" r="0" b="0"/>
            <wp:docPr id="24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 descr=""/>
                    <pic:cNvPicPr>
                      <a:picLocks noChangeAspect="1" noChangeArrowheads="1"/>
                    </pic:cNvPicPr>
                  </pic:nvPicPr>
                  <pic:blipFill>
                    <a:blip r:embed="rId34"/>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16840"/>
                <wp:effectExtent l="0" t="0" r="0" b="0"/>
                <wp:wrapNone/>
                <wp:docPr id="247" name="Frame2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20 - 24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20 - 24</w:t>
                      </w:r>
                    </w:p>
                  </w:txbxContent>
                </v:textbox>
                <w10:wrap type="none"/>
              </v:rect>
            </w:pict>
          </mc:Fallback>
        </mc:AlternateConten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(a)To the extent that any provision hereof is modified in order to comply with Code Section 409A, such modification will be made in good faith and will, to the maximum extent reasonably possible, maintain the original intent and economic benefit to the Employee and the Company of the applicable provision without violating the provisions of Code Section 409A. In no event whatsoever will the Company be liable for any additional tax, interest or penalty that may be imposed on the Employee by reason of Code Section 409A or damages for failing to comply with Code Section 409A. For purposes of compliance with Code Section 409A, each payment subject to Code Section 409A (or intended to satisfy an exception under Code Section 409A including payment under Sections 4.3(c) and 4.3(d) of this Agreement) will be treated as a separate payment, and the right to a series of installment payments under this Agreement will be treated as a right to a series of separate payments.</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(b)To the extent that payments under the Agreement that are payable upon the Employee’s termination of employment constitute “nonqualified deferred compensation” that is subject to Code Section 409A, a termination of employment will not be deemed to have occurred for purposes of any provision of this Agreement providing for any such payment upon or following a termination of employment unless such termination is also a “separation from service” within the meaning of Code Section 409A and, for purposes of any such provision of this Agreement, references to a “termination,” “termination of employment” or like terms means “separation from service.” </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(c)Notwithstanding any other payment schedule provided herein to the contrary, if the Employee is deemed on the date of termination to be a “specified employee” within the meaning of that term under Code Section 409A (or the Company has opted to treat all employees as “specified employees”), then any payment that is considered “nonqualified deferred compensation” under Code Section 409A payable on account of a “separation from service” will not be made until the date which is the earlier of: </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(i)the expiration of the six (6)-month period measured from the date of such “separation from service” of the Employee, and </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date of the Employee’s death, to the extent required under Code Section 409A (the delay referred to as the “Delay Period”). </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(d)Upon the expiration of the Delay Period, all payments delayed pursuant to this Section 9.9 (whether they would have otherwise been payable in a single sum or in installments in the absence of such delay) will be paid to the Employee in a lump sum (with no accrued interest), and all remaining payments due under this Agreement will be paid or provided in accordance with the normal payment dates specified for them herein.</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(e)Any reimbursements by the Company to the Employee of any eligible expenses under this Agreement that are not excludable from the Employee’s income for U.S. federal income tax purposes (the “Taxable Reimbursements”) shall be made by no later than the last day of the taxable year of the Employee following the year in which the expense was incurred. The amount of any Taxable Reimbursements, and the value of any in-kind benefits to be provided to the </w:t>
      </w:r>
    </w:p>
    <w:p>
      <w:pPr>
        <w:pStyle w:val="TextBody"/>
        <w:bidi w:val="0"/>
        <w:spacing w:before="0" w:after="0"/>
        <w:jc w:val="right"/>
        <w:rPr/>
      </w:pPr>
      <w:r>
        <w:rPr/>
        <w:drawing>
          <wp:inline distT="0" distB="0" distL="0" distR="0">
            <wp:extent cx="1685925" cy="647700"/>
            <wp:effectExtent l="0" t="0" r="0" b="0"/>
            <wp:docPr id="24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 descr=""/>
                    <pic:cNvPicPr>
                      <a:picLocks noChangeAspect="1" noChangeArrowheads="1"/>
                    </pic:cNvPicPr>
                  </pic:nvPicPr>
                  <pic:blipFill>
                    <a:blip r:embed="rId35"/>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16840"/>
                <wp:effectExtent l="0" t="0" r="0" b="0"/>
                <wp:wrapNone/>
                <wp:docPr id="249" name="Frame2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21 - 24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21 - 24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4"/>
        </w:rPr>
      </w:pPr>
      <w:r>
        <w:rPr>
          <w:rFonts w:ascii="Times New Roman;serif" w:hAnsi="Times New Roman;serif"/>
          <w:b w:val="false"/>
          <w:color w:val="000000"/>
          <w:sz w:val="24"/>
        </w:rPr>
        <w:t>Employee, during any taxable year of the Employee shall not affect the expenses eligible for reimbursement, or in-kind benefits to be provided, in any other taxable year of the Employee. The right to Taxable Reimbursement, or in-kind benefits, shall not be subject to liquidation or exchange for another benefit.</w:t>
      </w:r>
    </w:p>
    <w:p>
      <w:pPr>
        <w:pStyle w:val="TextBody"/>
        <w:bidi w:val="0"/>
        <w:spacing w:lineRule="auto" w:line="240" w:before="0" w:after="220"/>
        <w:jc w:val="left"/>
        <w:rPr/>
      </w:pPr>
      <w:r>
        <w:rPr>
          <w:rFonts w:ascii="Times New Roman;serif" w:hAnsi="Times New Roman;serif"/>
          <w:b w:val="false"/>
          <w:color w:val="000000"/>
          <w:sz w:val="24"/>
        </w:rPr>
        <w:t>9.10</w:t>
      </w:r>
      <w:r>
        <w:rPr>
          <w:rFonts w:ascii="Times New Roman;serif" w:hAnsi="Times New Roman;serif"/>
          <w:b w:val="false"/>
          <w:color w:val="000000"/>
          <w:sz w:val="24"/>
          <w:u w:val="single"/>
        </w:rPr>
        <w:t>Limitation on Payments</w:t>
      </w:r>
      <w:r>
        <w:rPr>
          <w:rFonts w:ascii="Times New Roman;serif" w:hAnsi="Times New Roman;serif"/>
          <w:b w:val="false"/>
          <w:color w:val="000000"/>
          <w:sz w:val="24"/>
        </w:rPr>
        <w:t>.</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(a)In the event that the severance or change in control-related or other payments or benefits provided for in this Agreement or otherwise payable to Employee (collectively, the “Payments”) (x) constitute “parachute payments” within the meaning of Section 280G of the Code, and (y) but for this Section 9.10, would be subject to the excise tax imposed by Section 4999 of the Code, then such payments or benefits will be either:</w:t>
      </w:r>
    </w:p>
    <w:p>
      <w:pPr>
        <w:pStyle w:val="TextBody"/>
        <w:bidi w:val="0"/>
        <w:spacing w:lineRule="auto" w:line="288" w:before="240" w:after="220"/>
        <w:jc w:val="both"/>
        <w:rPr>
          <w:rFonts w:ascii="Times New Roman;serif" w:hAnsi="Times New Roman;serif"/>
          <w:b w:val="false"/>
          <w:color w:val="000000"/>
          <w:sz w:val="24"/>
        </w:rPr>
      </w:pPr>
      <w:r>
        <w:rPr>
          <w:rFonts w:ascii="Times New Roman;serif" w:hAnsi="Times New Roman;serif"/>
          <w:b w:val="false"/>
          <w:color w:val="000000"/>
          <w:sz w:val="24"/>
        </w:rPr>
        <w:t>(i) delivered in full, or</w:t>
      </w:r>
    </w:p>
    <w:p>
      <w:pPr>
        <w:pStyle w:val="TextBody"/>
        <w:bidi w:val="0"/>
        <w:spacing w:lineRule="auto" w:line="288" w:before="240" w:after="220"/>
        <w:jc w:val="both"/>
        <w:rPr>
          <w:rFonts w:ascii="Times New Roman;serif" w:hAnsi="Times New Roman;serif"/>
          <w:b w:val="false"/>
          <w:color w:val="000000"/>
          <w:sz w:val="24"/>
        </w:rPr>
      </w:pPr>
      <w:r>
        <w:rPr>
          <w:rFonts w:ascii="Times New Roman;serif" w:hAnsi="Times New Roman;serif"/>
          <w:b w:val="false"/>
          <w:color w:val="000000"/>
          <w:sz w:val="24"/>
        </w:rPr>
        <w:t>(ii) delivered as to such lesser extent which would result in no portion of such benefits being subject to excise tax under Section 4999 of the Code,</w:t>
      </w:r>
    </w:p>
    <w:p>
      <w:pPr>
        <w:pStyle w:val="TextBody"/>
        <w:bidi w:val="0"/>
        <w:spacing w:lineRule="auto" w:line="288" w:before="240" w:after="220"/>
        <w:jc w:val="both"/>
        <w:rPr>
          <w:rFonts w:ascii="Times New Roman;serif" w:hAnsi="Times New Roman;serif"/>
          <w:b w:val="false"/>
          <w:color w:val="000000"/>
          <w:sz w:val="24"/>
        </w:rPr>
      </w:pPr>
      <w:r>
        <w:rPr>
          <w:rFonts w:ascii="Times New Roman;serif" w:hAnsi="Times New Roman;serif"/>
          <w:b w:val="false"/>
          <w:color w:val="000000"/>
          <w:sz w:val="24"/>
        </w:rPr>
        <w:t>whichever of the foregoing amounts, taking into account the applicable federal, state and local income taxes and the excise tax imposed by Section 4999 of the Code, results in the receipt by the Employee on an after-tax basis, of the greatest amount of Payments, notwithstanding that all or some portion of such Payments may be taxable under Section 4999 of the Code. If a reduction in Payments constituting “parachute payments” is necessary so that Payments are delivered to a lesser extent, reduction will occur in the following order: (i) cancellation of equity awards granted “contingent on a change in ownership or control” (within the meaning of Section 280G of the Code); (ii) a pro rata reduction of (A) cash payments that are subject to Code Section 409A as deferred compensation and (B) cash payments not subject to Code Section 409A; (iii) a pro rata reduction of (A) employee benefits that are subject to Section 409A as deferred compensation and (B) employee benefits not subject to Section 409A; and (iv) a pro rata cancellation of (A) accelerated vesting of equity awards that are subject to Code Section 409A as deferred compensation and (B) equity awards not subject to Code Section 409A. If acceleration of vesting of equity awards is to be cancelled, such acceleration of vesting will be cancelled in the reverse order of the date of grant of Employee’s equity awards. In no event will Employee have any discretion with respect to the ordering of payment reductions.</w:t>
      </w:r>
    </w:p>
    <w:p>
      <w:pPr>
        <w:pStyle w:val="TextBody"/>
        <w:bidi w:val="0"/>
        <w:spacing w:lineRule="auto" w:line="240" w:before="0" w:after="220"/>
        <w:ind w:left="0" w:right="0" w:hanging="720"/>
        <w:jc w:val="both"/>
        <w:rPr/>
      </w:pPr>
      <w:r>
        <w:rPr>
          <w:rFonts w:ascii="Times New Roman;serif" w:hAnsi="Times New Roman;serif"/>
          <w:b w:val="false"/>
          <w:color w:val="000000"/>
          <w:sz w:val="24"/>
        </w:rPr>
        <w:t>(b)Unless the Company and Employee otherwise agree in writing, any determination required under this Section 9.10 will be made in writing by a nationally recognized firm of independent public accountants selected by the Company (the “Accountant</w:t>
      </w:r>
      <w:r>
        <w:rPr>
          <w:rFonts w:ascii="Times New Roman;serif" w:hAnsi="Times New Roman;serif"/>
          <w:b/>
          <w:color w:val="000000"/>
          <w:sz w:val="24"/>
        </w:rPr>
        <w:t>s</w:t>
      </w:r>
      <w:r>
        <w:rPr>
          <w:color w:val="000000"/>
        </w:rPr>
        <w:t>”</w:t>
      </w:r>
      <w:r>
        <w:rPr>
          <w:rFonts w:ascii="Times New Roman;serif" w:hAnsi="Times New Roman;serif"/>
          <w:b w:val="false"/>
          <w:color w:val="000000"/>
          <w:sz w:val="24"/>
        </w:rPr>
        <w:t xml:space="preserve">), whose determination will be conclusive and binding upon Employee and the Company for all purposes. For purposes of making the calculations required by this Section 9.10, the Accountants may make reasonable assumptions and approximations concerning applicable taxes </w:t>
      </w:r>
    </w:p>
    <w:p>
      <w:pPr>
        <w:pStyle w:val="TextBody"/>
        <w:bidi w:val="0"/>
        <w:spacing w:before="0" w:after="0"/>
        <w:jc w:val="right"/>
        <w:rPr/>
      </w:pPr>
      <w:r>
        <w:rPr/>
        <w:drawing>
          <wp:inline distT="0" distB="0" distL="0" distR="0">
            <wp:extent cx="1685925" cy="647700"/>
            <wp:effectExtent l="0" t="0" r="0" b="0"/>
            <wp:docPr id="25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 descr=""/>
                    <pic:cNvPicPr>
                      <a:picLocks noChangeAspect="1" noChangeArrowheads="1"/>
                    </pic:cNvPicPr>
                  </pic:nvPicPr>
                  <pic:blipFill>
                    <a:blip r:embed="rId36"/>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16840"/>
                <wp:effectExtent l="0" t="0" r="0" b="0"/>
                <wp:wrapNone/>
                <wp:docPr id="251" name="Frame2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22 - 24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22 - 24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4"/>
        </w:rPr>
      </w:pPr>
      <w:r>
        <w:rPr>
          <w:rFonts w:ascii="Times New Roman;serif" w:hAnsi="Times New Roman;serif"/>
          <w:b w:val="false"/>
          <w:color w:val="000000"/>
          <w:sz w:val="24"/>
        </w:rPr>
        <w:t>and may rely on reasonable, good faith interpretations concerning the application of Sections 280G and 4999 of the Code. The Company and Employee will furnish to the Accountants such information and documents as the Accountants may reasonably request in order to make a determination under this Section 9.10. The Company will bear all costs the Accountants may reasonably incur in connection with any calculations contemplated by this Section 9.10.</w:t>
      </w:r>
    </w:p>
    <w:p>
      <w:pPr>
        <w:pStyle w:val="TextBody"/>
        <w:bidi w:val="0"/>
        <w:spacing w:lineRule="auto" w:line="240" w:before="0" w:after="220"/>
        <w:jc w:val="both"/>
        <w:rPr/>
      </w:pPr>
      <w:r>
        <w:rPr>
          <w:rFonts w:ascii="Times New Roman;serif" w:hAnsi="Times New Roman;serif"/>
          <w:b w:val="false"/>
          <w:color w:val="000000"/>
          <w:sz w:val="24"/>
        </w:rPr>
        <w:t>9.11</w:t>
      </w:r>
      <w:r>
        <w:rPr>
          <w:rFonts w:ascii="Times New Roman;serif" w:hAnsi="Times New Roman;serif"/>
          <w:b w:val="false"/>
          <w:color w:val="000000"/>
          <w:sz w:val="24"/>
          <w:u w:val="single"/>
        </w:rPr>
        <w:t>Right to Consult with Counsel</w:t>
      </w:r>
      <w:r>
        <w:rPr>
          <w:rFonts w:ascii="Times New Roman;serif" w:hAnsi="Times New Roman;serif"/>
          <w:b w:val="false"/>
          <w:color w:val="000000"/>
          <w:sz w:val="24"/>
        </w:rPr>
        <w:t>. The Employee acknowledges and understands that the Employee has the right to consult with counsel of the Employee’s choosing prior to signing this Agreement.</w:t>
      </w:r>
    </w:p>
    <w:p>
      <w:pPr>
        <w:pStyle w:val="TextBody"/>
        <w:bidi w:val="0"/>
        <w:spacing w:before="0" w:after="283"/>
        <w:jc w:val="left"/>
        <w:rPr/>
      </w:pPr>
      <w:r>
        <w:rPr/>
      </w:r>
    </w:p>
    <w:p>
      <w:pPr>
        <w:pStyle w:val="TextBody"/>
        <w:bidi w:val="0"/>
        <w:spacing w:before="0" w:after="0"/>
        <w:jc w:val="right"/>
        <w:rPr/>
      </w:pPr>
      <w:r>
        <w:rPr/>
        <w:drawing>
          <wp:inline distT="0" distB="0" distL="0" distR="0">
            <wp:extent cx="1685925" cy="647700"/>
            <wp:effectExtent l="0" t="0" r="0" b="0"/>
            <wp:docPr id="25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5" descr=""/>
                    <pic:cNvPicPr>
                      <a:picLocks noChangeAspect="1" noChangeArrowheads="1"/>
                    </pic:cNvPicPr>
                  </pic:nvPicPr>
                  <pic:blipFill>
                    <a:blip r:embed="rId37"/>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16840"/>
                <wp:effectExtent l="0" t="0" r="0" b="0"/>
                <wp:wrapNone/>
                <wp:docPr id="253" name="Frame2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23 - 24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23 - 24</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the parties have executed this Agreement as of the last date written below.</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ZYMEWORKS BIOPHARMACEUTICALS INC.</w:t>
      </w:r>
    </w:p>
    <w:p>
      <w:pPr>
        <w:pStyle w:val="TextBody"/>
        <w:bidi w:val="0"/>
        <w:spacing w:lineRule="auto" w:line="288" w:before="0" w:after="240"/>
        <w:jc w:val="left"/>
        <w:rPr/>
      </w:pPr>
      <w:r>
        <w:rPr>
          <w:rFonts w:ascii="Times New Roman;serif" w:hAnsi="Times New Roman;serif"/>
          <w:b w:val="false"/>
          <w:color w:val="000000"/>
          <w:sz w:val="24"/>
        </w:rPr>
        <w:br/>
        <w:t>By:    /s/ Kenneth Galbraith                            </w:t>
        <w:br/>
        <w:t xml:space="preserve">    Kenneth Galbraith, </w:t>
      </w:r>
      <w:r>
        <w:rPr>
          <w:rFonts w:ascii="Times New Roman;serif" w:hAnsi="Times New Roman;serif"/>
          <w:b w:val="false"/>
          <w:i/>
          <w:color w:val="000000"/>
          <w:sz w:val="24"/>
        </w:rPr>
        <w:t>Chair and Chief Executive Officer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8,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240"/>
        <w:jc w:val="left"/>
        <w:rPr/>
      </w:pPr>
      <w:r>
        <w:rPr/>
      </w:r>
    </w:p>
    <w:p>
      <w:pPr>
        <w:pStyle w:val="TextBody"/>
        <w:bidi w:val="0"/>
        <w:spacing w:before="0" w:after="240"/>
        <w:jc w:val="left"/>
        <w:rPr/>
      </w:pPr>
      <w:r>
        <w:rPr/>
      </w:r>
    </w:p>
    <w:tbl>
      <w:tblPr>
        <w:tblW w:w="3164" w:type="dxa"/>
        <w:jc w:val="left"/>
        <w:tblInd w:w="0" w:type="dxa"/>
        <w:tblLayout w:type="fixed"/>
        <w:tblCellMar>
          <w:top w:w="28" w:type="dxa"/>
          <w:left w:w="28" w:type="dxa"/>
          <w:bottom w:w="28" w:type="dxa"/>
          <w:right w:w="28" w:type="dxa"/>
        </w:tblCellMar>
      </w:tblPr>
      <w:tblGrid>
        <w:gridCol w:w="1013"/>
        <w:gridCol w:w="890"/>
        <w:gridCol w:w="1261"/>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SIGNED AND DELIVERED </w:t>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color w:val="000000"/>
                <w:sz w:val="24"/>
              </w:rPr>
              <w:t>Employee</w:t>
            </w:r>
            <w:r>
              <w:rPr>
                <w:rFonts w:ascii="Times New Roman;serif" w:hAnsi="Times New Roman;serif"/>
                <w:b w:val="false"/>
                <w:color w:val="000000"/>
                <w:sz w:val="24"/>
              </w:rPr>
              <w:t>:</w:t>
            </w:r>
          </w:p>
          <w:p>
            <w:pPr>
              <w:pStyle w:val="TableContents"/>
              <w:bidi w:val="0"/>
              <w:spacing w:before="0" w:after="24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Adam Schayowitz</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ableContents"/>
              <w:bidi w:val="0"/>
              <w:spacing w:before="0" w:after="24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8, 2025</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685925" cy="647700"/>
            <wp:effectExtent l="0" t="0" r="0" b="0"/>
            <wp:docPr id="25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6" descr=""/>
                    <pic:cNvPicPr>
                      <a:picLocks noChangeAspect="1" noChangeArrowheads="1"/>
                    </pic:cNvPicPr>
                  </pic:nvPicPr>
                  <pic:blipFill>
                    <a:blip r:embed="rId38"/>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16840"/>
                <wp:effectExtent l="0" t="0" r="0" b="0"/>
                <wp:wrapNone/>
                <wp:docPr id="255" name="Frame2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24 - 24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(US-MA-EXECUTIVE) - Private &amp; Confidential    Page 24 - 24</w:t>
                      </w:r>
                    </w:p>
                  </w:txbxContent>
                </v:textbox>
                <w10:wrap type="none"/>
              </v:rect>
            </w:pict>
          </mc:Fallback>
        </mc:AlternateContent>
      </w:r>
    </w:p>
    <w:p>
      <w:pPr>
        <w:pStyle w:val="TextBody"/>
        <w:bidi w:val="0"/>
        <w:spacing w:lineRule="auto" w:line="240" w:before="0" w:after="120"/>
        <w:jc w:val="right"/>
        <w:rPr>
          <w:rFonts w:ascii="Times New Roman;serif" w:hAnsi="Times New Roman;serif"/>
          <w:b/>
          <w:color w:val="000000"/>
          <w:sz w:val="24"/>
        </w:rPr>
      </w:pPr>
      <w:r>
        <w:rPr>
          <w:rFonts w:ascii="Times New Roman;serif" w:hAnsi="Times New Roman;serif"/>
          <w:b/>
          <w:color w:val="000000"/>
          <w:sz w:val="24"/>
        </w:rPr>
        <w:t>Exhibit 10.5</w:t>
      </w:r>
    </w:p>
    <w:tbl>
      <w:tblPr>
        <w:tblW w:w="7019" w:type="dxa"/>
        <w:jc w:val="left"/>
        <w:tblInd w:w="0" w:type="dxa"/>
        <w:tblLayout w:type="fixed"/>
        <w:tblCellMar>
          <w:top w:w="28" w:type="dxa"/>
          <w:left w:w="28" w:type="dxa"/>
          <w:bottom w:w="28" w:type="dxa"/>
          <w:right w:w="28" w:type="dxa"/>
        </w:tblCellMar>
      </w:tblPr>
      <w:tblGrid>
        <w:gridCol w:w="2246"/>
        <w:gridCol w:w="1974"/>
        <w:gridCol w:w="2799"/>
      </w:tblGrid>
      <w:tr>
        <w:trPr/>
        <w:tc>
          <w:tcPr>
            <w:tcW w:w="2246"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r>
      <w:tr>
        <w:trPr/>
        <w:tc>
          <w:tcPr>
            <w:tcW w:w="70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color w:val="000000"/>
              </w:rPr>
            </w:pPr>
            <w:r>
              <w:rPr>
                <w:color w:val="000000"/>
              </w:rPr>
              <w:t> </w:t>
            </w:r>
            <w:r>
              <w:rPr>
                <w:rFonts w:ascii="Times New Roman;serif" w:hAnsi="Times New Roman;serif"/>
                <w:b/>
                <w:color w:val="000000"/>
                <w:sz w:val="24"/>
              </w:rPr>
              <w:t>AMENDED AND RESTATED EMPLOYMENT AGREEMENT</w:t>
            </w:r>
          </w:p>
        </w:tc>
      </w:tr>
    </w:tbl>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THIS AGREEMENT is made and effective as of April 9</w:t>
      </w:r>
      <w:r>
        <w:rPr>
          <w:rFonts w:ascii="Times New Roman;serif" w:hAnsi="Times New Roman;serif"/>
          <w:b w:val="false"/>
          <w:color w:val="000000"/>
          <w:sz w:val="16"/>
        </w:rPr>
        <w:t>th</w:t>
      </w:r>
      <w:r>
        <w:rPr>
          <w:rFonts w:ascii="Times New Roman;serif" w:hAnsi="Times New Roman;serif"/>
          <w:b w:val="false"/>
          <w:color w:val="000000"/>
          <w:sz w:val="24"/>
        </w:rPr>
        <w:t>, 2026 (the “Effective Date”), regardless of the last date of signature hereto.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lineRule="auto" w:line="288" w:before="0" w:after="240"/>
        <w:jc w:val="both"/>
        <w:rPr/>
      </w:pPr>
      <w:r>
        <w:rPr>
          <w:rFonts w:ascii="Times New Roman;serif" w:hAnsi="Times New Roman;serif"/>
          <w:b/>
          <w:color w:val="000000"/>
          <w:sz w:val="24"/>
        </w:rPr>
        <w:t xml:space="preserve">MR. SCOTT PLATSHON, </w:t>
      </w:r>
      <w:r>
        <w:rPr>
          <w:rFonts w:ascii="Times New Roman;serif" w:hAnsi="Times New Roman;serif"/>
          <w:b w:val="false"/>
          <w:color w:val="000000"/>
          <w:sz w:val="24"/>
        </w:rPr>
        <w:t>having a residence at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“Employee”)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both"/>
        <w:rPr/>
      </w:pPr>
      <w:r>
        <w:rPr>
          <w:rFonts w:ascii="Times New Roman;serif" w:hAnsi="Times New Roman;serif"/>
          <w:b/>
          <w:color w:val="000000"/>
          <w:sz w:val="24"/>
        </w:rPr>
        <w:t>ZYMEWORKS BIOPHARMACEUTICALS INC</w:t>
      </w:r>
      <w:r>
        <w:rPr>
          <w:rFonts w:ascii="Times New Roman;serif" w:hAnsi="Times New Roman;serif"/>
          <w:b w:val="false"/>
          <w:color w:val="000000"/>
          <w:sz w:val="24"/>
        </w:rPr>
        <w:t>., a corporation registered in the State of Washington and having its principal place of business at 777 108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Avenue NE, Suite 1700, Bellevue, Washington, 98004, USA</w:t>
      </w:r>
      <w:r>
        <w:rPr>
          <w:color w:val="000000"/>
        </w:rPr>
        <w:t xml:space="preserv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WHEREAS</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is an affiliate of ZYMEWORKS INC., a Delaware corporation having its principal executive offices at 108 Patriot Drive, Suite A, Middletown, Delaware, 19709 (“Parent”);</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is a clinical-stage biopharmaceutical company dedicated to the development of next-generation multifunctional biotherapeutics;</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val="false"/>
          <w:color w:val="000000"/>
          <w:sz w:val="24"/>
        </w:rPr>
        <w:t>The Employee first began working for the Company on a half-time basis on November 18, 2025 (the “Start Date”) as set forth in that certain Employment Agreement between the Employee and the Company dated effective November 18, 2025 (the “Prior Employment Agreement”);</w:t>
      </w:r>
    </w:p>
    <w:p>
      <w:pPr>
        <w:pStyle w:val="TextBody"/>
        <w:bidi w:val="0"/>
        <w:spacing w:lineRule="auto" w:line="240" w:before="0" w:after="2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wishes to employ the Employee, and the Employee wishes to be employed by the Company, on a full-time basis;</w:t>
      </w:r>
    </w:p>
    <w:p>
      <w:pPr>
        <w:pStyle w:val="TextBody"/>
        <w:bidi w:val="0"/>
        <w:spacing w:lineRule="auto" w:line="240" w:before="0" w:after="2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 consideration of the Employee’s continued commitment to the Company and the Company increasing the compensation payable to Employee as stated in Articles 3 and 4 herein, the Company and Employee have agreed to amend and restate the terms and conditions of the Prior Employment Agreement as provided herein and have this Amended and Restated Employment Agreement (“Agreement”) supersede and replace all previous employment agreements and related amendments as of the Effective Date; and </w:t>
      </w:r>
    </w:p>
    <w:p>
      <w:pPr>
        <w:pStyle w:val="TextBody"/>
        <w:bidi w:val="0"/>
        <w:spacing w:before="0" w:after="0"/>
        <w:jc w:val="right"/>
        <w:rPr/>
      </w:pPr>
      <w:r>
        <w:rPr/>
        <w:drawing>
          <wp:inline distT="0" distB="0" distL="0" distR="0">
            <wp:extent cx="1685925" cy="647700"/>
            <wp:effectExtent l="0" t="0" r="0" b="0"/>
            <wp:docPr id="25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7" descr=""/>
                    <pic:cNvPicPr>
                      <a:picLocks noChangeAspect="1" noChangeArrowheads="1"/>
                    </pic:cNvPicPr>
                  </pic:nvPicPr>
                  <pic:blipFill>
                    <a:blip r:embed="rId39"/>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14960"/>
                <wp:effectExtent l="0" t="0" r="0" b="0"/>
                <wp:wrapNone/>
                <wp:docPr id="257" name="Frame23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F.</w:t>
      </w:r>
      <w:r>
        <w:rPr>
          <w:rFonts w:ascii="Times New Roman;serif" w:hAnsi="Times New Roman;serif"/>
          <w:b w:val="false"/>
          <w:color w:val="000000"/>
          <w:sz w:val="24"/>
        </w:rPr>
        <w:t>The Company has agreed to offer employment to the Employee, and the Employee has agreed to accept employment with the Company on the terms and conditions set out in this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NOW THEREFORE THIS AGREEMENT WITNESSES that for and in consideration of the promises and mutual covenants and agreements hereinafter contained, the parties hereto covenant and agree as follows:</w:t>
      </w:r>
    </w:p>
    <w:p>
      <w:pPr>
        <w:pStyle w:val="TextBody"/>
        <w:bidi w:val="0"/>
        <w:spacing w:lineRule="auto" w:line="240" w:before="240" w:after="240"/>
        <w:jc w:val="both"/>
        <w:rPr/>
      </w:pPr>
      <w:r>
        <w:rPr>
          <w:rFonts w:ascii="Times New Roman;serif" w:hAnsi="Times New Roman;serif"/>
          <w:b/>
          <w:color w:val="000000"/>
          <w:sz w:val="24"/>
        </w:rPr>
        <w:t>Article 1</w:t>
      </w:r>
      <w:r>
        <w:rPr>
          <w:color w:val="000000"/>
        </w:rPr>
        <w:t xml:space="preserve"> – </w:t>
      </w:r>
      <w:r>
        <w:rPr>
          <w:rFonts w:ascii="Times New Roman;serif" w:hAnsi="Times New Roman;serif"/>
          <w:b/>
          <w:color w:val="000000"/>
          <w:sz w:val="24"/>
        </w:rPr>
        <w:t>GENERAL</w:t>
      </w:r>
    </w:p>
    <w:p>
      <w:pPr>
        <w:pStyle w:val="TextBody"/>
        <w:bidi w:val="0"/>
        <w:spacing w:lineRule="auto" w:line="240" w:before="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Definitions</w:t>
      </w:r>
      <w:r>
        <w:rPr>
          <w:rFonts w:ascii="Times New Roman;serif" w:hAnsi="Times New Roman;serif"/>
          <w:b w:val="false"/>
          <w:color w:val="000000"/>
          <w:sz w:val="24"/>
        </w:rPr>
        <w:t>. Unless otherwise defined, all capitalized terms used in this Agreement will have the meanings given below:</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Business” means the business of researching, developing and commercializing therapeutic proteins, antibodies, and any other research, development and manufacturing work considered, planned or undertaken by the Company and/or Parent during the Employee’s employment.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(b)Subject to Section 5.1(c) and Section 5.1(e), “Confidential Information” means trade secrets and other information, in whatever form or media, in the possession or control of the Company, which is owned by the Company or by one of its clients or suppliers or a third party with whom the Company has a business relationship, including, without limitation, Parent (collectively, the “Associates”), and which is not generally known to the public and has been specifically identified as confidential or proprietary by the Company, or its nature is such that it would generally be considered confidential in the industry in which the Company or its Associates operate, or which the Company is obligated to treat as confidential or proprietary. Subject to Section 5.1(c) and Section 5.1(e), Confidential Information includes, without limitation, the following: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products and confidential or proprietary facts, data, techniques, materials and other information related to the business of the Company, including all related development or experimental work or research, related documentation owned or marketed by the Company and related formulas, algorithms, patent applications, concepts, designs, flowcharts, ideas, programming techniques, specifications and software programs (including source code listings), methods, processes, inventions, sources, drawings, computer models, prototypes and patterns;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(ii)information regarding the Company’s business operations, methods and practices, including corporate strategy, market research, market strategies, marketing plans, public relations strategies, product pricing and strategies, advertising sources, lists and information concerning current and prospective customers, billing information, suppliers, packaging, merchandizing, distribution, methods of production, manufacturing, pending projects or proposals, margins and hourly rates for staff and information regarding the financial, legal and corporate affairs of the Company, including business plans and projections and </w:t>
      </w:r>
    </w:p>
    <w:p>
      <w:pPr>
        <w:pStyle w:val="TextBody"/>
        <w:bidi w:val="0"/>
        <w:spacing w:before="0" w:after="0"/>
        <w:jc w:val="right"/>
        <w:rPr/>
      </w:pPr>
      <w:r>
        <w:rPr/>
        <w:drawing>
          <wp:inline distT="0" distB="0" distL="0" distR="0">
            <wp:extent cx="1685925" cy="647700"/>
            <wp:effectExtent l="0" t="0" r="0" b="0"/>
            <wp:docPr id="25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8" descr=""/>
                    <pic:cNvPicPr>
                      <a:picLocks noChangeAspect="1" noChangeArrowheads="1"/>
                    </pic:cNvPicPr>
                  </pic:nvPicPr>
                  <pic:blipFill>
                    <a:blip r:embed="rId40"/>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14960"/>
                <wp:effectExtent l="0" t="0" r="0" b="0"/>
                <wp:wrapNone/>
                <wp:docPr id="259" name="Frame23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information regarding the Company’s financial condition, operations, assets and liabilities, financial data, business structures, business ventures, existing or contemplated businesses, products, or services;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(iii)technical and business information of, or regarding, the Company’s Associates.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above list is not exhaustive, and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Confidential Information does not include general knowledge, skill, and experience Employee has acquired in connection with Employee’s employment with the Company or a former employer. The Employee understands that nothing in this definition of Confidential Information prevents Employee from discussing or disclosing information about unlawful acts in the workplace, such as harassment or discrimination or any other conduct that Employee has reason to believe is unlawful, and Employee understands that information regarding any of the foregoing does not constitute Confidential Information. Additionally, information regarding working conditions, wages, benefits, and/or other terms and conditions of employment does not constitute Confidential Information to the extent disclosure of such information is protected by applicable law.</w:t>
      </w:r>
    </w:p>
    <w:p>
      <w:pPr>
        <w:pStyle w:val="TextBody"/>
        <w:bidi w:val="0"/>
        <w:spacing w:before="0" w:after="0"/>
        <w:jc w:val="left"/>
        <w:rPr/>
      </w:pPr>
      <w:r>
        <w:rPr/>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rPr>
        <w:t>Developments” means all inventions, ideas, concepts, designs, improvements, discoveries, modifications, computer software, and other results which are or have been conceived of, developed by, written, or reduced to practice by the Employee, alone or jointly with others (including, where applicable, all modifications, derivatives, progeny, models, specifications, source code, design documents, creations, scripts, artwork, text, graphics, photos and pictures) at any time.</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rPr>
        <w:t>Excluded Developments” means any Development that qualifies fully under the provisions of section 2870 of the California Labor Code, which provides:</w:t>
      </w:r>
    </w:p>
    <w:p>
      <w:pPr>
        <w:pStyle w:val="TextBody"/>
        <w:bidi w:val="0"/>
        <w:spacing w:lineRule="auto" w:line="288" w:before="0" w:after="240"/>
        <w:jc w:val="both"/>
        <w:rPr>
          <w:color w:val="000000"/>
        </w:rPr>
      </w:pPr>
      <w:r>
        <w:rPr>
          <w:color w:val="000000"/>
        </w:rPr>
        <w:t>“</w:t>
      </w:r>
      <w:r>
        <w:rPr>
          <w:rFonts w:ascii="Times New Roman;serif" w:hAnsi="Times New Roman;serif"/>
          <w:b w:val="false"/>
          <w:i/>
          <w:color w:val="000000"/>
          <w:sz w:val="24"/>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lineRule="auto" w:line="288" w:before="0" w:after="240"/>
        <w:ind w:left="0" w:right="0" w:firstLine="360"/>
        <w:jc w:val="both"/>
        <w:rPr>
          <w:rFonts w:ascii="Times New Roman;serif" w:hAnsi="Times New Roman;serif"/>
          <w:b w:val="false"/>
          <w:i/>
          <w:color w:val="000000"/>
          <w:sz w:val="24"/>
        </w:rPr>
      </w:pPr>
      <w:r>
        <w:rPr>
          <w:rFonts w:ascii="Times New Roman;serif" w:hAnsi="Times New Roman;serif"/>
          <w:b w:val="false"/>
          <w:i/>
          <w:color w:val="000000"/>
          <w:sz w:val="24"/>
        </w:rPr>
        <w:t>(1) Relate at the time of conception or reduction to practice of the invention to the employer’s business, or actual or demonstrably anticipated research or development of the employer; or</w:t>
      </w:r>
    </w:p>
    <w:p>
      <w:pPr>
        <w:pStyle w:val="TextBody"/>
        <w:bidi w:val="0"/>
        <w:spacing w:before="0" w:after="0"/>
        <w:jc w:val="right"/>
        <w:rPr/>
      </w:pPr>
      <w:r>
        <w:rPr/>
        <w:drawing>
          <wp:inline distT="0" distB="0" distL="0" distR="0">
            <wp:extent cx="1685925" cy="647700"/>
            <wp:effectExtent l="0" t="0" r="0" b="0"/>
            <wp:docPr id="26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9" descr=""/>
                    <pic:cNvPicPr>
                      <a:picLocks noChangeAspect="1" noChangeArrowheads="1"/>
                    </pic:cNvPicPr>
                  </pic:nvPicPr>
                  <pic:blipFill>
                    <a:blip r:embed="rId41"/>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14960"/>
                <wp:effectExtent l="0" t="0" r="0" b="0"/>
                <wp:wrapNone/>
                <wp:docPr id="261" name="Frame23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3 - 25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3 - 25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i/>
          <w:color w:val="000000"/>
          <w:sz w:val="24"/>
        </w:rPr>
      </w:pPr>
      <w:r>
        <w:rPr>
          <w:rFonts w:ascii="Times New Roman;serif" w:hAnsi="Times New Roman;serif"/>
          <w:b w:val="false"/>
          <w:i/>
          <w:color w:val="000000"/>
          <w:sz w:val="24"/>
        </w:rPr>
        <w:t>(2) Result from any work performed by the employee for the employer.</w:t>
      </w:r>
    </w:p>
    <w:p>
      <w:pPr>
        <w:pStyle w:val="TextBody"/>
        <w:bidi w:val="0"/>
        <w:spacing w:lineRule="auto" w:line="288" w:before="0" w:after="240"/>
        <w:jc w:val="both"/>
        <w:rPr/>
      </w:pPr>
      <w:r>
        <w:rPr>
          <w:rFonts w:ascii="Times New Roman;serif" w:hAnsi="Times New Roman;serif"/>
          <w:b w:val="false"/>
          <w:i/>
          <w:color w:val="000000"/>
          <w:sz w:val="24"/>
        </w:rPr>
        <w:t>(b) To the extent a provision in an employment agreement purports to require an employee to assign an invention otherwise excluded from being required to be assigned under subdivision (a), the provision is against the public policy of this state and is unenforceable</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Employee understands that the Company is advising the Employee that any provision in this Agreement requiring the Employee to assign rights in any invention does not apply to an invention that qualifies fully under the provisions of section 2870 of the California Labor Code, as set forth above.</w:t>
      </w:r>
    </w:p>
    <w:p>
      <w:pPr>
        <w:pStyle w:val="TextBody"/>
        <w:bidi w:val="0"/>
        <w:spacing w:lineRule="auto" w:line="240" w:before="0" w:after="240"/>
        <w:ind w:left="0" w:right="0" w:hanging="720"/>
        <w:jc w:val="left"/>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rPr>
        <w:t xml:space="preserve">Prior Developments” means any Development that the Employee establishes was developed prior to the Employee performing such services for the Company and precedes the Employee’s initial engagement with the Company. </w:t>
      </w:r>
    </w:p>
    <w:p>
      <w:pPr>
        <w:pStyle w:val="TextBody"/>
        <w:bidi w:val="0"/>
        <w:spacing w:lineRule="auto" w:line="240"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Sections and Headings</w:t>
      </w:r>
      <w:r>
        <w:rPr>
          <w:rFonts w:ascii="Times New Roman;serif" w:hAnsi="Times New Roman;serif"/>
          <w:b w:val="false"/>
          <w:color w:val="000000"/>
          <w:sz w:val="24"/>
        </w:rPr>
        <w:t>. The division of this Agreement into Articles and Sections and the insertion of headings are for the convenience of reference only and do not affect the construction or interpretation of this Agreement. The terms “hereof”, “hereunder” and similar expressions refer to this Agreement and not to any particular Article, Section or other portion hereof and include any agreement supplemental hereto. Unless something in the subject matter or context is inconsistent therewith, references herein to Articles and Sections are to Articles and Sections of this Agreement.</w:t>
      </w:r>
    </w:p>
    <w:p>
      <w:pPr>
        <w:pStyle w:val="TextBody"/>
        <w:bidi w:val="0"/>
        <w:spacing w:lineRule="auto" w:line="240" w:before="240" w:after="240"/>
        <w:jc w:val="both"/>
        <w:rPr/>
      </w:pPr>
      <w:r>
        <w:rPr>
          <w:rFonts w:ascii="Times New Roman;serif" w:hAnsi="Times New Roman;serif"/>
          <w:b/>
          <w:color w:val="000000"/>
          <w:sz w:val="24"/>
        </w:rPr>
        <w:t>Article 2</w:t>
      </w:r>
      <w:r>
        <w:rPr>
          <w:color w:val="000000"/>
        </w:rPr>
        <w:t xml:space="preserve"> – </w:t>
      </w:r>
      <w:r>
        <w:rPr>
          <w:rFonts w:ascii="Times New Roman;serif" w:hAnsi="Times New Roman;serif"/>
          <w:b/>
          <w:color w:val="000000"/>
          <w:sz w:val="24"/>
        </w:rPr>
        <w:t>EMPLOYMENT</w:t>
      </w:r>
    </w:p>
    <w:p>
      <w:pPr>
        <w:pStyle w:val="TextBody"/>
        <w:bidi w:val="0"/>
        <w:spacing w:lineRule="auto" w:line="240" w:before="0" w:after="24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Services</w:t>
      </w:r>
      <w:r>
        <w:rPr>
          <w:rFonts w:ascii="Times New Roman;serif" w:hAnsi="Times New Roman;serif"/>
          <w:b w:val="false"/>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 the Effective Date, the Employee will continue employment with the Company in the position of EVP, Chief Business Officer, on the terms and conditions set out in this Agreement. For the purposes of calculating any entitlements pursuant to this Agreement based on length of service, the Company will use the Start Date for all calculations.</w:t>
      </w:r>
    </w:p>
    <w:p>
      <w:pPr>
        <w:pStyle w:val="TextBody"/>
        <w:bidi w:val="0"/>
        <w:spacing w:lineRule="auto" w:line="240" w:before="0" w:after="24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Qualifications</w:t>
      </w:r>
      <w:r>
        <w:rPr>
          <w:rFonts w:ascii="Times New Roman;serif" w:hAnsi="Times New Roman;serif"/>
          <w:b w:val="false"/>
          <w:color w:val="000000"/>
          <w:sz w:val="24"/>
        </w:rPr>
        <w:t xml:space="preserve">.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(a)The Employee acknowledges that the falsification or misrepresentation of qualifications, including but not limited to education, skills, prior experience, depth and/or breadth of knowledge, references or similar matters, used to secure the position of EVP, Chief Business Officer, represents a breach of this contract. </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Employment Duties</w:t>
      </w:r>
      <w:r>
        <w:rPr>
          <w:rFonts w:ascii="Times New Roman;serif" w:hAnsi="Times New Roman;serif"/>
          <w:b w:val="false"/>
          <w:color w:val="000000"/>
          <w:sz w:val="24"/>
        </w:rPr>
        <w:t xml:space="preserve">. The Employee shall report to the Company’s Chief Executive Officer. Subject to the direction and control of the Chief Executive Officer and other senior management of the Company and/or Parent (“Management”), the Employee will perform the duties set out in a job description for the Employee’s position provided by the Company and any other duties that may be reasonably assigned to the Employee by Management from time to time. The Employee’s employment with the Company may involve </w:t>
      </w:r>
    </w:p>
    <w:p>
      <w:pPr>
        <w:pStyle w:val="TextBody"/>
        <w:bidi w:val="0"/>
        <w:spacing w:before="0" w:after="0"/>
        <w:jc w:val="right"/>
        <w:rPr/>
      </w:pPr>
      <w:r>
        <w:rPr/>
        <w:drawing>
          <wp:inline distT="0" distB="0" distL="0" distR="0">
            <wp:extent cx="1685925" cy="647700"/>
            <wp:effectExtent l="0" t="0" r="0" b="0"/>
            <wp:docPr id="26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30" descr=""/>
                    <pic:cNvPicPr>
                      <a:picLocks noChangeAspect="1" noChangeArrowheads="1"/>
                    </pic:cNvPicPr>
                  </pic:nvPicPr>
                  <pic:blipFill>
                    <a:blip r:embed="rId42"/>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14960"/>
                <wp:effectExtent l="0" t="0" r="0" b="0"/>
                <wp:wrapNone/>
                <wp:docPr id="263" name="Frame23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4 - 25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4 - 25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duties to Parent. The salary, benefits, and other compensation provided to the Employee by the Company are intended to compensate the Employee for all work performed by the Employee for the Company, Parent, and their respective affiliates. Management may alter the duties Employee is expected to perform for the Company at any time with or without notice. </w:t>
      </w:r>
    </w:p>
    <w:p>
      <w:pPr>
        <w:pStyle w:val="TextBody"/>
        <w:bidi w:val="0"/>
        <w:spacing w:lineRule="auto" w:line="240" w:before="0" w:after="240"/>
        <w:jc w:val="both"/>
        <w:rPr/>
      </w:pPr>
      <w:r>
        <w:rPr>
          <w:rFonts w:ascii="Times New Roman;serif" w:hAnsi="Times New Roman;serif"/>
          <w:b w:val="false"/>
          <w:color w:val="000000"/>
          <w:sz w:val="24"/>
        </w:rPr>
        <w:t>2.3</w:t>
      </w:r>
      <w:r>
        <w:rPr>
          <w:rFonts w:ascii="Times New Roman;serif" w:hAnsi="Times New Roman;serif"/>
          <w:b w:val="false"/>
          <w:color w:val="000000"/>
          <w:sz w:val="24"/>
        </w:rPr>
        <w:t>Throughout the term of this Agreement, the Employee will:</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(a)diligently, honestly and faithfully serve the Company and will use all reasonable efforts to promote and advance the interests and goodwill of the Company and/or Parent;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(b)devote himself in a full-time capacity to the business and affairs of the Company;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(c)adhere to all applicable policies and procedures of the Company and/or Parent as in effect and as amended from time to time, including but not limited to the Company’s and Parent’s Codes of Business Conduct and Ethics;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(d)exercise the degree, diligence and skill that a reasonably prudent EVP, Chief Business Officer, would exercise in comparable circumstances;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(e)during the term of employment, refrain from engaging in any activity which will in any manner, directly or indirectly, compete with the trade or business of the Company and/or Parent except in accordance with Sections 2.4, 2.5, and 2.6 herein and as outlined under the Conflict of Interest guidelines in Company’s or the Parent’s corporate policies and procedures as in effect and as amended from time to time;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(f)during the term of employment, not acquire, directly or indirectly, any interest that constitutes 5% or more of the voting rights attached to the outstanding shares of any corporation or 5% or more of the equity or assets in any firm, partnership or association, the business and operations of which in any manner, directly or indirectly, compete with the trade or business of the Company.</w:t>
      </w:r>
    </w:p>
    <w:p>
      <w:pPr>
        <w:pStyle w:val="TextBody"/>
        <w:bidi w:val="0"/>
        <w:spacing w:lineRule="auto" w:line="240" w:before="0" w:after="240"/>
        <w:jc w:val="both"/>
        <w:rPr/>
      </w:pPr>
      <w:r>
        <w:rPr>
          <w:rFonts w:ascii="Times New Roman;serif" w:hAnsi="Times New Roman;serif"/>
          <w:b w:val="false"/>
          <w:color w:val="000000"/>
          <w:sz w:val="24"/>
        </w:rPr>
        <w:t>2.4</w:t>
      </w:r>
      <w:r>
        <w:rPr>
          <w:rFonts w:ascii="Times New Roman;serif" w:hAnsi="Times New Roman;serif"/>
          <w:b w:val="false"/>
          <w:color w:val="000000"/>
          <w:sz w:val="24"/>
        </w:rPr>
        <w:t>During the term of employment, the Employee will disclose to Management all potential conflicts of interest and activities which could reasonably be seen to compete, indirectly or directly, with the trade or business of the Company and/or Parent. Management will determine, in its sole discretion, whether the activity in question constitutes a conflict of interest or competition with the Company and/or Parent. To the extent that Management, acting reasonably, determines a conflict of interest or competition exists, the Employee will discontinue such activity forthwith or within such longer period as Management agrees. The Employee will immediately certify in writing to the Company that Employee has discontinued such activity and that Employee has, as required by Management, cancelled any contracts or sold or otherwise disposed of any interest or assets over the 5% threshold described in Section 2.3(f) herein acquired by the Employee by virtue of engaging in the impugned activity, or where no market exists to enable such sale or disposition, by transfer of the Employee’s beneficial interest into blind trust or other fiduciary arrangements over which the Employee has no control or direction, or other action that is acceptable to the Company’s Board of Directors (the “Board”).</w:t>
      </w:r>
    </w:p>
    <w:p>
      <w:pPr>
        <w:pStyle w:val="TextBody"/>
        <w:bidi w:val="0"/>
        <w:spacing w:before="0" w:after="0"/>
        <w:jc w:val="right"/>
        <w:rPr/>
      </w:pPr>
      <w:r>
        <w:rPr/>
        <w:drawing>
          <wp:inline distT="0" distB="0" distL="0" distR="0">
            <wp:extent cx="1685925" cy="647700"/>
            <wp:effectExtent l="0" t="0" r="0" b="0"/>
            <wp:docPr id="26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31" descr=""/>
                    <pic:cNvPicPr>
                      <a:picLocks noChangeAspect="1" noChangeArrowheads="1"/>
                    </pic:cNvPicPr>
                  </pic:nvPicPr>
                  <pic:blipFill>
                    <a:blip r:embed="rId43"/>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14960"/>
                <wp:effectExtent l="0" t="0" r="0" b="0"/>
                <wp:wrapNone/>
                <wp:docPr id="265" name="Frame23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5 - 25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5 - 25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20"/>
        <w:jc w:val="both"/>
        <w:rPr/>
      </w:pPr>
      <w:r>
        <w:rPr>
          <w:rFonts w:ascii="Times New Roman;serif" w:hAnsi="Times New Roman;serif"/>
          <w:b w:val="false"/>
          <w:color w:val="000000"/>
          <w:sz w:val="24"/>
        </w:rPr>
        <w:t>2.5</w:t>
      </w:r>
      <w:r>
        <w:rPr>
          <w:rFonts w:ascii="Times New Roman;serif" w:hAnsi="Times New Roman;serif"/>
          <w:b w:val="false"/>
          <w:color w:val="000000"/>
          <w:sz w:val="24"/>
        </w:rPr>
        <w:t xml:space="preserve">The Employee agrees not to be employed by another company or provide consulting or other services to other companies or commercial entities while employed by the Company, to the extent such outside employment or services conflict with Employee’s obligations to the Company. By seeking and accepting employment with the Company, the Employee recognizes that the Employee is employed by the Company for the expressed benefit of advancing the scientific, development and business objectives of the Company and Parent and that concurrent employment that is directly related to the Company’s objectives may detract from those objectives. </w:t>
      </w:r>
    </w:p>
    <w:p>
      <w:pPr>
        <w:pStyle w:val="TextBody"/>
        <w:bidi w:val="0"/>
        <w:spacing w:lineRule="auto" w:line="240" w:before="0" w:after="240"/>
        <w:jc w:val="both"/>
        <w:rPr/>
      </w:pPr>
      <w:r>
        <w:rPr>
          <w:rFonts w:ascii="Times New Roman;serif" w:hAnsi="Times New Roman;serif"/>
          <w:b w:val="false"/>
          <w:color w:val="000000"/>
          <w:sz w:val="24"/>
        </w:rPr>
        <w:t>2.6</w:t>
      </w:r>
      <w:r>
        <w:rPr>
          <w:rFonts w:ascii="Times New Roman;serif" w:hAnsi="Times New Roman;serif"/>
          <w:b w:val="false"/>
          <w:color w:val="000000"/>
          <w:sz w:val="24"/>
        </w:rPr>
        <w:t>Notwithstanding Sections 2.3, 2.4 and 6.1, the Employee is not restricted from nor is required to obtain the consent of the Company to make investments constituting an ownership interest of 5% or less in any company which is involved in pharmaceuticals or biotechnology with securities listed for trading on any Canadian or U.S. stock exchange, quotation system or the over-the-counter market.</w:t>
      </w:r>
    </w:p>
    <w:p>
      <w:pPr>
        <w:pStyle w:val="TextBody"/>
        <w:bidi w:val="0"/>
        <w:spacing w:lineRule="auto" w:line="240" w:before="0" w:after="240"/>
        <w:jc w:val="both"/>
        <w:rPr/>
      </w:pPr>
      <w:r>
        <w:rPr>
          <w:rFonts w:ascii="Times New Roman;serif" w:hAnsi="Times New Roman;serif"/>
          <w:b w:val="false"/>
          <w:color w:val="000000"/>
          <w:sz w:val="24"/>
        </w:rPr>
        <w:t>2.7</w:t>
      </w:r>
      <w:r>
        <w:rPr>
          <w:rFonts w:ascii="Times New Roman;serif" w:hAnsi="Times New Roman;serif"/>
          <w:b w:val="false"/>
          <w:color w:val="000000"/>
          <w:sz w:val="24"/>
        </w:rPr>
        <w:t>For the purposes of Sections 2.3, 2.4 and 2.6 herein, “Employee” includes any entity or company owned or controlled by the Employee.</w:t>
      </w:r>
    </w:p>
    <w:p>
      <w:pPr>
        <w:pStyle w:val="TextBody"/>
        <w:bidi w:val="0"/>
        <w:spacing w:lineRule="auto" w:line="240" w:before="0" w:after="240"/>
        <w:jc w:val="both"/>
        <w:rPr/>
      </w:pPr>
      <w:r>
        <w:rPr>
          <w:rFonts w:ascii="Times New Roman;serif" w:hAnsi="Times New Roman;serif"/>
          <w:b w:val="false"/>
          <w:color w:val="000000"/>
          <w:sz w:val="24"/>
        </w:rPr>
        <w:t>2.8</w:t>
      </w:r>
      <w:r>
        <w:rPr>
          <w:rFonts w:ascii="Times New Roman;serif" w:hAnsi="Times New Roman;serif"/>
          <w:b w:val="false"/>
          <w:color w:val="000000"/>
          <w:sz w:val="24"/>
        </w:rPr>
        <w:t>To the extent applicable, the Employee’s employment with the Company shall at all times be conditional upon the Employee being in possession of all necessary permits and work passes for the Employee to work in the United States. For purposes of federal immigration law, Employee will be required to provide to the Company documentary evidence of Employee’s identity and eligibility for employment in the United States. Such valid documentation must be provided within three (3) business days of the start of Employee’s employment, or Employee’s employment relationship with the Company may be terminated, which such termination would constitute a termination for “Cause”.</w:t>
      </w:r>
    </w:p>
    <w:p>
      <w:pPr>
        <w:pStyle w:val="TextBody"/>
        <w:bidi w:val="0"/>
        <w:spacing w:lineRule="auto" w:line="240" w:before="0" w:after="24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Usual Place of Business</w:t>
      </w:r>
      <w:r>
        <w:rPr>
          <w:rFonts w:ascii="Times New Roman;serif" w:hAnsi="Times New Roman;serif"/>
          <w:b w:val="false"/>
          <w:color w:val="000000"/>
          <w:sz w:val="24"/>
        </w:rPr>
        <w:t xml:space="preserve">. The Employee’s principal work location for the Company will be the Employee’s home office in San Francisco, California, subject to travel or visits to the Company’s offices (in various locations) as may be required by the Company in its discretion. The Employee agrees that the Employee will not relocate to a location outside of California without obtaining approval from Human Resources. </w:t>
      </w:r>
    </w:p>
    <w:p>
      <w:pPr>
        <w:pStyle w:val="TextBody"/>
        <w:bidi w:val="0"/>
        <w:spacing w:lineRule="auto" w:line="240" w:before="240" w:after="240"/>
        <w:jc w:val="both"/>
        <w:rPr/>
      </w:pPr>
      <w:r>
        <w:rPr>
          <w:rFonts w:ascii="Times New Roman;serif" w:hAnsi="Times New Roman;serif"/>
          <w:b/>
          <w:color w:val="000000"/>
          <w:sz w:val="24"/>
        </w:rPr>
        <w:t>Article 3</w:t>
      </w:r>
      <w:r>
        <w:rPr>
          <w:color w:val="000000"/>
        </w:rPr>
        <w:t xml:space="preserve"> – </w:t>
      </w:r>
      <w:r>
        <w:rPr>
          <w:rFonts w:ascii="Times New Roman;serif" w:hAnsi="Times New Roman;serif"/>
          <w:b/>
          <w:color w:val="000000"/>
          <w:sz w:val="24"/>
        </w:rPr>
        <w:t>COMPENSATION</w:t>
      </w:r>
    </w:p>
    <w:p>
      <w:pPr>
        <w:pStyle w:val="TextBody"/>
        <w:bidi w:val="0"/>
        <w:spacing w:lineRule="auto" w:line="240" w:before="0" w:after="24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Base Salary</w:t>
      </w:r>
      <w:r>
        <w:rPr>
          <w:rFonts w:ascii="Times New Roman;serif" w:hAnsi="Times New Roman;serif"/>
          <w:b w:val="false"/>
          <w:color w:val="000000"/>
          <w:sz w:val="24"/>
        </w:rPr>
        <w:t xml:space="preserve">. As compensation for all services rendered under this Agreement, the Company will pay to the Employee and the Employee will accept from the Company a base salary at the rate of $550,000 (USD) per annum. The base salary will be paid semi-monthly, in equal installments, less statutory and other authorized deductions. </w:t>
      </w:r>
    </w:p>
    <w:p>
      <w:pPr>
        <w:pStyle w:val="TextBody"/>
        <w:bidi w:val="0"/>
        <w:spacing w:lineRule="auto" w:line="240" w:before="0" w:after="240"/>
        <w:jc w:val="left"/>
        <w:rPr/>
      </w:pPr>
      <w:r>
        <w:rPr>
          <w:rFonts w:ascii="Times New Roman;serif" w:hAnsi="Times New Roman;serif"/>
          <w:b w:val="false"/>
          <w:color w:val="000000"/>
          <w:sz w:val="24"/>
        </w:rPr>
        <w:t>3.2</w:t>
      </w:r>
      <w:r>
        <w:rPr>
          <w:rFonts w:ascii="Times New Roman;serif" w:hAnsi="Times New Roman;serif"/>
          <w:b w:val="false"/>
          <w:color w:val="000000"/>
          <w:sz w:val="24"/>
          <w:u w:val="single"/>
        </w:rPr>
        <w:t>Signing Bonus</w:t>
      </w:r>
      <w:r>
        <w:rPr>
          <w:rFonts w:ascii="Times New Roman;serif" w:hAnsi="Times New Roman;serif"/>
          <w:b w:val="false"/>
          <w:color w:val="000000"/>
          <w:sz w:val="24"/>
        </w:rPr>
        <w:t xml:space="preserve">. The Employee shall receive a Signing Bonus of $55,000 (USD) (less applicable withholdings) to be paid on the first scheduled pay day following the Effective Date of this Agreement. The Signing Bonus shall be repayable in full to the Company within 30 days of the Employee’s employment termination date if the Employee’s employment with the Company is terminated by the Company for Cause or by the Employee for any reason except Death or disability, in either case, within one (1) year of the Effective Date. </w:t>
      </w:r>
    </w:p>
    <w:p>
      <w:pPr>
        <w:pStyle w:val="TextBody"/>
        <w:bidi w:val="0"/>
        <w:spacing w:lineRule="auto" w:line="240" w:before="0" w:after="2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Stock Options</w:t>
      </w:r>
      <w:r>
        <w:rPr>
          <w:rFonts w:ascii="Times New Roman;serif" w:hAnsi="Times New Roman;serif"/>
          <w:b w:val="false"/>
          <w:color w:val="000000"/>
          <w:sz w:val="24"/>
        </w:rPr>
        <w:t xml:space="preserve">. Subject to approval by the Board or its delegate, the Employee shall be granted 70,000 options (the “Options”) to acquire shares of common stock of Parent (the “Shares”), provided the Employee is employed by the Company on the grant date, which grant </w:t>
      </w:r>
    </w:p>
    <w:p>
      <w:pPr>
        <w:pStyle w:val="TextBody"/>
        <w:bidi w:val="0"/>
        <w:spacing w:before="0" w:after="0"/>
        <w:jc w:val="right"/>
        <w:rPr/>
      </w:pPr>
      <w:r>
        <w:rPr/>
        <w:drawing>
          <wp:inline distT="0" distB="0" distL="0" distR="0">
            <wp:extent cx="1685925" cy="647700"/>
            <wp:effectExtent l="0" t="0" r="0" b="0"/>
            <wp:docPr id="26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32" descr=""/>
                    <pic:cNvPicPr>
                      <a:picLocks noChangeAspect="1" noChangeArrowheads="1"/>
                    </pic:cNvPicPr>
                  </pic:nvPicPr>
                  <pic:blipFill>
                    <a:blip r:embed="rId44"/>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14960"/>
                <wp:effectExtent l="0" t="0" r="0" b="0"/>
                <wp:wrapNone/>
                <wp:docPr id="267" name="Frame23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6 - 25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6 - 25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4"/>
        </w:rPr>
      </w:pPr>
      <w:r>
        <w:rPr>
          <w:rFonts w:ascii="Times New Roman;serif" w:hAnsi="Times New Roman;serif"/>
          <w:b w:val="false"/>
          <w:color w:val="000000"/>
          <w:sz w:val="24"/>
        </w:rPr>
        <w:t>date shall be the Effective Date or as soon as practicable thereafter. The exercise price of the Options will be set in accordance with the terms of Zymeworks Inc.’s Amended and Restated Stock Option and Equity Compensation Plan as it may hereafter be amended (the “Equity Compensation Plan”). Subject to Sections 4.3 and 4.4 and to the Board’s approval, the Options will vest over a four-year period as follows: (i) 25% of the Options will vest on the one-year anniversary of the grant date; and (ii) 1/36 of the remaining Options will vest on the last day of each month following the one-year anniversary of the grant date, subject to Employee’s continued employment with the Company or a Company subsidiary through each applicable date.</w:t>
      </w:r>
    </w:p>
    <w:p>
      <w:pPr>
        <w:pStyle w:val="TextBody"/>
        <w:bidi w:val="0"/>
        <w:spacing w:lineRule="auto" w:line="240" w:before="0" w:after="2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Restricted Stock Units</w:t>
      </w:r>
      <w:r>
        <w:rPr>
          <w:rFonts w:ascii="Times New Roman;serif" w:hAnsi="Times New Roman;serif"/>
          <w:b w:val="false"/>
          <w:color w:val="000000"/>
          <w:sz w:val="24"/>
        </w:rPr>
        <w:t xml:space="preserve">. Subject to approval by the Board or its delegate, the Employee shall be granted 47,000 restricted stock units (the “RSUs”) settled in Shares, provided the Employee is employed by the Company on the grant date, which grant date shall be the Effective Date or as soon as practicable thereafter. Subject to Sections 4.3 and 4.4 and to the Board’s approval, the RSUs will vest </w:t>
      </w:r>
      <w:r>
        <w:rPr>
          <w:rFonts w:ascii="Times New Roman;serif" w:hAnsi="Times New Roman;serif"/>
          <w:b w:val="false"/>
          <w:color w:val="212529"/>
          <w:sz w:val="24"/>
          <w:shd w:fill="FFFFFF" w:val="clear"/>
        </w:rPr>
        <w:t xml:space="preserve">over a four-year period as follows: (i) 1/4 of the RSUs will vest on the one-year 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(ii) 1/4 of the RSUs will vest on the two-year 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(iii) 1/4 of the RSUs will vest on the three-year 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and (iv) the remaining 1/4 of the RSUs will vest on the four-year 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subject </w:t>
      </w:r>
      <w:r>
        <w:rPr>
          <w:rFonts w:ascii="Times New Roman;serif" w:hAnsi="Times New Roman;serif"/>
          <w:b w:val="false"/>
          <w:color w:val="000000"/>
          <w:sz w:val="24"/>
        </w:rPr>
        <w:t>to Employee’s continued employment with the Company or a Company subsidiary through each applicable date.</w:t>
      </w:r>
    </w:p>
    <w:p>
      <w:pPr>
        <w:pStyle w:val="TextBody"/>
        <w:bidi w:val="0"/>
        <w:spacing w:lineRule="auto" w:line="240" w:before="0" w:after="22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Performance Stock Units</w:t>
      </w:r>
      <w:r>
        <w:rPr>
          <w:rFonts w:ascii="Times New Roman;serif" w:hAnsi="Times New Roman;serif"/>
          <w:b w:val="false"/>
          <w:color w:val="000000"/>
          <w:sz w:val="24"/>
        </w:rPr>
        <w:t>. Subject to approval by the Board or its delegate, the Employee shall be granted 38,000 performance-based restricted stock units (the “PSUs”) settled in Shares, provided the Employee is employed by the Company on the grant date, which grant date shall be the Effective Date or as soon as practicable thereafter. Subject to Sections 4.3 and 4.4 and to the Board’s approval, the PSUs will vest in accordance with the terms set forth in the PSU grant agreement, subject to Employee’s continued employment with the Company or a Company subsidiary through each applicable date.</w:t>
      </w:r>
    </w:p>
    <w:p>
      <w:pPr>
        <w:pStyle w:val="TextBody"/>
        <w:bidi w:val="0"/>
        <w:spacing w:lineRule="auto" w:line="240" w:before="0" w:after="220"/>
        <w:jc w:val="both"/>
        <w:rPr/>
      </w:pPr>
      <w:r>
        <w:rPr>
          <w:rFonts w:ascii="Times New Roman;serif" w:hAnsi="Times New Roman;serif"/>
          <w:b w:val="false"/>
          <w:color w:val="000000"/>
          <w:sz w:val="24"/>
        </w:rPr>
        <w:t>3.6</w:t>
      </w:r>
      <w:r>
        <w:rPr>
          <w:color w:val="000000"/>
          <w:u w:val="single"/>
        </w:rPr>
        <w:t xml:space="preserve"> </w:t>
      </w:r>
      <w:r>
        <w:rPr>
          <w:rFonts w:ascii="Times New Roman;serif" w:hAnsi="Times New Roman;serif"/>
          <w:b w:val="false"/>
          <w:color w:val="000000"/>
          <w:sz w:val="24"/>
          <w:u w:val="single"/>
        </w:rPr>
        <w:t>Incentive Plans</w:t>
      </w:r>
      <w:r>
        <w:rPr>
          <w:rFonts w:ascii="Times New Roman;serif" w:hAnsi="Times New Roman;serif"/>
          <w:b w:val="false"/>
          <w:color w:val="000000"/>
          <w:sz w:val="24"/>
        </w:rPr>
        <w:t>. The Employee shall be entitled to participate in certain incentive programs for the Company’s employees, including, without limiting the generality of the foregoing, share option plans, share purchase plans, profit-sharing or bonus plans (including target annual bonus, if applicable) (collectively, the “Incentive Plans”). Such participation shall be on the terms and conditions of such Incentive Plans as at the date hereof or as may from time to time be amended or implemented by the Company in its sole discretion.</w:t>
      </w:r>
    </w:p>
    <w:p>
      <w:pPr>
        <w:pStyle w:val="TextBody"/>
        <w:bidi w:val="0"/>
        <w:spacing w:lineRule="auto" w:line="240" w:before="0" w:after="240"/>
        <w:jc w:val="both"/>
        <w:rPr/>
      </w:pPr>
      <w:r>
        <w:rPr>
          <w:rFonts w:ascii="Times New Roman;serif" w:hAnsi="Times New Roman;serif"/>
          <w:b w:val="false"/>
          <w:color w:val="000000"/>
          <w:sz w:val="24"/>
        </w:rPr>
        <w:t>3.7</w:t>
      </w:r>
      <w:r>
        <w:rPr>
          <w:rFonts w:ascii="Times New Roman;serif" w:hAnsi="Times New Roman;serif"/>
          <w:b w:val="false"/>
          <w:color w:val="000000"/>
          <w:sz w:val="24"/>
          <w:u w:val="single"/>
        </w:rPr>
        <w:t>Target Annual Bonus</w:t>
      </w:r>
      <w:r>
        <w:rPr>
          <w:rFonts w:ascii="Times New Roman;serif" w:hAnsi="Times New Roman;serif"/>
          <w:b w:val="false"/>
          <w:color w:val="000000"/>
          <w:sz w:val="24"/>
        </w:rPr>
        <w:t xml:space="preserve">. In accordance with the Parent’s Executive Incentive Compensation Plan, and subject to Management and/or Parent Board discretion based on factors determined by Management and/or the Parent Board including Company performance, the Employee will be eligible to earn an annual cash bonus, with an initial target amount of 45% of base salary. The Employee will be eligible to receive up to a full (non-prorated bonus) if the Effective Date is on or prior to June 30 of the year of the Effective Date. The Employee will be eligible to receive a prorated bonus if the Effective Date is on or after July 1 of the year of the Effective Date. The achieved portion (if any) of the annual cash bonus will be payable, less applicable withholdings, on the date the Company pays such bonuses to other similarly-situated employees, subject to the Employee’s continued employment with the Company through the applicable payment date. </w:t>
      </w:r>
    </w:p>
    <w:p>
      <w:pPr>
        <w:pStyle w:val="TextBody"/>
        <w:bidi w:val="0"/>
        <w:spacing w:lineRule="auto" w:line="240" w:before="0" w:after="240"/>
        <w:jc w:val="both"/>
        <w:rPr/>
      </w:pPr>
      <w:r>
        <w:rPr>
          <w:rFonts w:ascii="Times New Roman;serif" w:hAnsi="Times New Roman;serif"/>
          <w:b w:val="false"/>
          <w:color w:val="000000"/>
          <w:sz w:val="24"/>
        </w:rPr>
        <w:t>3.8</w:t>
      </w:r>
      <w:r>
        <w:rPr>
          <w:rFonts w:ascii="Times New Roman;serif" w:hAnsi="Times New Roman;serif"/>
          <w:b w:val="false"/>
          <w:color w:val="000000"/>
          <w:sz w:val="24"/>
          <w:u w:val="single"/>
        </w:rPr>
        <w:t>Performance and Salary Review</w:t>
      </w:r>
      <w:r>
        <w:rPr>
          <w:rFonts w:ascii="Times New Roman;serif" w:hAnsi="Times New Roman;serif"/>
          <w:b w:val="false"/>
          <w:color w:val="000000"/>
          <w:sz w:val="24"/>
        </w:rPr>
        <w:t xml:space="preserve">. Management will review the Employee’s performance, base salary, and equity participation level under the terms of any Incentive Plans annually beginning in December 2026, or as otherwise approved by the Compensation </w:t>
      </w:r>
    </w:p>
    <w:p>
      <w:pPr>
        <w:pStyle w:val="TextBody"/>
        <w:bidi w:val="0"/>
        <w:spacing w:before="0" w:after="0"/>
        <w:jc w:val="right"/>
        <w:rPr/>
      </w:pPr>
      <w:r>
        <w:rPr/>
        <w:drawing>
          <wp:inline distT="0" distB="0" distL="0" distR="0">
            <wp:extent cx="1685925" cy="647700"/>
            <wp:effectExtent l="0" t="0" r="0" b="0"/>
            <wp:docPr id="26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33" descr=""/>
                    <pic:cNvPicPr>
                      <a:picLocks noChangeAspect="1" noChangeArrowheads="1"/>
                    </pic:cNvPicPr>
                  </pic:nvPicPr>
                  <pic:blipFill>
                    <a:blip r:embed="rId45"/>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14960"/>
                <wp:effectExtent l="0" t="0" r="0" b="0"/>
                <wp:wrapNone/>
                <wp:docPr id="269" name="Frame23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7 - 25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7 - 25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Committee. The timing of performance and salary reviews may from time to time be amended by the Company in its sole discretion.</w:t>
      </w:r>
    </w:p>
    <w:p>
      <w:pPr>
        <w:pStyle w:val="TextBody"/>
        <w:bidi w:val="0"/>
        <w:spacing w:lineRule="auto" w:line="240" w:before="0" w:after="240"/>
        <w:jc w:val="both"/>
        <w:rPr/>
      </w:pPr>
      <w:r>
        <w:rPr>
          <w:rFonts w:ascii="Times New Roman;serif" w:hAnsi="Times New Roman;serif"/>
          <w:b w:val="false"/>
          <w:color w:val="000000"/>
          <w:sz w:val="24"/>
        </w:rPr>
        <w:t>3.9</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The Company will reimburse the Employee for all ordinary and necessary expenses incurred by the Employee in the performance of the Employee’s duties under this Agreement. Reimbursement of such expenses will be made in accordance with the Company’s policies. </w:t>
      </w:r>
    </w:p>
    <w:p>
      <w:pPr>
        <w:pStyle w:val="TextBody"/>
        <w:bidi w:val="0"/>
        <w:spacing w:lineRule="auto" w:line="240" w:before="0" w:after="240"/>
        <w:jc w:val="both"/>
        <w:rPr/>
      </w:pPr>
      <w:r>
        <w:rPr>
          <w:rFonts w:ascii="Times New Roman;serif" w:hAnsi="Times New Roman;serif"/>
          <w:b w:val="false"/>
          <w:color w:val="000000"/>
          <w:sz w:val="24"/>
        </w:rPr>
        <w:t>3.10</w:t>
      </w:r>
      <w:r>
        <w:rPr>
          <w:rFonts w:ascii="Times New Roman;serif" w:hAnsi="Times New Roman;serif"/>
          <w:b w:val="false"/>
          <w:color w:val="000000"/>
          <w:sz w:val="24"/>
          <w:u w:val="single"/>
        </w:rPr>
        <w:t>Professional Fees</w:t>
      </w:r>
      <w:r>
        <w:rPr>
          <w:rFonts w:ascii="Times New Roman;serif" w:hAnsi="Times New Roman;serif"/>
          <w:b w:val="false"/>
          <w:color w:val="000000"/>
          <w:sz w:val="24"/>
        </w:rPr>
        <w:t>. The Company will reimburse the Employee for annual registration and/or licensing fees required to maintain the Employee’s status as a member in good standing with the appropriate professional bodies required to continue effective employment, and which were held by the Employee as of the Effective Date. The Company will reimburse reasonable costs incurred by the Employee to complete the minimum annual continuing professional development requirements required to maintain such status.</w:t>
      </w:r>
    </w:p>
    <w:p>
      <w:pPr>
        <w:pStyle w:val="TextBody"/>
        <w:bidi w:val="0"/>
        <w:spacing w:lineRule="auto" w:line="240" w:before="0" w:after="240"/>
        <w:jc w:val="both"/>
        <w:rPr/>
      </w:pPr>
      <w:r>
        <w:rPr>
          <w:rFonts w:ascii="Times New Roman;serif" w:hAnsi="Times New Roman;serif"/>
          <w:b w:val="false"/>
          <w:color w:val="000000"/>
          <w:sz w:val="24"/>
        </w:rPr>
        <w:t>3.11</w:t>
      </w:r>
      <w:r>
        <w:rPr>
          <w:rFonts w:ascii="Times New Roman;serif" w:hAnsi="Times New Roman;serif"/>
          <w:b w:val="false"/>
          <w:color w:val="000000"/>
          <w:sz w:val="24"/>
          <w:u w:val="single"/>
        </w:rPr>
        <w:t>Vacation</w:t>
      </w:r>
      <w:r>
        <w:rPr>
          <w:rFonts w:ascii="Times New Roman;serif" w:hAnsi="Times New Roman;serif"/>
          <w:b w:val="false"/>
          <w:color w:val="000000"/>
          <w:sz w:val="24"/>
        </w:rPr>
        <w:t>. The Employee will be eligible for vacation in accordance with the Company’s paid time off policies as may be in effect from time to time.</w:t>
      </w:r>
    </w:p>
    <w:p>
      <w:pPr>
        <w:pStyle w:val="TextBody"/>
        <w:bidi w:val="0"/>
        <w:spacing w:lineRule="auto" w:line="240" w:before="0" w:after="240"/>
        <w:jc w:val="both"/>
        <w:rPr/>
      </w:pPr>
      <w:r>
        <w:rPr>
          <w:rFonts w:ascii="Times New Roman;serif" w:hAnsi="Times New Roman;serif"/>
          <w:b w:val="false"/>
          <w:color w:val="000000"/>
          <w:sz w:val="24"/>
        </w:rPr>
        <w:t>3.12</w:t>
      </w:r>
      <w:r>
        <w:rPr>
          <w:rFonts w:ascii="Times New Roman;serif" w:hAnsi="Times New Roman;serif"/>
          <w:b w:val="false"/>
          <w:color w:val="000000"/>
          <w:sz w:val="24"/>
          <w:u w:val="single"/>
        </w:rPr>
        <w:t>Benefits</w:t>
      </w:r>
      <w:r>
        <w:rPr>
          <w:rFonts w:ascii="Times New Roman;serif" w:hAnsi="Times New Roman;serif"/>
          <w:b w:val="false"/>
          <w:color w:val="000000"/>
          <w:sz w:val="24"/>
        </w:rPr>
        <w:t xml:space="preserve">. The Employee will be eligible to participate in all benefit plans generally available to Employees of the Company, subject to meeting applicable eligibility requirements of such plans. The Company may amend, terminate, and/or replace such plans from time to time in its discretion. </w:t>
      </w:r>
    </w:p>
    <w:p>
      <w:pPr>
        <w:pStyle w:val="TextBody"/>
        <w:bidi w:val="0"/>
        <w:spacing w:lineRule="auto" w:line="240" w:before="0" w:after="240"/>
        <w:jc w:val="both"/>
        <w:rPr/>
      </w:pPr>
      <w:r>
        <w:rPr>
          <w:rFonts w:ascii="Times New Roman;serif" w:hAnsi="Times New Roman;serif"/>
          <w:b w:val="false"/>
          <w:color w:val="000000"/>
          <w:sz w:val="24"/>
        </w:rPr>
        <w:t>3.13</w:t>
      </w:r>
      <w:r>
        <w:rPr>
          <w:rFonts w:ascii="Times New Roman;serif" w:hAnsi="Times New Roman;serif"/>
          <w:b w:val="false"/>
          <w:color w:val="000000"/>
          <w:sz w:val="24"/>
          <w:u w:val="single"/>
        </w:rPr>
        <w:t>Sick Leave</w:t>
      </w:r>
      <w:r>
        <w:rPr>
          <w:rFonts w:ascii="Times New Roman;serif" w:hAnsi="Times New Roman;serif"/>
          <w:b w:val="false"/>
          <w:color w:val="000000"/>
          <w:sz w:val="24"/>
        </w:rPr>
        <w:t xml:space="preserve">. The Employee will be entitled to sick leave in accordance with the Company’s sick leave policy as may be in effect from time to time and applicable law. </w:t>
      </w:r>
    </w:p>
    <w:p>
      <w:pPr>
        <w:pStyle w:val="TextBody"/>
        <w:bidi w:val="0"/>
        <w:spacing w:lineRule="auto" w:line="240" w:before="240" w:after="240"/>
        <w:jc w:val="both"/>
        <w:rPr/>
      </w:pPr>
      <w:r>
        <w:rPr>
          <w:rFonts w:ascii="Times New Roman;serif" w:hAnsi="Times New Roman;serif"/>
          <w:b/>
          <w:color w:val="000000"/>
          <w:sz w:val="24"/>
        </w:rPr>
        <w:t>Article 4</w:t>
      </w:r>
      <w:r>
        <w:rPr>
          <w:color w:val="000000"/>
        </w:rPr>
        <w:t xml:space="preserve">– </w:t>
      </w:r>
      <w:r>
        <w:rPr>
          <w:rFonts w:ascii="Times New Roman;serif" w:hAnsi="Times New Roman;serif"/>
          <w:b/>
          <w:color w:val="000000"/>
          <w:sz w:val="24"/>
        </w:rPr>
        <w:t>TERM AND TERMINATION</w:t>
      </w:r>
    </w:p>
    <w:p>
      <w:pPr>
        <w:pStyle w:val="TextBody"/>
        <w:bidi w:val="0"/>
        <w:spacing w:lineRule="auto" w:line="240" w:before="0" w:after="24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Term</w:t>
      </w:r>
      <w:r>
        <w:rPr>
          <w:rFonts w:ascii="Times New Roman;serif" w:hAnsi="Times New Roman;serif"/>
          <w:b w:val="false"/>
          <w:color w:val="000000"/>
          <w:sz w:val="24"/>
        </w:rPr>
        <w:t>. This Agreement will commence on the Effective Date and will terminate on the effective date of termination by either the Employee or the Company in accordance with Section 4.2 of this Agreement.</w:t>
      </w:r>
    </w:p>
    <w:p>
      <w:pPr>
        <w:pStyle w:val="TextBody"/>
        <w:bidi w:val="0"/>
        <w:spacing w:lineRule="auto" w:line="240" w:before="0" w:after="24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Employment At Will</w:t>
      </w:r>
      <w:r>
        <w:rPr>
          <w:rFonts w:ascii="Times New Roman;serif" w:hAnsi="Times New Roman;serif"/>
          <w:b w:val="false"/>
          <w:color w:val="000000"/>
          <w:sz w:val="24"/>
        </w:rPr>
        <w:t xml:space="preserve">. Employment with the Company is “at-will.” This means that either the Company or the Employee may terminate the employment relationship at any time, with or without cause, with or without notice. </w:t>
      </w:r>
    </w:p>
    <w:p>
      <w:pPr>
        <w:pStyle w:val="TextBody"/>
        <w:bidi w:val="0"/>
        <w:spacing w:lineRule="auto" w:line="240" w:before="0" w:after="24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Severance upon Termination of Employment</w:t>
      </w:r>
      <w:r>
        <w:rPr>
          <w:rFonts w:ascii="Times New Roman;serif" w:hAnsi="Times New Roman;serif"/>
          <w:b w:val="false"/>
          <w:color w:val="000000"/>
          <w:sz w:val="24"/>
        </w:rPr>
        <w:t>. Although Employee is employed on an at-will basis, the Employee’s eligibility for severance payments upon termination of employment is set forth in this Section 4.3.</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i/>
          <w:color w:val="000000"/>
          <w:sz w:val="24"/>
        </w:rPr>
        <w:t>Resignation</w:t>
      </w:r>
      <w:r>
        <w:rPr>
          <w:rFonts w:ascii="Times New Roman;serif" w:hAnsi="Times New Roman;serif"/>
          <w:b w:val="false"/>
          <w:color w:val="000000"/>
          <w:sz w:val="24"/>
        </w:rPr>
        <w:t xml:space="preserve">. In the event that Employee voluntarily resigns employment, the Company will pay the Employee all wages earned through the time of termination. With the exception of reimbursement for business expenses in accordance with the Company’s policies, the Employee is not entitled to any additional compensation upon resignation of employment. The Company requests – but does not require – that the Employee provide prior written notice to Management of not less than thirty (30) days prior to resignation of employment, or such shorter period as the Employee and Management may agree. If the Employee provides 30 days’ notice as requested, the Company </w:t>
      </w:r>
    </w:p>
    <w:p>
      <w:pPr>
        <w:pStyle w:val="TextBody"/>
        <w:bidi w:val="0"/>
        <w:spacing w:before="0" w:after="0"/>
        <w:jc w:val="right"/>
        <w:rPr/>
      </w:pPr>
      <w:r>
        <w:rPr/>
        <w:drawing>
          <wp:inline distT="0" distB="0" distL="0" distR="0">
            <wp:extent cx="1685925" cy="647700"/>
            <wp:effectExtent l="0" t="0" r="0" b="0"/>
            <wp:docPr id="27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34" descr=""/>
                    <pic:cNvPicPr>
                      <a:picLocks noChangeAspect="1" noChangeArrowheads="1"/>
                    </pic:cNvPicPr>
                  </pic:nvPicPr>
                  <pic:blipFill>
                    <a:blip r:embed="rId46"/>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14960"/>
                <wp:effectExtent l="0" t="0" r="0" b="0"/>
                <wp:wrapNone/>
                <wp:docPr id="271" name="Frame23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8 - 25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8 - 25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may choose to waive all or part of the notice period and pay to the Employee the base salary to be earned during the balance of the notice period instead.</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i/>
          <w:color w:val="000000"/>
          <w:sz w:val="24"/>
        </w:rPr>
        <w:t>Termination for Cause</w:t>
      </w:r>
      <w:r>
        <w:rPr>
          <w:rFonts w:ascii="Times New Roman;serif" w:hAnsi="Times New Roman;serif"/>
          <w:b w:val="false"/>
          <w:color w:val="000000"/>
          <w:sz w:val="24"/>
        </w:rPr>
        <w:t xml:space="preserve">. In the event that Employee’s employment is terminated for Cause, the Company will pay the Employee all wages earned through the time of termination. With the exception of reimbursement for business expenses in accordance with the Company’s policies, the Employee will not be entitled to any additional compensation of any kind. For purposes of this Agreement, “Cause” shall mean: (i) a material breach by the Employee of any of Employee’s material obligations hereunder; (ii) any act of misappropriation, embezzlement, intentional fraud or similar conduct involving the Company, Parent, or any of their respective affiliates; (iii) the conviction or the plea of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or the equivalent in respect of a criminal offense that would have a direct and specific negative bearing on Employee’s ability to perform the responsibilities of the position; (iv) the Company’s or Parent’s conclusion, following a reasonable and good-faith investigation, that Employee has violated the Company’s and/or Parent’s policies applicable to the Employee with respect to Equal Employment Opportunity or prohibition of harassment, discrimination, or retaliation; or (v) intentional infliction of any damage of a material nature to any property of the Company, Parent, or any of their respective affiliates or employees.</w:t>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i/>
          <w:color w:val="000000"/>
          <w:sz w:val="24"/>
        </w:rPr>
        <w:t>Termination Without Cause</w:t>
      </w:r>
      <w:r>
        <w:rPr>
          <w:rFonts w:ascii="Times New Roman;serif" w:hAnsi="Times New Roman;serif"/>
          <w:b w:val="false"/>
          <w:color w:val="000000"/>
          <w:sz w:val="24"/>
        </w:rPr>
        <w:t>. If the Company terminates the employment of the Employee without Cause, the Company agrees to provide the Employee with:</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(i)written notice or payment in lieu of notice to the Employee as follows: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A.twelve (12) months of notice or the equivalent of twelve (12) months of base salary as of the date notice is given, or any combination thereof that totals twelve (12) months of combined notice and base salary, if termination of employment occurs during the first three years of employment measured from the Start Date (with any base salary equivalent payable over twelve (12) months);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B.commencing in the fourth year of employment measured from the Start Date, an additional one (1) month of notice or the equivalent of one (1) month of base salary as of the date notice is given, or any combination thereof, for each additional completed year of service, up to a total maximum of eighteen (18) months (payable over eighteen (18) months);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(ii)continuation of group extended health and dental benefits through the applicable notice period stated in Section 4.3(c) herein, which may be provided by the Company paying for or reimbursing the Employee’s COBRA premium costs for continuation coverage (where all other benefits terminate on the last day worked by the Employee) and further subject to Section 4.7 of this Agreement.</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rFonts w:ascii="Times New Roman;serif" w:hAnsi="Times New Roman;serif"/>
          <w:b w:val="false"/>
          <w:i/>
          <w:color w:val="000000"/>
          <w:sz w:val="24"/>
        </w:rPr>
        <w:t>Termination following Change of Control</w:t>
      </w:r>
      <w:r>
        <w:rPr>
          <w:rFonts w:ascii="Times New Roman;serif" w:hAnsi="Times New Roman;serif"/>
          <w:b w:val="false"/>
          <w:color w:val="000000"/>
          <w:sz w:val="24"/>
        </w:rPr>
        <w:t xml:space="preserve">. Notwithstanding any other provision in this Agreement, if within twelve (12) months following a Change of Control </w:t>
      </w:r>
    </w:p>
    <w:p>
      <w:pPr>
        <w:pStyle w:val="TextBody"/>
        <w:bidi w:val="0"/>
        <w:spacing w:before="0" w:after="0"/>
        <w:jc w:val="right"/>
        <w:rPr/>
      </w:pPr>
      <w:r>
        <w:rPr/>
        <w:drawing>
          <wp:inline distT="0" distB="0" distL="0" distR="0">
            <wp:extent cx="1685925" cy="647700"/>
            <wp:effectExtent l="0" t="0" r="0" b="0"/>
            <wp:docPr id="27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35" descr=""/>
                    <pic:cNvPicPr>
                      <a:picLocks noChangeAspect="1" noChangeArrowheads="1"/>
                    </pic:cNvPicPr>
                  </pic:nvPicPr>
                  <pic:blipFill>
                    <a:blip r:embed="rId47"/>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314960"/>
                <wp:effectExtent l="0" t="0" r="0" b="0"/>
                <wp:wrapNone/>
                <wp:docPr id="273" name="Frame23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9 - 25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9 - 25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of the Company (as defined below), the Employee’s employment is terminated by the Company without Cause, the Employee shall receive (x) as severance, payment equal to eighteen (18) months of base salary as of the date of termination (with the severance payable over eighteen (18) months, or to the extent available under Section 409A of the Internal Revenue Code, paid sooner, at the sole discretion of the Company), (y) continuation of group extended health and dental benefits provided by the Company paying for the Employee’s premium costs for COBRA continuation coverage for up to eighteen (18) months following the Employee’s termination date, provided that the Employee timely elects and remains eligible for COBRA continuation coverage, and further subject to Section 4.5 of this Agreement, and (z) full vesting acceleration of all unvested and outstanding stock options or other Company or Parent unvested and outstanding equity grants made to the Employee as of the date of termination. For all purposes of this Agreement, “Change of Control” means: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(i)the acquisition, directly or indirectly, by any person or group of persons acting jointly or in concert, of common shares of Parent which, when added to all other common shares of Parent at the time held directly or indirectly by such person or persons acting jointly or in concert constitutes for the first time in the aggregate 40% of more of the outstanding common shares of Parent and such shareholding exceeds the collective shareholding of the current directors of Parent, excluding any directors acting in concert with the acquiring party;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removal, by extraordinary resolution of the shareholders of Parent, of more than 51% of the then incumbent Board of Parent, or the election of a majority of Board members to Parent’s board who were not nominees of Parent’s incumbent board at the time immediately preceding such election;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(iii)consummation of a sale of all or substantially all of the assets of Parent;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(iv)the consummation of a reorganization, plan of arrangement, merger, or other transaction which has substantially the same effect as to above.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(v)Payment under Section 4.3(d) herein will be in lieu of and not in addition to payment under Section 4.3(c).</w:t>
      </w:r>
    </w:p>
    <w:p>
      <w:pPr>
        <w:pStyle w:val="TextBody"/>
        <w:bidi w:val="0"/>
        <w:spacing w:lineRule="auto" w:line="240" w:before="0" w:after="240"/>
        <w:ind w:left="0" w:right="0" w:hanging="720"/>
        <w:jc w:val="both"/>
        <w:rPr/>
      </w:pPr>
      <w:r>
        <w:rPr>
          <w:rFonts w:ascii="Times New Roman;serif" w:hAnsi="Times New Roman;serif"/>
          <w:b w:val="false"/>
          <w:color w:val="000000"/>
          <w:sz w:val="24"/>
        </w:rPr>
        <w:t>(e)</w:t>
      </w:r>
      <w:r>
        <w:rPr>
          <w:rFonts w:ascii="Times New Roman;serif" w:hAnsi="Times New Roman;serif"/>
          <w:b w:val="false"/>
          <w:i/>
          <w:color w:val="000000"/>
          <w:sz w:val="24"/>
        </w:rPr>
        <w:t>Severance Pay Timing</w:t>
      </w:r>
      <w:r>
        <w:rPr>
          <w:rFonts w:ascii="Times New Roman;serif" w:hAnsi="Times New Roman;serif"/>
          <w:b w:val="false"/>
          <w:color w:val="000000"/>
          <w:sz w:val="24"/>
        </w:rPr>
        <w:t xml:space="preserve">. Payments of any severance under Section 4.3(c) or Section 4.3(d) will be paid, or, in the case of installments will commence, on the first Company payroll date following the effective date of the Release (as defined below), provided that if the timeframe for executing the Release as set forth in the Release (which timeframe shall not exceed a 60-day period following termination of employment) spans two calendar years, any severance payments or benefits that qualify as “nonqualified deferred compensation” (as described in Section 9.9 of this Agreement), will not be paid or otherwise commence until no earlier than January 1 of the second calendar year, and subject to any delay under Section 9.9 of this Agreement. For purposes of compliance with Section 409A of the Internal Revenue Code (described more </w:t>
      </w:r>
    </w:p>
    <w:p>
      <w:pPr>
        <w:pStyle w:val="TextBody"/>
        <w:bidi w:val="0"/>
        <w:spacing w:before="0" w:after="0"/>
        <w:jc w:val="right"/>
        <w:rPr/>
      </w:pPr>
      <w:r>
        <w:rPr/>
        <w:drawing>
          <wp:inline distT="0" distB="0" distL="0" distR="0">
            <wp:extent cx="1685925" cy="647700"/>
            <wp:effectExtent l="0" t="0" r="0" b="0"/>
            <wp:docPr id="27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36" descr=""/>
                    <pic:cNvPicPr>
                      <a:picLocks noChangeAspect="1" noChangeArrowheads="1"/>
                    </pic:cNvPicPr>
                  </pic:nvPicPr>
                  <pic:blipFill>
                    <a:blip r:embed="rId48"/>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14960"/>
                <wp:effectExtent l="0" t="0" r="0" b="0"/>
                <wp:wrapNone/>
                <wp:docPr id="275" name="Frame23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10 - 25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10 - 25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thoroughly in Section 9.9 of this Agreement), each severance benefit payment under Section 4.3(c) or Section 4.3(d) will be treated as a separate payment, and the right to a series of installment payments under this Agreement will be treated as a right to a series of separate payments. </w:t>
      </w:r>
    </w:p>
    <w:p>
      <w:pPr>
        <w:pStyle w:val="TextBody"/>
        <w:bidi w:val="0"/>
        <w:spacing w:lineRule="auto" w:line="240" w:before="0" w:after="24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Equity Awards on Termination</w:t>
      </w:r>
      <w:r>
        <w:rPr>
          <w:rFonts w:ascii="Times New Roman;serif" w:hAnsi="Times New Roman;serif"/>
          <w:b w:val="false"/>
          <w:color w:val="000000"/>
          <w:sz w:val="24"/>
        </w:rPr>
        <w:t>. Except as provided by Section 4.3(d), the vesting and exercise of any outstanding equity award granted to the Employee in the event the Employee’s employment with the Company or this Agreement terminates, for any reason, shall be governed by the terms of the applicable Equity Compensation Plan and any applicable award agreement in effect between the Company and the Employee at the time of termination.</w:t>
      </w:r>
    </w:p>
    <w:p>
      <w:pPr>
        <w:pStyle w:val="TextBody"/>
        <w:bidi w:val="0"/>
        <w:spacing w:lineRule="auto" w:line="240" w:before="0" w:after="24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Benefits Continuation and No Mitigation</w:t>
      </w:r>
      <w:r>
        <w:rPr>
          <w:rFonts w:ascii="Times New Roman;serif" w:hAnsi="Times New Roman;serif"/>
          <w:b w:val="false"/>
          <w:color w:val="000000"/>
          <w:sz w:val="24"/>
        </w:rPr>
        <w:t>. The Employee shall not be required to mitigate the amount of any payments provided for in this Article 4 by seeking other employment or otherwise, nor shall the amount of any payment provided for in this Article 4 be reduced by any compensation earned by the Employee as the result of employment by another employer after the date of termination, or otherwise. Notwithstanding the forgoing, the Employee is required to report to the Company if Employee obtains replacement benefits coverage through new employment during any period of group extended health and dental benefits continuation contemplated by this Article 4, and such benefits coverage by the Company will cease effective the date the Employee receives such new coverage and the Employee will not be entitled to any payment in respect of such benefits coverage from the Company in respect of any notice period or severance payment contemplated in this Article 4.</w:t>
      </w:r>
    </w:p>
    <w:p>
      <w:pPr>
        <w:pStyle w:val="TextBody"/>
        <w:bidi w:val="0"/>
        <w:spacing w:lineRule="auto" w:line="240" w:before="0" w:after="24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No Additional Payments</w:t>
      </w:r>
      <w:r>
        <w:rPr>
          <w:rFonts w:ascii="Times New Roman;serif" w:hAnsi="Times New Roman;serif"/>
          <w:b w:val="false"/>
          <w:color w:val="000000"/>
          <w:sz w:val="24"/>
        </w:rPr>
        <w:t>. Payment of severance, if any, in accordance with Section 4.3(c) or Section 4.3(d) above, to the Employee by the Company will be full and adequate compensation to the Employee with respect to any claim relating to the Employee’s employment or termination or manner of termination of the Employee’s employment, and the Employee waives any right that Employee may have to claim further payment, compensation or damages from the Company.</w:t>
      </w:r>
    </w:p>
    <w:p>
      <w:pPr>
        <w:pStyle w:val="TextBody"/>
        <w:bidi w:val="0"/>
        <w:spacing w:lineRule="auto" w:line="240" w:before="0" w:after="24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Condition to Payment</w:t>
      </w:r>
      <w:r>
        <w:rPr>
          <w:rFonts w:ascii="Times New Roman;serif" w:hAnsi="Times New Roman;serif"/>
          <w:b w:val="false"/>
          <w:color w:val="000000"/>
          <w:sz w:val="24"/>
        </w:rPr>
        <w:t>. Payment of any amount of severance under this Agreement to the Employee is conditional upon execution by the Employee of a separation agreement and general release of all claims on a form provided by the Company (the “Release”) within the timeframe set forth in the Release (which timeframe shall not exceed a 60-day period following termination of employment).</w:t>
      </w:r>
    </w:p>
    <w:p>
      <w:pPr>
        <w:pStyle w:val="TextBody"/>
        <w:bidi w:val="0"/>
        <w:spacing w:lineRule="auto" w:line="240" w:before="0" w:after="2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Survival</w:t>
      </w:r>
      <w:r>
        <w:rPr>
          <w:rFonts w:ascii="Times New Roman;serif" w:hAnsi="Times New Roman;serif"/>
          <w:b w:val="false"/>
          <w:color w:val="000000"/>
          <w:sz w:val="24"/>
        </w:rPr>
        <w:t>. Upon a termination of this Agreement for any reason, the Employee will continue to be bound by the provisions of Article 4, Article 5, Article 6, Article 7, Article 8, and Section 9.10.</w:t>
      </w:r>
    </w:p>
    <w:p>
      <w:pPr>
        <w:pStyle w:val="TextBody"/>
        <w:bidi w:val="0"/>
        <w:spacing w:lineRule="auto" w:line="240" w:before="240" w:after="240"/>
        <w:jc w:val="both"/>
        <w:rPr/>
      </w:pPr>
      <w:r>
        <w:rPr>
          <w:rFonts w:ascii="Times New Roman;serif" w:hAnsi="Times New Roman;serif"/>
          <w:b/>
          <w:color w:val="000000"/>
          <w:sz w:val="24"/>
        </w:rPr>
        <w:t>Article 5</w:t>
      </w:r>
      <w:r>
        <w:rPr>
          <w:color w:val="000000"/>
        </w:rPr>
        <w:t xml:space="preserve"> – </w:t>
      </w:r>
      <w:r>
        <w:rPr>
          <w:rFonts w:ascii="Times New Roman;serif" w:hAnsi="Times New Roman;serif"/>
          <w:b/>
          <w:color w:val="000000"/>
          <w:sz w:val="24"/>
        </w:rPr>
        <w:t>CONFIDENTIALITY</w:t>
      </w:r>
    </w:p>
    <w:p>
      <w:pPr>
        <w:pStyle w:val="TextBody"/>
        <w:bidi w:val="0"/>
        <w:spacing w:lineRule="auto" w:line="240" w:before="0" w:after="24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i/>
          <w:color w:val="000000"/>
          <w:sz w:val="24"/>
        </w:rPr>
        <w:t>Ownership of Confidential Information</w:t>
      </w:r>
      <w:r>
        <w:rPr>
          <w:color w:val="000000"/>
        </w:rPr>
        <w:t xml:space="preserve"> </w:t>
      </w:r>
      <w:r>
        <w:rPr>
          <w:rFonts w:ascii="Times New Roman;serif" w:hAnsi="Times New Roman;serif"/>
          <w:b w:val="false"/>
          <w:color w:val="000000"/>
          <w:sz w:val="24"/>
        </w:rPr>
        <w:t xml:space="preserve">- The Employee acknowledges that the Confidential Information is and will be the sole and exclusive property of the Company and/or Parent. The Company has a legitimate business interest in protecting its Confidential Information, including its trade secrets, as well as its substantial and ongoing customer, industry, and employee relationships. The </w:t>
      </w:r>
    </w:p>
    <w:p>
      <w:pPr>
        <w:pStyle w:val="TextBody"/>
        <w:bidi w:val="0"/>
        <w:spacing w:before="0" w:after="0"/>
        <w:jc w:val="right"/>
        <w:rPr/>
      </w:pPr>
      <w:r>
        <w:rPr/>
        <w:drawing>
          <wp:inline distT="0" distB="0" distL="0" distR="0">
            <wp:extent cx="1685925" cy="647700"/>
            <wp:effectExtent l="0" t="0" r="0" b="0"/>
            <wp:docPr id="27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37" descr=""/>
                    <pic:cNvPicPr>
                      <a:picLocks noChangeAspect="1" noChangeArrowheads="1"/>
                    </pic:cNvPicPr>
                  </pic:nvPicPr>
                  <pic:blipFill>
                    <a:blip r:embed="rId49"/>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314960"/>
                <wp:effectExtent l="0" t="0" r="0" b="0"/>
                <wp:wrapNone/>
                <wp:docPr id="277" name="Frame24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11 - 25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11 - 25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Employee acknowledges that the Employee has not, and will not, acquire any right, title or interest in or to any of the Confidential Information.</w:t>
      </w:r>
    </w:p>
    <w:p>
      <w:pPr>
        <w:pStyle w:val="TextBody"/>
        <w:bidi w:val="0"/>
        <w:spacing w:lineRule="auto" w:line="240" w:before="0" w:after="220"/>
        <w:ind w:left="0" w:right="0" w:hanging="720"/>
        <w:jc w:val="both"/>
        <w:rPr/>
      </w:pPr>
      <w:r>
        <w:rPr>
          <w:rFonts w:ascii="Times New Roman;serif" w:hAnsi="Times New Roman;serif"/>
          <w:b w:val="false"/>
          <w:color w:val="000000"/>
          <w:sz w:val="24"/>
        </w:rPr>
        <w:t>(b)</w:t>
      </w:r>
      <w:r>
        <w:rPr>
          <w:rFonts w:ascii="Times New Roman;serif" w:hAnsi="Times New Roman;serif"/>
          <w:b w:val="false"/>
          <w:i/>
          <w:color w:val="000000"/>
          <w:sz w:val="24"/>
        </w:rPr>
        <w:t>Non-Disclosure, Use and Reproduction of Confidential Information</w:t>
      </w:r>
      <w:r>
        <w:rPr>
          <w:color w:val="000000"/>
        </w:rPr>
        <w:t xml:space="preserve"> </w:t>
      </w:r>
      <w:r>
        <w:rPr>
          <w:rFonts w:ascii="Times New Roman;serif" w:hAnsi="Times New Roman;serif"/>
          <w:b w:val="false"/>
          <w:color w:val="000000"/>
          <w:sz w:val="24"/>
        </w:rPr>
        <w:t>- The Company and its related entities, parents, subsidiaries, predecessors, successors, and affiliates, may provide and make available to the Employee certain Confidential Information regarding its business. This Confidential Information is of substantial value and highly confidential, is not known to the general public, is the subject of the Company’s reasonable efforts to maintain its secrecy, includes professional and trade secrets, and is being provided and disclosed to the Employee solely for use in connection with and during the Employee’s employment with the Company. The Employee will keep all the Confidential Information strictly confidential, and will not, either directly or indirectly, either during or subsequent to employment with the Company, disclose, allow access to, transmit, transfer, use or reproduce any of the Confidential Information in any manner except (A) as required to perform the duties of the Employee for the Company and in accordance with all procedures established by the Company for the protection of the Confidential Information or (B) as expressly provided herein. Without limiting the foregoing, the Employee:</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(i)will ensure that all the Confidential Information and all copies thereof, are clearly marked, or otherwise identified as confidential to the Company and proprietary to the person or entity that first provided the Confidential Information, and are stored in a secure place while in the Employee’s possession, custody, charge or control;</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(ii)will not, either directly or indirectly, disclose, allow access to, transmit or transfer any of the Confidential Information to any person other than (A) to an employee, officer, or director of the Company on a “need to know” basis for the benefit of the Company, without the prior written authorization of Management or (B) as expressly provided herein; and</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(iii)will not, except as required by the Employee’s position or as expressly provided herein, use any of the Confidential Information to create, maintain or market any product or service which is competitive with any product or service produced, marketed, licensed, sold or otherwise dealt in by the Company, or assist any other person to do so.</w:t>
      </w:r>
    </w:p>
    <w:p>
      <w:pPr>
        <w:pStyle w:val="TextBody"/>
        <w:bidi w:val="0"/>
        <w:spacing w:lineRule="auto" w:line="240" w:before="0" w:after="24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Legally Required Disclosure</w:t>
      </w:r>
      <w:r>
        <w:rPr>
          <w:color w:val="000000"/>
        </w:rPr>
        <w:t xml:space="preserve"> </w:t>
      </w:r>
      <w:r>
        <w:rPr>
          <w:rFonts w:ascii="Times New Roman;serif" w:hAnsi="Times New Roman;serif"/>
          <w:b w:val="false"/>
          <w:color w:val="000000"/>
          <w:sz w:val="24"/>
        </w:rPr>
        <w:t xml:space="preserve">- Nothing in this Agreement prohibits the Employee from filing and/or pursuing a charge or complaint with, reporting possible violations of law or regulation to, or otherwise communicating or cooperating with or participating in any investigation or proceeding of any governmental agency or entity, including but not limited to the Department of Justice, the Securities and Exchange Commission, the Equal Employment Opportunity Commission, the state division of human rights, a local commission on human rights, the National Labor Relations Board, the Occupational Safety and Health Administration, the Congress, and any agency Inspector General, or making other disclosures or engaging in other activities that are protected under the whistleblower provisions of local, state, or federal law or regulation, including disclosing documents or other information as permitted by law. </w:t>
      </w:r>
    </w:p>
    <w:p>
      <w:pPr>
        <w:pStyle w:val="TextBody"/>
        <w:bidi w:val="0"/>
        <w:spacing w:before="0" w:after="0"/>
        <w:jc w:val="right"/>
        <w:rPr/>
      </w:pPr>
      <w:r>
        <w:rPr/>
        <w:drawing>
          <wp:inline distT="0" distB="0" distL="0" distR="0">
            <wp:extent cx="1685925" cy="647700"/>
            <wp:effectExtent l="0" t="0" r="0" b="0"/>
            <wp:docPr id="2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38" descr=""/>
                    <pic:cNvPicPr>
                      <a:picLocks noChangeAspect="1" noChangeArrowheads="1"/>
                    </pic:cNvPicPr>
                  </pic:nvPicPr>
                  <pic:blipFill>
                    <a:blip r:embed="rId50"/>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314960"/>
                <wp:effectExtent l="0" t="0" r="0" b="0"/>
                <wp:wrapNone/>
                <wp:docPr id="279" name="Frame24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12 - 25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12 - 25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Nothing in this Agreement prohibits the Employee from speaking with law enforcement or an attorney retained by the Employee. The Employee does not need the prior authorization of the Company to make any such reports or disclosures, and the Employee is not required to notify the Company that Employee has made such reports or disclosures. However, in making any such disclosures or communications, the Employee must take all reasonable precautions to prevent any unauthorized use or disclosure of any Confidential Information to or by any parties other than the applicable government agencies and/or an attorney retained by the Employee. The Employee further understands that the Employee is not permitted to disclose the Company’s attorney-client privileged communication or privileged attorney work product. Nothing in this Agreement, including its definition of Confidential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Further, nothing in this Agreement is intended to infringe on Employee’s rights under the Defend Trade Secrets Act (“DTSA”) and applicable state law. The Employee is hereby notified that the DTSA protects individuals from criminal or civil liability where the disclosure of a trade secret is made: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(i)in confidence to a Federal, State, or local government official, either directly or indirectly, or to an attorney, and the confidential disclosure is made solely for the purpose of reporting or investigating a suspected violation of law; and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trade secret disclosure is made in a complaint or other document filed in a lawsuit or other proceeding, and the disclosure is made under seal.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Nothing in this Agreement restricts or impedes the Employee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court order. Unless prohibited by law, the Employee shall promptly provide written notice of any such court order to the Head of Global Human Resources and the Head of Legal of the Company and/or Parent, as applicable. </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rFonts w:ascii="Times New Roman;serif" w:hAnsi="Times New Roman;serif"/>
          <w:b w:val="false"/>
          <w:i/>
          <w:color w:val="000000"/>
          <w:sz w:val="24"/>
        </w:rPr>
        <w:t>Return of Materials, Equipment and Confidential Information</w:t>
      </w:r>
      <w:r>
        <w:rPr>
          <w:color w:val="000000"/>
        </w:rPr>
        <w:t xml:space="preserve"> </w:t>
      </w:r>
      <w:r>
        <w:rPr>
          <w:rFonts w:ascii="Times New Roman;serif" w:hAnsi="Times New Roman;serif"/>
          <w:b w:val="false"/>
          <w:color w:val="000000"/>
          <w:sz w:val="24"/>
        </w:rPr>
        <w:t xml:space="preserve">- Upon request by the Company, and in any event when the Employee leaves the employ of the Company, the Employee will immediately return to the Company all the Confidential Information and all other materials, computer programs, documents, memoranda, notes, papers, reports, lists, manuals, specifications, designs, devices, drawings, notebooks, correspondence, equipment, keys, pass cards, and property, and all copies thereof, in any medium, in the Employee’s possession, charge, control or custody, which are owned by, or relate in any way </w:t>
      </w:r>
    </w:p>
    <w:p>
      <w:pPr>
        <w:pStyle w:val="TextBody"/>
        <w:bidi w:val="0"/>
        <w:spacing w:before="0" w:after="0"/>
        <w:jc w:val="right"/>
        <w:rPr/>
      </w:pPr>
      <w:r>
        <w:rPr/>
        <w:drawing>
          <wp:inline distT="0" distB="0" distL="0" distR="0">
            <wp:extent cx="1685925" cy="647700"/>
            <wp:effectExtent l="0" t="0" r="0" b="0"/>
            <wp:docPr id="28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39" descr=""/>
                    <pic:cNvPicPr>
                      <a:picLocks noChangeAspect="1" noChangeArrowheads="1"/>
                    </pic:cNvPicPr>
                  </pic:nvPicPr>
                  <pic:blipFill>
                    <a:blip r:embed="rId51"/>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314960"/>
                <wp:effectExtent l="0" t="0" r="0" b="0"/>
                <wp:wrapNone/>
                <wp:docPr id="281" name="Frame24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13 - 25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13 - 25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to the Business or affairs of the Company, Parent, and/or any of their respective affiliates.</w:t>
      </w:r>
      <w:r>
        <w:rPr>
          <w:color w:val="000000"/>
        </w:rPr>
        <w:t xml:space="preserve"> </w:t>
      </w:r>
    </w:p>
    <w:p>
      <w:pPr>
        <w:pStyle w:val="TextBody"/>
        <w:bidi w:val="0"/>
        <w:spacing w:lineRule="auto" w:line="240" w:before="0" w:after="240"/>
        <w:ind w:left="0" w:right="0" w:hanging="720"/>
        <w:jc w:val="left"/>
        <w:rPr/>
      </w:pPr>
      <w:r>
        <w:rPr>
          <w:rFonts w:ascii="Times New Roman;serif" w:hAnsi="Times New Roman;serif"/>
          <w:b w:val="false"/>
          <w:color w:val="000000"/>
          <w:sz w:val="24"/>
        </w:rPr>
        <w:t>(e)</w:t>
      </w:r>
      <w:r>
        <w:rPr>
          <w:rFonts w:ascii="Times New Roman;serif" w:hAnsi="Times New Roman;serif"/>
          <w:b w:val="false"/>
          <w:i/>
          <w:color w:val="000000"/>
          <w:sz w:val="24"/>
        </w:rPr>
        <w:t xml:space="preserve">Exceptions </w:t>
      </w:r>
      <w:r>
        <w:rPr>
          <w:rFonts w:ascii="Times New Roman;serif" w:hAnsi="Times New Roman;serif"/>
          <w:b w:val="false"/>
          <w:color w:val="000000"/>
          <w:sz w:val="24"/>
        </w:rPr>
        <w:t>- The non-disclosure obligations of Employee under this Agreement shall not apply to Confidential Information which the Employee can establish:</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(i)is, or becomes, readily available to the public other than through a breach of this Agreement;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(ii)is disclosed, lawfully and not in breach of any contractual or other legal obligation, to Employee by a third party; or</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(iii)through written records, was known to Employee, prior to the date of first disclosure of the Confidential Information to Employee by the Company.</w:t>
      </w:r>
    </w:p>
    <w:p>
      <w:pPr>
        <w:pStyle w:val="TextBody"/>
        <w:bidi w:val="0"/>
        <w:spacing w:lineRule="auto" w:line="240" w:before="0" w:after="24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Ownership of Developments</w:t>
      </w:r>
    </w:p>
    <w:p>
      <w:pPr>
        <w:pStyle w:val="TextBody"/>
        <w:bidi w:val="0"/>
        <w:spacing w:lineRule="auto" w:line="240" w:before="0" w:after="220"/>
        <w:ind w:left="0" w:right="0" w:hanging="720"/>
        <w:jc w:val="both"/>
        <w:rPr/>
      </w:pPr>
      <w:r>
        <w:rPr>
          <w:rFonts w:ascii="Times New Roman;serif" w:hAnsi="Times New Roman;serif"/>
          <w:b w:val="false"/>
          <w:color w:val="000000"/>
          <w:sz w:val="24"/>
        </w:rPr>
        <w:t>(a)</w:t>
      </w:r>
      <w:r>
        <w:rPr>
          <w:rFonts w:ascii="Times New Roman;serif" w:hAnsi="Times New Roman;serif"/>
          <w:b w:val="false"/>
          <w:i/>
          <w:color w:val="000000"/>
          <w:sz w:val="24"/>
        </w:rPr>
        <w:t>Acknowledgment of Company Ownership</w:t>
      </w:r>
      <w:r>
        <w:rPr>
          <w:color w:val="000000"/>
        </w:rPr>
        <w:t xml:space="preserve"> </w:t>
      </w:r>
      <w:r>
        <w:rPr>
          <w:rFonts w:ascii="Times New Roman;serif" w:hAnsi="Times New Roman;serif"/>
          <w:b w:val="false"/>
          <w:color w:val="000000"/>
          <w:sz w:val="24"/>
        </w:rPr>
        <w:t xml:space="preserve">- The Employee acknowledges that the Company will be the exclusive owner of all the Developments made during the term of the Employee’s employment by the Company except Excluded Developments and to all intellectual property rights in and to such Developments. The Employee hereby assigns all right, title and interest in and to such Developments and their associated intellectual property rights throughout the world and universe to the Company, including without limitation, all trade secrets, patent rights and the right to claim priority to patent applications arising from such Developments, copyrights, mask works, industrial designs and any other intellectual property rights in and to each such Development, effective at the time each is created. Further, the Employee irrevocably waives, and agrees to waive, all moral rights the Employee may have in such Developments. </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i/>
          <w:color w:val="000000"/>
          <w:sz w:val="24"/>
        </w:rPr>
        <w:t>Excluded Developments and Prior Developments</w:t>
      </w:r>
      <w:r>
        <w:rPr>
          <w:color w:val="000000"/>
        </w:rPr>
        <w:t xml:space="preserve"> </w:t>
      </w:r>
      <w:r>
        <w:rPr>
          <w:rFonts w:ascii="Times New Roman;serif" w:hAnsi="Times New Roman;serif"/>
          <w:b w:val="false"/>
          <w:color w:val="000000"/>
          <w:sz w:val="24"/>
        </w:rPr>
        <w:t>- The Company acknowledges that it will not own any Excluded Developments or Prior Developments.</w:t>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i/>
          <w:color w:val="000000"/>
          <w:sz w:val="24"/>
        </w:rPr>
        <w:t>Disclosure of Developments</w:t>
      </w:r>
      <w:r>
        <w:rPr>
          <w:color w:val="000000"/>
        </w:rPr>
        <w:t xml:space="preserve"> </w:t>
      </w:r>
      <w:r>
        <w:rPr>
          <w:rFonts w:ascii="Times New Roman;serif" w:hAnsi="Times New Roman;serif"/>
          <w:b w:val="false"/>
          <w:color w:val="000000"/>
          <w:sz w:val="24"/>
        </w:rPr>
        <w:t>- To avoid any disputes over the ownership of Developments, the Employee will provide the Company with a general written description of any of the Developments the Employee believes the Company does not own because they are Excluded Developments or Prior Developments. Thereafter, the Employee agrees to make full and prompt disclosure to the Company of all Developments, including, without limitation, Excluded Developments, made during the term of the Employee’s employment with the Company. The Company will hold any information it receives regarding Excluded Developments and Prior Developments in confidence.</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rFonts w:ascii="Times New Roman;serif" w:hAnsi="Times New Roman;serif"/>
          <w:b w:val="false"/>
          <w:i/>
          <w:color w:val="000000"/>
          <w:sz w:val="24"/>
        </w:rPr>
        <w:t>Further Acts</w:t>
      </w:r>
      <w:r>
        <w:rPr>
          <w:color w:val="000000"/>
        </w:rPr>
        <w:t xml:space="preserve"> </w:t>
      </w:r>
      <w:r>
        <w:rPr>
          <w:rFonts w:ascii="Times New Roman;serif" w:hAnsi="Times New Roman;serif"/>
          <w:b w:val="false"/>
          <w:color w:val="000000"/>
          <w:sz w:val="24"/>
        </w:rPr>
        <w:t xml:space="preserve">- The Employee agrees to cooperate fully with the Company both during and after the Employee’s employment by the Company, with respect to (i) signing further documents and doing such acts and other things reasonably requested by the Company to confirm the Company’s ownership of the Developments other than Excluded Developments and Prior Developments, the transfer of ownership of such Developments to the Company, and the waiver of </w:t>
      </w:r>
    </w:p>
    <w:p>
      <w:pPr>
        <w:pStyle w:val="TextBody"/>
        <w:bidi w:val="0"/>
        <w:spacing w:before="0" w:after="0"/>
        <w:jc w:val="right"/>
        <w:rPr/>
      </w:pPr>
      <w:r>
        <w:rPr/>
        <w:drawing>
          <wp:inline distT="0" distB="0" distL="0" distR="0">
            <wp:extent cx="1685925" cy="647700"/>
            <wp:effectExtent l="0" t="0" r="0" b="0"/>
            <wp:docPr id="28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40" descr=""/>
                    <pic:cNvPicPr>
                      <a:picLocks noChangeAspect="1" noChangeArrowheads="1"/>
                    </pic:cNvPicPr>
                  </pic:nvPicPr>
                  <pic:blipFill>
                    <a:blip r:embed="rId52"/>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314960"/>
                <wp:effectExtent l="0" t="0" r="0" b="0"/>
                <wp:wrapNone/>
                <wp:docPr id="283" name="Frame24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14 - 25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14 - 25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Employee’s moral rights therein, and (ii) obtaining or enforcing patent, copyright, trade secret or other protection for such Developments; provided that the Company pays all the Employee’s expenses in doing so, and reasonable compensation if such acts are required after the Employee leaves the employment by the Company.</w:t>
      </w:r>
    </w:p>
    <w:p>
      <w:pPr>
        <w:pStyle w:val="TextBody"/>
        <w:bidi w:val="0"/>
        <w:spacing w:lineRule="auto" w:line="240" w:before="0" w:after="240"/>
        <w:ind w:left="0" w:right="0" w:hanging="720"/>
        <w:jc w:val="both"/>
        <w:rPr/>
      </w:pPr>
      <w:r>
        <w:rPr>
          <w:rFonts w:ascii="Times New Roman;serif" w:hAnsi="Times New Roman;serif"/>
          <w:b w:val="false"/>
          <w:color w:val="000000"/>
          <w:sz w:val="24"/>
        </w:rPr>
        <w:t>(e)</w:t>
      </w:r>
      <w:r>
        <w:rPr>
          <w:rFonts w:ascii="Times New Roman;serif" w:hAnsi="Times New Roman;serif"/>
          <w:b w:val="false"/>
          <w:i/>
          <w:color w:val="000000"/>
          <w:sz w:val="24"/>
        </w:rPr>
        <w:t>Employee-owned Inventions</w:t>
      </w:r>
      <w:r>
        <w:rPr>
          <w:color w:val="000000"/>
        </w:rPr>
        <w:t xml:space="preserve"> </w:t>
      </w:r>
      <w:r>
        <w:rPr>
          <w:rFonts w:ascii="Times New Roman;serif" w:hAnsi="Times New Roman;serif"/>
          <w:b w:val="false"/>
          <w:color w:val="000000"/>
          <w:sz w:val="24"/>
        </w:rPr>
        <w:t>- The Employee hereby covenants and agrees with the Company that, unless the Company agrees in writing otherwise, the Employee will not use or incorporate any Excluded Development or Prior Development in any work product, services, or other deliverables the Employee provides to the Company. If the Employee uses or incorporates any Excluded Development or Prior Development with the Company’s permission, as provided above, the Employee (i) represents and warrants that he or she owns all proprietary interest in such Excluded Development or Prior Development and (ii) grants to the Company, at no charge, a non-exclusive, irrevocable, perpetual, worldwide license to use, distribute, transmit, broadcast, sub-license, produce, reproduce, perform, publish, practice, make, and modify such Excluded Development or Prior Development.</w:t>
      </w:r>
    </w:p>
    <w:p>
      <w:pPr>
        <w:pStyle w:val="TextBody"/>
        <w:bidi w:val="0"/>
        <w:spacing w:lineRule="auto" w:line="240" w:before="0" w:after="240"/>
        <w:ind w:left="0" w:right="0" w:hanging="720"/>
        <w:jc w:val="both"/>
        <w:rPr/>
      </w:pPr>
      <w:r>
        <w:rPr>
          <w:rFonts w:ascii="Times New Roman;serif" w:hAnsi="Times New Roman;serif"/>
          <w:b w:val="false"/>
          <w:color w:val="000000"/>
          <w:sz w:val="24"/>
        </w:rPr>
        <w:t>(f)</w:t>
      </w:r>
      <w:r>
        <w:rPr>
          <w:rFonts w:ascii="Times New Roman;serif" w:hAnsi="Times New Roman;serif"/>
          <w:b w:val="false"/>
          <w:i/>
          <w:color w:val="000000"/>
          <w:sz w:val="24"/>
        </w:rPr>
        <w:t>Prior Employer Information</w:t>
      </w:r>
      <w:r>
        <w:rPr>
          <w:color w:val="000000"/>
        </w:rPr>
        <w:t xml:space="preserve"> </w:t>
      </w:r>
      <w:r>
        <w:rPr>
          <w:rFonts w:ascii="Times New Roman;serif" w:hAnsi="Times New Roman;serif"/>
          <w:b w:val="false"/>
          <w:color w:val="000000"/>
          <w:sz w:val="24"/>
        </w:rPr>
        <w:t>- The Employee hereby covenants and agrees with the Company that during the Employee’s employment by the Company, the Employee will not improperly use or disclose any confidential or proprietary information of any former employer, partner, principal, co-venturer, customer, or independent contractor of the Employee and that the Employee will not bring onto the Company’s premises any unpublished documents or any property belonging to any such persons or entities unless such persons or entities have given their consent. In addition, the Employee will not violate any non-disclosure, non-compete, non-solicit or proprietary rights agreement the Employee has signed with any person or entity prior to the Employee’s execution of this Agreement, or knowingly infringe the intellectual property rights of any third party while employed by the Company. The Employee agrees to fully indemnify the Company and its respective directors, officers, agents, employees, investors, shareholders, administrators, divisions, affiliates, parent corporations, subsidiaries, predecessor and successor corporations and assigns, for all verdicts, judgments, settlements, and other losses incurred by any of them resulting from Employee’s breach of Employee’s obligations under any agreement with a third party, as well as any reasonable attorneys’ fees and costs if the plaintiff is the prevailing party in such an action.</w:t>
      </w:r>
    </w:p>
    <w:p>
      <w:pPr>
        <w:pStyle w:val="TextBody"/>
        <w:bidi w:val="0"/>
        <w:spacing w:lineRule="auto" w:line="240" w:before="0" w:after="240"/>
        <w:ind w:left="0" w:right="0" w:hanging="720"/>
        <w:jc w:val="both"/>
        <w:rPr/>
      </w:pPr>
      <w:r>
        <w:rPr>
          <w:rFonts w:ascii="Times New Roman;serif" w:hAnsi="Times New Roman;serif"/>
          <w:b w:val="false"/>
          <w:color w:val="000000"/>
          <w:sz w:val="24"/>
        </w:rPr>
        <w:t>(g)</w:t>
      </w:r>
      <w:r>
        <w:rPr>
          <w:rFonts w:ascii="Times New Roman;serif" w:hAnsi="Times New Roman;serif"/>
          <w:b w:val="false"/>
          <w:i/>
          <w:color w:val="000000"/>
          <w:sz w:val="24"/>
        </w:rPr>
        <w:t>Protection of Computer Systems and Software</w:t>
      </w:r>
      <w:r>
        <w:rPr>
          <w:color w:val="000000"/>
        </w:rPr>
        <w:t xml:space="preserve"> </w:t>
      </w:r>
      <w:r>
        <w:rPr>
          <w:rFonts w:ascii="Times New Roman;serif" w:hAnsi="Times New Roman;serif"/>
          <w:b w:val="false"/>
          <w:color w:val="000000"/>
          <w:sz w:val="24"/>
        </w:rPr>
        <w:t>- The Employee agrees to take all necessary precautions to protect the computer systems and software of the Company, including, without limitation, complying with the obligations set out in the Company’s policies.</w:t>
      </w:r>
    </w:p>
    <w:p>
      <w:pPr>
        <w:pStyle w:val="TextBody"/>
        <w:bidi w:val="0"/>
        <w:spacing w:lineRule="auto" w:line="240" w:before="0" w:after="240"/>
        <w:jc w:val="left"/>
        <w:rPr/>
      </w:pPr>
      <w:r>
        <w:rPr>
          <w:rFonts w:ascii="Times New Roman;serif" w:hAnsi="Times New Roman;serif"/>
          <w:b w:val="false"/>
          <w:color w:val="000000"/>
          <w:sz w:val="24"/>
        </w:rPr>
        <w:t>5.3</w:t>
      </w:r>
      <w:r>
        <w:rPr>
          <w:rFonts w:ascii="Times New Roman;serif" w:hAnsi="Times New Roman;serif"/>
          <w:b w:val="false"/>
          <w:color w:val="000000"/>
          <w:sz w:val="24"/>
          <w:u w:val="single"/>
        </w:rPr>
        <w:t>Defend Trade Secrets Act</w:t>
      </w:r>
      <w:r>
        <w:rPr>
          <w:rFonts w:ascii="Times New Roman;serif" w:hAnsi="Times New Roman;serif"/>
          <w:b w:val="false"/>
          <w:color w:val="000000"/>
          <w:sz w:val="24"/>
        </w:rPr>
        <w:t xml:space="preserve">. Pursuant to the </w:t>
      </w:r>
      <w:r>
        <w:rPr>
          <w:rFonts w:ascii="Times New Roman;serif" w:hAnsi="Times New Roman;serif"/>
          <w:b w:val="false"/>
          <w:i/>
          <w:color w:val="000000"/>
          <w:sz w:val="24"/>
        </w:rPr>
        <w:t>Defend Trade Secrets Act</w:t>
      </w:r>
      <w:r>
        <w:rPr>
          <w:color w:val="000000"/>
        </w:rPr>
        <w:t xml:space="preserve"> </w:t>
      </w:r>
      <w:r>
        <w:rPr>
          <w:rFonts w:ascii="Times New Roman;serif" w:hAnsi="Times New Roman;serif"/>
          <w:b w:val="false"/>
          <w:color w:val="000000"/>
          <w:sz w:val="24"/>
        </w:rPr>
        <w:t>of 2016, the Employee understands that: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(a)an individual may not be held criminally or civilly liable under any federal or state trade secret law for the disclosure of a trade secret that: </w:t>
      </w:r>
    </w:p>
    <w:p>
      <w:pPr>
        <w:pStyle w:val="TextBody"/>
        <w:bidi w:val="0"/>
        <w:spacing w:before="0" w:after="0"/>
        <w:jc w:val="right"/>
        <w:rPr/>
      </w:pPr>
      <w:r>
        <w:rPr/>
        <w:drawing>
          <wp:inline distT="0" distB="0" distL="0" distR="0">
            <wp:extent cx="1685925" cy="647700"/>
            <wp:effectExtent l="0" t="0" r="0" b="0"/>
            <wp:docPr id="28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41" descr=""/>
                    <pic:cNvPicPr>
                      <a:picLocks noChangeAspect="1" noChangeArrowheads="1"/>
                    </pic:cNvPicPr>
                  </pic:nvPicPr>
                  <pic:blipFill>
                    <a:blip r:embed="rId53"/>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314960"/>
                <wp:effectExtent l="0" t="0" r="0" b="0"/>
                <wp:wrapNone/>
                <wp:docPr id="285" name="Frame24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15 - 25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15 - 25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(i)is made (A) in confidence to a federal, state, or local government official, either directly or indirectly, or to an attorney; and (B) solely for the purpose of reporting or investigating a suspected violation of law;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(ii)is made in a complaint or other document that is filed under seal in a lawsuit or other proceeding.</w:t>
      </w:r>
    </w:p>
    <w:p>
      <w:pPr>
        <w:pStyle w:val="TextBody"/>
        <w:bidi w:val="0"/>
        <w:spacing w:lineRule="auto" w:line="240" w:before="0" w:after="36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(b)Further, an individual who files a lawsuit for retaliation by an employer for reporting a suspected violation of law may disclose the employer's trade secrets to the attorney and use the trade secret information in the court proceeding if the individual: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(i)files any document containing the trade secret under seal; and </w:t>
      </w:r>
    </w:p>
    <w:p>
      <w:pPr>
        <w:pStyle w:val="TextBody"/>
        <w:bidi w:val="0"/>
        <w:spacing w:lineRule="auto" w:line="240" w:before="0" w:after="36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(ii)does not disclose the trade secret, except pursuant to court order.  </w:t>
      </w:r>
    </w:p>
    <w:p>
      <w:pPr>
        <w:pStyle w:val="TextBody"/>
        <w:bidi w:val="0"/>
        <w:spacing w:lineRule="auto" w:line="240" w:before="240" w:after="240"/>
        <w:jc w:val="both"/>
        <w:rPr/>
      </w:pPr>
      <w:r>
        <w:rPr>
          <w:rFonts w:ascii="Times New Roman;serif" w:hAnsi="Times New Roman;serif"/>
          <w:b/>
          <w:color w:val="000000"/>
          <w:sz w:val="24"/>
        </w:rPr>
        <w:t>Article 6</w:t>
      </w:r>
      <w:r>
        <w:rPr>
          <w:color w:val="000000"/>
        </w:rPr>
        <w:t xml:space="preserve"> – </w:t>
      </w:r>
      <w:r>
        <w:rPr>
          <w:rFonts w:ascii="Times New Roman;serif" w:hAnsi="Times New Roman;serif"/>
          <w:b/>
          <w:color w:val="000000"/>
          <w:sz w:val="24"/>
        </w:rPr>
        <w:t>MISCELLANEOUS</w:t>
      </w:r>
    </w:p>
    <w:p>
      <w:pPr>
        <w:pStyle w:val="TextBody"/>
        <w:bidi w:val="0"/>
        <w:spacing w:lineRule="auto" w:line="240" w:before="0" w:after="220"/>
        <w:jc w:val="both"/>
        <w:rPr/>
      </w:pPr>
      <w:r>
        <w:rPr>
          <w:rFonts w:ascii="Times New Roman;serif" w:hAnsi="Times New Roman;serif"/>
          <w:b w:val="false"/>
          <w:color w:val="000000"/>
          <w:sz w:val="24"/>
          <w:u w:val="single"/>
        </w:rPr>
        <w:t>6.1</w:t>
      </w:r>
      <w:r>
        <w:rPr>
          <w:rFonts w:ascii="Times New Roman;serif" w:hAnsi="Times New Roman;serif"/>
          <w:b w:val="false"/>
          <w:color w:val="000000"/>
          <w:sz w:val="24"/>
          <w:u w:val="single"/>
        </w:rPr>
        <w:t>Conflict of Interest</w:t>
      </w:r>
      <w:r>
        <w:rPr>
          <w:rFonts w:ascii="Times New Roman;serif" w:hAnsi="Times New Roman;serif"/>
          <w:b w:val="false"/>
          <w:color w:val="000000"/>
          <w:sz w:val="24"/>
        </w:rPr>
        <w:t xml:space="preserve">. The Employee recognizes that the Employee is employed by the Company in a position of responsibility and trust and agrees that during the Employee’s employment with the Company, the Employee will not engage in any activity or otherwise put the Employee in a position which conflicts with the Company’s and/or Parent’s interests. Without limiting this general statement, the Employee agrees that during the Employee’s employment with the Company, the Employee will not knowingly lend money to, guarantee the debts or obligations of or permit the name of the Employee or any part thereof to be used or employed by any corporation or firm which directly or indirectly is engaged in or concerned with or interested in any business in competition with the Business of the Company and/or Parent unless the Employee receives prior written authorization from the Company. </w:t>
      </w:r>
    </w:p>
    <w:p>
      <w:pPr>
        <w:pStyle w:val="TextBody"/>
        <w:bidi w:val="0"/>
        <w:spacing w:lineRule="auto" w:line="240" w:before="0" w:after="24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Acknowledgments</w:t>
      </w:r>
      <w:r>
        <w:rPr>
          <w:rFonts w:ascii="Times New Roman;serif" w:hAnsi="Times New Roman;serif"/>
          <w:b w:val="false"/>
          <w:color w:val="000000"/>
          <w:sz w:val="24"/>
        </w:rPr>
        <w:t xml:space="preserve">. The Employee acknowledges that as of the date of this Agreement: </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(a)a breach of this Agreement would cause the Company irreparable harm and as a result the Employee consents to the issuance of an injunction or other appropriate remedy required to enforce the covenants contained herein; </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(b)in the event it is necessary for either party to retain legal counsel to enforce any of the terms and conditions of this Agreement, the prevailing party will pay the other parties’ reasonable legal fees, court costs and other related expenses. </w:t>
      </w:r>
    </w:p>
    <w:p>
      <w:pPr>
        <w:pStyle w:val="TextBody"/>
        <w:bidi w:val="0"/>
        <w:spacing w:lineRule="auto" w:line="240" w:before="240" w:after="240"/>
        <w:jc w:val="both"/>
        <w:rPr/>
      </w:pPr>
      <w:r>
        <w:rPr>
          <w:rFonts w:ascii="Times New Roman;serif" w:hAnsi="Times New Roman;serif"/>
          <w:b/>
          <w:color w:val="000000"/>
          <w:sz w:val="24"/>
        </w:rPr>
        <w:t>Article 7</w:t>
      </w:r>
      <w:r>
        <w:rPr>
          <w:color w:val="000000"/>
        </w:rPr>
        <w:t xml:space="preserve"> – </w:t>
      </w:r>
      <w:r>
        <w:rPr>
          <w:rFonts w:ascii="Times New Roman;serif" w:hAnsi="Times New Roman;serif"/>
          <w:b/>
          <w:color w:val="000000"/>
          <w:sz w:val="24"/>
        </w:rPr>
        <w:t>ENFORCEMENT</w:t>
      </w:r>
    </w:p>
    <w:p>
      <w:pPr>
        <w:pStyle w:val="TextBody"/>
        <w:bidi w:val="0"/>
        <w:spacing w:lineRule="auto" w:line="240" w:before="0" w:after="24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Consent to Personal Jurisdiction</w:t>
      </w:r>
      <w:r>
        <w:rPr>
          <w:rFonts w:ascii="Times New Roman;serif" w:hAnsi="Times New Roman;serif"/>
          <w:b w:val="false"/>
          <w:color w:val="000000"/>
          <w:sz w:val="24"/>
        </w:rPr>
        <w:t>. This Agreement will be governed by the laws of the State of California without regard to California’s conflicts of law rules that may result in the application of the laws of any jurisdiction other than California. In the event of a breach or threatened breach of this Agreement, nothing in this Agreement precludes the Company, Parent, or the Employee from applying to a court of competent jurisdiction to seek injunctive relief or otherwise protect or enforce its rights hereunder before an arbitrator can be appointed pursuant to Article 8 below, to the extent that would be permitted under California Civil Procedure Code Section 1281.8.</w:t>
      </w:r>
    </w:p>
    <w:p>
      <w:pPr>
        <w:pStyle w:val="TextBody"/>
        <w:bidi w:val="0"/>
        <w:spacing w:before="0" w:after="0"/>
        <w:jc w:val="right"/>
        <w:rPr/>
      </w:pPr>
      <w:r>
        <w:rPr/>
        <w:drawing>
          <wp:inline distT="0" distB="0" distL="0" distR="0">
            <wp:extent cx="1685925" cy="647700"/>
            <wp:effectExtent l="0" t="0" r="0" b="0"/>
            <wp:docPr id="28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42" descr=""/>
                    <pic:cNvPicPr>
                      <a:picLocks noChangeAspect="1" noChangeArrowheads="1"/>
                    </pic:cNvPicPr>
                  </pic:nvPicPr>
                  <pic:blipFill>
                    <a:blip r:embed="rId54"/>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314960"/>
                <wp:effectExtent l="0" t="0" r="0" b="0"/>
                <wp:wrapNone/>
                <wp:docPr id="287" name="Frame24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16 - 25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16 - 25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Severability and Limitation</w:t>
      </w:r>
      <w:r>
        <w:rPr>
          <w:rFonts w:ascii="Times New Roman;serif" w:hAnsi="Times New Roman;serif"/>
          <w:b w:val="false"/>
          <w:color w:val="000000"/>
          <w:sz w:val="24"/>
        </w:rPr>
        <w:t>. All agreements and covenants contained herein are severable and, in the event any of them will be held to be invalid by any competent court, this Agreement will be interpreted as if such invalid agreements or covenants were not contained herein. Should any court or other legally constituted authority determine that for any such agreement or covenant to be effective that it must be modified to limit its duration or scope, the parties hereto will consider such agreement or covenant to be amended or modified with respect to duration and scope so as to comply with the orders of any such court or other legally constituted authority or to be enforceable under the laws of the State of California, and as to all other portions of such agreement or covenants they will remain in full force and effect as originally written.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lineRule="auto" w:line="240" w:before="240" w:after="240"/>
        <w:jc w:val="both"/>
        <w:rPr/>
      </w:pPr>
      <w:r>
        <w:rPr>
          <w:rFonts w:ascii="Times New Roman;serif" w:hAnsi="Times New Roman;serif"/>
          <w:b/>
          <w:color w:val="000000"/>
          <w:sz w:val="24"/>
        </w:rPr>
        <w:t>Article 8</w:t>
      </w:r>
      <w:r>
        <w:rPr>
          <w:color w:val="000000"/>
        </w:rPr>
        <w:t xml:space="preserve">– </w:t>
      </w:r>
      <w:r>
        <w:rPr>
          <w:rFonts w:ascii="Times New Roman;serif" w:hAnsi="Times New Roman;serif"/>
          <w:b/>
          <w:color w:val="000000"/>
          <w:sz w:val="24"/>
        </w:rPr>
        <w:t>MEDIATION AND ARBITRATION</w:t>
      </w:r>
    </w:p>
    <w:p>
      <w:pPr>
        <w:pStyle w:val="TextBody"/>
        <w:bidi w:val="0"/>
        <w:spacing w:lineRule="auto" w:line="240" w:before="0" w:after="240"/>
        <w:jc w:val="both"/>
        <w:rPr/>
      </w:pPr>
      <w:r>
        <w:rPr>
          <w:rFonts w:ascii="Times New Roman;serif" w:hAnsi="Times New Roman;serif"/>
          <w:b w:val="false"/>
          <w:color w:val="000000"/>
          <w:sz w:val="24"/>
        </w:rPr>
        <w:t>8.1</w:t>
      </w:r>
      <w:r>
        <w:rPr>
          <w:rFonts w:ascii="Times New Roman;serif" w:hAnsi="Times New Roman;serif"/>
          <w:b w:val="false"/>
          <w:color w:val="000000"/>
          <w:sz w:val="24"/>
          <w:u w:val="single"/>
        </w:rPr>
        <w:t>AGREEMENT TO ARBITRATE CLAIMS</w:t>
      </w:r>
      <w:r>
        <w:rPr>
          <w:rFonts w:ascii="Times New Roman;serif" w:hAnsi="Times New Roman;serif"/>
          <w:b w:val="false"/>
          <w:color w:val="000000"/>
          <w:sz w:val="24"/>
        </w:rPr>
        <w:t xml:space="preserve">. EXCEPT AS SET FORTH IN SECTION 8.4 BELOW, BOTH THE EMPLOYEE AND THE COMPANY AGREE THAT ANY CLAIM THAT THE EMPLOYEE MAY HAVE AGAINST THE COMPANY, PARENT, OR THEIR RESPECTIVE OWNERS, DIRECTORS, OFFICERS, MANAGERS, EMPLOYEES, AGENTS, AND OTHER PARTIES AFFILIATED WITH THE COMPANY AND/OR PARENT AND THEIR RESPECTIVE EMPLOYEE BENEFIT AND HEALTH PLANS (TOGETHER, “AFFILIATED PERSONS”), OR THAT THE COMPANY OR PARENT MAY HAVE AGAINST THE EMPLOYEE, SHALL BE SUBMITTED TO AND DETERMINED EXCLUSIVELY IN THE COUNTY IN WHICH THE EMPLOYEE MOST RECENTLY PRIMARILY WORKED FOR THE COMPANY, BY A SINGLE NEUTRAL ARBITRATOR, THROUGH TO FINAL AND BINDING ARBITRATION PURSUANT TO THE FEDERAL ARBITRATION ACT (“FAA”), AND NOT TO ANY COURT (SUBJECT TO SECTION 7.1 ABOVE), IN ACCORDANCE WITH THE JAMS EMPLOYMENT ARBITRATION RULES &amp; PROCEDURES (THE “JAMS RULES”) THEN IN EFFECT EXCEPT AS MODIFIED BY THIS AGREEMENT. THE JAMS ARBITRATOR SHALL BE CHOSEN BY MUTUAL AGREEMENT OF THE PARTIES OR IF THE PARTIES CANNOT AGREE, IN ACCORDANCE WITH THE JAMS ARBITRATION SELECTION PROCEDURE. A COPY OF THE CURRENT JAMS RULES CAN BE OBTAINED AT THE FOLLOWING WEBSITE: </w:t>
      </w:r>
      <w:r>
        <w:rPr>
          <w:rFonts w:ascii="Times New Roman;serif" w:hAnsi="Times New Roman;serif"/>
          <w:b w:val="false"/>
          <w:color w:val="0E32E1"/>
          <w:sz w:val="24"/>
        </w:rPr>
        <w:t>HTTPS://WWW.JAMSADR.COM/RULES-EMPLOYMENT-ARBITRATION/ENGLISH</w:t>
      </w:r>
      <w:r>
        <w:rPr>
          <w:color w:val="000000"/>
        </w:rPr>
        <w:t xml:space="preserve"> </w:t>
      </w:r>
      <w:r>
        <w:rPr>
          <w:rFonts w:ascii="Times New Roman;serif" w:hAnsi="Times New Roman;serif"/>
          <w:b w:val="false"/>
          <w:color w:val="000000"/>
          <w:sz w:val="24"/>
        </w:rPr>
        <w:t xml:space="preserve">OR BY REQUESTING IN WRITING A COPY FROM THE COMPANY’S HUMAN RESOURCES TEAM. IN THE EVENT THAT A COURT OR ARBITRATOR OF COMPETENT JURISDICTION HOLDS THAT THE FAA DOES NOT APPLY AND THE EMPLOYEE HAS NOT VOLUNTARILY ELECTED TO PARTICIPATE IN ARBITRATION IN SUCH CASE, THE COURT OR ARBITRATOR SHALL APPLY THE CALIFORNIA ARBITRATION ACT AND SUCH OTHER CALIFORNIA LAWS THAT MAY APPLY TO DETERMINE THE ENFORCEABILITY OF THIS AGREEMENT. </w:t>
      </w:r>
    </w:p>
    <w:p>
      <w:pPr>
        <w:pStyle w:val="TextBody"/>
        <w:bidi w:val="0"/>
        <w:spacing w:lineRule="auto" w:line="240" w:before="0" w:after="240"/>
        <w:jc w:val="both"/>
        <w:rPr/>
      </w:pPr>
      <w:r>
        <w:rPr>
          <w:rFonts w:ascii="Times New Roman;serif" w:hAnsi="Times New Roman;serif"/>
          <w:b w:val="false"/>
          <w:color w:val="000000"/>
          <w:sz w:val="24"/>
        </w:rPr>
        <w:t>8.2</w:t>
      </w:r>
      <w:r>
        <w:rPr>
          <w:rFonts w:ascii="Times New Roman;serif" w:hAnsi="Times New Roman;serif"/>
          <w:b w:val="false"/>
          <w:color w:val="000000"/>
          <w:sz w:val="24"/>
          <w:u w:val="single"/>
        </w:rPr>
        <w:t>CLAIMS COVERED BY THIS AGREEMENT</w:t>
      </w:r>
      <w:r>
        <w:rPr>
          <w:rFonts w:ascii="Times New Roman;serif" w:hAnsi="Times New Roman;serif"/>
          <w:b w:val="false"/>
          <w:color w:val="000000"/>
          <w:sz w:val="24"/>
        </w:rPr>
        <w:t xml:space="preserve">. THE CLAIMS THAT ARE TO BE ARBITRATED UNDER THIS AGREEMENT ARE ANY AND ALL CLAIMS THAT ARISE BETWEEN THE EMPLOYEE AND THE COMPANY, PARENT OR ANY AFFILIATED PERSON EXCEPT AS EXCLUDED BY THIS AGREEMENT IN SECTION 8.4 BELOW (THE “CLAIMS”). </w:t>
      </w:r>
      <w:r>
        <w:rPr>
          <w:rFonts w:ascii="Times New Roman;serif" w:hAnsi="Times New Roman;serif"/>
          <w:b/>
          <w:color w:val="000000"/>
          <w:sz w:val="24"/>
        </w:rPr>
        <w:t xml:space="preserve">THE CLAIMS INCLUDE BUT ARE NOT LIMITED TO ANY DISPUTE RELATING TO THE EMPLOYEE’S EMPLOYMENT OR THE TERMINATION OF EMPLOYMENT WITH THE COMPANY (PRE-HIRE THROUGH POST-TERMINATION), INCLUDING BUT NOT LIMITED TO CLAIMS ARISING OUT OF OR RELATED TO TORT, BAD FAITH, CONTRACT, WAGES </w:t>
      </w:r>
    </w:p>
    <w:p>
      <w:pPr>
        <w:pStyle w:val="TextBody"/>
        <w:bidi w:val="0"/>
        <w:spacing w:before="0" w:after="0"/>
        <w:jc w:val="right"/>
        <w:rPr/>
      </w:pPr>
      <w:r>
        <w:rPr/>
        <w:drawing>
          <wp:inline distT="0" distB="0" distL="0" distR="0">
            <wp:extent cx="1685925" cy="647700"/>
            <wp:effectExtent l="0" t="0" r="0" b="0"/>
            <wp:docPr id="28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43" descr=""/>
                    <pic:cNvPicPr>
                      <a:picLocks noChangeAspect="1" noChangeArrowheads="1"/>
                    </pic:cNvPicPr>
                  </pic:nvPicPr>
                  <pic:blipFill>
                    <a:blip r:embed="rId55"/>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314960"/>
                <wp:effectExtent l="0" t="0" r="0" b="0"/>
                <wp:wrapNone/>
                <wp:docPr id="289" name="Frame24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17 - 25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17 - 25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 xml:space="preserve">AND BENEFITS, LIABILITIES, DEBTS, OBLIGATIONS, DAMAGES, COMPENSATORY DAMAGES, PUNITIVE DAMAGES, PENALTIES, LIQUIDATED DAMAGES, COSTS, ATTORNEYS’ FEES, EXPENSES, ACTIONS AND CAUSES OF ACTION IN ANY WAY RELATED TO THE EMPLOYEE’S EMPLOYMENT WITH THE COMPANY OR THE TERMINATION OF THE EMPLOYEE’S EMPLOYMENT. THE CLAIMS ALSO INCLUDE BUT ARE NOT LIMITED TO ANY CLAIMS FOR WRONGFUL DISCHARGE OR BREACH OF THE COVENANT OF GOOD FAITH AND FAIR DEALING, ANY AND ALL CLAIMS UNDER FEDERAL, STATE, AND LOCAL LAWS, ORDINANCES, REGULATIONS OR ORDERS, CHARGES OF DISCRIMINATION, RETALIATION, OR HARASSMENT ON ACCOUNT OF RACE, COLOR, RELIGION, SEX, SEXUAL ORIENTATION, AGE, CITIZENSHIP, NATIONAL ORIGIN, MENTAL OR PHYSICAL DISABILITY, MEDICAL CONDITION, MARITAL STATUS, PREGNANCY, GENDER IDENTITY OR PERCEPTION, OR ANY OTHER PROTECTED CLASSIFICATION, CLAIMS UNDER THE CALIFORNIA LABOR CODE, AND ALL OTHER EMPLOYMENT-RELATED CLAIMS. THE CLAIMS FURTHER INCLUDE ANY DISPUTE ARISING OUT OF OR RELATING TO THE INTERPRETATION OR APPLICATION OF THIS AGREEMENT INCLUDING THE ENFORCEABILITY, REVOCABILITY, OR VALIDITY OF THIS AGREEMENT, AND THE PARTIES DELEGATE AUTHORITY TO DECIDE THOSE ISSUES SOLELY TO THE ARBITRATOR. </w:t>
      </w:r>
      <w:r>
        <w:rPr>
          <w:rFonts w:ascii="Times New Roman;serif" w:hAnsi="Times New Roman;serif"/>
          <w:b/>
          <w:color w:val="000000"/>
          <w:sz w:val="24"/>
          <w:u w:val="single"/>
        </w:rPr>
        <w:t>BOTH THE EMPLOYEE AND THE COMPANY ARE GIVING UP ANY RIGHT THAT EITHER MIGHT HAVE TO HAVE A JUDGE OR JURY DECIDE THE CLAIMS.</w:t>
      </w:r>
      <w:r>
        <w:rPr>
          <w:color w:val="000000"/>
        </w:rPr>
        <w:t xml:space="preserve"> </w:t>
      </w:r>
    </w:p>
    <w:p>
      <w:pPr>
        <w:pStyle w:val="TextBody"/>
        <w:bidi w:val="0"/>
        <w:spacing w:lineRule="auto" w:line="240" w:before="0" w:after="240"/>
        <w:jc w:val="both"/>
        <w:rPr/>
      </w:pPr>
      <w:r>
        <w:rPr>
          <w:rFonts w:ascii="Times New Roman;serif" w:hAnsi="Times New Roman;serif"/>
          <w:b w:val="false"/>
          <w:color w:val="000000"/>
          <w:sz w:val="24"/>
        </w:rPr>
        <w:t>8.3</w:t>
      </w:r>
      <w:r>
        <w:rPr>
          <w:rFonts w:ascii="Times New Roman;serif" w:hAnsi="Times New Roman;serif"/>
          <w:b w:val="false"/>
          <w:color w:val="000000"/>
          <w:sz w:val="24"/>
          <w:u w:val="single"/>
        </w:rPr>
        <w:t>CLASS ACTION, COLLECTIVE ACTION, AND REPRESENTATIVE ACTION WAIVER</w:t>
      </w:r>
      <w:r>
        <w:rPr>
          <w:rFonts w:ascii="Times New Roman;serif" w:hAnsi="Times New Roman;serif"/>
          <w:b w:val="false"/>
          <w:color w:val="000000"/>
          <w:sz w:val="24"/>
        </w:rPr>
        <w:t xml:space="preserve">. BOTH THE EMPLOYEE AND THE COMPANY AGREE THAT ANY PROCEEDINGS PURSUANT TO THIS AGREEMENT WILL BE CONDUCTED ON AN INDIVIDUAL BASIS ONLY AND THAT CLAIMS BY THE EMPLOYEE OR BY THE COMPANY MAY ONLY BE BROUGHT IN THE PARTY’S INDIVIDUAL CAPACITY MAY NOT BE BROUGHT ON A CLASS ACTION, COLLECTIVE ACTION, OR REPRESENTATIVE BASIS (OTHER THAN AN ACTION BROUGHT UNDER THE PRIVATE ATTORNEYS GENERAL ACT, CALIFORNIA LABOR CODE SECTIONS 2698, </w:t>
      </w:r>
      <w:r>
        <w:rPr>
          <w:rFonts w:ascii="Times New Roman;serif" w:hAnsi="Times New Roman;serif"/>
          <w:b w:val="false"/>
          <w:i/>
          <w:color w:val="000000"/>
          <w:sz w:val="24"/>
        </w:rPr>
        <w:t>ET SEQ.</w:t>
      </w:r>
      <w:r>
        <w:rPr>
          <w:color w:val="000000"/>
        </w:rPr>
        <w:t xml:space="preserve"> </w:t>
      </w:r>
      <w:r>
        <w:rPr>
          <w:rFonts w:ascii="Times New Roman;serif" w:hAnsi="Times New Roman;serif"/>
          <w:b w:val="false"/>
          <w:color w:val="000000"/>
          <w:sz w:val="24"/>
        </w:rPr>
        <w:t xml:space="preserve">(“PAGA”)), AND MAY NOT BE CONSOLIDATED WITH OTHER PERSONS OR ENTITIES. FURTHER, THE EMPLOYEE AND THE COMPANY AGREE TO WAIVE THEIR RESPECTIVE RIGHTS TO PARTICIPATE IN ANY AND ALL CLASS ACTIONS, COLLECTIVE ACTIONS, AND/OR OTHER NON-PAGA REPRESENTATIVE ACTIONS, INCLUDING PARTICIPATING AS A NAMED PLAINTIFF OR AS A MEMBER OF A CLASS ACTION, COLLECTIVE ACTION, AND/OR OTHER NON-PAGA REPRESENTATIVE ACTION. ACCORDINGLY, THERE SHALL BE NO RIGHT OR AUTHORITY FOR ANY CLAIMS SUBJECT TO THIS AGREEMENT TO BE BROUGHT, HEARD OR ARBITRATED AS A CLASS ACTION, COLLECTIVE ACTION, OR NON-PAGA REPRESENTATIVE ACTION (“CLASS ACTION WAIVER”). THE CLASS ACTION WAIVER SHALL BE SEVERABLE AT THE OPTION OF THE EMPLOYEE OR THE COMPANY FROM THIS AGREEMENT IN ANY CASE IN WHICH BOTH OF THE FOLLOWING ARE TRUE: (A) THE CLAIM IS FILED OR PURSUED AS A CLASS ACTION, COLLECTIVE ACTION, OR NON-PAGA REPRESENTATIVE ACTION; AND (B) THE CLASS ACTION WAIVER IS FOUND TO BE UNENFORCEABLE. IN SUCH INSTANCES, THE CLASS ACTION, COLLECTIVE ACTION, OR NON-PAGA REPRESENTATIVE ACTION MUST BE LITIGATED IN A CIVIL COURT OF COMPETENT JURISDICTION. THE CLASS ACTION WAIVER SHALL BE SEVERABLE IN ANY CASE IN WHICH THE DISPUTE IS FILED OR PURSUED AS AN INDIVIDUAL ACTION AND SEVERANCE IS NECESSARY TO ENSURE THAT THE </w:t>
      </w:r>
    </w:p>
    <w:p>
      <w:pPr>
        <w:pStyle w:val="TextBody"/>
        <w:bidi w:val="0"/>
        <w:spacing w:before="0" w:after="0"/>
        <w:jc w:val="right"/>
        <w:rPr/>
      </w:pPr>
      <w:r>
        <w:rPr/>
        <w:drawing>
          <wp:inline distT="0" distB="0" distL="0" distR="0">
            <wp:extent cx="1685925" cy="647700"/>
            <wp:effectExtent l="0" t="0" r="0" b="0"/>
            <wp:docPr id="29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44" descr=""/>
                    <pic:cNvPicPr>
                      <a:picLocks noChangeAspect="1" noChangeArrowheads="1"/>
                    </pic:cNvPicPr>
                  </pic:nvPicPr>
                  <pic:blipFill>
                    <a:blip r:embed="rId56"/>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314960"/>
                <wp:effectExtent l="0" t="0" r="0" b="0"/>
                <wp:wrapNone/>
                <wp:docPr id="291" name="Frame24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18 - 25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18 - 25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INDIVIDUAL ACTION PROCEEDS IN ARBITRATION. THE EMPLOYEE AGREES THAT ANY CLAIMS EMPLOYEE MAY BRING PURSUANT TO PAGA ON BEHALF OF THE LABOR AND WORKFORCE DEVELOPMENT AGENCY MUST BE ARBITRATED ONLY IN EMPLOYEE’S INDIVIDUAL CAPACITY WITHOUT ANY JOINDER OR REPRESENTATION OF ANY CALIFORNIA LABOR CODE VIOLATIONS THAT WERE OR COULD BE ASSERTED BY OR ON BEHALF OF ANY OTHER PERSONS.</w:t>
      </w:r>
    </w:p>
    <w:p>
      <w:pPr>
        <w:pStyle w:val="TextBody"/>
        <w:bidi w:val="0"/>
        <w:spacing w:lineRule="auto" w:line="240" w:before="0" w:after="240"/>
        <w:jc w:val="both"/>
        <w:rPr/>
      </w:pPr>
      <w:r>
        <w:rPr>
          <w:rFonts w:ascii="Times New Roman;serif" w:hAnsi="Times New Roman;serif"/>
          <w:b w:val="false"/>
          <w:color w:val="000000"/>
          <w:sz w:val="24"/>
        </w:rPr>
        <w:t>8.4</w:t>
      </w:r>
      <w:r>
        <w:rPr>
          <w:rFonts w:ascii="Times New Roman;serif" w:hAnsi="Times New Roman;serif"/>
          <w:b w:val="false"/>
          <w:color w:val="000000"/>
          <w:sz w:val="24"/>
          <w:u w:val="single"/>
        </w:rPr>
        <w:t>CLAIMS NOT COVERED BY THE AGREEMENT</w:t>
      </w:r>
      <w:r>
        <w:rPr>
          <w:rFonts w:ascii="Times New Roman;serif" w:hAnsi="Times New Roman;serif"/>
          <w:b w:val="false"/>
          <w:color w:val="000000"/>
          <w:sz w:val="24"/>
        </w:rPr>
        <w:t xml:space="preserve">. TO THE EXTENT REQUIRED BY LAW, ANY AND ALL CLAIMS FOR WORKERS’ COMPENSATION INSURANCE, UNEMPLOYMENT INSURANCE, ANY AND ALL MATTERS WITHIN THE JURISDICTION OF THE STATE LABOR COMMISSIONER, AND PAGA REPRESENTATIVE CLAIMS ARE NOT COVERED BY THIS AGREEMENT. NOTHING IN THIS AGREEMENT PROHIBITS THE EMPLOYEE FROM FILING A CLAIM OR CHARGE WITH THE NATIONAL LABOR RELATIONS BOARD OR FROM FILING AN ADMINISTRATIVE CHARGE OR COMPLAINT OF DISCRIMINATION OR HARASSMENT WITH EITHER THE EQUAL EMPLOYMENT OPPORTUNITY COMMISSION OR ANY STATE OR LOCAL EQUAL EMPLOYMENT OPPORTUNITY AGENCY. ADDITIONALLY, THE EMPLOYEE UNDERSTANDS THAT NOTHING IN THIS AGREEMENT REQUIRES THE EMPLOYEE TO ARBITRATE CLAIMS THAT CANNOT BE ARBITRATED UNDER THE SARBANES-OXLEY ACT OR OTHER LAW THAT EXPRESSLY PROHIBITS ARBITRATION OF A CLAIM NOTWITHSTANDING APPLICATION OF THE FAA. EITHER PARTY MAY SEEK FROM A COURT ANY INJUNCTIVE RELIEF (PRELIMINARY OR PERMANENT) AVAILABLE UNDER APPLICABLE LAWS FOR ANY PURPOSE. THE EMPLOYEE UNDERSTANDS THAT EXCEPT AS PROVIDED IN THIS SECTION AND SECTION 8.11 BELOW, ARBITRATION SHALL BE THE ONLY METHOD FOR RESOLVING ALL DISPUTES BETWEEN THE EMPLOYEE AND THE COMPANY. </w:t>
      </w:r>
    </w:p>
    <w:p>
      <w:pPr>
        <w:pStyle w:val="TextBody"/>
        <w:bidi w:val="0"/>
        <w:spacing w:lineRule="auto" w:line="240" w:before="0" w:after="240"/>
        <w:jc w:val="both"/>
        <w:rPr/>
      </w:pPr>
      <w:r>
        <w:rPr>
          <w:rFonts w:ascii="Times New Roman;serif" w:hAnsi="Times New Roman;serif"/>
          <w:b w:val="false"/>
          <w:color w:val="000000"/>
          <w:sz w:val="24"/>
        </w:rPr>
        <w:t>8.5</w:t>
      </w:r>
      <w:r>
        <w:rPr>
          <w:rFonts w:ascii="Times New Roman;serif" w:hAnsi="Times New Roman;serif"/>
          <w:b w:val="false"/>
          <w:color w:val="000000"/>
          <w:sz w:val="24"/>
          <w:u w:val="single"/>
        </w:rPr>
        <w:t>PRE-ARBITRATION MEDIATION</w:t>
      </w:r>
      <w:r>
        <w:rPr>
          <w:rFonts w:ascii="Times New Roman;serif" w:hAnsi="Times New Roman;serif"/>
          <w:b w:val="false"/>
          <w:color w:val="000000"/>
          <w:sz w:val="24"/>
        </w:rPr>
        <w:t>. THE EMPLOYEE AND THE COMPANY AGREE THAT PRIOR TO SUBMITTING A CLAIM FOR ARBITRATION, THE PARTIES WILL FIRST SEEK TO RESOLVE THE DISPUTE THROUGH VOLUNTARY MEDIATION. EITHER PARTY MAY GIVE WRITTEN NOTICE TO THE OTHER PARTY REQUESTING MEDIATION OF THE DISPUTE (THE “MEDIATION NOTICE”). A SINGLE MEDIATOR, WITH EXPERIENCE MEDIATING EMPLOYMENT DISPUTES, WILL BE JOINTLY SELECTED BY THE PARTIES. THE COMPANY AGREES TO PAY THE MEDIATOR’S FEE FOR A PRIVATE MEDIATION, UP TO ONE DAY IN LENGTH. IF MEDIATION IS UNSUCCESSFUL, EITHER OF THE PARTIES MAY SUBMIT THE DISPUTE TO BINDING ARBITRATION BY GIVING WRITTEN NOTICE TO THE OTHER PARTY AND THE MEDIATOR REQUESTING ARBITRATION OF THE DISPUTE (THE “ARBITRATION NOTICE”). THE PARTIES AGREE THAT ANY APPLICABLE STATUTE OF LIMITATIONS SHALL BE TOLLED FROM THE DATE THE MEDIATION NOTICE IS PROVIDED UNTIL THE DATE THE ARBITRATION NOTICE IS PROVIDED, OR 30 DAYS FOLLOWING THE UNSUCCESSFUL MEDIATION SESSION, WHICHEVER OCCURS FIRST. EITHER PARTY MAY ELECT TO SUBMIT A CLAIM FOR INJUNCTIVE RELIEF WITHOUT FIRST UTILIZING THIS PRE-ARBITRATION MEDIATION PROCESS.</w:t>
      </w:r>
    </w:p>
    <w:p>
      <w:pPr>
        <w:pStyle w:val="TextBody"/>
        <w:bidi w:val="0"/>
        <w:spacing w:lineRule="auto" w:line="240" w:before="0" w:after="240"/>
        <w:jc w:val="both"/>
        <w:rPr/>
      </w:pPr>
      <w:r>
        <w:rPr>
          <w:rFonts w:ascii="Times New Roman;serif" w:hAnsi="Times New Roman;serif"/>
          <w:b w:val="false"/>
          <w:color w:val="000000"/>
          <w:sz w:val="24"/>
        </w:rPr>
        <w:t>8.6</w:t>
      </w:r>
      <w:r>
        <w:rPr>
          <w:rFonts w:ascii="Times New Roman;serif" w:hAnsi="Times New Roman;serif"/>
          <w:b w:val="false"/>
          <w:color w:val="000000"/>
          <w:sz w:val="24"/>
          <w:u w:val="single"/>
        </w:rPr>
        <w:t>ARBITRATION PROCEDURE</w:t>
      </w:r>
      <w:r>
        <w:rPr>
          <w:rFonts w:ascii="Times New Roman;serif" w:hAnsi="Times New Roman;serif"/>
          <w:b w:val="false"/>
          <w:color w:val="000000"/>
          <w:sz w:val="24"/>
        </w:rPr>
        <w:t xml:space="preserve">. THE EMPLOYEE AND THE COMPANY AGREE THAT CLAIMS WILL BE SUBMITTED TO A SINGLE, NEUTRAL ARBITRATOR, WHO WILL MAKE A RULING IN A SIGNED WRITING, INCLUDING FINDINGS OF FACT AND LAW, WITHIN THIRTY DAYS FOLLOWING THE ARBITRATION PROCEEDING. </w:t>
      </w:r>
    </w:p>
    <w:p>
      <w:pPr>
        <w:pStyle w:val="TextBody"/>
        <w:bidi w:val="0"/>
        <w:spacing w:before="0" w:after="0"/>
        <w:jc w:val="right"/>
        <w:rPr/>
      </w:pPr>
      <w:r>
        <w:rPr/>
        <w:drawing>
          <wp:inline distT="0" distB="0" distL="0" distR="0">
            <wp:extent cx="1685925" cy="647700"/>
            <wp:effectExtent l="0" t="0" r="0" b="0"/>
            <wp:docPr id="29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45" descr=""/>
                    <pic:cNvPicPr>
                      <a:picLocks noChangeAspect="1" noChangeArrowheads="1"/>
                    </pic:cNvPicPr>
                  </pic:nvPicPr>
                  <pic:blipFill>
                    <a:blip r:embed="rId57"/>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314960"/>
                <wp:effectExtent l="0" t="0" r="0" b="0"/>
                <wp:wrapNone/>
                <wp:docPr id="293" name="Frame24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19 - 25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19 - 25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ARBITRATOR ALONE AND NOT A COURT SHALL HAVE JURISDICTION TO DECIDE THE ARBITRATOR’S JURISDICTION, ANY QUESTIONS AS TO THE ARBITRABILITY OF CLAIMS, WHETHER AN AGREEMENT TO ARBITRATE EXISTS AND IS VALID, AND WHETHER THE AGREEMENT TO ARBITRATE COVERS THE DISPUTE IN QUESTION. PROVIDED, HOWEVER, THAT TO THE EXTENT ANY CLAIMS SUBJECT TO THIS AGREEMENT ARE BROUGHT AS A CLASS ACTION, COLLECTIVE ACTION, OR REPRESENTATIVE ACTION AND THE ARBITRATOR FINDS THE CLASS ACTION WAIVER SET FORTH IN SECTION 8.3 IS UNENFORCEABLE, THE ARBITRATOR SHALL NOT HAVE JURISDICTION TO HEAR OR ARBITRATE ANY SUCH CLAIMS ON A CLASS ACTION, COLLECTIVE ACTION, OR REPRESENTATIVE ACTION BASIS. IN SUCH INSTANCES, THE CLASS ACTION, COLLECTIVE ACTION, OR REPRESENTATIVE ACTION MUST BE LITIGATED IN A CIVIL COURT OF A COMPETENT JURISDICTION. THE ARBITRATOR WILL BE PERMITTED TO AWARD ONLY THOSE REMEDIES IN LAW OR EQUITY THAT ARE REQUESTED BY THE PARTIES AND ALLOWED BY LOCAL, STATE AND/OR FEDERAL SUBSTANTIVE LAW APPLICABLE TO THE CLAIM(S). THE EMPLOYEE UNDERSTANDS AND AGREES THAT THE ARBITRATOR’S RULING WILL STATE THE FACTS AND THE LAW ON WHICH THE DECISION IS BASED, WILL BE FINAL AND BINDING ON BOTH THE EMPLOYEE AND THE COMPANY AND ANY OTHER PARTY IN THE ARBITRATION PROCEEDING, AND CANNOT BE REVIEWED FOR ERROR OF LAW OR LEGAL REASONING OF ANY KIND. A JUDGMENT UPON AN AWARD RENDERED BY THE ARBITRATOR MAY BE ENTERED IN ANY COURT OF COMPETENT JURISDICTION.</w:t>
      </w:r>
    </w:p>
    <w:p>
      <w:pPr>
        <w:pStyle w:val="TextBody"/>
        <w:bidi w:val="0"/>
        <w:spacing w:lineRule="auto" w:line="240" w:before="0" w:after="240"/>
        <w:jc w:val="both"/>
        <w:rPr/>
      </w:pPr>
      <w:r>
        <w:rPr>
          <w:rFonts w:ascii="Times New Roman;serif" w:hAnsi="Times New Roman;serif"/>
          <w:b w:val="false"/>
          <w:color w:val="000000"/>
          <w:sz w:val="24"/>
        </w:rPr>
        <w:t>8.7</w:t>
      </w:r>
      <w:r>
        <w:rPr>
          <w:rFonts w:ascii="Times New Roman;serif" w:hAnsi="Times New Roman;serif"/>
          <w:b w:val="false"/>
          <w:color w:val="000000"/>
          <w:sz w:val="24"/>
          <w:u w:val="single"/>
        </w:rPr>
        <w:t>ADMINISTRATIVE REMEDIES / STATUTE OF LIMITATIONS</w:t>
      </w:r>
      <w:r>
        <w:rPr>
          <w:rFonts w:ascii="Times New Roman;serif" w:hAnsi="Times New Roman;serif"/>
          <w:b w:val="false"/>
          <w:color w:val="000000"/>
          <w:sz w:val="24"/>
        </w:rPr>
        <w:t xml:space="preserve">. IF EITHER THE EMPLOYEE OR THE COMPANY FAILS TO MAKE A WRITTEN REQUEST FOR ARBITRATION WITHIN THE STATUTE OF LIMITATIONS PERIOD APPLICABLE TO A CLAIM UNDER APPLICABLE LAW OR OTHERWISE FAILS TO COMPLY WITH THE ADMINISTRATIVE PREREQUISITES TO FILING CERTAIN TYPES OF CLAIMS, THE EMPLOYEE AND/OR THE COMPANY WILL HAVE WAIVED THE RIGHT TO RAISE THAT CLAIM IN ANY FORUM. IN THE EVENT THAT THE EMPLOYEE OR THE COMPANY SHOULD FILE AN ACTION IN COURT IN VIOLATION OF THIS AGREEMENT, THAT COURT SHALL REQUIRE THE PARTIES TO ARBITRATE ALL CLAIMS AND, ADDITIONALLY, SHALL ORDER THE PARTIES TO ARBITRATE THE ISSUE OF WHETHER OR NOT THE CLAIMS ARE SUBJECT TO THE ARBITRATION. </w:t>
      </w:r>
    </w:p>
    <w:p>
      <w:pPr>
        <w:pStyle w:val="TextBody"/>
        <w:bidi w:val="0"/>
        <w:spacing w:lineRule="auto" w:line="240" w:before="0" w:after="240"/>
        <w:jc w:val="both"/>
        <w:rPr/>
      </w:pPr>
      <w:r>
        <w:rPr>
          <w:rFonts w:ascii="Times New Roman;serif" w:hAnsi="Times New Roman;serif"/>
          <w:b w:val="false"/>
          <w:color w:val="000000"/>
          <w:sz w:val="24"/>
        </w:rPr>
        <w:t>8.8</w:t>
      </w:r>
      <w:r>
        <w:rPr>
          <w:rFonts w:ascii="Times New Roman;serif" w:hAnsi="Times New Roman;serif"/>
          <w:b w:val="false"/>
          <w:color w:val="000000"/>
          <w:sz w:val="24"/>
          <w:u w:val="single"/>
        </w:rPr>
        <w:t>WITNESSES AND EVIDENCE</w:t>
      </w:r>
      <w:r>
        <w:rPr>
          <w:rFonts w:ascii="Times New Roman;serif" w:hAnsi="Times New Roman;serif"/>
          <w:b w:val="false"/>
          <w:color w:val="000000"/>
          <w:sz w:val="24"/>
        </w:rPr>
        <w:t xml:space="preserve">. THE EMPLOYEE AND THE COMPANY WILL HAVE THE RIGHT TO CONDUCT DISCOVERY IN ACCORDANCE WITH CALIFORNIA STATE LAW, AND THE ARBITRATOR SHALL HAVE THE POWER TO DECIDE ANY DISCOVERY DISPUTES BETWEEN THE PARTIES. THE EMPLOYEE AND THE COMPANY MAY ALSO CALL WITNESSES, CROSS-EXAMINE THE OTHER PARTY’S WITNESSES, AND PRESENT EVIDENCE DURING THE ARBITRATION PROCEEDING IN ACCORDANCE WITH THE CALIFORNIA RULES OF CIVIL PROCEDURE, AS APPLIED BY THE ARBITRATOR. </w:t>
      </w:r>
    </w:p>
    <w:p>
      <w:pPr>
        <w:pStyle w:val="TextBody"/>
        <w:bidi w:val="0"/>
        <w:spacing w:lineRule="auto" w:line="240" w:before="0" w:after="240"/>
        <w:jc w:val="both"/>
        <w:rPr/>
      </w:pPr>
      <w:r>
        <w:rPr>
          <w:rFonts w:ascii="Times New Roman;serif" w:hAnsi="Times New Roman;serif"/>
          <w:b w:val="false"/>
          <w:color w:val="000000"/>
          <w:sz w:val="24"/>
        </w:rPr>
        <w:t>8.9</w:t>
      </w:r>
      <w:r>
        <w:rPr>
          <w:rFonts w:ascii="Times New Roman;serif" w:hAnsi="Times New Roman;serif"/>
          <w:b w:val="false"/>
          <w:color w:val="000000"/>
          <w:sz w:val="24"/>
          <w:u w:val="single"/>
        </w:rPr>
        <w:t>COST OF ARBITRATION AND LEGAL FEES</w:t>
      </w:r>
      <w:r>
        <w:rPr>
          <w:rFonts w:ascii="Times New Roman;serif" w:hAnsi="Times New Roman;serif"/>
          <w:b w:val="false"/>
          <w:color w:val="000000"/>
          <w:sz w:val="24"/>
        </w:rPr>
        <w:t xml:space="preserve">. THE COST OF ARBITRATION WILL BE PAID BY THE COMPANY, EXCEPT THAT THE EMPLOYEE WILL BE REQUIRED TO PAY THE INITIAL FILING FEE IF THE EMPLOYEE INITIATES ARBITRATION, TO THE EXTENT THAT THE FILING FEE DOES NOT EXCEED THE FEE TO FILE A COMPLAINT IN STATE OR FEDERAL COURT. THE COMPANY WILL PAY FOR THE BALANCE OF THE ARBITRATOR’S FEES AND ALL </w:t>
      </w:r>
    </w:p>
    <w:p>
      <w:pPr>
        <w:pStyle w:val="TextBody"/>
        <w:bidi w:val="0"/>
        <w:spacing w:before="0" w:after="0"/>
        <w:jc w:val="right"/>
        <w:rPr/>
      </w:pPr>
      <w:r>
        <w:rPr/>
        <w:drawing>
          <wp:inline distT="0" distB="0" distL="0" distR="0">
            <wp:extent cx="1685925" cy="647700"/>
            <wp:effectExtent l="0" t="0" r="0" b="0"/>
            <wp:docPr id="29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46" descr=""/>
                    <pic:cNvPicPr>
                      <a:picLocks noChangeAspect="1" noChangeArrowheads="1"/>
                    </pic:cNvPicPr>
                  </pic:nvPicPr>
                  <pic:blipFill>
                    <a:blip r:embed="rId58"/>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314960"/>
                <wp:effectExtent l="0" t="0" r="0" b="0"/>
                <wp:wrapNone/>
                <wp:docPr id="295" name="Frame24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20 - 25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20 - 25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ADMINISTRATIVE COSTS RELATED TO THE ARBITRATION. THE PARTIES WILL EACH BEAR THEIR OWN COSTS FOR LEGAL REPRESENTATION, DISCOVERY, DEPOSITION, EXPERT WITNESSES, AND OTHER LEGAL COSTS ORDINARILY BORNE BY A PARTY IN LITIGATION, PROVIDED, HOWEVER, THAT THE ARBITRATOR SHALL HAVE THE AUTHORITY TO REQUIRE ONE PARTY TO PAY THE COSTS AND FEES FOR THE OTHER PARTY’S REPRESENTATION DURING THE ARBITRATION, BUT ONLY TO THE EXTENT PERMITTED UNDER RELEVANT FEDERAL OR STATE LAWS, AS A PART OF ANY REMEDY THAT MAY BE ORDERED. </w:t>
      </w:r>
    </w:p>
    <w:p>
      <w:pPr>
        <w:pStyle w:val="TextBody"/>
        <w:bidi w:val="0"/>
        <w:spacing w:lineRule="auto" w:line="240" w:before="0" w:after="240"/>
        <w:jc w:val="both"/>
        <w:rPr/>
      </w:pPr>
      <w:r>
        <w:rPr>
          <w:rFonts w:ascii="Times New Roman;serif" w:hAnsi="Times New Roman;serif"/>
          <w:b w:val="false"/>
          <w:color w:val="000000"/>
          <w:sz w:val="24"/>
        </w:rPr>
        <w:t>8.10</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THE PARTIES SHALL MAINTAIN THE CONFIDENTIAL NATURE OF THE ARBITRATION PROCEEDINGS AND THE AWARD INCLUDING THE HEARING, EXCEPT AS MAY BE NECESSARY TO PREPARE FOR OR CONDUCT THE ARBITRATION HEARING ON THE MERITS, OR EXCEPT AS MAY BE NECESSARY IN CONNECTION WITH A COURT APPLICATION FOR A PRELIMINARY REMEDY, A JUDICIAL CHALLENGE TO AN AWARD OR ITS ENFORCEMENT, OR UNLESS OTHERWISE REQUIRED BY LAW. RESOLUTION OF THE DISPUTE SHALL BE BASED SOLELY UPON THE LAW GOVERNING THE CLAIMS AND DEFENSES PLEADED, AND THE ARBITRATOR MAY NOT INVOKE ANY BASIS (INCLUDING BUT NOT LIMITED TO NOTIONS OF “JUST CAUSE”) OTHER THAN SUCH CONTROLLING LAW. THE ARBITRATOR(S) SHALL RENDER AN AWARD(S) THAT SHALL BE BASED UPON A WRITTEN, REASONED OPINION.</w:t>
      </w:r>
    </w:p>
    <w:p>
      <w:pPr>
        <w:pStyle w:val="TextBody"/>
        <w:bidi w:val="0"/>
        <w:spacing w:lineRule="auto" w:line="240" w:before="0" w:after="360"/>
        <w:jc w:val="both"/>
        <w:rPr/>
      </w:pPr>
      <w:r>
        <w:rPr>
          <w:rFonts w:ascii="Times New Roman;serif" w:hAnsi="Times New Roman;serif"/>
          <w:b w:val="false"/>
          <w:color w:val="000000"/>
          <w:sz w:val="24"/>
        </w:rPr>
        <w:t>8.11</w:t>
      </w:r>
      <w:r>
        <w:rPr>
          <w:rFonts w:ascii="Times New Roman;serif" w:hAnsi="Times New Roman;serif"/>
          <w:b w:val="false"/>
          <w:color w:val="000000"/>
          <w:sz w:val="24"/>
          <w:u w:val="single"/>
        </w:rPr>
        <w:t>GOVERNING LAW/VENUE</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THE INTERPRETATION, CONSTRUCTION AND PERFORMANCE OF THIS AGREEMENT WILL BE GOVERNED BY THE LAWS OF THE STATE OF CALIFORNIA THAT ARE APPLICABLE TO AGREEMENTS MADE AND TO BE PERFORMED IN CALIFORNIA, EXCEPT THAT QUESTIONS CONCERNING THE ENFORCEABILITY OF THIS AGREEMENT SHALL BE DECIDED BY THE ARBITRATOR PURSUANT TO THE FAA. UNLESS THE PARTIES OTHERWISE AGREE, ARBITRATION PROCEEDINGS WILL BE HELD IN A LOCATION WITHIN THE COUNTY IN WHICH EMPLOYEE WAS LAST EMPLOYED BY THE COMPANY IN THE STATE OF CALIFORNIA. IN THE EVENT THAT A COURT OR ARBITRATOR OF COMPETENT JURISDICTION HOLDS THAT THE FAA DOES NOT APPLY TO THIS AGREEMENT AND THE EMPLOYEE HAS NOT INITIALED IN THE BOX BELOW, THE COURT OR ARBITRATOR SHALL APPLY THE CALIFORNIA ARBITRATION ACT AND OTHER APPLICABLE CALIFORNIA LAW TO DETERMINE THE ENFORCEABILITY OF THIS AGREEMENT. BY PLACING THE EMPLOYEE’S INITIALS IN THE BOX BELOW THIS PARAGRAPH, THE EMPLOYEE AND THE COMPANY INSTEAD VOLUNTARILY AGREE TO CONFIDENTIAL ARBITRATION OF ANY CLAIMS IN ACCORDANCE WITH THIS AGREEMENT, REGARDLESS OF WHETHER OR NOT A COURT OR ARBITRATOR DETERMINES THAT THE FAA APPLIES TO THIS AGREEMENT. IF THE EMPLOYEE DOES NOT INITIAL BELOW, THE EMPLOYEE IS EXPRESSING THEIR INTENTION IN THE EVENT THAT A COURT OR ARBITRATOR OF COMPETENT JURISDICTION HOLDS THAT THE FAA DOES NOT APPLY TO THIS AGREEMENT TO BRING THE EMPLOYEE’S CLAIMS IN PUBLIC COURT, RATHER THAN IN CONFIDENTIAL ARBITRATION.</w:t>
      </w:r>
    </w:p>
    <w:p>
      <w:pPr>
        <w:pStyle w:val="TextBody"/>
        <w:bidi w:val="0"/>
        <w:spacing w:lineRule="auto" w:line="288" w:before="0" w:after="36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w:t>
        <w:br/>
        <w:t>Employee initials</w:t>
      </w:r>
    </w:p>
    <w:p>
      <w:pPr>
        <w:pStyle w:val="TextBody"/>
        <w:bidi w:val="0"/>
        <w:spacing w:before="0" w:after="0"/>
        <w:jc w:val="right"/>
        <w:rPr/>
      </w:pPr>
      <w:r>
        <w:rPr/>
        <w:drawing>
          <wp:inline distT="0" distB="0" distL="0" distR="0">
            <wp:extent cx="1685925" cy="647700"/>
            <wp:effectExtent l="0" t="0" r="0" b="0"/>
            <wp:docPr id="29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47" descr=""/>
                    <pic:cNvPicPr>
                      <a:picLocks noChangeAspect="1" noChangeArrowheads="1"/>
                    </pic:cNvPicPr>
                  </pic:nvPicPr>
                  <pic:blipFill>
                    <a:blip r:embed="rId59"/>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14960"/>
                <wp:effectExtent l="0" t="0" r="0" b="0"/>
                <wp:wrapNone/>
                <wp:docPr id="297" name="Frame25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21 - 25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21 - 25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color w:val="000000"/>
          <w:sz w:val="24"/>
        </w:rPr>
        <w:t>Article 9</w:t>
      </w:r>
      <w:r>
        <w:rPr>
          <w:color w:val="000000"/>
        </w:rPr>
        <w:t xml:space="preserve"> – </w:t>
      </w:r>
      <w:r>
        <w:rPr>
          <w:rFonts w:ascii="Times New Roman;serif" w:hAnsi="Times New Roman;serif"/>
          <w:b/>
          <w:color w:val="000000"/>
          <w:sz w:val="24"/>
        </w:rPr>
        <w:t>GENERAL</w:t>
      </w:r>
    </w:p>
    <w:p>
      <w:pPr>
        <w:pStyle w:val="TextBody"/>
        <w:bidi w:val="0"/>
        <w:spacing w:lineRule="auto" w:line="240" w:before="0" w:after="240"/>
        <w:jc w:val="both"/>
        <w:rPr/>
      </w:pPr>
      <w:r>
        <w:rPr>
          <w:rFonts w:ascii="Times New Roman;serif" w:hAnsi="Times New Roman;serif"/>
          <w:b w:val="false"/>
          <w:color w:val="000000"/>
          <w:sz w:val="24"/>
        </w:rPr>
        <w:t>9.1</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notices to be given hereunder by either party to the other party may be effected in writing, either by personal delivery or by mail if sent certified, postage prepaid, with return receipt requested. Mailed notices will be addressed to the parties at the address set out on the first page of this Agreement, or as otherwise specified from time to time. Notice will be effective upon delivery.</w:t>
      </w:r>
    </w:p>
    <w:p>
      <w:pPr>
        <w:pStyle w:val="TextBody"/>
        <w:bidi w:val="0"/>
        <w:spacing w:lineRule="auto" w:line="240" w:before="0" w:after="240"/>
        <w:jc w:val="both"/>
        <w:rPr/>
      </w:pPr>
      <w:r>
        <w:rPr>
          <w:rFonts w:ascii="Times New Roman;serif" w:hAnsi="Times New Roman;serif"/>
          <w:b w:val="false"/>
          <w:color w:val="000000"/>
          <w:sz w:val="24"/>
        </w:rPr>
        <w:t>9.2</w:t>
      </w:r>
      <w:r>
        <w:rPr>
          <w:rFonts w:ascii="Times New Roman;serif" w:hAnsi="Times New Roman;serif"/>
          <w:b w:val="false"/>
          <w:color w:val="000000"/>
          <w:sz w:val="24"/>
          <w:u w:val="single"/>
        </w:rPr>
        <w:t>Independent Legal Advice</w:t>
      </w:r>
      <w:r>
        <w:rPr>
          <w:rFonts w:ascii="Times New Roman;serif" w:hAnsi="Times New Roman;serif"/>
          <w:b w:val="false"/>
          <w:color w:val="000000"/>
          <w:sz w:val="24"/>
        </w:rPr>
        <w:t xml:space="preserve">. The Employee specifically confirms that Employee has been advised to retain Employee’s own independent legal advice prior to entering into this Agreement. </w:t>
      </w:r>
    </w:p>
    <w:p>
      <w:pPr>
        <w:pStyle w:val="TextBody"/>
        <w:bidi w:val="0"/>
        <w:spacing w:lineRule="auto" w:line="240" w:before="0" w:after="240"/>
        <w:jc w:val="both"/>
        <w:rPr/>
      </w:pPr>
      <w:r>
        <w:rPr>
          <w:rFonts w:ascii="Times New Roman;serif" w:hAnsi="Times New Roman;serif"/>
          <w:b w:val="false"/>
          <w:color w:val="000000"/>
          <w:sz w:val="24"/>
        </w:rPr>
        <w:t>9.3</w:t>
      </w:r>
      <w:r>
        <w:rPr>
          <w:rFonts w:ascii="Times New Roman;serif" w:hAnsi="Times New Roman;serif"/>
          <w:b w:val="false"/>
          <w:color w:val="000000"/>
          <w:sz w:val="24"/>
          <w:u w:val="single"/>
        </w:rPr>
        <w:t>Construction</w:t>
      </w:r>
      <w:r>
        <w:rPr>
          <w:rFonts w:ascii="Times New Roman;serif" w:hAnsi="Times New Roman;serif"/>
          <w:b w:val="false"/>
          <w:color w:val="000000"/>
          <w:sz w:val="24"/>
        </w:rPr>
        <w:t xml:space="preserve">. The parties acknowledge that each party and its respective counsel have had the opportunity to independently review and negotiate the terms and conditions of this Agreement, and that the normal rule of construction to the effect that any ambiguities are to be construed against the drafting party will not be employed in the interpretation of this Agreement or any exhibits or amendments hereto. </w:t>
      </w:r>
    </w:p>
    <w:p>
      <w:pPr>
        <w:pStyle w:val="TextBody"/>
        <w:bidi w:val="0"/>
        <w:spacing w:lineRule="auto" w:line="240" w:before="0" w:after="240"/>
        <w:jc w:val="both"/>
        <w:rPr/>
      </w:pPr>
      <w:r>
        <w:rPr>
          <w:rFonts w:ascii="Times New Roman;serif" w:hAnsi="Times New Roman;serif"/>
          <w:b w:val="false"/>
          <w:color w:val="000000"/>
          <w:sz w:val="24"/>
        </w:rPr>
        <w:t>9.4</w:t>
      </w:r>
      <w:r>
        <w:rPr>
          <w:rFonts w:ascii="Times New Roman;serif" w:hAnsi="Times New Roman;serif"/>
          <w:b w:val="false"/>
          <w:color w:val="000000"/>
          <w:sz w:val="24"/>
          <w:u w:val="single"/>
        </w:rPr>
        <w:t>Assignment</w:t>
      </w:r>
      <w:r>
        <w:rPr>
          <w:rFonts w:ascii="Times New Roman;serif" w:hAnsi="Times New Roman;serif"/>
          <w:b w:val="false"/>
          <w:color w:val="000000"/>
          <w:sz w:val="24"/>
        </w:rPr>
        <w:t>. The Employee cannot assign Employee’s interest in this Agreement.</w:t>
      </w:r>
    </w:p>
    <w:p>
      <w:pPr>
        <w:pStyle w:val="TextBody"/>
        <w:bidi w:val="0"/>
        <w:spacing w:lineRule="auto" w:line="240" w:before="0" w:after="240"/>
        <w:jc w:val="both"/>
        <w:rPr/>
      </w:pPr>
      <w:r>
        <w:rPr>
          <w:rFonts w:ascii="Times New Roman;serif" w:hAnsi="Times New Roman;serif"/>
          <w:b w:val="false"/>
          <w:color w:val="000000"/>
          <w:sz w:val="24"/>
        </w:rPr>
        <w:t>9.5</w:t>
      </w:r>
      <w:r>
        <w:rPr>
          <w:rFonts w:ascii="Times New Roman;serif" w:hAnsi="Times New Roman;serif"/>
          <w:b w:val="false"/>
          <w:color w:val="000000"/>
          <w:sz w:val="24"/>
          <w:u w:val="single"/>
        </w:rPr>
        <w:t>Benefit of Agreement</w:t>
      </w:r>
      <w:r>
        <w:rPr>
          <w:rFonts w:ascii="Times New Roman;serif" w:hAnsi="Times New Roman;serif"/>
          <w:b w:val="false"/>
          <w:color w:val="000000"/>
          <w:sz w:val="24"/>
        </w:rPr>
        <w:t>. This Agreement will inure to the benefit of and be binding upon the respective heirs, executors, administrators, successors and permitted assigns of the parties hereto.</w:t>
      </w:r>
    </w:p>
    <w:p>
      <w:pPr>
        <w:pStyle w:val="TextBody"/>
        <w:bidi w:val="0"/>
        <w:spacing w:lineRule="auto" w:line="240" w:before="0" w:after="240"/>
        <w:jc w:val="both"/>
        <w:rPr/>
      </w:pPr>
      <w:r>
        <w:rPr>
          <w:rFonts w:ascii="Times New Roman;serif" w:hAnsi="Times New Roman;serif"/>
          <w:b w:val="false"/>
          <w:color w:val="000000"/>
          <w:sz w:val="24"/>
        </w:rPr>
        <w:t>9.6</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The terms and conditions contained within this Agreement constitute the entire agreement between the parties hereto with respect to the subject matter hereof and cancels and supersedes any prior employment agreements, understandings and arrangements between the parties hereto with respect thereto. There are no representations, warranties, terms, conditions, undertakings or collateral agreements, express, implied or statutory, between the parties other than as expressly set forth in this Agreement.</w:t>
      </w:r>
    </w:p>
    <w:p>
      <w:pPr>
        <w:pStyle w:val="TextBody"/>
        <w:bidi w:val="0"/>
        <w:spacing w:lineRule="auto" w:line="240" w:before="0" w:after="240"/>
        <w:jc w:val="both"/>
        <w:rPr/>
      </w:pPr>
      <w:r>
        <w:rPr>
          <w:rFonts w:ascii="Times New Roman;serif" w:hAnsi="Times New Roman;serif"/>
          <w:b w:val="false"/>
          <w:color w:val="000000"/>
          <w:sz w:val="24"/>
        </w:rPr>
        <w:t>9.7</w:t>
      </w:r>
      <w:r>
        <w:rPr>
          <w:rFonts w:ascii="Times New Roman;serif" w:hAnsi="Times New Roman;serif"/>
          <w:b w:val="false"/>
          <w:color w:val="000000"/>
          <w:sz w:val="24"/>
          <w:u w:val="single"/>
        </w:rPr>
        <w:t>Amendments and Waivers</w:t>
      </w:r>
      <w:r>
        <w:rPr>
          <w:rFonts w:ascii="Times New Roman;serif" w:hAnsi="Times New Roman;serif"/>
          <w:b w:val="false"/>
          <w:color w:val="000000"/>
          <w:sz w:val="24"/>
        </w:rPr>
        <w:t>. No amendment to this Agreement will be valid or binding unless set forth in writing and duly executed by the Employee and the Head of Global Human Resources of the Company or Employee’s duly authorized designee. No waiver of any breach of any provision of this Agreement will be effective or binding unless made in writing and signed by the party purporting to give the same and, unless otherwise provided in the written waiver, will be limited to the specific breach waived.</w:t>
      </w:r>
    </w:p>
    <w:p>
      <w:pPr>
        <w:pStyle w:val="TextBody"/>
        <w:bidi w:val="0"/>
        <w:spacing w:lineRule="auto" w:line="240" w:before="0" w:after="240"/>
        <w:jc w:val="both"/>
        <w:rPr/>
      </w:pPr>
      <w:r>
        <w:rPr>
          <w:rFonts w:ascii="Times New Roman;serif" w:hAnsi="Times New Roman;serif"/>
          <w:b w:val="false"/>
          <w:color w:val="000000"/>
          <w:sz w:val="24"/>
        </w:rPr>
        <w:t>9.8</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will be governed by and construed, enforced and interpreted exclusively in accordance with the laws of the State of California, except as specified in Articles 5.3 and 8 above.</w:t>
      </w:r>
    </w:p>
    <w:p>
      <w:pPr>
        <w:pStyle w:val="TextBody"/>
        <w:bidi w:val="0"/>
        <w:spacing w:lineRule="auto" w:line="240" w:before="0" w:after="240"/>
        <w:jc w:val="both"/>
        <w:rPr/>
      </w:pPr>
      <w:r>
        <w:rPr>
          <w:rFonts w:ascii="Times New Roman;serif" w:hAnsi="Times New Roman;serif"/>
          <w:b w:val="false"/>
          <w:color w:val="000000"/>
          <w:sz w:val="24"/>
        </w:rPr>
        <w:t>9.9</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xml:space="preserve">. The parties intend that payments and benefits under this Agreement are exempt from or comply with Internal Revenue Code Section 409A and the regulations and guidance thereunder (collectively “Code Section 409A”) and, accordingly, to the maximum extent permitted, this Agreement will be interpreted to be in compliance with Code Section 409A.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(a)To the extent that any provision hereof is modified in order to comply with Code Section 409A, such modification will be made in good faith and will, to the maximum extent reasonably possible, maintain the original intent and </w:t>
      </w:r>
    </w:p>
    <w:p>
      <w:pPr>
        <w:pStyle w:val="TextBody"/>
        <w:bidi w:val="0"/>
        <w:spacing w:before="0" w:after="0"/>
        <w:jc w:val="right"/>
        <w:rPr/>
      </w:pPr>
      <w:r>
        <w:rPr/>
        <w:drawing>
          <wp:inline distT="0" distB="0" distL="0" distR="0">
            <wp:extent cx="1685925" cy="647700"/>
            <wp:effectExtent l="0" t="0" r="0" b="0"/>
            <wp:docPr id="29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48" descr=""/>
                    <pic:cNvPicPr>
                      <a:picLocks noChangeAspect="1" noChangeArrowheads="1"/>
                    </pic:cNvPicPr>
                  </pic:nvPicPr>
                  <pic:blipFill>
                    <a:blip r:embed="rId60"/>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14960"/>
                <wp:effectExtent l="0" t="0" r="0" b="0"/>
                <wp:wrapNone/>
                <wp:docPr id="299" name="Frame25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22 - 25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22 - 25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economic benefit to the Employee and the Company of the applicable provision without violating the provisions of Code Section 409A. In no event whatsoever will the Company be liable for any additional tax, interest or penalty that may be imposed on the Employee by reason of Code Section 409A or damages for failing to comply with Code Section 409A. For purposes of compliance with Code Section 409A, each payment subject to Code Section 409A (or intended to satisfy an exception under Code Section 409A including payment under Sections 4.3(c) and 4.3(d) of this Agreement) will be treated as a separate payment, and the right to a series of installment payments under this Agreement will be treated as a right to a series of separate payments.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(b)To the extent that payments under the Agreement that are payable upon the Employee’s termination of employment constitute “nonqualified deferred compensation” that is subject to Code Section 409A, a termination of employment will not be deemed to have occurred for purposes of any provision of this Agreement providing for any such payment upon or following a termination of employment unless such termination is also a “separation from service” within the meaning of Code Section 409A and, for purposes of any such provision of this Agreement, references to a “termination,” “termination of employment” or like terms means “separation from service.”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(c)Notwithstanding any other payment schedule provided herein to the contrary, if the Employee is deemed on the date of termination to be a “specified employee” within the meaning of that term under Code Section 409A (or the Company has opted to treat all employees as “specified employees”), then any payment that is considered “nonqualified deferred compensation” under Code Section 409A payable on account of a “separation from service” will not be made until the date which is the earlier of: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(i)the expiration of the six (6)-month period measured from the date of such “separation from service” of the Employee, and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date of the Employee’s death, to the extent required under Code Section 409A (the delay referred to as the “Delay Period”).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(d)Upon the expiration of the Delay Period, all payments delayed pursuant to this Section 9.9 (whether they would have otherwise been payable in a single sum or in installments in the absence of such delay) will be paid to the Employee in a lump sum (with no accrued interest), and all remaining payments due under this Agreement will be paid or provided in accordance with the normal payment dates specified for them herein.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(e)Any reimbursements by the Company to the Employee of any eligible expenses under this Agreement that are not excludable from the Employee’s income for U.S. federal income tax purposes (the “Taxable Reimbursements”) shall be made by no later than the last day of the taxable year of the Employee following the year in which the expense was incurred. The amount of any Taxable Reimbursements, and the value of any in-kind benefits to be provided to the Employee, during any taxable year of the Employee shall not affect the expenses eligible for reimbursement, or in-kind benefits to be provided, in any </w:t>
      </w:r>
    </w:p>
    <w:p>
      <w:pPr>
        <w:pStyle w:val="TextBody"/>
        <w:bidi w:val="0"/>
        <w:spacing w:before="0" w:after="0"/>
        <w:jc w:val="right"/>
        <w:rPr/>
      </w:pPr>
      <w:r>
        <w:rPr/>
        <w:drawing>
          <wp:inline distT="0" distB="0" distL="0" distR="0">
            <wp:extent cx="1685925" cy="647700"/>
            <wp:effectExtent l="0" t="0" r="0" b="0"/>
            <wp:docPr id="30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49" descr=""/>
                    <pic:cNvPicPr>
                      <a:picLocks noChangeAspect="1" noChangeArrowheads="1"/>
                    </pic:cNvPicPr>
                  </pic:nvPicPr>
                  <pic:blipFill>
                    <a:blip r:embed="rId61"/>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14960"/>
                <wp:effectExtent l="0" t="0" r="0" b="0"/>
                <wp:wrapNone/>
                <wp:docPr id="301" name="Frame25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23 - 25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23 - 25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other taxable year of the Employee. The right to Taxable Reimbursement, or in-kind benefits, shall not be subject to liquidation or exchange for another benefit.</w:t>
      </w:r>
    </w:p>
    <w:p>
      <w:pPr>
        <w:pStyle w:val="TextBody"/>
        <w:bidi w:val="0"/>
        <w:spacing w:lineRule="auto" w:line="240" w:before="0" w:after="240"/>
        <w:jc w:val="left"/>
        <w:rPr/>
      </w:pPr>
      <w:r>
        <w:rPr>
          <w:rFonts w:ascii="Times New Roman;serif" w:hAnsi="Times New Roman;serif"/>
          <w:b w:val="false"/>
          <w:color w:val="000000"/>
          <w:sz w:val="24"/>
        </w:rPr>
        <w:t>9.10</w:t>
      </w:r>
      <w:r>
        <w:rPr>
          <w:rFonts w:ascii="Times New Roman;serif" w:hAnsi="Times New Roman;serif"/>
          <w:b w:val="false"/>
          <w:color w:val="000000"/>
          <w:sz w:val="24"/>
          <w:u w:val="single"/>
        </w:rPr>
        <w:t>Limitation on Payments</w:t>
      </w:r>
      <w:r>
        <w:rPr>
          <w:rFonts w:ascii="Times New Roman;serif" w:hAnsi="Times New Roman;serif"/>
          <w:b w:val="false"/>
          <w:color w:val="000000"/>
          <w:sz w:val="24"/>
        </w:rPr>
        <w: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(a)In the event that the severance or change in control-related or other payments or benefits provided for in this Agreement or otherwise payable to Employee (collectively, the “Payments”) (x) constitute “parachute payments” within the meaning of Section 280G of the Code, and (y) but for this Section 9.10, would be subject to the excise tax imposed by Section 4999 of the Code, then such payments or benefits will be either: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 delivered in full, or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(ii) delivered as to such lesser extent which would result in no portion of such benefits being subject to excise tax under Section 4999 of the Code,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whichever of the foregoing amounts, taking into account the applicable federal, state and local income taxes and the excise tax imposed by Section 4999 of the Code, results in the receipt by the Employee on an after-tax basis, of the greatest amount of Payments, notwithstanding that all or some portion of such Payments may be taxable under Section 4999 of the Code. If a reduction in Payments constituting “parachute payments” is necessary so that Payments are delivered to a lesser extent, reduction will occur in the following order: (i) cancellation of equity awards granted “contingent on a change in ownership or control” (within the meaning of Section 280G of the Code); (ii) a pro rata reduction of (A) cash payments that are subject to Code Section 409A as deferred compensation and (B) cash payments not subject to Code Section 409A; (iii) a pro rata reduction of (A) employee benefits that are subject to Section 409A as deferred compensation and (B) employee benefits not subject to Section 409A; and (iv) a pro rata cancellation of (A) accelerated vesting of equity awards that are subject to Code Section 409A as deferred compensation and (B) equity awards not subject to Code Section 409A. If acceleration of vesting of equity awards is to be cancelled, such acceleration of vesting will be cancelled in the reverse order of the date of grant of Employee’s equity awards. In no event will Employee have any discretion with respect to the ordering of payment reductions.</w:t>
      </w:r>
    </w:p>
    <w:p>
      <w:pPr>
        <w:pStyle w:val="TextBody"/>
        <w:bidi w:val="0"/>
        <w:spacing w:before="0" w:after="0"/>
        <w:jc w:val="both"/>
        <w:rPr/>
      </w:pPr>
      <w:r>
        <w:rPr/>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(b)Unless the Company and Employee otherwise agree in writing, any determination required under this Section 9.10 will be made in writing by a nationally recognized firm of independent public accountants selected by the Company (the “Accountants”), whose determination will be conclusive and binding upon Employee and the Company for all purposes. For purposes of making the calculations required by this Section 9.10, the Accountants may make reasonable assumptions and approximations concerning applicable taxes and may rely on reasonable, good faith interpretations concerning the application of Sections 280G and 4999 of the Code. The Company and </w:t>
      </w:r>
    </w:p>
    <w:p>
      <w:pPr>
        <w:pStyle w:val="TextBody"/>
        <w:bidi w:val="0"/>
        <w:spacing w:before="0" w:after="0"/>
        <w:jc w:val="right"/>
        <w:rPr/>
      </w:pPr>
      <w:r>
        <w:rPr/>
        <w:drawing>
          <wp:inline distT="0" distB="0" distL="0" distR="0">
            <wp:extent cx="1685925" cy="647700"/>
            <wp:effectExtent l="0" t="0" r="0" b="0"/>
            <wp:docPr id="30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50" descr=""/>
                    <pic:cNvPicPr>
                      <a:picLocks noChangeAspect="1" noChangeArrowheads="1"/>
                    </pic:cNvPicPr>
                  </pic:nvPicPr>
                  <pic:blipFill>
                    <a:blip r:embed="rId62"/>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14960"/>
                <wp:effectExtent l="0" t="0" r="0" b="0"/>
                <wp:wrapNone/>
                <wp:docPr id="303" name="Frame25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24 - 25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24 - 25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Employee will furnish to the Accountants such information and documents as the Accountants may reasonably request in order to make a determination under this Section 9.10. The Company will bear all costs the Accountants may reasonably incur in connection with any calculations contemplated by this Section 9.10.</w:t>
      </w:r>
    </w:p>
    <w:p>
      <w:pPr>
        <w:pStyle w:val="TextBody"/>
        <w:bidi w:val="0"/>
        <w:spacing w:lineRule="auto" w:line="240" w:before="0" w:after="220"/>
        <w:jc w:val="both"/>
        <w:rPr/>
      </w:pPr>
      <w:r>
        <w:rPr>
          <w:rFonts w:ascii="Times New Roman;serif" w:hAnsi="Times New Roman;serif"/>
          <w:b w:val="false"/>
          <w:color w:val="000000"/>
          <w:sz w:val="24"/>
        </w:rPr>
        <w:t>9.11</w:t>
      </w:r>
      <w:r>
        <w:rPr>
          <w:rFonts w:ascii="Times New Roman;serif" w:hAnsi="Times New Roman;serif"/>
          <w:b w:val="false"/>
          <w:color w:val="000000"/>
          <w:sz w:val="24"/>
          <w:u w:val="single"/>
        </w:rPr>
        <w:t>Right to Consult with Counsel</w:t>
      </w:r>
      <w:r>
        <w:rPr>
          <w:rFonts w:ascii="Times New Roman;serif" w:hAnsi="Times New Roman;serif"/>
          <w:b w:val="false"/>
          <w:color w:val="000000"/>
          <w:sz w:val="24"/>
        </w:rPr>
        <w:t>. The Employee acknowledges and understands that the Employee has the right to consult with counsel of the Employee’s choosing prior to signing this Agreement.</w:t>
      </w:r>
    </w:p>
    <w:p>
      <w:pPr>
        <w:pStyle w:val="TextBody"/>
        <w:bidi w:val="0"/>
        <w:spacing w:lineRule="auto" w:line="288" w:before="0" w:after="240"/>
        <w:jc w:val="left"/>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the parties have executed this Agreement as of the last date written below.</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ZYMEWORKS BIOPHARMACEUTICALS INC.</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/s/ Kenneth Galbraith                                    Kenneth Galbraith</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Chair and Chief Executive Officer</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April 8, 2026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240"/>
        <w:jc w:val="left"/>
        <w:rPr/>
      </w:pPr>
      <w:r>
        <w:rPr/>
      </w:r>
    </w:p>
    <w:tbl>
      <w:tblPr>
        <w:tblW w:w="3164" w:type="dxa"/>
        <w:jc w:val="left"/>
        <w:tblInd w:w="0" w:type="dxa"/>
        <w:tblLayout w:type="fixed"/>
        <w:tblCellMar>
          <w:top w:w="28" w:type="dxa"/>
          <w:left w:w="28" w:type="dxa"/>
          <w:bottom w:w="28" w:type="dxa"/>
          <w:right w:w="28" w:type="dxa"/>
        </w:tblCellMar>
      </w:tblPr>
      <w:tblGrid>
        <w:gridCol w:w="1013"/>
        <w:gridCol w:w="890"/>
        <w:gridCol w:w="1261"/>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SIGNED AND DELIVERED </w:t>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color w:val="000000"/>
                <w:sz w:val="24"/>
              </w:rPr>
              <w:t>Employee</w:t>
            </w:r>
            <w:r>
              <w:rPr>
                <w:rFonts w:ascii="Times New Roman;serif" w:hAnsi="Times New Roman;serif"/>
                <w:b w:val="false"/>
                <w:color w:val="000000"/>
                <w:sz w:val="24"/>
              </w:rPr>
              <w:t>:</w:t>
            </w:r>
          </w:p>
          <w:p>
            <w:pPr>
              <w:pStyle w:val="TableContents"/>
              <w:bidi w:val="0"/>
              <w:spacing w:before="0" w:after="24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 Scott Platshon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ableContents"/>
              <w:bidi w:val="0"/>
              <w:spacing w:before="0" w:after="240"/>
              <w:jc w:val="left"/>
              <w:rPr/>
            </w:pPr>
            <w:r>
              <w:rPr/>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April 8, 2026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tc>
      </w:tr>
      <w:tr>
        <w:trPr/>
        <w:tc>
          <w:tcPr>
            <w:tcW w:w="3164"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14960"/>
                <wp:effectExtent l="0" t="0" r="0" b="0"/>
                <wp:wrapNone/>
                <wp:docPr id="304" name="Frame25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25 - 25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25 - 25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Kenneth Galbraith, certify that:</w:t>
      </w:r>
    </w:p>
    <w:p>
      <w:pPr>
        <w:pStyle w:val="TextBody"/>
        <w:bidi w:val="0"/>
        <w:spacing w:lineRule="auto" w:line="288" w:before="120" w:after="283"/>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Zymeworks Inc.;</w:t>
      </w:r>
    </w:p>
    <w:p>
      <w:pPr>
        <w:pStyle w:val="TextBody"/>
        <w:bidi w:val="0"/>
        <w:spacing w:lineRule="auto" w:line="288" w:before="240" w:after="283"/>
        <w:ind w:left="0" w:right="0" w:firstLine="54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60"/>
        <w:ind w:left="0" w:right="0" w:firstLine="540"/>
        <w:jc w:val="left"/>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r>
        <w:rPr>
          <w:color w:val="000000"/>
        </w:rPr>
        <w:t> </w:t>
      </w:r>
    </w:p>
    <w:tbl>
      <w:tblPr>
        <w:tblW w:w="2411" w:type="dxa"/>
        <w:jc w:val="left"/>
        <w:tblInd w:w="0" w:type="dxa"/>
        <w:tblLayout w:type="fixed"/>
        <w:tblCellMar>
          <w:top w:w="28" w:type="dxa"/>
          <w:left w:w="28" w:type="dxa"/>
          <w:bottom w:w="28" w:type="dxa"/>
          <w:right w:w="28" w:type="dxa"/>
        </w:tblCellMar>
      </w:tblPr>
      <w:tblGrid>
        <w:gridCol w:w="738"/>
        <w:gridCol w:w="649"/>
        <w:gridCol w:w="652"/>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Galbraith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5"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Kristin Stafford, certify that:</w:t>
      </w:r>
    </w:p>
    <w:p>
      <w:pPr>
        <w:pStyle w:val="TextBody"/>
        <w:bidi w:val="0"/>
        <w:spacing w:lineRule="auto" w:line="288" w:before="120" w:after="283"/>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Zymeworks Inc.;</w:t>
      </w:r>
    </w:p>
    <w:p>
      <w:pPr>
        <w:pStyle w:val="TextBody"/>
        <w:bidi w:val="0"/>
        <w:spacing w:lineRule="auto" w:line="288" w:before="240" w:after="283"/>
        <w:ind w:left="0" w:right="0" w:firstLine="54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2352" w:type="dxa"/>
        <w:jc w:val="left"/>
        <w:tblInd w:w="0" w:type="dxa"/>
        <w:tblLayout w:type="fixed"/>
        <w:tblCellMar>
          <w:top w:w="28" w:type="dxa"/>
          <w:left w:w="28" w:type="dxa"/>
          <w:bottom w:w="28" w:type="dxa"/>
          <w:right w:w="28" w:type="dxa"/>
        </w:tblCellMar>
      </w:tblPr>
      <w:tblGrid>
        <w:gridCol w:w="716"/>
        <w:gridCol w:w="630"/>
        <w:gridCol w:w="634"/>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Kristin Stafford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6"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CERTIFICATION</w:t>
      </w:r>
    </w:p>
    <w:p>
      <w:pPr>
        <w:pStyle w:val="TextBody"/>
        <w:bidi w:val="0"/>
        <w:spacing w:lineRule="auto" w:line="288" w:before="240" w:after="283"/>
        <w:jc w:val="left"/>
        <w:rPr/>
      </w:pPr>
      <w:r>
        <w:rPr>
          <w:rFonts w:ascii="Times New Roman;serif" w:hAnsi="Times New Roman;serif"/>
          <w:b w:val="false"/>
          <w:color w:val="000000"/>
          <w:sz w:val="20"/>
        </w:rPr>
        <w:t>Pursuant to section 906 of the Sarbanes-Oxley Act of 2002 (subsections (a) and (b) of section 1350, chapter 63 of title 18, United States Code) in connection with the Quarterly Report on Form 10-Q of Zymeworks Inc. for the quarterly period ended March 31, 2026 as filed with the Securities and Exchange Commission on the date hereof (the “Report”), the undersigned officer hereby certifies, to such officer’s knowledge, that:</w:t>
      </w:r>
      <w:r>
        <w:rPr>
          <w:color w:val="000000"/>
        </w:rPr>
        <w: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Zymeworks Inc.</w:t>
      </w:r>
    </w:p>
    <w:p>
      <w:pPr>
        <w:pStyle w:val="TextBody"/>
        <w:bidi w:val="0"/>
        <w:spacing w:before="120" w:after="283"/>
        <w:jc w:val="left"/>
        <w:rPr/>
      </w:pPr>
      <w:r>
        <w:rPr/>
      </w:r>
    </w:p>
    <w:tbl>
      <w:tblPr>
        <w:tblW w:w="3344" w:type="dxa"/>
        <w:jc w:val="left"/>
        <w:tblInd w:w="0" w:type="dxa"/>
        <w:tblLayout w:type="fixed"/>
        <w:tblCellMar>
          <w:top w:w="28" w:type="dxa"/>
          <w:left w:w="28" w:type="dxa"/>
          <w:bottom w:w="28" w:type="dxa"/>
          <w:right w:w="28" w:type="dxa"/>
        </w:tblCellMar>
      </w:tblPr>
      <w:tblGrid>
        <w:gridCol w:w="344"/>
        <w:gridCol w:w="302"/>
        <w:gridCol w:w="302"/>
        <w:gridCol w:w="671"/>
        <w:gridCol w:w="671"/>
        <w:gridCol w:w="682"/>
        <w:gridCol w:w="109"/>
        <w:gridCol w:w="109"/>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Galbraith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Galbraith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7"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CERTIFICATION</w:t>
      </w:r>
    </w:p>
    <w:p>
      <w:pPr>
        <w:pStyle w:val="TextBody"/>
        <w:bidi w:val="0"/>
        <w:spacing w:lineRule="auto" w:line="288" w:before="240" w:after="283"/>
        <w:jc w:val="left"/>
        <w:rPr/>
      </w:pPr>
      <w:r>
        <w:rPr>
          <w:rFonts w:ascii="Times New Roman;serif" w:hAnsi="Times New Roman;serif"/>
          <w:b w:val="false"/>
          <w:color w:val="000000"/>
          <w:sz w:val="20"/>
        </w:rPr>
        <w:t>Pursuant to section 906 of the Sarbanes-Oxley Act of 2002 (subsections (a) and (b) of section 1350, chapter 63 of title 18, United States Code) in connection with the Quarterly Report on Form 10-Q of Zymeworks Inc. for the quarterly period ended March 31, 2026 as filed with the Securities and Exchange Commission on the date hereof (the “Report”), the undersigned officer hereby certifies, to such officer’s knowledge, that:</w:t>
      </w:r>
      <w:r>
        <w:rPr>
          <w:color w:val="000000"/>
        </w:rPr>
        <w: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Zymeworks Inc.</w:t>
      </w:r>
    </w:p>
    <w:p>
      <w:pPr>
        <w:pStyle w:val="TextBody"/>
        <w:bidi w:val="0"/>
        <w:spacing w:before="120" w:after="60"/>
        <w:jc w:val="left"/>
        <w:rPr/>
      </w:pPr>
      <w:r>
        <w:rPr/>
      </w:r>
    </w:p>
    <w:tbl>
      <w:tblPr>
        <w:tblW w:w="3149" w:type="dxa"/>
        <w:jc w:val="left"/>
        <w:tblInd w:w="0" w:type="dxa"/>
        <w:tblLayout w:type="fixed"/>
        <w:tblCellMar>
          <w:top w:w="28" w:type="dxa"/>
          <w:left w:w="28" w:type="dxa"/>
          <w:bottom w:w="28" w:type="dxa"/>
          <w:right w:w="28" w:type="dxa"/>
        </w:tblCellMar>
      </w:tblPr>
      <w:tblGrid>
        <w:gridCol w:w="295"/>
        <w:gridCol w:w="259"/>
        <w:gridCol w:w="259"/>
        <w:gridCol w:w="646"/>
        <w:gridCol w:w="646"/>
        <w:gridCol w:w="672"/>
        <w:gridCol w:w="109"/>
        <w:gridCol w:w="109"/>
        <w:gridCol w:w="154"/>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Kristin Stafford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Kristin Stafford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pStyle w:val="TextBody"/>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8"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37653/000119312522261838/d351779dex31.htm" TargetMode="External"/><Relationship Id="rId4" Type="http://schemas.openxmlformats.org/officeDocument/2006/relationships/hyperlink" Target="https://www.sec.gov/Archives/edgar/data/1937653/000119312523071337/d485013dex31.htm" TargetMode="External"/><Relationship Id="rId5" Type="http://schemas.openxmlformats.org/officeDocument/2006/relationships/hyperlink" Target="https://www.sec.gov/Archives/edgar/data/1937653/000119312523165284/d505663dex31.htm" TargetMode="External"/><Relationship Id="rId6" Type="http://schemas.openxmlformats.org/officeDocument/2006/relationships/hyperlink" Target="https://www.sec.gov/Archives/edgar/data/1937653/000119312522261838/d351779dex32.htm" TargetMode="External"/><Relationship Id="rId7" Type="http://schemas.openxmlformats.org/officeDocument/2006/relationships/hyperlink" Target="https://www.sec.gov/Archives/edgar/data/0001937653/000119312526135610/d142598dex101.htm" TargetMode="External"/><Relationship Id="rId8" Type="http://schemas.openxmlformats.org/officeDocument/2006/relationships/hyperlink" Target="https://www.sec.gov/Archives/edgar/data/0001937653/000119312526135610/d142598dex101.htm" TargetMode="External"/><Relationship Id="rId9" Type="http://schemas.openxmlformats.org/officeDocument/2006/relationships/hyperlink" Target="https://www.sec.gov/Archives/edgar/data/0001937653/000193765326000015/zyme-20251231xex1059.htm" TargetMode="External"/><Relationship Id="rId10" Type="http://schemas.openxmlformats.org/officeDocument/2006/relationships/hyperlink" Target="https://www.sec.gov/Archives/edgar/data/1937653/000193765326000015/zyme-20251231xex1058.htm" TargetMode="External"/><Relationship Id="rId11" Type="http://schemas.openxmlformats.org/officeDocument/2006/relationships/hyperlink" Target="https://www.sec.gov/Archives/edgar/data/1937653/000193765326000015/zyme-20251231xex1058.htm" TargetMode="External"/><Relationship Id="rId12" Type="http://schemas.openxmlformats.org/officeDocument/2006/relationships/hyperlink" Target="https://www.sec.gov/Archives/edgar/data/1937653/000193765326000015/zyme-20251231xex1058.htm" TargetMode="External"/><Relationship Id="rId13" Type="http://schemas.openxmlformats.org/officeDocument/2006/relationships/hyperlink" Target="https://www.sec.gov/Archives/edgar/data/1937653/000193765326000015/zyme-20251231xex1058.htm" TargetMode="External"/><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image" Target="media/image3.jpeg"/><Relationship Id="rId60" Type="http://schemas.openxmlformats.org/officeDocument/2006/relationships/image" Target="media/image3.jpeg"/><Relationship Id="rId61" Type="http://schemas.openxmlformats.org/officeDocument/2006/relationships/image" Target="media/image3.jpeg"/><Relationship Id="rId62" Type="http://schemas.openxmlformats.org/officeDocument/2006/relationships/image" Target="media/image3.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179</Pages>
  <Words>127410</Words>
  <Characters>711175</Characters>
  <CharactersWithSpaces>836753</CharactersWithSpaces>
  <Paragraphs>4413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