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September 30,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Commission file number: 001-41535</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ZYMEWORKS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4184" w:type="dxa"/>
        <w:jc w:val="center"/>
        <w:tblInd w:w="0" w:type="dxa"/>
        <w:tblLayout w:type="fixed"/>
        <w:tblCellMar>
          <w:top w:w="28" w:type="dxa"/>
          <w:left w:w="28" w:type="dxa"/>
          <w:bottom w:w="28" w:type="dxa"/>
          <w:right w:w="28" w:type="dxa"/>
        </w:tblCellMar>
      </w:tblPr>
      <w:tblGrid>
        <w:gridCol w:w="857"/>
        <w:gridCol w:w="753"/>
        <w:gridCol w:w="760"/>
        <w:gridCol w:w="528"/>
        <w:gridCol w:w="528"/>
        <w:gridCol w:w="75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88-3099146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108 Patriot Drive, Suite 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Middletown, Delaware 19709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(302) 274-8744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4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142" w:type="dxa"/>
        <w:jc w:val="center"/>
        <w:tblInd w:w="0" w:type="dxa"/>
        <w:tblLayout w:type="fixed"/>
        <w:tblCellMar>
          <w:top w:w="28" w:type="dxa"/>
          <w:left w:w="28" w:type="dxa"/>
          <w:bottom w:w="28" w:type="dxa"/>
          <w:right w:w="28" w:type="dxa"/>
        </w:tblCellMar>
      </w:tblPr>
      <w:tblGrid>
        <w:gridCol w:w="1232"/>
        <w:gridCol w:w="1086"/>
        <w:gridCol w:w="1101"/>
        <w:gridCol w:w="484"/>
        <w:gridCol w:w="484"/>
        <w:gridCol w:w="486"/>
        <w:gridCol w:w="956"/>
        <w:gridCol w:w="956"/>
        <w:gridCol w:w="1357"/>
      </w:tblGrid>
      <w:tr>
        <w:trPr/>
        <w:tc>
          <w:tcPr>
            <w:tcW w:w="123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4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$0.00001 par value per share </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ZYME</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w:t>
      </w:r>
      <w:r>
        <w:rPr>
          <w:rFonts w:ascii="Times New Roman;serif" w:hAnsi="Times New Roman;serif"/>
          <w:b w:val="false"/>
          <w:color w:val="000000"/>
          <w:sz w:val="18"/>
          <w:shd w:fill="FFFFFF" w:val="clear"/>
        </w:rPr>
        <w:t>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8"/>
        </w:rPr>
        <w:t>Indicate by check mark whether the registrant is a shell company (as defined in Rule 12b-2 of the Securities Exchange Act of 1934).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The number of outstanding shares of common stock of the registrant, $0.00001 par value per share, as of November 4, 2025 was 74,836,534.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836" w:type="dxa"/>
        <w:jc w:val="center"/>
        <w:tblInd w:w="0" w:type="dxa"/>
        <w:tblLayout w:type="fixed"/>
        <w:tblCellMar>
          <w:top w:w="28" w:type="dxa"/>
          <w:left w:w="28" w:type="dxa"/>
          <w:bottom w:w="28" w:type="dxa"/>
          <w:right w:w="28" w:type="dxa"/>
        </w:tblCellMar>
      </w:tblPr>
      <w:tblGrid>
        <w:gridCol w:w="370"/>
        <w:gridCol w:w="325"/>
        <w:gridCol w:w="325"/>
        <w:gridCol w:w="2452"/>
        <w:gridCol w:w="2452"/>
        <w:gridCol w:w="2460"/>
        <w:gridCol w:w="418"/>
        <w:gridCol w:w="418"/>
        <w:gridCol w:w="616"/>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f8ea44d7df7b4341a26dce1332251b12_19">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9">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9">
              <w:r>
                <w:rPr>
                  <w:rStyle w:val="InternetLink"/>
                  <w:rFonts w:ascii="Times New Roman;serif" w:hAnsi="Times New Roman;serif"/>
                  <w:b w:val="false"/>
                  <w:color w:val="0000FF"/>
                  <w:sz w:val="20"/>
                  <w:u w:val="single"/>
                </w:rPr>
                <w:t>Financial Statements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9">
              <w:r>
                <w:rPr>
                  <w:rStyle w:val="InternetLink"/>
                  <w:rFonts w:ascii="Times New Roman;serif" w:hAnsi="Times New Roman;serif"/>
                  <w:b w:val="false"/>
                  <w:strike w:val="false"/>
                  <w:dstrike w:val="false"/>
                  <w:color w:val="000000"/>
                  <w:sz w:val="20"/>
                  <w:u w:val="none"/>
                  <w:effect w:val="none"/>
                </w:rPr>
                <w:t>1</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85">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8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85">
              <w:r>
                <w:rPr>
                  <w:rStyle w:val="InternetLink"/>
                  <w:rFonts w:ascii="Times New Roman;serif" w:hAnsi="Times New Roman;serif"/>
                  <w:b w:val="false"/>
                  <w:strike w:val="false"/>
                  <w:dstrike w:val="false"/>
                  <w:color w:val="000000"/>
                  <w:sz w:val="20"/>
                  <w:u w:val="none"/>
                  <w:effect w:val="none"/>
                </w:rPr>
                <w:t>22</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18">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18">
              <w:r>
                <w:rPr>
                  <w:rStyle w:val="InternetLink"/>
                  <w:rFonts w:ascii="Times New Roman;serif" w:hAnsi="Times New Roman;serif"/>
                  <w:b w:val="false"/>
                  <w:color w:val="0000FF"/>
                  <w:sz w:val="20"/>
                  <w:u w:val="single"/>
                </w:rPr>
                <w:t>Quantitative and Qualitative Disclosures About Market Risk</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18">
              <w:r>
                <w:rPr>
                  <w:rStyle w:val="InternetLink"/>
                  <w:rFonts w:ascii="Times New Roman;serif" w:hAnsi="Times New Roman;serif"/>
                  <w:b w:val="false"/>
                  <w:strike w:val="false"/>
                  <w:dstrike w:val="false"/>
                  <w:color w:val="000000"/>
                  <w:sz w:val="20"/>
                  <w:u w:val="none"/>
                  <w:effect w:val="none"/>
                </w:rPr>
                <w:t>35</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21">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21">
              <w:r>
                <w:rPr>
                  <w:rStyle w:val="InternetLink"/>
                  <w:rFonts w:ascii="Times New Roman;serif" w:hAnsi="Times New Roman;serif"/>
                  <w:b w:val="false"/>
                  <w:color w:val="0000FF"/>
                  <w:sz w:val="20"/>
                  <w:u w:val="single"/>
                </w:rPr>
                <w:t>Controls and Procedures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21">
              <w:r>
                <w:rPr>
                  <w:rStyle w:val="InternetLink"/>
                  <w:rFonts w:ascii="Times New Roman;serif" w:hAnsi="Times New Roman;serif"/>
                  <w:b w:val="false"/>
                  <w:strike w:val="false"/>
                  <w:dstrike w:val="false"/>
                  <w:color w:val="000000"/>
                  <w:sz w:val="20"/>
                  <w:u w:val="none"/>
                  <w:effect w:val="none"/>
                </w:rPr>
                <w:t>35</w:t>
              </w:r>
            </w:hyperlink>
          </w:p>
        </w:tc>
      </w:tr>
      <w:tr>
        <w:trPr/>
        <w:tc>
          <w:tcPr>
            <w:tcW w:w="9836"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f8ea44d7df7b4341a26dce1332251b12_124">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27">
              <w:r>
                <w:rPr>
                  <w:rStyle w:val="InternetLink"/>
                  <w:rFonts w:ascii="Times New Roman;serif" w:hAnsi="Times New Roman;serif"/>
                  <w:b w:val="false"/>
                  <w:strike w:val="false"/>
                  <w:dstrike w:val="false"/>
                  <w:color w:val="0000FF"/>
                  <w:sz w:val="20"/>
                  <w:u w:val="none"/>
                  <w:effect w:val="non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27">
              <w:r>
                <w:rPr>
                  <w:rStyle w:val="InternetLink"/>
                  <w:rFonts w:ascii="Times New Roman;serif" w:hAnsi="Times New Roman;serif"/>
                  <w:b w:val="false"/>
                  <w:color w:val="0000FF"/>
                  <w:sz w:val="20"/>
                  <w:u w:val="single"/>
                </w:rPr>
                <w:t>Legal Proceedings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27">
              <w:r>
                <w:rPr>
                  <w:rStyle w:val="InternetLink"/>
                  <w:rFonts w:ascii="Times New Roman;serif" w:hAnsi="Times New Roman;serif"/>
                  <w:b w:val="false"/>
                  <w:strike w:val="false"/>
                  <w:dstrike w:val="false"/>
                  <w:color w:val="000000"/>
                  <w:sz w:val="20"/>
                  <w:u w:val="none"/>
                  <w:effect w:val="none"/>
                </w:rPr>
                <w:t>36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FF"/>
                <w:sz w:val="20"/>
              </w:rPr>
            </w:pPr>
            <w:r>
              <w:rPr>
                <w:rFonts w:ascii="Times New Roman;serif" w:hAnsi="Times New Roman;serif"/>
                <w:b w:val="false"/>
                <w:color w:val="0000FF"/>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0">
              <w:r>
                <w:rPr>
                  <w:rStyle w:val="InternetLink"/>
                  <w:rFonts w:ascii="Times New Roman;serif" w:hAnsi="Times New Roman;serif"/>
                  <w:b w:val="false"/>
                  <w:color w:val="0000FF"/>
                  <w:sz w:val="20"/>
                  <w:u w:val="single"/>
                </w:rPr>
                <w:t>Risk Factors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27">
              <w:r>
                <w:rPr>
                  <w:rStyle w:val="InternetLink"/>
                  <w:rFonts w:ascii="Times New Roman;serif" w:hAnsi="Times New Roman;serif"/>
                  <w:b w:val="false"/>
                  <w:strike w:val="false"/>
                  <w:dstrike w:val="false"/>
                  <w:color w:val="000000"/>
                  <w:sz w:val="20"/>
                  <w:u w:val="none"/>
                  <w:effect w:val="none"/>
                </w:rPr>
                <w:t>36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3">
              <w:r>
                <w:rPr>
                  <w:rStyle w:val="InternetLink"/>
                  <w:rFonts w:ascii="Times New Roman;serif" w:hAnsi="Times New Roman;serif"/>
                  <w:b w:val="false"/>
                  <w:strike w:val="false"/>
                  <w:dstrike w:val="false"/>
                  <w:color w:val="0000FF"/>
                  <w:sz w:val="20"/>
                  <w:u w:val="none"/>
                  <w:effect w:val="non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3">
              <w:r>
                <w:rPr>
                  <w:rStyle w:val="InternetLink"/>
                  <w:rFonts w:ascii="Times New Roman;serif" w:hAnsi="Times New Roman;serif"/>
                  <w:b w:val="false"/>
                  <w:color w:val="0000FF"/>
                  <w:sz w:val="20"/>
                  <w:u w:val="single"/>
                </w:rPr>
                <w:t>Unregistered Sales of Equity Securities and Use of Proceeds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33">
              <w:r>
                <w:rPr>
                  <w:rStyle w:val="InternetLink"/>
                  <w:rFonts w:ascii="Times New Roman;serif" w:hAnsi="Times New Roman;serif"/>
                  <w:b w:val="false"/>
                  <w:strike w:val="false"/>
                  <w:dstrike w:val="false"/>
                  <w:color w:val="000000"/>
                  <w:sz w:val="20"/>
                  <w:u w:val="none"/>
                  <w:effect w:val="none"/>
                </w:rPr>
                <w:t>86</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6">
              <w:r>
                <w:rPr>
                  <w:rStyle w:val="InternetLink"/>
                  <w:rFonts w:ascii="Times New Roman;serif" w:hAnsi="Times New Roman;serif"/>
                  <w:b w:val="false"/>
                  <w:strike w:val="false"/>
                  <w:dstrike w:val="false"/>
                  <w:color w:val="0000FF"/>
                  <w:sz w:val="20"/>
                  <w:u w:val="none"/>
                  <w:effect w:val="non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6">
              <w:r>
                <w:rPr>
                  <w:rStyle w:val="InternetLink"/>
                  <w:rFonts w:ascii="Times New Roman;serif" w:hAnsi="Times New Roman;serif"/>
                  <w:b w:val="false"/>
                  <w:color w:val="0000FF"/>
                  <w:sz w:val="20"/>
                  <w:u w:val="single"/>
                </w:rPr>
                <w:t>Defaults upon Senior Securities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36">
              <w:r>
                <w:rPr>
                  <w:rStyle w:val="InternetLink"/>
                  <w:rFonts w:ascii="Times New Roman;serif" w:hAnsi="Times New Roman;serif"/>
                  <w:b w:val="false"/>
                  <w:strike w:val="false"/>
                  <w:dstrike w:val="false"/>
                  <w:color w:val="000000"/>
                  <w:sz w:val="20"/>
                  <w:u w:val="none"/>
                  <w:effect w:val="none"/>
                </w:rPr>
                <w:t>87</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9">
              <w:r>
                <w:rPr>
                  <w:rStyle w:val="InternetLink"/>
                  <w:rFonts w:ascii="Times New Roman;serif" w:hAnsi="Times New Roman;serif"/>
                  <w:b w:val="false"/>
                  <w:strike w:val="false"/>
                  <w:dstrike w:val="false"/>
                  <w:color w:val="0000FF"/>
                  <w:sz w:val="20"/>
                  <w:u w:val="none"/>
                  <w:effect w:val="non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39">
              <w:r>
                <w:rPr>
                  <w:rStyle w:val="InternetLink"/>
                  <w:rFonts w:ascii="Times New Roman;serif" w:hAnsi="Times New Roman;serif"/>
                  <w:b w:val="false"/>
                  <w:color w:val="0000FF"/>
                  <w:sz w:val="20"/>
                  <w:u w:val="single"/>
                </w:rPr>
                <w:t>Mine Safety Disclosures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39">
              <w:r>
                <w:rPr>
                  <w:rStyle w:val="InternetLink"/>
                  <w:rFonts w:ascii="Times New Roman;serif" w:hAnsi="Times New Roman;serif"/>
                  <w:b w:val="false"/>
                  <w:strike w:val="false"/>
                  <w:dstrike w:val="false"/>
                  <w:color w:val="000000"/>
                  <w:sz w:val="20"/>
                  <w:u w:val="none"/>
                  <w:effect w:val="none"/>
                </w:rPr>
                <w:t>87</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42">
              <w:r>
                <w:rPr>
                  <w:rStyle w:val="InternetLink"/>
                  <w:rFonts w:ascii="Times New Roman;serif" w:hAnsi="Times New Roman;serif"/>
                  <w:b w:val="false"/>
                  <w:strike w:val="false"/>
                  <w:dstrike w:val="false"/>
                  <w:color w:val="0000FF"/>
                  <w:sz w:val="20"/>
                  <w:u w:val="none"/>
                  <w:effect w:val="non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42">
              <w:r>
                <w:rPr>
                  <w:rStyle w:val="InternetLink"/>
                  <w:rFonts w:ascii="Times New Roman;serif" w:hAnsi="Times New Roman;serif"/>
                  <w:b w:val="false"/>
                  <w:color w:val="0000FF"/>
                  <w:sz w:val="20"/>
                  <w:u w:val="single"/>
                </w:rPr>
                <w:t>Other Information</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42">
              <w:r>
                <w:rPr>
                  <w:rStyle w:val="InternetLink"/>
                  <w:rFonts w:ascii="Times New Roman;serif" w:hAnsi="Times New Roman;serif"/>
                  <w:b w:val="false"/>
                  <w:strike w:val="false"/>
                  <w:dstrike w:val="false"/>
                  <w:color w:val="000000"/>
                  <w:sz w:val="20"/>
                  <w:u w:val="none"/>
                  <w:effect w:val="none"/>
                </w:rPr>
                <w:t>87</w:t>
              </w:r>
            </w:hyperlink>
          </w:p>
        </w:tc>
      </w:tr>
      <w:tr>
        <w:trPr/>
        <w:tc>
          <w:tcPr>
            <w:tcW w:w="10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48">
              <w:r>
                <w:rPr>
                  <w:rStyle w:val="InternetLink"/>
                  <w:rFonts w:ascii="Times New Roman;serif" w:hAnsi="Times New Roman;serif"/>
                  <w:b w:val="false"/>
                  <w:strike w:val="false"/>
                  <w:dstrike w:val="false"/>
                  <w:color w:val="0000FF"/>
                  <w:sz w:val="20"/>
                  <w:u w:val="none"/>
                  <w:effect w:val="non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145">
              <w:r>
                <w:rPr>
                  <w:rStyle w:val="InternetLink"/>
                  <w:rFonts w:ascii="Times New Roman;serif" w:hAnsi="Times New Roman;serif"/>
                  <w:b w:val="false"/>
                  <w:color w:val="0000FF"/>
                  <w:sz w:val="20"/>
                  <w:u w:val="single"/>
                </w:rPr>
                <w:t>Exhibits</w:t>
              </w:r>
            </w:hyperlink>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145">
              <w:r>
                <w:rPr>
                  <w:rStyle w:val="InternetLink"/>
                  <w:rFonts w:ascii="Times New Roman;serif" w:hAnsi="Times New Roman;serif"/>
                  <w:b w:val="false"/>
                  <w:strike w:val="false"/>
                  <w:dstrike w:val="false"/>
                  <w:color w:val="000000"/>
                  <w:sz w:val="20"/>
                  <w:u w:val="none"/>
                  <w:effect w:val="none"/>
                </w:rPr>
                <w:t>88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or information within the meaning of applicable securities legislation, including Section 27A of the Securities Act of 1933, as amended (the “Securities Act”), and Section 21E of the Securities Exchange Act of 1934 as amended (the “Exchange Act”). Forward-looking statements include statements that may relate to our plans, objectives, goals, strategies, future events, future revenue or performance, capital expenditures, financing needs and other information that is not historical information. Many of these statements appear, in particular, under the headings “Business”, “Risk Factors” and “Management’s Discussion and Analysis of Financial Condition and Results of Operations”. Forward-looking statements can often be identified by the use of terminology such as “subject to,” “believe,” “anticipate,” “plan,” “expect,” “intend,” “estimate,” “on track,”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these forward-looking statements include, but are not limited to, statements about: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size of our addressable markets and our ability to commercialize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achievement of advances in and expansion of our therapeutic platforms and antibody engineering expertise;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likelihood of product candidate development and clinical trial progression, initiation or success;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evolution of our business strategy related to anticipated and potential future milestones and royalty streams and existing and potential new partnerships;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predict and manage government regulation.</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absence of material adverse changes in our industry or the global economy;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understand and predict trends in our industry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enter into and maintain good business relationships with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and navigate current and future regulatory standards, policies and programs, some of which are rapidly changing;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continued compliance with third-party license terms and the non-infringement of third-party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and integrate any acquisitions we may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identify, successfully compete for and acquire attractive royalty-generating assets;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availability of suitable acquisition or in-licensing opportunities or strategic partners that are consistent with the evolution of our business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continued ability to receive milestones and royalties from current and future collaborations;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personnel;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sufficient debt, equity, or non-dilutive financing to support our continued growth.</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“Risk Factors”), could affect future performance and cause actual results to differ materially from those matters expressed in or implied by forward-looking statements: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our partners’ ability to obtain regulatory approval for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predictive value of our current or planned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with respect to the development and commercialization of our product candidates, which may cause increased costs or delay receipt of product revenue;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any of our partners’ ability to enroll subjects in clinical trials and thereby complete trials on a timely basis;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design or our execution of clinical trials may not support regulatory approval, including where clinical trials are conducted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payments and royalties pursuant to the terms of our collaboration agreements, including the Amended Jazz Collaboration Agreement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our business may be adversely affected by pandemics or other health crises;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shd w:fill="FFFFFF" w:val="clear"/>
        </w:rPr>
        <w:t>global economic and political conditions, including as a result of the Russian invasion of Ukraine and the recent conflicts in Israel and the broader Middle East, a</w:t>
      </w:r>
      <w:r>
        <w:rPr>
          <w:rFonts w:ascii="Times New Roman;serif" w:hAnsi="Times New Roman;serif"/>
          <w:b w:val="false"/>
          <w:color w:val="000000"/>
          <w:sz w:val="20"/>
        </w:rPr>
        <w:t xml:space="preserve">s well as social and political unrest in the locations where our clinical trials are held, and the related impact on our business and the markets generally;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tax consequences in connection with the Redomicile Transactions (as defined below);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the Fast Track and Breakthrough Therapy designations for any of our product candidates may not expedite regulatory review or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 Food and Drug Administration’s (the “FDA”) refusal to accept data from trials we conduct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at the FDA and other government agencies caused by funding shortages, global health concerns or changes implemented by the current U.S. Presidential administration;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regulations and customs, tariffs and trade barriers;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discretion to discontinue or reprioritize the development of any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potential for our product candidates to have undesirable side effects;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that no regulatory agency has made a determination that any of our product candidates are safe or effective for use by the general public or for any indication;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face significant competition, including biosimilar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likelihood of broad market acceptance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Orphan Drug Designation or exclusivity for some or all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commercialize products outside of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outcome of reimbursement decisions by third-party payors relating to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expectations with respect to the market opportunities for any product that we or our strategic partners develop;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pursue product candidates that may be profitable or have a high likelihood of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use and expand our 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meet the requirements of ongoing regulatory review;</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threat of product liability lawsuits against us or any of our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product candidate manufacturing or formulation that may result in additional costs or delay;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disruption of our business and dilution of our shareholdings associated with acquisitions and joint ventures;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for non-U.S. governments to impose strict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security breaches and incidents or data loss, which could compromise sensitive business or health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current and future legislation that may increase the difficulty and cost of commercializing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political, regulatory and other risks associated with international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legal and reputational penalties as a result of any of our current and future relationships with various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export control and import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history of significant losses since inception;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generate revenue from product sales and achieve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requirement for substantial additional funding;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potential dilution to our stockholders associated with future financings;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our ability to seek financing, which may be imposed by future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unstable market and economic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currency fluctuations and changes in currency exchange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existing and future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realize the anticipated benefits of our strategic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secure future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or a third party’s ability to successfully develop any companion diagnostic tests for our product candidates without significant delays;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reliance on third-party manufacturers to produce our product candidate supplies and on other third parties to monitor and transport bulk drug substance and drug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reliance on third parties to oversee clinical trials of our product candidates and, in some cases, maintain regulatory files for those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related to the manufacture of product candidates and difficulties in production;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reliance on third parties for various operational and administrative aspects of our business including our reliance on third parties’ cloud-based software platforms;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reliance on the performance of independent clinical investigators and contract research organizations (“CROs”);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operate without infringing the patents and other proprietary rights of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and enforce patent protection for our product candidates and related technology;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patents could be found invalid or unenforceable if challenged;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intellectual property rights may not necessarily provide us with competitive advantages;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potential involvement in expensive and time-consuming patent lawsuits;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that the duration of our patents will not adequately protect our competitive position;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protection under the Drug Price Competition and Patent Term Restoration Act of 1984 (the “Hatch-Waxman Amendments”) and similar non-U.S. legislation;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the confidentiality of our proprietary information;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procedural and administrative requirements relating to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claims challenging the inventorship of our patents and other intellectual property;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dependency on the abilities of third parties to assert and defend our intellectual property rights for some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patent reform legislation and court decisions can diminish the value of patents in general, thereby impairing our ability to protect our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protect our intellectual property rights throughout the world;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that we will require FDA approval for any proposed product candidate names and any failure or delay associated with such approval which may adversely affect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election to rely on certain reduced reporting and disclosure requirements available to smaller reporting companies may make our common stock less attractive to investors;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employee misconduct including noncompliance with regulatory standards and insider trading;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market our products in a manner that does not violate the law and subject us to civil or criminal penalties;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adverse effects to our business from any non-compliance with laws regulating the protection of the environment and health and human safety;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retain key executives and attract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manage any organizational growth;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exposure to potential securities class action litigation;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our share price and trading volume could decline if securities or industry analysts do not publish research or publish inaccurate or unfavorable research about our business.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own or have rights to trademarks, service marks or trade names that we use in connection with the operation of our business. In addition, our names, logos and website names and addresses are our service marks or trademarks. Our registered trademarks include Azymetric, Zymeworks, ZymeCAD, EFECT, ZymeLink and ProTECT. The other trademarks, trade names and service marks appearing in this Quarterly Report on Form 10-Q are the property of their respective owners. Solely for convenience, the trademarks, service marks, tradenames and copyrights referred to in this Quarterly Report on Form 10-Q are listed without the ©, ® and TM symbols, but we will assert, to the fullest extent under applicable law, our rights or the rights of the applicable licensors to these trademarks, service marks and tradenames.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We express all amounts in this Quarterly Report on Form 10-Q in U.S. dollars, except where otherwise indicated. References to “$” and “US$” are to U.S. dollars and references to “C$” are to Canadian dollars.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00" w:after="30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260"/>
        <w:jc w:val="left"/>
        <w:rPr/>
      </w:pPr>
      <w:r>
        <w:rPr/>
      </w:r>
    </w:p>
    <w:p>
      <w:pPr>
        <w:pStyle w:val="TextBody"/>
        <w:bidi w:val="0"/>
        <w:spacing w:lineRule="auto" w:line="288" w:before="0" w:after="0"/>
        <w:ind w:left="0" w:right="0" w:hanging="1260"/>
        <w:jc w:val="left"/>
        <w:rPr/>
      </w:pPr>
      <w:r>
        <w:rPr>
          <w:rFonts w:ascii="Times New Roman;serif" w:hAnsi="Times New Roman;serif"/>
          <w:b/>
          <w:color w:val="000000"/>
          <w:sz w:val="20"/>
        </w:rPr>
        <w:t>Item 1.    Financial Statements</w:t>
      </w:r>
      <w:r>
        <w:rPr>
          <w:color w:val="EE2724"/>
        </w:rPr>
        <w:t xml:space="preserve">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Index to Interim Condensed Consolidated Financial Statements (unaudited)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As of and for the three and nine months ended September 30, 2025</w:t>
      </w:r>
    </w:p>
    <w:tbl>
      <w:tblPr>
        <w:tblW w:w="6555" w:type="dxa"/>
        <w:jc w:val="left"/>
        <w:tblInd w:w="0" w:type="dxa"/>
        <w:tblLayout w:type="fixed"/>
        <w:tblCellMar>
          <w:top w:w="28" w:type="dxa"/>
          <w:left w:w="28" w:type="dxa"/>
          <w:bottom w:w="28" w:type="dxa"/>
          <w:right w:w="28" w:type="dxa"/>
        </w:tblCellMar>
      </w:tblPr>
      <w:tblGrid>
        <w:gridCol w:w="2187"/>
        <w:gridCol w:w="1924"/>
        <w:gridCol w:w="1933"/>
        <w:gridCol w:w="149"/>
        <w:gridCol w:w="149"/>
        <w:gridCol w:w="213"/>
      </w:tblGrid>
      <w:tr>
        <w:trPr/>
        <w:tc>
          <w:tcPr>
            <w:tcW w:w="218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f8ea44d7df7b4341a26dce1332251b12_22">
              <w:r>
                <w:rPr>
                  <w:rStyle w:val="InternetLink"/>
                  <w:rFonts w:ascii="Times New Roman;serif" w:hAnsi="Times New Roman;serif"/>
                  <w:b w:val="false"/>
                  <w:strike w:val="false"/>
                  <w:dstrike w:val="false"/>
                  <w:color w:val="000000"/>
                  <w:sz w:val="20"/>
                  <w:u w:val="none"/>
                  <w:effect w:val="none"/>
                </w:rPr>
                <w:t>2</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25">
              <w:r>
                <w:rPr>
                  <w:rStyle w:val="InternetLink"/>
                  <w:rFonts w:ascii="Times New Roman;serif" w:hAnsi="Times New Roman;serif"/>
                  <w:b w:val="false"/>
                  <w:color w:val="000080"/>
                  <w:sz w:val="20"/>
                  <w:u w:val="single"/>
                </w:rPr>
                <w:t xml:space="preserve">Condensed Consolidated Statements of </w:t>
              </w:r>
            </w:hyperlink>
            <w:hyperlink w:anchor="if8ea44d7df7b4341a26dce1332251b12_25">
              <w:r>
                <w:rPr>
                  <w:rStyle w:val="InternetLink"/>
                  <w:rFonts w:ascii="Times New Roman;serif" w:hAnsi="Times New Roman;serif"/>
                  <w:b w:val="false"/>
                  <w:color w:val="000080"/>
                  <w:sz w:val="20"/>
                  <w:u w:val="single"/>
                </w:rPr>
                <w:t>Loss</w:t>
              </w:r>
            </w:hyperlink>
            <w:hyperlink w:anchor="if8ea44d7df7b4341a26dce1332251b12_25">
              <w:r>
                <w:rPr>
                  <w:rStyle w:val="InternetLink"/>
                  <w:rFonts w:ascii="Times New Roman;serif" w:hAnsi="Times New Roman;serif"/>
                  <w:b w:val="false"/>
                  <w:color w:val="000080"/>
                  <w:sz w:val="20"/>
                  <w:u w:val="single"/>
                </w:rPr>
                <w:t xml:space="preserve"> </w:t>
              </w:r>
            </w:hyperlink>
            <w:hyperlink w:anchor="if8ea44d7df7b4341a26dce1332251b12_25">
              <w:r>
                <w:rPr>
                  <w:rStyle w:val="InternetLink"/>
                  <w:rFonts w:ascii="Times New Roman;serif" w:hAnsi="Times New Roman;serif"/>
                  <w:b w:val="false"/>
                  <w:color w:val="000080"/>
                  <w:sz w:val="20"/>
                  <w:u w:val="single"/>
                </w:rPr>
                <w:t>and Comprehensive</w:t>
              </w:r>
            </w:hyperlink>
            <w:hyperlink w:anchor="if8ea44d7df7b4341a26dce1332251b12_25">
              <w:r>
                <w:rPr>
                  <w:rStyle w:val="InternetLink"/>
                  <w:rFonts w:ascii="Times New Roman;serif" w:hAnsi="Times New Roman;serif"/>
                  <w:b w:val="false"/>
                  <w:color w:val="000080"/>
                  <w:sz w:val="20"/>
                  <w:u w:val="single"/>
                </w:rPr>
                <w:t xml:space="preserve"> </w:t>
              </w:r>
            </w:hyperlink>
            <w:hyperlink w:anchor="if8ea44d7df7b4341a26dce1332251b12_25">
              <w:r>
                <w:rPr>
                  <w:rStyle w:val="InternetLink"/>
                  <w:rFonts w:ascii="Times New Roman;serif" w:hAnsi="Times New Roman;serif"/>
                  <w:b w:val="false"/>
                  <w:color w:val="000080"/>
                  <w:sz w:val="20"/>
                  <w:u w:val="single"/>
                </w:rPr>
                <w:t>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25">
              <w:r>
                <w:rPr>
                  <w:rStyle w:val="InternetLink"/>
                  <w:rFonts w:ascii="Times New Roman;serif" w:hAnsi="Times New Roman;serif"/>
                  <w:b w:val="false"/>
                  <w:strike w:val="false"/>
                  <w:dstrike w:val="false"/>
                  <w:color w:val="000000"/>
                  <w:sz w:val="20"/>
                  <w:u w:val="none"/>
                  <w:effect w:val="none"/>
                </w:rPr>
                <w:t>3</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28">
              <w:r>
                <w:rPr>
                  <w:rStyle w:val="InternetLink"/>
                  <w:rFonts w:ascii="Times New Roman;serif" w:hAnsi="Times New Roman;serif"/>
                  <w:b w:val="false"/>
                  <w:color w:val="0000FF"/>
                  <w:sz w:val="20"/>
                  <w:u w:val="single"/>
                </w:rPr>
                <w:t>Condensed Consolidated Statements of Changes in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28">
              <w:r>
                <w:rPr>
                  <w:rStyle w:val="InternetLink"/>
                  <w:rFonts w:ascii="Times New Roman;serif" w:hAnsi="Times New Roman;serif"/>
                  <w:b w:val="false"/>
                  <w:strike w:val="false"/>
                  <w:dstrike w:val="false"/>
                  <w:color w:val="000000"/>
                  <w:sz w:val="20"/>
                  <w:u w:val="none"/>
                  <w:effect w:val="none"/>
                </w:rPr>
                <w:t>4</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31">
              <w:r>
                <w:rPr>
                  <w:rStyle w:val="InternetLink"/>
                  <w:rFonts w:ascii="Times New Roman;serif" w:hAnsi="Times New Roman;serif"/>
                  <w:b w:val="false"/>
                  <w:strike w:val="false"/>
                  <w:dstrike w:val="false"/>
                  <w:color w:val="000000"/>
                  <w:sz w:val="20"/>
                  <w:u w:val="none"/>
                  <w:effect w:val="none"/>
                </w:rPr>
                <w:t>6</w:t>
              </w:r>
            </w:hyperlink>
          </w:p>
        </w:tc>
      </w:tr>
      <w:tr>
        <w:trPr/>
        <w:tc>
          <w:tcPr>
            <w:tcW w:w="60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ea44d7df7b4341a26dce1332251b12_34">
              <w:r>
                <w:rPr>
                  <w:rStyle w:val="InternetLink"/>
                  <w:rFonts w:ascii="Times New Roman;serif" w:hAnsi="Times New Roman;serif"/>
                  <w:b w:val="false"/>
                  <w:color w:val="0000FF"/>
                  <w:sz w:val="20"/>
                  <w:u w:val="single"/>
                </w:rPr>
                <w:t>Notes to the Interim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ea44d7df7b4341a26dce1332251b12_34">
              <w:r>
                <w:rPr>
                  <w:rStyle w:val="InternetLink"/>
                  <w:rFonts w:ascii="Times New Roman;serif" w:hAnsi="Times New Roman;serif"/>
                  <w:b w:val="false"/>
                  <w:strike w:val="false"/>
                  <w:dstrike w:val="false"/>
                  <w:color w:val="000000"/>
                  <w:sz w:val="20"/>
                  <w:u w:val="none"/>
                  <w:effect w:val="none"/>
                </w:rPr>
                <w:t>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(Expressed in thousands of U.S. dollars except share data)</w:t>
      </w:r>
    </w:p>
    <w:tbl>
      <w:tblPr>
        <w:tblW w:w="10205" w:type="dxa"/>
        <w:jc w:val="left"/>
        <w:tblInd w:w="0" w:type="dxa"/>
        <w:tblLayout w:type="fixed"/>
        <w:tblCellMar>
          <w:top w:w="28" w:type="dxa"/>
          <w:left w:w="28" w:type="dxa"/>
          <w:bottom w:w="28" w:type="dxa"/>
          <w:right w:w="28" w:type="dxa"/>
        </w:tblCellMar>
      </w:tblPr>
      <w:tblGrid>
        <w:gridCol w:w="2934"/>
        <w:gridCol w:w="2372"/>
        <w:gridCol w:w="2346"/>
        <w:gridCol w:w="207"/>
        <w:gridCol w:w="778"/>
        <w:gridCol w:w="115"/>
        <w:gridCol w:w="109"/>
        <w:gridCol w:w="109"/>
        <w:gridCol w:w="109"/>
        <w:gridCol w:w="202"/>
        <w:gridCol w:w="761"/>
        <w:gridCol w:w="163"/>
      </w:tblGrid>
      <w:tr>
        <w:trPr/>
        <w:tc>
          <w:tcPr>
            <w:tcW w:w="2934"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6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Assets</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marketable securities (note 5)</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291,712 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300,451 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marketable securities (note 5)</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Long-term prepaids and other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asset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net </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(note 6)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397,269 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463,091 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 (note 7)</w:t>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liability (note 11)</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(note 9)</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88,294 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operating lease liability (note 11)</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(note 9)</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(note 7)</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tax liability </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124,323 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$0.00001 par value; 900,000,000 authorized shares at September 30, 2025 and December 31, 2024, respectively; 75,139,281 and 68,964,319 shares issued and outstanding at September 30, 2025 and December 31, 2024, respectively (note 8a)</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1,092,929 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1,015,618 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$0.00001 par value; 100,000,000 authorized shares of preferred stock, out of which, one share of preferred stock is a share of Special Voting Preferred Stock and outstanding as of September 30, 2025 and December 31, 2024 (note 8a)</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Exchangeable shares, no par value, 569,189 and 570,637 issued and outstanding shares at September 30, 2025 and December 31, 2024, respectively (note 8a)</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(830,335)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320,064 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338,768 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463,091 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transactions (note 8c)</w:t>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collaboration and licensing agreements (note 9)</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13)</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i/>
          <w:color w:val="000000"/>
          <w:sz w:val="20"/>
        </w:rPr>
        <w:t>The accompanying notes are an integral part of these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Loss and Comprehensive Loss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(Expressed in thousands of U.S. dollars except share and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6"/>
        <w:gridCol w:w="1363"/>
        <w:gridCol w:w="1373"/>
        <w:gridCol w:w="240"/>
        <w:gridCol w:w="841"/>
        <w:gridCol w:w="112"/>
        <w:gridCol w:w="112"/>
        <w:gridCol w:w="112"/>
        <w:gridCol w:w="112"/>
        <w:gridCol w:w="240"/>
        <w:gridCol w:w="841"/>
        <w:gridCol w:w="112"/>
        <w:gridCol w:w="109"/>
        <w:gridCol w:w="109"/>
        <w:gridCol w:w="109"/>
        <w:gridCol w:w="219"/>
        <w:gridCol w:w="862"/>
        <w:gridCol w:w="109"/>
        <w:gridCol w:w="109"/>
        <w:gridCol w:w="109"/>
        <w:gridCol w:w="109"/>
        <w:gridCol w:w="240"/>
        <w:gridCol w:w="841"/>
        <w:gridCol w:w="156"/>
      </w:tblGrid>
      <w:tr>
        <w:trPr/>
        <w:tc>
          <w:tcPr>
            <w:tcW w:w="166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collaborations (note 9)</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acquired IPR&amp;D (note 6)</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(114,893)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 (note 10)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income on available for sale securities, net of tax of nil (note 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(19,312)</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 (note 4):</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 (note 4):</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75,767,778 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76,128,531 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76,244,893 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75,775,214 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76,157,101 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75,434,487 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76,266,177 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 of Changes in Stockholders’ Equity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(Expressed in thousands of U.S. dollars except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4150" w:type="dxa"/>
        <w:jc w:val="center"/>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368"/>
        <w:gridCol w:w="368"/>
        <w:gridCol w:w="196"/>
        <w:gridCol w:w="109"/>
        <w:gridCol w:w="109"/>
        <w:gridCol w:w="109"/>
        <w:gridCol w:w="196"/>
        <w:gridCol w:w="556"/>
        <w:gridCol w:w="109"/>
        <w:gridCol w:w="109"/>
        <w:gridCol w:w="109"/>
        <w:gridCol w:w="109"/>
        <w:gridCol w:w="480"/>
        <w:gridCol w:w="481"/>
        <w:gridCol w:w="196"/>
        <w:gridCol w:w="109"/>
        <w:gridCol w:w="109"/>
        <w:gridCol w:w="109"/>
        <w:gridCol w:w="196"/>
        <w:gridCol w:w="871"/>
        <w:gridCol w:w="109"/>
        <w:gridCol w:w="109"/>
        <w:gridCol w:w="109"/>
        <w:gridCol w:w="109"/>
        <w:gridCol w:w="196"/>
        <w:gridCol w:w="751"/>
        <w:gridCol w:w="109"/>
        <w:gridCol w:w="109"/>
        <w:gridCol w:w="109"/>
        <w:gridCol w:w="109"/>
        <w:gridCol w:w="262"/>
        <w:gridCol w:w="763"/>
        <w:gridCol w:w="146"/>
        <w:gridCol w:w="109"/>
        <w:gridCol w:w="109"/>
        <w:gridCol w:w="109"/>
        <w:gridCol w:w="196"/>
        <w:gridCol w:w="736"/>
        <w:gridCol w:w="109"/>
        <w:gridCol w:w="109"/>
        <w:gridCol w:w="109"/>
        <w:gridCol w:w="109"/>
        <w:gridCol w:w="200"/>
        <w:gridCol w:w="753"/>
        <w:gridCol w:w="113"/>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68,964,319 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1,015,618 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84,863 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restricted stock units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460,620 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 (note 8a)</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69,584,811 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(852,971)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(6,406)</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pre-funded warrants (note 8c)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5,086,480 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74,846,147 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840,052 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 (note 8a)</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Private placement for issuance of common stock (note 8c)</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 (note 8b)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(1,028,333)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2025</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569,189 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75,139,281 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320,064 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tbl>
      <w:tblPr>
        <w:tblW w:w="14150" w:type="dxa"/>
        <w:jc w:val="center"/>
        <w:tblInd w:w="0" w:type="dxa"/>
        <w:tblLayout w:type="fixed"/>
        <w:tblCellMar>
          <w:top w:w="28" w:type="dxa"/>
          <w:left w:w="28" w:type="dxa"/>
          <w:bottom w:w="28" w:type="dxa"/>
          <w:right w:w="28" w:type="dxa"/>
        </w:tblCellMar>
      </w:tblPr>
      <w:tblGrid>
        <w:gridCol w:w="749"/>
        <w:gridCol w:w="210"/>
        <w:gridCol w:w="212"/>
        <w:gridCol w:w="203"/>
        <w:gridCol w:w="203"/>
        <w:gridCol w:w="196"/>
        <w:gridCol w:w="109"/>
        <w:gridCol w:w="109"/>
        <w:gridCol w:w="109"/>
        <w:gridCol w:w="196"/>
        <w:gridCol w:w="406"/>
        <w:gridCol w:w="109"/>
        <w:gridCol w:w="109"/>
        <w:gridCol w:w="109"/>
        <w:gridCol w:w="109"/>
        <w:gridCol w:w="368"/>
        <w:gridCol w:w="368"/>
        <w:gridCol w:w="196"/>
        <w:gridCol w:w="109"/>
        <w:gridCol w:w="109"/>
        <w:gridCol w:w="109"/>
        <w:gridCol w:w="196"/>
        <w:gridCol w:w="556"/>
        <w:gridCol w:w="109"/>
        <w:gridCol w:w="109"/>
        <w:gridCol w:w="109"/>
        <w:gridCol w:w="109"/>
        <w:gridCol w:w="480"/>
        <w:gridCol w:w="481"/>
        <w:gridCol w:w="196"/>
        <w:gridCol w:w="109"/>
        <w:gridCol w:w="109"/>
        <w:gridCol w:w="109"/>
        <w:gridCol w:w="196"/>
        <w:gridCol w:w="871"/>
        <w:gridCol w:w="109"/>
        <w:gridCol w:w="109"/>
        <w:gridCol w:w="109"/>
        <w:gridCol w:w="109"/>
        <w:gridCol w:w="196"/>
        <w:gridCol w:w="751"/>
        <w:gridCol w:w="109"/>
        <w:gridCol w:w="109"/>
        <w:gridCol w:w="109"/>
        <w:gridCol w:w="109"/>
        <w:gridCol w:w="262"/>
        <w:gridCol w:w="763"/>
        <w:gridCol w:w="146"/>
        <w:gridCol w:w="109"/>
        <w:gridCol w:w="109"/>
        <w:gridCol w:w="109"/>
        <w:gridCol w:w="196"/>
        <w:gridCol w:w="736"/>
        <w:gridCol w:w="109"/>
        <w:gridCol w:w="109"/>
        <w:gridCol w:w="109"/>
        <w:gridCol w:w="109"/>
        <w:gridCol w:w="200"/>
        <w:gridCol w:w="753"/>
        <w:gridCol w:w="113"/>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Exchangeable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651,219 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70,115,997 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(6,603)</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464,806 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retracted exchangeable shares (note 8a)</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70,677,106 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(709,090)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70,831,545 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(746,776)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406,161 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on exercise of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495,640 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purchase plan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vesting of RSUs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 (note 8b)</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(1,818,530)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Excise tax on repurchase of common stock (note 8b)</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(29,850)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September 30, 2024</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570,637 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69,584,882 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(797,834)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366,978 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20" w:after="283"/>
        <w:jc w:val="left"/>
        <w:rPr/>
      </w:pPr>
      <w:r>
        <w:rPr/>
      </w:r>
    </w:p>
    <w:p>
      <w:pPr>
        <w:pStyle w:val="TextBody"/>
        <w:bidi w:val="0"/>
        <w:spacing w:before="420" w:after="283"/>
        <w:jc w:val="left"/>
        <w:rPr/>
      </w:pPr>
      <w:r>
        <w:rPr/>
      </w:r>
    </w:p>
    <w:p>
      <w:pPr>
        <w:pStyle w:val="TextBody"/>
        <w:bidi w:val="0"/>
        <w:spacing w:lineRule="auto" w:line="288" w:before="4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(Expressed in thousands of U.S. dollars)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tbl>
      <w:tblPr>
        <w:tblW w:w="8023" w:type="dxa"/>
        <w:jc w:val="left"/>
        <w:tblInd w:w="0" w:type="dxa"/>
        <w:tblLayout w:type="fixed"/>
        <w:tblCellMar>
          <w:top w:w="28" w:type="dxa"/>
          <w:left w:w="28" w:type="dxa"/>
          <w:bottom w:w="28" w:type="dxa"/>
          <w:right w:w="28" w:type="dxa"/>
        </w:tblCellMar>
      </w:tblPr>
      <w:tblGrid>
        <w:gridCol w:w="1951"/>
        <w:gridCol w:w="1710"/>
        <w:gridCol w:w="1724"/>
        <w:gridCol w:w="212"/>
        <w:gridCol w:w="780"/>
        <w:gridCol w:w="118"/>
        <w:gridCol w:w="118"/>
        <w:gridCol w:w="118"/>
        <w:gridCol w:w="118"/>
        <w:gridCol w:w="212"/>
        <w:gridCol w:w="796"/>
        <w:gridCol w:w="166"/>
      </w:tblGrid>
      <w:tr>
        <w:trPr/>
        <w:tc>
          <w:tcPr>
            <w:tcW w:w="1951"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Items not involving cash:</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property and equipment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expense </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acquired IPR&amp;D (note 6)</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recovery</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liability</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non-cash operating working capital:</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used in operating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(68,548)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on exercise of stock options </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common stock for retirement (note 8b)</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Private placement for issuance of common stock (note 8c)</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marketable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277,645 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intangible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Supplemental cash flow information:</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paid during the period for income taxes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Supplemental disclosure of non-cash investing and financing items: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pre-funded warrants (note 8c)</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operating lease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common stock not settled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Notes to the Interim Condensed Consolidated Financial Statements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(Expressed in thousands of U.S. dollars except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Zymeworks Inc. together with its subsidiaries (collectively the “Company” or “Zymeworks”) is a clinical-stage biopharmaceutical company dedicated to the development of next-generation multifunctional biotherapeutics. Zymeworks BC Inc. (“Zymeworks BC”, formerly known as Zymeworks Inc.) was incorporated on September 8, 2003 under the laws of the Canada Business Corporations Act. On October 22, 2003, the Company was registered as an extra-provincial company under the Company Act (British Columbia). On May 2, 2017, the Company continued under the Business Corporations Act (British Columbia).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devoted substantially all of its resources to research and development activities, including developing its therapeutic platforms and identifying and developing potential product candidates by undertaking preclinical studies and clinical trials. The Company supports these activities through general and administrative support, as well as by raising capital, conducting business planning and protecting its intellectual property.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13, 2022, the Company completed an internal reorganization transaction resulting in a Delaware incorporated entity becoming the listed company (the “Redomicile Transactions”). Prior to the Redomicile Transactions, the shares of Zymeworks BC (formerly known as Zymeworks Inc.) were publicly listed. Unless the context otherwise requires or otherwise expressly states, all references in the accompanying interim condensed consolidated financial statements to “Zymeworks,” the “Company,” “we,” “us” and “our” (i) for periods until completion of the Redomicile Transactions, refer to Zymeworks BC and its subsidiaries and (ii) for periods after completion of the Redomicile Transactions, refer to Zymeworks Inc. (formerly known as Zymeworks Delaware Inc.) and its subsidiaries.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effect the Redomicile Transactions, the Company conducted a share exchange, pursuant to which holders of the Company’s common shares exchanged their common shares in the Company for shares of common stock of Zymeworks Inc. (formerly known as Zymeworks Delaware Inc.) or, at their election with respect to all or a portion of their common shares in the Company and subject to applicable eligibility criteria and an overall cap, exchangeable shares (the “Exchangeable Shares”) in the capital of a newly formed indirect subsidiary of Zymeworks Inc. A special meeting of Company security holders was held on October 7, 2022 to approve the Redomicile Transactions. The Redomicile Transactions were governed by a transaction agreement dated July 14, 2022, as restated and amended on August 18, 2022 (the “Restated and Amended Transaction Agreement”), by and among the Company and its direct or indirect subsidiaries Zymeworks Inc., Zymeworks CallCo ULC (“CallCo”) and Zymeworks ExchangeCo Ltd., (“ExchangeCo”) including a plan of arrangement included as Exhibit A to the Restated and Amended Transaction Agreement (the “Plan of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of the Company have been prepared in accordance with generally accepted accounting principles in the United States of America (“U.S. GAAP”) and pursuant to the rules and regulations of the U.S. Securities and Exchange Commission (“SEC”) for interim financial information. Accordingly, these financial statements do not include all the information and footnotes required for complete financial statements and should be read in conjunction with the audited consolidated financial statements of the Company and the accompanying notes thereto for the year ended December 31, 2024.</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unaudited interim condensed consolidated financial statements reflect all adjustments, consisting solely of normal recurring adjustments, which, in the opinion of management, are necessary for a fair presentation of results for the interim periods presented. The results of operations for the three and nine months ended September 30, 2025 and 2024 are not necessarily indicative of results that can be expected for a full year. These unaudited interim condensed consolidated financial statements follow the same significant accounting policies as those described in the notes to the audited consolidated financial statements of the Company for the year ended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amounts expressed in the interim condensed consolidated financial statements of the Company and the accompanying notes thereto are expressed in thousands of U.S. dollars, except for share and per share data and where otherwise indicated. References to “$” are to U.S. dollars and references to “C$” are to Canadian dollars.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for consistency with the current period presentation. These reclassifications had no effect on the reported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interim condensed consolidated financial statements in accordance with U.S. GAAP requires the Company to make estimates and judgments in certain circumstances that affect the reported amounts of assets, liabilities, revenue and expenses, and related disclosure of contingent assets and liabilities. On an ongoing basis, the Company evaluates its estimates, most notably those related to revenue recognition including estimated timing of completion of performance obligations required to meet revenue recognition criteria, accrual of expenses including clinical and preclinical study expense accruals, stock-based compensation, valuation allowance for deferred taxes, measurement of contingent consideration liabilities, and other contingencies. Management bases its estimates on historical experience and on various other assumptions that it believes to be reasonable under the circumstances.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Recent Accounting Pronouncements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However, these disclosures are not required for interim periods. The standard is to be applied on a prospective basis, with the option for retrospective application. The Company is currently evaluating the impact of adoption of the standard on its consolidated financial statements.</w:t>
      </w:r>
    </w:p>
    <w:p>
      <w:pPr>
        <w:pStyle w:val="TextBody"/>
        <w:bidi w:val="0"/>
        <w:spacing w:lineRule="auto" w:line="268" w:before="240" w:after="30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Reporting – Comprehensive Income – Expense Disaggregation Disclosures (Subtopic 220-40), Disaggregation of Income Statement Expenses.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for the three and nine months ended September 30, 2025 and 2024 was as follows:</w:t>
      </w:r>
    </w:p>
    <w:tbl>
      <w:tblPr>
        <w:tblW w:w="10205" w:type="dxa"/>
        <w:jc w:val="left"/>
        <w:tblInd w:w="0" w:type="dxa"/>
        <w:tblLayout w:type="fixed"/>
        <w:tblCellMar>
          <w:top w:w="28" w:type="dxa"/>
          <w:left w:w="28" w:type="dxa"/>
          <w:bottom w:w="28" w:type="dxa"/>
          <w:right w:w="28" w:type="dxa"/>
        </w:tblCellMar>
      </w:tblPr>
      <w:tblGrid>
        <w:gridCol w:w="1798"/>
        <w:gridCol w:w="1548"/>
        <w:gridCol w:w="1551"/>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6"/>
      </w:tblGrid>
      <w:tr>
        <w:trPr/>
        <w:tc>
          <w:tcPr>
            <w:tcW w:w="179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change in fair value of liability classified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(99,387)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stock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75,767,778 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76,128,531 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76,244,893 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dilutive effect of equity classified stock options and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dilutive effect of liability classified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75,775,214 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76,157,101 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75,434,487 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76,266,177 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common share – basic</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common share –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common stock used in the basic and diluted earnings per share calculations include (i) Exchangeable Shares for all the periods presented and (ii) for the three and nine month periods ended September 30, 2024, the pre-funded warrants issued in connection with the Company’s December 2023 private placement as the warrants were exercisable at any time for nominal cash consideration until their exercise on June 25, 2025 (note 8c). The Company’s potentially dilutive securities, which include stock options and RSUs, have been excluded from the computation of diluted net loss per share for the three and nine months ended September 30, 2025 and three and nine months ended September 30, 2024 as the effect would be to reduce the net loss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Cash, Cash Equivalents and Marketable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marketable securities as of September 30, 2025: </w:t>
      </w:r>
    </w:p>
    <w:p>
      <w:pPr>
        <w:pStyle w:val="TextBody"/>
        <w:bidi w:val="0"/>
        <w:spacing w:before="0" w:after="0"/>
        <w:jc w:val="left"/>
        <w:rPr/>
      </w:pPr>
      <w:r>
        <w:rPr/>
      </w:r>
    </w:p>
    <w:tbl>
      <w:tblPr>
        <w:tblW w:w="9553" w:type="dxa"/>
        <w:jc w:val="left"/>
        <w:tblInd w:w="0" w:type="dxa"/>
        <w:tblLayout w:type="fixed"/>
        <w:tblCellMar>
          <w:top w:w="28" w:type="dxa"/>
          <w:left w:w="28" w:type="dxa"/>
          <w:bottom w:w="28" w:type="dxa"/>
          <w:right w:w="28" w:type="dxa"/>
        </w:tblCellMar>
      </w:tblPr>
      <w:tblGrid>
        <w:gridCol w:w="1859"/>
        <w:gridCol w:w="1632"/>
        <w:gridCol w:w="1638"/>
        <w:gridCol w:w="229"/>
        <w:gridCol w:w="898"/>
        <w:gridCol w:w="118"/>
        <w:gridCol w:w="109"/>
        <w:gridCol w:w="109"/>
        <w:gridCol w:w="109"/>
        <w:gridCol w:w="357"/>
        <w:gridCol w:w="791"/>
        <w:gridCol w:w="186"/>
        <w:gridCol w:w="109"/>
        <w:gridCol w:w="109"/>
        <w:gridCol w:w="109"/>
        <w:gridCol w:w="211"/>
        <w:gridCol w:w="826"/>
        <w:gridCol w:w="154"/>
      </w:tblGrid>
      <w:tr>
        <w:trPr/>
        <w:tc>
          <w:tcPr>
            <w:tcW w:w="1859"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Unrealized Gain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Guaranteed investment certificates (“GICs”)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186,932 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233,917 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as of December 31, 2024:</w:t>
      </w:r>
    </w:p>
    <w:tbl>
      <w:tblPr>
        <w:tblW w:w="8445" w:type="dxa"/>
        <w:jc w:val="left"/>
        <w:tblInd w:w="0" w:type="dxa"/>
        <w:tblLayout w:type="fixed"/>
        <w:tblCellMar>
          <w:top w:w="28" w:type="dxa"/>
          <w:left w:w="28" w:type="dxa"/>
          <w:bottom w:w="28" w:type="dxa"/>
          <w:right w:w="28" w:type="dxa"/>
        </w:tblCellMar>
      </w:tblPr>
      <w:tblGrid>
        <w:gridCol w:w="1299"/>
        <w:gridCol w:w="1141"/>
        <w:gridCol w:w="1145"/>
        <w:gridCol w:w="229"/>
        <w:gridCol w:w="898"/>
        <w:gridCol w:w="118"/>
        <w:gridCol w:w="109"/>
        <w:gridCol w:w="109"/>
        <w:gridCol w:w="109"/>
        <w:gridCol w:w="461"/>
        <w:gridCol w:w="1070"/>
        <w:gridCol w:w="239"/>
        <w:gridCol w:w="109"/>
        <w:gridCol w:w="109"/>
        <w:gridCol w:w="109"/>
        <w:gridCol w:w="211"/>
        <w:gridCol w:w="82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marketable securities: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year or less: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159,659 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marketable securities: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one to three years: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Contractual maturity of three to four years: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98,735 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258,394 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cash, cash equivalents and marketable securities that are measured at fair value on a recurring basis, and indicate the fair value hierarchy of the valuation techniques used to determine such fair value:</w:t>
      </w:r>
    </w:p>
    <w:tbl>
      <w:tblPr>
        <w:tblW w:w="11728" w:type="dxa"/>
        <w:jc w:val="left"/>
        <w:tblInd w:w="0" w:type="dxa"/>
        <w:tblLayout w:type="fixed"/>
        <w:tblCellMar>
          <w:top w:w="28" w:type="dxa"/>
          <w:left w:w="28" w:type="dxa"/>
          <w:bottom w:w="28" w:type="dxa"/>
          <w:right w:w="28" w:type="dxa"/>
        </w:tblCellMar>
      </w:tblPr>
      <w:tblGrid>
        <w:gridCol w:w="386"/>
        <w:gridCol w:w="339"/>
        <w:gridCol w:w="341"/>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and mutual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GICs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GICs and mutual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IPR&amp;D and Goodwill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Acquired IPR&amp;D</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 assets (“IPR&amp;D”) acquired in the 2016 Kairos Therapeutics Inc. (“Kairos”) business combination were classified as indefinite-lived intangible assets and were not amortized until their classification as definite-lived assets. During the nine months ended September 30, 2024, the Company determined that the fair value of IPR&amp;D, which was estimated using an income approach, was less than its carrying value. Accordingly, the Company recorded an impairment charge of $17,287 during the nine months ended September 30, 2024. The impairment was a result of the Company's decision to discontinue the zanidatamab zovodotin clinical development program which utilized the acquired technology represented by the IPR&amp;D assets. As of July 1, 2024, the Company classified the remaining assets as definite-lived and commenced amortization, which was fully amortized as of December 31, 2024.</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performed its most recent annual impairment test of goodwill as of December 31, 2024. As part of the evaluation of the recoverability of goodwill, the Company identified only one reporting unit to which the total carrying amount of goodwill has been assigned. As at December 31, 2024, the Company performed a qualitative assessment for its annual impairment test of goodwill after concluding that it was not more likely than not that the fair value of the reporting unit was less than its carrying value. Consequently, a quantitative impairment test was not required. The Company concluded that there were no impairment indicators related to goodwill as of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consisted of the following:</w:t>
      </w:r>
    </w:p>
    <w:tbl>
      <w:tblPr>
        <w:tblW w:w="6401" w:type="dxa"/>
        <w:jc w:val="left"/>
        <w:tblInd w:w="0" w:type="dxa"/>
        <w:tblLayout w:type="fixed"/>
        <w:tblCellMar>
          <w:top w:w="28" w:type="dxa"/>
          <w:left w:w="28" w:type="dxa"/>
          <w:bottom w:w="28" w:type="dxa"/>
          <w:right w:w="28" w:type="dxa"/>
        </w:tblCellMar>
      </w:tblPr>
      <w:tblGrid>
        <w:gridCol w:w="1372"/>
        <w:gridCol w:w="1208"/>
        <w:gridCol w:w="1215"/>
        <w:gridCol w:w="231"/>
        <w:gridCol w:w="790"/>
        <w:gridCol w:w="119"/>
        <w:gridCol w:w="109"/>
        <w:gridCol w:w="109"/>
        <w:gridCol w:w="109"/>
        <w:gridCol w:w="221"/>
        <w:gridCol w:w="757"/>
        <w:gridCol w:w="161"/>
      </w:tblGrid>
      <w:tr>
        <w:trPr/>
        <w:tc>
          <w:tcPr>
            <w:tcW w:w="137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Goods and services tax payable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compensation and related accruals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liability classified stock options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legal, professional fees and other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59,838 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consisted of the following:</w:t>
      </w:r>
    </w:p>
    <w:tbl>
      <w:tblPr>
        <w:tblW w:w="5845" w:type="dxa"/>
        <w:jc w:val="left"/>
        <w:tblInd w:w="0" w:type="dxa"/>
        <w:tblLayout w:type="fixed"/>
        <w:tblCellMar>
          <w:top w:w="28" w:type="dxa"/>
          <w:left w:w="28" w:type="dxa"/>
          <w:bottom w:w="28" w:type="dxa"/>
          <w:right w:w="28" w:type="dxa"/>
        </w:tblCellMar>
      </w:tblPr>
      <w:tblGrid>
        <w:gridCol w:w="1173"/>
        <w:gridCol w:w="1032"/>
        <w:gridCol w:w="1034"/>
        <w:gridCol w:w="305"/>
        <w:gridCol w:w="675"/>
        <w:gridCol w:w="159"/>
        <w:gridCol w:w="109"/>
        <w:gridCol w:w="109"/>
        <w:gridCol w:w="109"/>
        <w:gridCol w:w="289"/>
        <w:gridCol w:w="639"/>
        <w:gridCol w:w="212"/>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from in-licensing agreements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(note 11)</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a.Authorized Share Capital and Preferred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authorized share capital consists of 1,000,000,000 shares of stock, consisting of (i) 900,000,000 shares of common stock, par value $0.00001 per share, and (ii) 100,000,000 shares of preferred stock, par value $0.00001 per share.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Plan of Arrangement, the Company issued to Computershare Trust Company of Canada, a trust company existing under the laws of Canada (the “Share Trustee”), one share of the Company’s preferred stock, par value $0.00001 per share, which has certain variable voting rights in proportion to the number of Exchangeable Shares outstanding (the “Special Voting Preferred Stock”), enabling the Share Trustee to exercise voting rights for the benefit of the Exchangeable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Immediately prior to the completion of the Redomicile Transactions, ther</w:t>
      </w:r>
      <w:r>
        <w:rPr>
          <w:rFonts w:ascii="Times New Roman;serif" w:hAnsi="Times New Roman;serif"/>
          <w:b w:val="false"/>
          <w:color w:val="000000"/>
          <w:sz w:val="20"/>
        </w:rPr>
        <w:t>e were 61,699,387 Zymeworks BC common shares issued and outstanding. In connection with the consummation of the Plan of Arrangement, 60,274,854 shares of Common Stock and 1,424,533 Exchangeable Shares were issued to former Zymeworks BC shareholders. As of September 30, 2025, there were 569,189 Exchangeable Shares held by former Zymeworks BC shareholders (December 31, 2024: 570,637). The Company will issue shares of its common stock as consideration when a holder of Exchangeable Shares calls for Exchangeable Shares to be retrac</w:t>
      </w:r>
      <w:r>
        <w:rPr>
          <w:rFonts w:ascii="Times New Roman;serif" w:hAnsi="Times New Roman;serif"/>
          <w:b w:val="false"/>
          <w:color w:val="000000"/>
          <w:sz w:val="20"/>
          <w:shd w:fill="FFFFFF" w:val="clear"/>
        </w:rPr>
        <w:t>ted by ExchangeCo, when ExchangeCo redeems Exchangeable Shares from the holder, or when CallCo purchases Exchangeable Shares from the Exchangeable Shareholder under CallCo’s overriding call rights. These Exchangeable Shares and the Special Voting Preferred Stock, when taken together, are similar in substance to the Company’s common stock and are treated as such in calculation of basic net loss per share</w:t>
      </w:r>
      <w:r>
        <w:rPr>
          <w:rFonts w:ascii="Times New Roman;serif" w:hAnsi="Times New Roman;serif"/>
          <w:b w:val="false"/>
          <w:color w:val="000000"/>
          <w:sz w:val="20"/>
        </w:rPr>
        <w:t>.</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b.Stock Repurchase Program</w:t>
      </w:r>
    </w:p>
    <w:p>
      <w:pPr>
        <w:pStyle w:val="TextBody"/>
        <w:bidi w:val="0"/>
        <w:spacing w:before="0" w:after="0"/>
        <w:ind w:left="0" w:right="0" w:hanging="18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 2024, the board of directors of the Company authorized a stock repurchase program (the “Repurchase Program”), whereby the Company may repurchase up to $60,000 of the Company’s outstanding common stock, par value $0.00001 per share. As part of the Repurchase Program, the Company adopted an accounting policy whereby the par value of each share is deducted from common stock and the remainder of the repurchase price is debited to accumulated deficit.</w:t>
      </w:r>
    </w:p>
    <w:p>
      <w:pPr>
        <w:pStyle w:val="TextBody"/>
        <w:bidi w:val="0"/>
        <w:spacing w:lineRule="auto" w:line="25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 Company repurchased 1,028,333 shares of its common stock for a cost of $15,691, incurred an obligation to purchase common stock for a cost of $504 which had not been settled by September 30, 2025, and incurred commission expense of $21, under the Repurchase Program, which have been recorded against accumulated deficit. During the year ended December 31, 2024, the Company repurchased 2,545,402 shares of its common stock for a cost of $30,000, and incurred commission expense of $51. The Company’s share repurchases in excess of issuances may be subject to a 1% excise tax enacted by the Inflation Reduction Act which is estimated as nil during the three months ended September 30, 2025 (during the year ended December 31, 2024: $152). During the three months ended September 30, 2025, the Company retired all 1,028,333 shares repurchased (during the year ended December 31, 2024, the Company retired all 2,545,402 shares repurchased). These shares were returned to the status of authorized and unissued shares.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Repurchase Program activity:</w:t>
      </w:r>
    </w:p>
    <w:tbl>
      <w:tblPr>
        <w:tblW w:w="10205" w:type="dxa"/>
        <w:jc w:val="left"/>
        <w:tblInd w:w="0" w:type="dxa"/>
        <w:tblLayout w:type="fixed"/>
        <w:tblCellMar>
          <w:top w:w="28" w:type="dxa"/>
          <w:left w:w="28" w:type="dxa"/>
          <w:bottom w:w="28" w:type="dxa"/>
          <w:right w:w="28" w:type="dxa"/>
        </w:tblCellMar>
      </w:tblPr>
      <w:tblGrid>
        <w:gridCol w:w="1096"/>
        <w:gridCol w:w="907"/>
        <w:gridCol w:w="910"/>
        <w:gridCol w:w="813"/>
        <w:gridCol w:w="707"/>
        <w:gridCol w:w="709"/>
        <w:gridCol w:w="109"/>
        <w:gridCol w:w="109"/>
        <w:gridCol w:w="109"/>
        <w:gridCol w:w="423"/>
        <w:gridCol w:w="1237"/>
        <w:gridCol w:w="218"/>
        <w:gridCol w:w="109"/>
        <w:gridCol w:w="109"/>
        <w:gridCol w:w="109"/>
        <w:gridCol w:w="488"/>
        <w:gridCol w:w="1676"/>
        <w:gridCol w:w="367"/>
      </w:tblGrid>
      <w:tr>
        <w:trPr/>
        <w:tc>
          <w:tcPr>
            <w:tcW w:w="10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value of shares purchased</w:t>
            </w:r>
          </w:p>
        </w:tc>
      </w:tr>
      <w:tr>
        <w:trPr/>
        <w:tc>
          <w:tcPr>
            <w:tcW w:w="2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1,028,333 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2,545,402 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c.Common Stock Transactions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private placement completed on December 28, 2023, the Company issued a total of 5,086,521 pre-funded warrants which granted EcoR1 Capital Fund, L.P. and EcoR1 Capital Fund Qualified, L.P. (together “EcoR1”), the holders of the warrants, the right to purchase up to 5,086,521 shares of common stock of the Company, at an exercise price of $0.0001 per share.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June 26, 2025, the pre-funded warrants were net exercised in full by EcoR1, which is a related party due to its beneficial ownership of the Company’s outstanding shares of common stock, and as of September 30, 2025 there were no pre-funded warrants outstanding (December 31, 2024: 5,086,521). As the pre-funded warrants meet the condition for equity classification, proceeds from issuance of the pre-funded warrants, net of any transaction costs, were recorded in additional paid-in capital. Upon exercise of the pre-funded warrants, the historical costs recorded in additional paid-in capital along with exercise price collected from holders were recorded in common shares. As the amounts required to exercise the warrants were nominal, these instruments were considered in the calculation of basic net loss per share. </w:t>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10, 2025, the Company entered into a stock purchase agreement (the “Stock Purchase Agreement”) for a private placement with Mr. Gregory Ciongoli following his appointment as a director of the Company. Pursuant to the Stock Purchase Agreement, Mr. Ciongoli agreed to purchase 415,000 shares of common stock, $0.00001 par value per share, of the Company for an aggregate purchase price of $4,988.</w:t>
      </w:r>
    </w:p>
    <w:p>
      <w:pPr>
        <w:pStyle w:val="TextBody"/>
        <w:bidi w:val="0"/>
        <w:spacing w:lineRule="auto" w:line="26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d.Stock-Based Compensation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Redomicile Transactions in 2022, Zymeworks BC assigned to the Company, and the Company assumed, all of Zymeworks BC’s rights and obligations under each of the stock-based compensation plans, as described below, and such plans became the Company’s stock-based compensation plans, with each outstanding award assumed by the Company and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exchanged for equivalent awards of the Company, except that the security issuable upon exercise or settlement, as applicable, will be shares of common stock of the Company rather than common shares of Zymeworks BC.</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Original Stock Option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14, 2006, the shareholders of the Company approved an employee stock option plan (the “Original Plan”). The total number of options outstanding is not to exceed 20% of the issued common shares of the Company. Options granted under the Original Plan are exercisable at various dates over their 10-year life. The exercise prices of the Company’s stock options under the Original Plan are denominated in Canadian dollars. Upon the effectiveness of the Company’s New Plan described below, no further options were issuable under the Original Plan. However, all outstanding options granted under the Original Plan remain outstanding, subject to the terms of the Original Plan and the applicable grant documents, until such outstanding options are exercised or they terminate or expire by their terms.</w:t>
      </w:r>
    </w:p>
    <w:p>
      <w:pPr>
        <w:pStyle w:val="TextBody"/>
        <w:bidi w:val="0"/>
        <w:spacing w:lineRule="auto" w:line="26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New Plan and Inducement Plan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10, 2017, the Company’s shareholders approved a new stock option plan, which became effective immediately prior to the consummation of the Company’s initial public offering (“IPO”). This plan allows for the grant of options and also permitted the Company to grant incentive stock options (“ISOs”), within the meaning of Section 422 of the Internal Revenue Code, to its employees, until the shares reserved for issuance of ISOs were depleted. On June 7, 2018, the Company’s shareholders approved an amendment and restatement of this plan (this plan, as amended and restated, the “New Plan”), which includes an article that allows the Company to grant restricted shares, RSU and other share-based awards, in addition to stock options. As of September 30, 2025, 5,634,658 shares of common stock were available for future award grants under the New Plan (December 31, 2024: 5,196,630 shares of common stock).</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2022, the board of directors approved the Zymeworks Inc. Inducement Stock Option and Equity Compensation Plan (the “Inducement Plan”) and reserved 750,000 of the Company’s common shares for issuance pursuant to equity awards granted thereunder. On July 19, 2024, the board of directors approved an amendment and restatement of the Inducement Plan, which increased the number of shares of the Company’s common stock available for future issuance pursuant to equity awards granted under the Inducement Plan by 700,000 shares. As a result of this increase, a total of 1,450,000 shares will have been available for issuance pursuant to equity awards granted under the Inducement Plan since the inception of the Inducement Plan in January 2022. As of September 30, 2025, 390,000 shares of common stock were available for future award grants under this plan (December 31, 2024: 390,000). </w:t>
      </w:r>
    </w:p>
    <w:p>
      <w:pPr>
        <w:pStyle w:val="TextBody"/>
        <w:bidi w:val="0"/>
        <w:spacing w:lineRule="auto" w:line="26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RSUs</w:t>
      </w:r>
    </w:p>
    <w:p>
      <w:pPr>
        <w:pStyle w:val="TextBody"/>
        <w:bidi w:val="0"/>
        <w:spacing w:lineRule="auto" w:line="268"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RSU activity under the New Plan since December 31, 2024:</w:t>
      </w:r>
    </w:p>
    <w:tbl>
      <w:tblPr>
        <w:tblW w:w="5794" w:type="dxa"/>
        <w:jc w:val="left"/>
        <w:tblInd w:w="0" w:type="dxa"/>
        <w:tblLayout w:type="fixed"/>
        <w:tblCellMar>
          <w:top w:w="28" w:type="dxa"/>
          <w:left w:w="28" w:type="dxa"/>
          <w:bottom w:w="28" w:type="dxa"/>
          <w:right w:w="28" w:type="dxa"/>
        </w:tblCellMar>
      </w:tblPr>
      <w:tblGrid>
        <w:gridCol w:w="1026"/>
        <w:gridCol w:w="903"/>
        <w:gridCol w:w="905"/>
        <w:gridCol w:w="488"/>
        <w:gridCol w:w="488"/>
        <w:gridCol w:w="441"/>
        <w:gridCol w:w="109"/>
        <w:gridCol w:w="109"/>
        <w:gridCol w:w="109"/>
        <w:gridCol w:w="356"/>
        <w:gridCol w:w="356"/>
        <w:gridCol w:w="50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 value</w:t>
              <w:b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1,293,970 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1,176,475 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(460,620)</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5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(172,995)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1,836,830 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there was $7,107 of unamortized RSU expense that will be recognized over a weighted average period of 1.33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00" w:after="120"/>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Canadian dollars under the Original Plan and the New Plan:</w:t>
      </w:r>
    </w:p>
    <w:tbl>
      <w:tblPr>
        <w:tblW w:w="10205" w:type="dxa"/>
        <w:jc w:val="left"/>
        <w:tblInd w:w="0" w:type="dxa"/>
        <w:tblLayout w:type="fixed"/>
        <w:tblCellMar>
          <w:top w:w="28" w:type="dxa"/>
          <w:left w:w="28" w:type="dxa"/>
          <w:bottom w:w="28" w:type="dxa"/>
          <w:right w:w="28" w:type="dxa"/>
        </w:tblCellMar>
      </w:tblPr>
      <w:tblGrid>
        <w:gridCol w:w="775"/>
        <w:gridCol w:w="682"/>
        <w:gridCol w:w="684"/>
        <w:gridCol w:w="488"/>
        <w:gridCol w:w="488"/>
        <w:gridCol w:w="266"/>
        <w:gridCol w:w="109"/>
        <w:gridCol w:w="109"/>
        <w:gridCol w:w="109"/>
        <w:gridCol w:w="356"/>
        <w:gridCol w:w="337"/>
        <w:gridCol w:w="338"/>
        <w:gridCol w:w="109"/>
        <w:gridCol w:w="109"/>
        <w:gridCol w:w="109"/>
        <w:gridCol w:w="356"/>
        <w:gridCol w:w="337"/>
        <w:gridCol w:w="338"/>
        <w:gridCol w:w="109"/>
        <w:gridCol w:w="109"/>
        <w:gridCol w:w="109"/>
        <w:gridCol w:w="330"/>
        <w:gridCol w:w="330"/>
        <w:gridCol w:w="331"/>
        <w:gridCol w:w="109"/>
        <w:gridCol w:w="109"/>
        <w:gridCol w:w="109"/>
        <w:gridCol w:w="354"/>
        <w:gridCol w:w="339"/>
        <w:gridCol w:w="340"/>
        <w:gridCol w:w="109"/>
        <w:gridCol w:w="109"/>
        <w:gridCol w:w="109"/>
        <w:gridCol w:w="342"/>
        <w:gridCol w:w="313"/>
        <w:gridCol w:w="446"/>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1,082,835 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(285,036)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(58,146)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739,653 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5,255 </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options granted in U.S. dollars under the New Plan and the Inducement Plan:</w:t>
      </w:r>
    </w:p>
    <w:tbl>
      <w:tblPr>
        <w:tblW w:w="8403" w:type="dxa"/>
        <w:jc w:val="left"/>
        <w:tblInd w:w="0" w:type="dxa"/>
        <w:tblLayout w:type="fixed"/>
        <w:tblCellMar>
          <w:top w:w="28" w:type="dxa"/>
          <w:left w:w="28" w:type="dxa"/>
          <w:bottom w:w="28" w:type="dxa"/>
          <w:right w:w="28" w:type="dxa"/>
        </w:tblCellMar>
      </w:tblPr>
      <w:tblGrid>
        <w:gridCol w:w="1026"/>
        <w:gridCol w:w="903"/>
        <w:gridCol w:w="905"/>
        <w:gridCol w:w="488"/>
        <w:gridCol w:w="488"/>
        <w:gridCol w:w="291"/>
        <w:gridCol w:w="109"/>
        <w:gridCol w:w="109"/>
        <w:gridCol w:w="109"/>
        <w:gridCol w:w="374"/>
        <w:gridCol w:w="374"/>
        <w:gridCol w:w="376"/>
        <w:gridCol w:w="109"/>
        <w:gridCol w:w="109"/>
        <w:gridCol w:w="109"/>
        <w:gridCol w:w="330"/>
        <w:gridCol w:w="330"/>
        <w:gridCol w:w="331"/>
        <w:gridCol w:w="109"/>
        <w:gridCol w:w="109"/>
        <w:gridCol w:w="109"/>
        <w:gridCol w:w="360"/>
        <w:gridCol w:w="361"/>
        <w:gridCol w:w="48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 Price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b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7,331,084 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2,043,225 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(814,735)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September 30, 2025</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7,891,559 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45,177 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received cash proceeds of $10,079 from stock options exercised.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stock options outstanding at September 30, 2025 expire at various dates from October 1, 2025 to September 9, 2035.</w:t>
      </w:r>
    </w:p>
    <w:p>
      <w:pPr>
        <w:pStyle w:val="TextBody"/>
        <w:bidi w:val="0"/>
        <w:spacing w:lineRule="auto" w:line="288" w:before="240" w:after="240"/>
        <w:jc w:val="left"/>
        <w:rPr/>
      </w:pPr>
      <w:r>
        <w:rPr>
          <w:rFonts w:ascii="Times New Roman;serif" w:hAnsi="Times New Roman;serif"/>
          <w:b w:val="false"/>
          <w:color w:val="000000"/>
          <w:sz w:val="20"/>
        </w:rPr>
        <w:t>The estimated fair values of options granted to officers, directors, employees and consultants are amortized over the relevant vesting periods. Stock-based compensation expense for equity classified instruments, RSUs, as well as the financial statement impact of the amortization and periodic revaluation of liability classified instruments, are recorded in research and development expense and general and administration expense</w:t>
      </w:r>
      <w:r>
        <w:rPr>
          <w:color w:val="EE2724"/>
        </w:rPr>
        <w:t xml:space="preserve"> </w:t>
      </w:r>
      <w:r>
        <w:rPr>
          <w:rFonts w:ascii="Times New Roman;serif" w:hAnsi="Times New Roman;serif"/>
          <w:b w:val="false"/>
          <w:color w:val="000000"/>
          <w:sz w:val="20"/>
        </w:rPr>
        <w:t>as follows:</w:t>
      </w:r>
    </w:p>
    <w:tbl>
      <w:tblPr>
        <w:tblW w:w="8661" w:type="dxa"/>
        <w:jc w:val="left"/>
        <w:tblInd w:w="0" w:type="dxa"/>
        <w:tblLayout w:type="fixed"/>
        <w:tblCellMar>
          <w:top w:w="28" w:type="dxa"/>
          <w:left w:w="28" w:type="dxa"/>
          <w:bottom w:w="28" w:type="dxa"/>
          <w:right w:w="28" w:type="dxa"/>
        </w:tblCellMar>
      </w:tblPr>
      <w:tblGrid>
        <w:gridCol w:w="1093"/>
        <w:gridCol w:w="958"/>
        <w:gridCol w:w="963"/>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109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 amounts above include stock-based compensation expense relating to RSUs of $2,727 and $7,353 for the three and nine months ended September 30, 2025 (2024: $1,602 and $4,260).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stock options granted under the New Plan was determined using the Black-Scholes option pricing model with the following weighted-average assumptions:</w:t>
      </w:r>
    </w:p>
    <w:tbl>
      <w:tblPr>
        <w:tblW w:w="5554" w:type="dxa"/>
        <w:jc w:val="left"/>
        <w:tblInd w:w="0" w:type="dxa"/>
        <w:tblLayout w:type="fixed"/>
        <w:tblCellMar>
          <w:top w:w="28" w:type="dxa"/>
          <w:left w:w="28" w:type="dxa"/>
          <w:bottom w:w="28" w:type="dxa"/>
          <w:right w:w="28" w:type="dxa"/>
        </w:tblCellMar>
      </w:tblPr>
      <w:tblGrid>
        <w:gridCol w:w="994"/>
        <w:gridCol w:w="875"/>
        <w:gridCol w:w="876"/>
        <w:gridCol w:w="293"/>
        <w:gridCol w:w="218"/>
        <w:gridCol w:w="530"/>
        <w:gridCol w:w="213"/>
        <w:gridCol w:w="213"/>
        <w:gridCol w:w="213"/>
        <w:gridCol w:w="293"/>
        <w:gridCol w:w="218"/>
        <w:gridCol w:w="618"/>
      </w:tblGrid>
      <w:tr>
        <w:trPr/>
        <w:tc>
          <w:tcPr>
            <w:tcW w:w="99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average life of options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years</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years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weighted-average Black-Scholes option pricing assumptions for liability classified stock options outstanding at September 30, 2025 and 2024 are as follows:</w:t>
      </w:r>
    </w:p>
    <w:tbl>
      <w:tblPr>
        <w:tblW w:w="7458" w:type="dxa"/>
        <w:jc w:val="left"/>
        <w:tblInd w:w="0" w:type="dxa"/>
        <w:tblLayout w:type="fixed"/>
        <w:tblCellMar>
          <w:top w:w="28" w:type="dxa"/>
          <w:left w:w="28" w:type="dxa"/>
          <w:bottom w:w="28" w:type="dxa"/>
          <w:right w:w="28" w:type="dxa"/>
        </w:tblCellMar>
      </w:tblPr>
      <w:tblGrid>
        <w:gridCol w:w="1683"/>
        <w:gridCol w:w="1482"/>
        <w:gridCol w:w="1484"/>
        <w:gridCol w:w="293"/>
        <w:gridCol w:w="218"/>
        <w:gridCol w:w="530"/>
        <w:gridCol w:w="213"/>
        <w:gridCol w:w="213"/>
        <w:gridCol w:w="213"/>
        <w:gridCol w:w="293"/>
        <w:gridCol w:w="218"/>
        <w:gridCol w:w="618"/>
      </w:tblGrid>
      <w:tr>
        <w:trPr/>
        <w:tc>
          <w:tcPr>
            <w:tcW w:w="168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average option term</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years</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years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Number of liability classified stock options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83,257</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295,794</w:t>
            </w:r>
          </w:p>
        </w:tc>
      </w:tr>
    </w:tbl>
    <w:p>
      <w:pPr>
        <w:pStyle w:val="TextBody"/>
        <w:bidi w:val="0"/>
        <w:spacing w:lineRule="auto" w:line="288" w:before="240" w:after="300"/>
        <w:jc w:val="left"/>
        <w:rPr>
          <w:rFonts w:ascii="Times New Roman;serif" w:hAnsi="Times New Roman;serif"/>
          <w:b w:val="false"/>
          <w:color w:val="000000"/>
          <w:sz w:val="20"/>
        </w:rPr>
      </w:pPr>
      <w:r>
        <w:rPr>
          <w:rFonts w:ascii="Times New Roman;serif" w:hAnsi="Times New Roman;serif"/>
          <w:b w:val="false"/>
          <w:color w:val="000000"/>
          <w:sz w:val="20"/>
        </w:rPr>
        <w:t>At September 30, 2025, the unamortized compensation expense related to unvested options was $12,594. The remaining unamortized compensation expense as of September 30, 2025 will be recognized over a weighted-average period of 1.66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60"/>
        <w:jc w:val="left"/>
        <w:rPr>
          <w:rFonts w:ascii="Times New Roman;serif" w:hAnsi="Times New Roman;serif"/>
          <w:b/>
          <w:color w:val="000000"/>
          <w:sz w:val="20"/>
        </w:rPr>
      </w:pPr>
      <w:r>
        <w:rPr>
          <w:rFonts w:ascii="Times New Roman;serif" w:hAnsi="Times New Roman;serif"/>
          <w:b/>
          <w:color w:val="000000"/>
          <w:sz w:val="20"/>
        </w:rPr>
        <w:t>9. Research, Collaboration and Licensing Agreements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Revenue recognized from the Company’s strategic partnerships which includes amounts from Jazz Pharmaceuticals Ireland Limited or Jazz Pharmaceuticals, Inc. (subsidiaries of Jazz Pharmaceuticals plc, collectively referred to as “Jazz”) is summarized as follows:</w:t>
      </w:r>
    </w:p>
    <w:tbl>
      <w:tblPr>
        <w:tblW w:w="10205" w:type="dxa"/>
        <w:jc w:val="left"/>
        <w:tblInd w:w="0" w:type="dxa"/>
        <w:tblLayout w:type="fixed"/>
        <w:tblCellMar>
          <w:top w:w="28" w:type="dxa"/>
          <w:left w:w="28" w:type="dxa"/>
          <w:bottom w:w="28" w:type="dxa"/>
          <w:right w:w="28" w:type="dxa"/>
        </w:tblCellMar>
      </w:tblPr>
      <w:tblGrid>
        <w:gridCol w:w="1864"/>
        <w:gridCol w:w="1510"/>
        <w:gridCol w:w="153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6"/>
      </w:tblGrid>
      <w:tr>
        <w:trPr/>
        <w:tc>
          <w:tcPr>
            <w:tcW w:w="186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Jazz:</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support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 for ongoing studies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drug supply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BeOne Medicines Ltd. (previously known as BeiGene, Ltd.) (“BeOne”):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Drug supply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Johnson &amp; Johnson Innovative Medicine (previously known as Janssen Biotech, Inc.) (“J&amp;J”):</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Bristol-Myers Squibb (“BMS”):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 exercise fee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GlaxoSmithKline Intellectual Property Development Ltd. (“GSK”):</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Daiichi Sankyo, Co., Ltd. (“Daiichi Sankyo”):</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Milestone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Merck Sharp &amp; Dohme LLC (“Merck”)</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period extension fee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support and other payments from other partners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December 31, 2024, there have not been any material changes to the key terms of our collaboration and license agreements.</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January 2025, the Company recognized $14,000 of milestone revenue associated with a clinical milestone under the Company’s 2016 licensing agreement with GSK.</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March 2025, the Company recognized $3,100 of milestone revenue from Daiichi Sankyo following the first patient dosed in a clinical trial related to the 2018 license agreement between the Company and Daiichi Sankyo.</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recognized $7,500 of option exercise fee upon BMS’s exercise of its commercial license option in relation to the Company's licensing and collaboration agreement with BMS dated December 23, 2014.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recognized $20,000 in non-refundable milestone revenue from BeOne upon approval of the BLA for zanidatamab for second-line treatment of HER2+ BTC by the NMPA in China. The Company also recognized $18,334 of deferred revenue in relation to achievement of this milestone.</w:t>
      </w:r>
    </w:p>
    <w:p>
      <w:pPr>
        <w:pStyle w:val="TextBody"/>
        <w:bidi w:val="0"/>
        <w:spacing w:lineRule="auto" w:line="268" w:before="180" w:after="283"/>
        <w:jc w:val="left"/>
        <w:rPr>
          <w:rFonts w:ascii="Times New Roman;serif" w:hAnsi="Times New Roman;serif"/>
          <w:b w:val="false"/>
          <w:color w:val="000000"/>
          <w:sz w:val="20"/>
        </w:rPr>
      </w:pPr>
      <w:r>
        <w:rPr>
          <w:rFonts w:ascii="Times New Roman;serif" w:hAnsi="Times New Roman;serif"/>
          <w:b w:val="false"/>
          <w:color w:val="000000"/>
          <w:sz w:val="20"/>
        </w:rPr>
        <w:t>In September 2025, the Company recognized $25,000 of non-refundable milestone revenue from J&amp;J following first patient dosed in a Phase 3 clinical trial of pasritamig.</w:t>
      </w:r>
    </w:p>
    <w:p>
      <w:pPr>
        <w:pStyle w:val="TextBody"/>
        <w:bidi w:val="0"/>
        <w:spacing w:lineRule="auto" w:line="268" w:before="360" w:after="240"/>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at September 30, 2025, contract assets from research, collaboration and licensing agreements were $971 (December 31, 2024: $100). As at September 30, 2025, short-term and long-term contract liabilities were $3,197 and $14,607, respectively (December 31, 2024: $25,588 and $14,607, respectively). Contract liabilities relate to deferred revenue from the BeOne and Jazz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10. Other income (expense), net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 consists of the following:</w:t>
      </w:r>
    </w:p>
    <w:tbl>
      <w:tblPr>
        <w:tblW w:w="7170" w:type="dxa"/>
        <w:jc w:val="left"/>
        <w:tblInd w:w="0" w:type="dxa"/>
        <w:tblLayout w:type="fixed"/>
        <w:tblCellMar>
          <w:top w:w="28" w:type="dxa"/>
          <w:left w:w="28" w:type="dxa"/>
          <w:bottom w:w="28" w:type="dxa"/>
          <w:right w:w="28" w:type="dxa"/>
        </w:tblCellMar>
      </w:tblPr>
      <w:tblGrid>
        <w:gridCol w:w="1031"/>
        <w:gridCol w:w="908"/>
        <w:gridCol w:w="911"/>
        <w:gridCol w:w="211"/>
        <w:gridCol w:w="466"/>
        <w:gridCol w:w="109"/>
        <w:gridCol w:w="109"/>
        <w:gridCol w:w="109"/>
        <w:gridCol w:w="109"/>
        <w:gridCol w:w="211"/>
        <w:gridCol w:w="541"/>
        <w:gridCol w:w="109"/>
        <w:gridCol w:w="109"/>
        <w:gridCol w:w="109"/>
        <w:gridCol w:w="109"/>
        <w:gridCol w:w="211"/>
        <w:gridCol w:w="541"/>
        <w:gridCol w:w="109"/>
        <w:gridCol w:w="109"/>
        <w:gridCol w:w="109"/>
        <w:gridCol w:w="109"/>
        <w:gridCol w:w="211"/>
        <w:gridCol w:w="46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gain (loss),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lease for the Company’s office and laboratory spaces in Vancouver, British Columbia, which we entered into in January 2019, has an initial term expiring in February 2032, with two five-year extension options. In addition, the Company leases office spaces in Bellevue, Washington and in Redwood City, California with lease terms expiring between August 2027 and July 2029. None of the optional extension periods have been included in the determination of the right-of-use assets or the lease liabilities for operating leases as the Company did not consider it reasonably certain that the Company would exercise any such options.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office equipment under capital lease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balance sheet classification of the Company’s lease liabilities was as follows:</w:t>
      </w:r>
    </w:p>
    <w:tbl>
      <w:tblPr>
        <w:tblW w:w="7503" w:type="dxa"/>
        <w:jc w:val="left"/>
        <w:tblInd w:w="0" w:type="dxa"/>
        <w:tblLayout w:type="fixed"/>
        <w:tblCellMar>
          <w:top w:w="28" w:type="dxa"/>
          <w:left w:w="28" w:type="dxa"/>
          <w:bottom w:w="28" w:type="dxa"/>
          <w:right w:w="28" w:type="dxa"/>
        </w:tblCellMar>
      </w:tblPr>
      <w:tblGrid>
        <w:gridCol w:w="1710"/>
        <w:gridCol w:w="1502"/>
        <w:gridCol w:w="1513"/>
        <w:gridCol w:w="211"/>
        <w:gridCol w:w="721"/>
        <w:gridCol w:w="271"/>
        <w:gridCol w:w="109"/>
        <w:gridCol w:w="109"/>
        <w:gridCol w:w="109"/>
        <w:gridCol w:w="211"/>
        <w:gridCol w:w="721"/>
        <w:gridCol w:w="316"/>
      </w:tblGrid>
      <w:tr>
        <w:trPr/>
        <w:tc>
          <w:tcPr>
            <w:tcW w:w="17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included in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included in 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U.S. dollars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leases in Canadian dollars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 for fixed payments for the three and nine months ended September 30, 2025 was $1,077 and $3,200, respectively (2024: $973 and $3,195), and were included in net cash used in operating activities in the consolidated statement of cash flows.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of September 30, 2025, the maturities of the Company’s operating lease liabilities were as follows:</w:t>
      </w:r>
    </w:p>
    <w:tbl>
      <w:tblPr>
        <w:tblW w:w="3740" w:type="dxa"/>
        <w:jc w:val="left"/>
        <w:tblInd w:w="0" w:type="dxa"/>
        <w:tblLayout w:type="fixed"/>
        <w:tblCellMar>
          <w:top w:w="28" w:type="dxa"/>
          <w:left w:w="28" w:type="dxa"/>
          <w:bottom w:w="28" w:type="dxa"/>
          <w:right w:w="28" w:type="dxa"/>
        </w:tblCellMar>
      </w:tblPr>
      <w:tblGrid>
        <w:gridCol w:w="961"/>
        <w:gridCol w:w="844"/>
        <w:gridCol w:w="84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1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to 2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 to 3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 to 4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 to 5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cost components of the operating leases were as follows for the three and nine months ended September 30, 2025 and 2024:</w:t>
      </w:r>
    </w:p>
    <w:tbl>
      <w:tblPr>
        <w:tblW w:w="9573" w:type="dxa"/>
        <w:jc w:val="left"/>
        <w:tblInd w:w="0" w:type="dxa"/>
        <w:tblLayout w:type="fixed"/>
        <w:tblCellMar>
          <w:top w:w="28" w:type="dxa"/>
          <w:left w:w="28" w:type="dxa"/>
          <w:bottom w:w="28" w:type="dxa"/>
          <w:right w:w="28" w:type="dxa"/>
        </w:tblCellMar>
      </w:tblPr>
      <w:tblGrid>
        <w:gridCol w:w="1597"/>
        <w:gridCol w:w="1402"/>
        <w:gridCol w:w="1411"/>
        <w:gridCol w:w="211"/>
        <w:gridCol w:w="616"/>
        <w:gridCol w:w="109"/>
        <w:gridCol w:w="109"/>
        <w:gridCol w:w="109"/>
        <w:gridCol w:w="109"/>
        <w:gridCol w:w="211"/>
        <w:gridCol w:w="616"/>
        <w:gridCol w:w="109"/>
        <w:gridCol w:w="109"/>
        <w:gridCol w:w="109"/>
        <w:gridCol w:w="109"/>
        <w:gridCol w:w="248"/>
        <w:gridCol w:w="724"/>
        <w:gridCol w:w="128"/>
        <w:gridCol w:w="128"/>
        <w:gridCol w:w="128"/>
        <w:gridCol w:w="128"/>
        <w:gridCol w:w="248"/>
        <w:gridCol w:w="724"/>
        <w:gridCol w:w="181"/>
      </w:tblGrid>
      <w:tr>
        <w:trPr/>
        <w:tc>
          <w:tcPr>
            <w:tcW w:w="159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Lease expenses: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Termination of long-term facility lease in Seattle,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Financial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evaluates financial assets and liabilities subject to fair value measurements on a recurring basis to determine the appropriate level of classification each reporting period. This determination requires the Company to make subjective judgments as to the significance of inputs used in determining fair value and where such inputs lie within the fair value hierarchy.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certain financial instruments and other items at fair value.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determine fair value, the Company uses a fair value hierarchy that prioritizes the inputs, assumptions and valuation techniques used to measure fair value. The three levels of the fair value hierarchy are as follows: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1 inputs are unadjusted quoted market prices for identical instruments available in active markets.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2 inputs are inputs other than Level 1 prices, such as prices for a similar asset or liability that are observable either directly or indirectly. If the asset or liability has a contractual term, the input must be observable for substantially the full term. An example includes quoted market prices for similar assets or liabilities in active markets.</w:t>
      </w:r>
    </w:p>
    <w:p>
      <w:pPr>
        <w:pStyle w:val="TextBody"/>
        <w:bidi w:val="0"/>
        <w:spacing w:lineRule="auto" w:line="288" w:before="120" w:after="283"/>
        <w:ind w:left="0" w:right="0" w:hanging="360"/>
        <w:jc w:val="left"/>
        <w:rPr>
          <w:color w:val="000000"/>
        </w:rPr>
      </w:pPr>
      <w:r>
        <w:rPr>
          <w:color w:val="000000"/>
        </w:rPr>
        <w:t>•    </w:t>
      </w:r>
      <w:r>
        <w:rPr>
          <w:rFonts w:ascii="Times New Roman;serif" w:hAnsi="Times New Roman;serif"/>
          <w:b w:val="false"/>
          <w:color w:val="000000"/>
          <w:sz w:val="20"/>
        </w:rPr>
        <w:t>Level 3 inputs are unobservable inputs for the asset or liability and will reflect management’s assessment about market assumptions that would be used to price the asset or liability.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of cash and cash equivalents, short-term and long-term investments in marketable and other securities, accounts receivable, accounts payable and accrued liabilities, contingent consideration, finance and operating lease obligations, and other long-term liabilities.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accounts receivable and accounts payable and accrued liabilities approximate their fair values due to the near-term maturities of these financial instruments. All marketable securities are classified as available-for-sale and are recorded at fair value. As at September 30, 2025, long-term investments in equity securities of private entities are accounted for as available for sale at their fair values. Other long-term liabilities for contingent consideration related to business acquisitions are recorded at fair value on the acquisition date and are adjusted quarterly for changes in fair value. Changes in the fair value of contingent consideration liabilities can result from changes in anticipated milestone payments and changes in assumed discount periods and rates. These inputs are unobservable in the market and therefore categorized as level 3 inputs as defined above.</w:t>
      </w:r>
    </w:p>
    <w:p>
      <w:pPr>
        <w:pStyle w:val="TextBody"/>
        <w:bidi w:val="0"/>
        <w:spacing w:lineRule="auto" w:line="276" w:before="24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a concentration of credit risk consist primarily of cash and cash equivalents, short-term and long-term marketable securities and accounts receivable. Cash and cash equivalents and investments in marketable securities are invested in accordance with the Company’s cash investment policy with the primary objective being the preservation of capital and maintenance of liquidity. The cash investment policy includes guidelines on the quality of financial instruments and defines allowable investments that the Company believes minimizes the exposure to concentration of credit risk. The Company limits its exposure to credit loss by placing its cash and cash equivalents and investments with high credit quality financial institutions.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the maximum exposure to credit risk for accounts receivable was $29,352, 85% of which was from J&amp;J (December 31, 2024: 95% of receivables from Jazz) and all accounts receivable are due within the next 12 months. As at September 30, 2025 and December 31, 2024, the Company has recognized nominal amounts of provision for expected credit losses in relation to accounts receivable.</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Liquidity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Liquidity risk is the risk that the Company will encounter difficulty in meeting the obligations associated with its financial liabilities that are settled by delivering cash or another financial asset. The Company’s short-term cash requirements are primarily to settle its financial liabilities, which consist primarily of accounts payable and accrued liabilities falling due within 45 days and current portion of lease obligations falling due within the next 12 months, with medium term requirements to invest in property and equipment and research and development. The Company’s principal sources of liquidity to settle its financial liabilities are cash, cash equivalents, short-term and long-term investments, collection of accounts receivable relating to research collaboration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license agreements and additional public equity offerings as required. The Company believes that these principal sources of liquidity are sufficient to fund its operations for at least the next 12 months.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incurs certain operating expenses in currencies other than the U.S. dollar and accordingly is subject to foreign exchange risk due to fluctuations in exchange rates. The Company does not use derivative instruments to hedge exposure to foreign exchange risk and therefore assumes the risk of future gains or losses in its consolidated statements of loss. At September 30, 2025, the Company’s net monetary liabilities denominated in Canadian dollars were $196 (C$273).</w:t>
      </w:r>
    </w:p>
    <w:p>
      <w:pPr>
        <w:pStyle w:val="TextBody"/>
        <w:bidi w:val="0"/>
        <w:spacing w:lineRule="auto" w:line="276" w:before="240" w:after="240"/>
        <w:jc w:val="left"/>
        <w:rPr>
          <w:rFonts w:ascii="Times New Roman;serif" w:hAnsi="Times New Roman;serif"/>
          <w:b w:val="false"/>
          <w:color w:val="000000"/>
          <w:sz w:val="20"/>
        </w:rPr>
      </w:pPr>
      <w:r>
        <w:rPr>
          <w:rFonts w:ascii="Times New Roman;serif" w:hAnsi="Times New Roman;serif"/>
          <w:b w:val="false"/>
          <w:color w:val="000000"/>
          <w:sz w:val="20"/>
        </w:rPr>
        <w:t>The operating results and financial position of the Company are reported in U.S. dollars in the Company’s interim condensed consolidated financial statements. The fluctuation of the U.S. dollar relative to the Canadian dollar and other foreign currencies will have an impact on the reported balances for net assets, net loss and stockholders’ equity in the Company’s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240" w:after="12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research collaboration agreements with strategic partners in the ordinary course of operations that may include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and royalty payments based on net sales. The maximum amount of potential future indemnification is unlimited, however, the Company currently holds commercial and product liability insurance that limits the Company’s liability and may enable it to recover a portion of any future amounts paid. Historically, the Company has not made any indemnification payments under such agreements and believes that the fair value of these indemnification obligations is minimal. Accordingly, the Company has not recognized any liabilities relating to indemnification obligations for any period presented in the interim condensed consolidated financial statements.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240" w:after="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various legal proceedings and claims related to matters arising in the ordinary course of business. The Company does not believe it is currently subject to any material matters where there is at least a reasonable possibility that a material loss may be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14. Business Segments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in a single reportable segment, which is the discovery, development and commercialization of next-generation multifunctional biotherapeutics (the “biotherapeutics segment”). The biotherapeutics segment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and is managed on a consolidated basis. The accounting policies of the biotherapeutics segment are the same as those described in the summary of significant accounting policies.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is the Chair of the board of directors and Chief Executive Officer. The CODM assesses performance for the biotherapeutics segment and decides how to allocate resources to our development pipeline based on the results of our strategic planning, with segment (loss) income being used to monitor performance against the budgeted costs of that strategy. The measure of segment assets is reported on the balance sheet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Revenue and net income (loss) for the Company’s biotherapeutics segment are shown below:</w:t>
      </w:r>
    </w:p>
    <w:tbl>
      <w:tblPr>
        <w:tblW w:w="10205" w:type="dxa"/>
        <w:jc w:val="left"/>
        <w:tblInd w:w="0" w:type="dxa"/>
        <w:tblLayout w:type="fixed"/>
        <w:tblCellMar>
          <w:top w:w="28" w:type="dxa"/>
          <w:left w:w="28" w:type="dxa"/>
          <w:bottom w:w="28" w:type="dxa"/>
          <w:right w:w="28" w:type="dxa"/>
        </w:tblCellMar>
      </w:tblPr>
      <w:tblGrid>
        <w:gridCol w:w="1654"/>
        <w:gridCol w:w="1452"/>
        <w:gridCol w:w="1456"/>
        <w:gridCol w:w="220"/>
        <w:gridCol w:w="832"/>
        <w:gridCol w:w="113"/>
        <w:gridCol w:w="113"/>
        <w:gridCol w:w="113"/>
        <w:gridCol w:w="113"/>
        <w:gridCol w:w="220"/>
        <w:gridCol w:w="832"/>
        <w:gridCol w:w="113"/>
        <w:gridCol w:w="109"/>
        <w:gridCol w:w="109"/>
        <w:gridCol w:w="109"/>
        <w:gridCol w:w="211"/>
        <w:gridCol w:w="827"/>
        <w:gridCol w:w="109"/>
        <w:gridCol w:w="109"/>
        <w:gridCol w:w="109"/>
        <w:gridCol w:w="109"/>
        <w:gridCol w:w="211"/>
        <w:gridCol w:w="796"/>
        <w:gridCol w:w="166"/>
      </w:tblGrid>
      <w:tr>
        <w:trPr/>
        <w:tc>
          <w:tcPr>
            <w:tcW w:w="1654"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research and development collaborations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Segment expenses: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 zovodotin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for other preclinical and research programs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and development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126,301 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loss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Reconciling items:</w:t>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contingent consideration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(99,189)</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should be read in conjunction with the attached financial statements and notes thereto included in Part I, Item 1 of this Quarterly Report on Form 10-Q, as well as our audited financial statements and related notes thereto and management’s discussion and analysis of financial condition and results of operations for the year ended December 31, 2024 included in our Annual Report on Form 10-K filed with the U.S. Securities and Exchange Commission (the “SEC”) on March 5, 2025 and with the securities commissions in all provinces and territories of Canada on March 5, 2025. This Quarterly Report on Form 10-Q, including the following sections, contains forward-looking statements within the meaning of the U.S. Private Securities Litigation Reform Act of 1995. These statements are subject to risks and uncertainties that could cause actual results and events to differ materially from those expressed or implied by such forward-looking statements. As a result of many factors, including without limitation those set forth under “Risk Factors” under Item 1A of Part II below, and elsewhere in this Quarterly Report on Form 10-Q, our actual results may differ materially from those anticipated in these forward-looking statements. We caution the reader not to place undue reliance on these forward-looking statements, which reflect management’s analysis only as of the date of this Quarterly Report on Form 10-Q. We undertake no obligation to update forward-looking statements which reflect events or circumstances occurring after the date of this Quarterly Report on Form 10-Q,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Zymeworks is a clinical-stage biotechnology company developing a diverse pipeline of novel, multifunctional biotherapeutics to improve the standard of care for difficult-to-treat diseases such as cancer and autoimmune and inflammatory diseases (“AIID”). Zymeworks’ complementary therapeutic platforms and fully integrated drug development engine provide the flexibility and compatibility to precisely engineer and develop highly differentiated antibody-based therapeutic candidates from preclinical candidate screening through to registrational clinical trials. </w:t>
      </w:r>
    </w:p>
    <w:p>
      <w:pPr>
        <w:pStyle w:val="TextBody"/>
        <w:bidi w:val="0"/>
        <w:spacing w:lineRule="auto" w:line="288" w:before="240" w:after="283"/>
        <w:jc w:val="left"/>
        <w:rPr/>
      </w:pPr>
      <w:r>
        <w:rPr>
          <w:rFonts w:ascii="Times New Roman;serif" w:hAnsi="Times New Roman;serif"/>
          <w:b w:val="false"/>
          <w:color w:val="000000"/>
          <w:sz w:val="20"/>
        </w:rPr>
        <w:t>Our first internally developed product candidate, zanidatamab, is a novel bispecific antibody that targets two distinct domains of the human epidermal growth factor receptor 2 (“HER2”). Through rigorous scientific investigation, innovative protein engineering, and our proprietary Azymetric bispecific platform technology, we developed the unique binding mechanism of zanidatamab which enables it to bind to two extracellular sites on HER2. Zanidatamab’s unique binding properties result in multiple mechanisms of action that may enable it to address unmet need in patient populations with HER2-expressing cancers. We have entered into separate agreements with BeOne Medicines Ltd. (previously known as BeiGene, Ltd.) (together with its affiliates, “BeOne”) and Jazz P</w:t>
      </w:r>
      <w:r>
        <w:rPr>
          <w:rFonts w:ascii="Times New Roman;serif" w:hAnsi="Times New Roman;serif"/>
          <w:b w:val="false"/>
          <w:color w:val="000000"/>
          <w:sz w:val="20"/>
          <w:shd w:fill="FFFFFF" w:val="clear"/>
        </w:rPr>
        <w:t>harmaceuticals Ireland Limited (a subsidiary of Jazz Pharmaceuticals plc, collectively referred to as “Jazz”), granting to each of BeOne a</w:t>
      </w:r>
      <w:r>
        <w:rPr>
          <w:rFonts w:ascii="Times New Roman;serif" w:hAnsi="Times New Roman;serif"/>
          <w:b w:val="false"/>
          <w:color w:val="000000"/>
          <w:sz w:val="20"/>
        </w:rPr>
        <w:t xml:space="preserve">nd Jazz exclusive rights to develop and commercialize zanidatamab in different territories. Zanidatamab is currently being evaluated in multiple global clinical trials as a potential best-in-class treatment for patients with HER2-expressing cancers. </w:t>
      </w:r>
    </w:p>
    <w:p>
      <w:pPr>
        <w:pStyle w:val="TextBody"/>
        <w:bidi w:val="0"/>
        <w:spacing w:lineRule="auto" w:line="288" w:before="240" w:after="283"/>
        <w:jc w:val="left"/>
        <w:rPr/>
      </w:pPr>
      <w:r>
        <w:rPr>
          <w:rFonts w:ascii="Times New Roman;serif" w:hAnsi="Times New Roman;serif"/>
          <w:b w:val="false"/>
          <w:color w:val="000000"/>
          <w:sz w:val="20"/>
        </w:rPr>
        <w:t xml:space="preserve">In 2024, the FDA granted accelerated approval of Ziihera® (zanidatamab-hrii) 50mg/mL for injection for intravenous use for the treatment of adults with previously-treated, unresectable or metastatic HER2-positive (“HER2+”) (IHC 3+) second-line biliary tract cancer (“BTC”). Ziihera® is the first and only dual HER2-targeted bispecific antibody approved for HER2+ BTC in the United States. In May 2025, the National Medical Products Administration (“NMPA”) in China granted conditional approval of zanidatamab for the treatment of patients with previously treated, unresectable or metastatic HER2+ BTC. In July 2025, the European Commission granted conditional marketing authorization of Ziihera® for the treatment of adults with unresectable locally advanced or metastatic HER2+ BTC. </w:t>
      </w:r>
      <w:r>
        <w:rPr>
          <w:rFonts w:ascii="Times New Roman;serif" w:hAnsi="Times New Roman;serif"/>
          <w:b w:val="false"/>
          <w:color w:val="000000"/>
          <w:sz w:val="20"/>
          <w:shd w:fill="FFFFFF" w:val="clear"/>
        </w:rPr>
        <w:t xml:space="preserve">With initial uptake in BTC in the United States, China, and Europe, we look forward to reporting on the top-line </w:t>
      </w:r>
      <w:r>
        <w:rPr>
          <w:rFonts w:ascii="Times New Roman;serif" w:hAnsi="Times New Roman;serif"/>
          <w:b w:val="false"/>
          <w:color w:val="000000"/>
          <w:sz w:val="20"/>
        </w:rPr>
        <w:t>progression-free survival (“PFS”)</w:t>
      </w:r>
      <w:r>
        <w:rPr>
          <w:color w:val="000000"/>
          <w:shd w:fill="FFFFFF" w:val="clear"/>
        </w:rPr>
        <w:t xml:space="preserve"> </w:t>
      </w:r>
      <w:r>
        <w:rPr>
          <w:rFonts w:ascii="Times New Roman;serif" w:hAnsi="Times New Roman;serif"/>
          <w:b w:val="false"/>
          <w:color w:val="000000"/>
          <w:sz w:val="20"/>
          <w:shd w:fill="FFFFFF" w:val="clear"/>
        </w:rPr>
        <w:t xml:space="preserve">data from the HERIZON-GEA-01 study of Ziihera® expected in 4Q-2025. Zanidatamab is also under development for multiple HER2-expressing indications. For additional information regarding these agreements with BeOne and Jazz, see the section titled “Strategic Partnerships and Collaborations” below.  </w:t>
      </w:r>
    </w:p>
    <w:p>
      <w:pPr>
        <w:pStyle w:val="TextBody"/>
        <w:bidi w:val="0"/>
        <w:spacing w:lineRule="auto" w:line="27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Other than the receipt of royalties on sales of zanidatamab and regulatory milestone payments relating to the regulatory approval of zanidatamab, we have not generated any revenue related to product approvals or the sale of approved products as of September 30, 2025, and, other than the anticipated receipt of additional royalties and potential regulatory milestone payments relating to future regulatory decisions and sales of zanidatamab, we do not expect to do so until such time as we obtain regulatory approval and commercialize one or more of our product candidates. We cannot be certain of the timing or success of approval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initial public offering (“IPO”) in 2017, we have funded our operations primarily through follow-on public offerings, including the issuance of pre-funded warrants, and payments received under our license and collaboration agreements. Payments received or receivables from our license and collaboration agreements include upfront fees, milestone and royalty payments, as well as research support and reimbursement payments. Prior to our IPO, we also received financing from private equity placements and the issuance of convertible debt, which was subsequently converted into equity securities, and a credit facility. From inception to September 30, 2025, we received $1,019.4 million, net of equity issuance costs, from these sources of financing including proceeds from exercises of stock options and employee stock purchase plans. As of September 30, 2025, we had $299.4 million of cash resources consisting of cash, cash equivalents and marketable securities.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upon our current operating plan, we anticipate that our existing cash and cash equivalents and marketable securities as of September 30, 2025 will enable us to fund our operating expenditures and capital expenditure requirements for at least the next twelve months from the date of this Quarterly Report on Form 10-Q is filed with the SEC.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reported a net loss of $39.9 million for the nine months ended September 30, 2025 and through September 30, 2025, we had an accumulated deficit of $886.5 million. Over the next several years, we expect to continue to incur losses as we increase our research and development expenditures in connection with the ongoing development of our product candidates and other clinical, preclinical and regulatory activities.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Wholly-Owned Pipeline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wholly-owned programs include novel antibody drug conjugate (“ADC”) and multispecific antibody therapeutics (“MSAT”) candidates, such as T cell engagers (“TCEs”), focusing on highly-expressed targets which provide opportunities for benchmarking in preclinical development and expected clinical differentiation. Our ADC candidates exploit our proprietary topoisomerase 1 inhibitor (“TOPO1i”) payload, ZD06519, while exploring alternate mechanisms of action for longer-term development and leveraging validated peptide-cleavable linkers and stochastic conjugations. With potential for enhanced activity compared to combination therapy, our current MSAT candidates are developed with 2+1 bispecific or trispecific (with co-stimulation or checkpoint inhibition) TCE engineering. These approaches are designed to optimize tumor cell engagement and enhance T cell activation to increase anti-tumor activity while also minimizing cytokine release and off-tumor toxicities.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Antibody Drug Conjugates (ADCs) </w:t>
      </w:r>
    </w:p>
    <w:p>
      <w:pPr>
        <w:pStyle w:val="TextBody"/>
        <w:bidi w:val="0"/>
        <w:spacing w:lineRule="auto" w:line="288" w:before="240" w:after="283"/>
        <w:jc w:val="left"/>
        <w:rPr/>
      </w:pPr>
      <w:r>
        <w:rPr>
          <w:rFonts w:ascii="Times New Roman;serif" w:hAnsi="Times New Roman;serif"/>
          <w:b/>
          <w:i/>
          <w:color w:val="000000"/>
          <w:sz w:val="20"/>
        </w:rPr>
        <w:t>ZW191:</w:t>
      </w:r>
      <w:r>
        <w:rPr>
          <w:color w:val="000000"/>
        </w:rPr>
        <w:t xml:space="preserve"> </w:t>
      </w:r>
      <w:r>
        <w:rPr>
          <w:rFonts w:ascii="Times New Roman;serif" w:hAnsi="Times New Roman;serif"/>
          <w:b w:val="false"/>
          <w:color w:val="000000"/>
          <w:sz w:val="20"/>
        </w:rPr>
        <w:t>A clinical-stage ADC that targets folate receptor α (“FRα”)-expressing tumors including ovarian cancer, endometrial cancer, and non-small cell lung cancer (“NSCLC”), is built using our novel, bystander active, TOPO1i payload technology, ZD06519. The FRα-targeting monoclonal antibody incorporated in ZW191 was selected based on compelling internalization characteristics to enable targeting of high, mid, and low levels of FRα expression. A drug-antibody-ratio (“DAR”) of eight was selected due to the restricted expression profile of FRα in normal tissues and to enhance our ability to deliver payload to tumors with lower levels of FRα. FRα is a clinically validated target, found in approximately 75% of high-grade serous ovarian carcinomas, 50% of endometrial cancers, and in 70% of NSCLC. Preclinical data demonstrate strong ZW191 activity across a range of FRα-expressing patient-derived xenografts, including models with low levels of FRα. The ability to target lower levels of FRα is in part due to the DAR-eight format and the observed superior internalization, payload delivery, and tissue penetration derived from the ZW191 monoclonal antibody compared to other FRα monoclonal antibodies used in ADCs currently or previously in development. In a good laboratory practices (“GLP”) toxicology study, ZW191 achieved a highest non-severely toxic dose (“HNSTD”) in non-human primates of 60 mg/kg, which presents a compelling profile and enables the expectation of potentially achieving an efficacious dose level in the Phase 1 clinical trial. We are currently recruiting patients in an ongoing global Phase 1, open-label, multicenter study of ZW191, registered under NCT06555744 on clinicaltrials.gov. The study aims to enroll approximately 145 participants with advanced solid tumors, including ovarian, endometrial, and non-small cell lung cancers, across North America, Europe, and the Asia-Pacific region. The study is designed to evaluate the safety, tolerability, pharmacokinetics, and preliminary anti-tumor activity of ascending doses of ZW191. In October 2025, we presented initial clinical data from the Phase 1 trial. Based on the preliminary efficacy data and the tolerable safety profile observed, we intend to initiate dose optimization in ovarian cancer in 4Q-2025 to further evaluate ZW191’s clinical activity and safety to help inform our registrational strategy.</w:t>
      </w:r>
    </w:p>
    <w:p>
      <w:pPr>
        <w:pStyle w:val="TextBody"/>
        <w:bidi w:val="0"/>
        <w:spacing w:lineRule="auto" w:line="288" w:before="240" w:after="283"/>
        <w:jc w:val="left"/>
        <w:rPr/>
      </w:pPr>
      <w:r>
        <w:rPr>
          <w:rFonts w:ascii="Times New Roman;serif" w:hAnsi="Times New Roman;serif"/>
          <w:b/>
          <w:i/>
          <w:color w:val="000000"/>
          <w:sz w:val="20"/>
        </w:rPr>
        <w:t>ZW251:</w:t>
      </w:r>
      <w:r>
        <w:rPr>
          <w:color w:val="000000"/>
        </w:rPr>
        <w:t xml:space="preserve"> </w:t>
      </w:r>
      <w:r>
        <w:rPr>
          <w:rFonts w:ascii="Times New Roman;serif" w:hAnsi="Times New Roman;serif"/>
          <w:b w:val="false"/>
          <w:color w:val="000000"/>
          <w:sz w:val="20"/>
        </w:rPr>
        <w:t xml:space="preserve">A potential first-in-class clinical-stage ADC molecule designed for the treatment of glypican 3 (“GPC3”)-expressing hepatocellular carcinoma (“HCC”), incorporates the same Zymeworks proprietary bystander-active TOPO1i payload utilized in ZW191 (anti-FRα) and ZW220 (anti-sodium-dependent phosphate transporter 2b (“NaPi2b”)), ZD06519. The GPC3-targeting monospecific antibody incorporated in ZW251 was selected based on favorable binding and internalization properties to enable targeting of a range of GPC3-expressing tumors. A DAR of four was selected for this program as a lower DAR potentially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unlock a broader range of dose levels, a potential benefit as HCC patients are commonly challenged by impairment of liver function as a result of chronic liver disease and cirrhosis. GPC3, a glycosylphosphatidylinositol (“GPI”)-anchored cell surface oncofetal antigen, is over-expressed in most HCC patients (&gt;75%), and displays minimal normal adult tissue expression, making it an appealing ADC target. In preclinical studies, anti-tumor activity for ZW251 was observed in multiple patient-derived xenograft models of HCC reflecting a range of GPC3 over-expression. In non-GLP non-human primate studies, ZW251 was tolerated at doses up to 120 mg/kg, suggesting the potential for high doses in humans. We are encouraged by published research demonstrating the potential of targeting GPC3 with an antibody in HCC patients as evidenced by tumor localization of iodine radio-labeled condrituzumab, a clinical-stage anti-GPC3 monoclonal antibody, and believe that ADC-based targeting of GPC3 could enable a novel</w:t>
      </w:r>
      <w:r>
        <w:rPr>
          <w:color w:val="000000"/>
          <w:shd w:fill="FFFFFF" w:val="clear"/>
        </w:rPr>
        <w:t xml:space="preserve"> </w:t>
      </w:r>
      <w:r>
        <w:rPr>
          <w:rFonts w:ascii="Times New Roman;serif" w:hAnsi="Times New Roman;serif"/>
          <w:b w:val="false"/>
          <w:color w:val="000000"/>
          <w:sz w:val="20"/>
          <w:shd w:fill="FFFFFF" w:val="clear"/>
        </w:rPr>
        <w:t xml:space="preserve">and effective approach to treatment of HCC. </w:t>
      </w:r>
      <w:r>
        <w:rPr>
          <w:rFonts w:ascii="Times New Roman;serif" w:hAnsi="Times New Roman;serif"/>
          <w:b w:val="false"/>
          <w:color w:val="000000"/>
          <w:sz w:val="22"/>
          <w:shd w:fill="FFFFFF" w:val="clear"/>
        </w:rPr>
        <w:t>I</w:t>
      </w:r>
      <w:r>
        <w:rPr>
          <w:rFonts w:ascii="Times New Roman;serif" w:hAnsi="Times New Roman;serif"/>
          <w:b w:val="false"/>
          <w:color w:val="000000"/>
          <w:sz w:val="20"/>
          <w:shd w:fill="FFFFFF" w:val="clear"/>
        </w:rPr>
        <w:t xml:space="preserve">n July 2025, we announced that the investigational new drug (“IND”) application for ZW251, a first-in-class GPC3-targeting antibody drug conjugate, was cleared by the FDA. We are currently recruiting patients in an ongoing global Phase 1, open-label, multicenter study of ZW251, registered under NCT07164313 on clinicaltrials.gov. </w:t>
      </w:r>
      <w:r>
        <w:rPr>
          <w:rFonts w:ascii="Times New Roman;serif" w:hAnsi="Times New Roman;serif"/>
          <w:b w:val="false"/>
          <w:color w:val="000000"/>
          <w:sz w:val="20"/>
        </w:rPr>
        <w:t xml:space="preserve">The study aims to enroll approximately 100 participants with advanced solid tumors, including hepatocellular carcinoma (“HCC”), across North America, Europe, and the Asia-Pacific region. The study is designed to evaluate the safety, tolerability, pharmacokinetics, and preliminary anti-tumor activity of ZW251. </w:t>
      </w:r>
    </w:p>
    <w:p>
      <w:pPr>
        <w:pStyle w:val="TextBody"/>
        <w:bidi w:val="0"/>
        <w:spacing w:lineRule="auto" w:line="268" w:before="240" w:after="283"/>
        <w:jc w:val="left"/>
        <w:rPr/>
      </w:pPr>
      <w:r>
        <w:rPr>
          <w:rFonts w:ascii="Times New Roman;serif" w:hAnsi="Times New Roman;serif"/>
          <w:b/>
          <w:i/>
          <w:color w:val="000000"/>
          <w:sz w:val="20"/>
        </w:rPr>
        <w:t>ZW220:</w:t>
      </w:r>
      <w:r>
        <w:rPr>
          <w:color w:val="000000"/>
        </w:rPr>
        <w:t xml:space="preserve"> </w:t>
      </w:r>
      <w:r>
        <w:rPr>
          <w:rFonts w:ascii="Times New Roman;serif" w:hAnsi="Times New Roman;serif"/>
          <w:b w:val="false"/>
          <w:color w:val="000000"/>
          <w:sz w:val="20"/>
        </w:rPr>
        <w:t>An ADC that targets NaPi2b-expressing NSCLC and ovarian cancer, is built, like ZW191, using our proprietary bystander active TOPO1i payload technology, ZD06519. The strong and persistent bystander effect of the ZD06519 payload that we have observed in preclinical studies may help overcome NaPi2b heterogeneity across different cancers. The NaPi2b-targeting monospecific antibody incorporated in ZW220 was selected based on a favorable binding profile and enhanced internalization properties to enable targeting of both Napi2b-high and NaPi2b-low expressing tumors. Distinct from ZW191, ZW220 utilizes a DAR-four format paired with mutations in the fragment crystallizable (“Fc”) region to attenuate binding to Fc-gamma family receptors. These features were incorporated in ZW220 with the goal of minimizing potential toxicities associated with expression of NaPi2b in normal lung tissue. NaPi2b is expressed in approximately 83% of ovarian (serous) cancer, 81% of endometrial cancer, and 77% of adenocarcinoma NSCLC. Preclinical data demonstrate that ZW220 is active in models of ovarian cancer and NSCLC with strong anti-tumor activity observed in patient-derived xenograft models and growth inhibition observed in three-dimensional spheroid models. ZW220 is tolerated at high doses in non-GLP animal studies with a maximum tolerated dose (“MTD”) ≥90 mg/kg in non-human primates and ≥200 mg/kg in rats, suggesting the potential for high doses in humans. NaPi2b is a compelling ADC target, and we believe the design of ZW220 may overcome some of the challenges encountered with other NaPi2b-targeted ADCs, including Lifa-V, UpRi, and XMT-1592, and may potentially provide a safe and meaningful benefit to patients with NaPi2b-expressing tumors. We have paused the preparations for the commencement of a Phase 1 study of ZW220 to help facilitate the accelerated development of ZW251. However, we believe ZW220 remains a highly differentiated, IND-ready asset with strong clinical, commercial, and partnership potential.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Solid Tumors in Oncology: Multispecific Antibody Therapeutics (MSATs) </w:t>
      </w:r>
    </w:p>
    <w:p>
      <w:pPr>
        <w:pStyle w:val="TextBody"/>
        <w:bidi w:val="0"/>
        <w:spacing w:lineRule="auto" w:line="288" w:before="240" w:after="283"/>
        <w:jc w:val="left"/>
        <w:rPr/>
      </w:pPr>
      <w:r>
        <w:rPr>
          <w:rFonts w:ascii="Times New Roman;serif" w:hAnsi="Times New Roman;serif"/>
          <w:b/>
          <w:i/>
          <w:color w:val="000000"/>
          <w:sz w:val="20"/>
        </w:rPr>
        <w:t>ZW209:</w:t>
      </w:r>
      <w:r>
        <w:rPr>
          <w:color w:val="000000"/>
        </w:rPr>
        <w:t xml:space="preserve"> </w:t>
      </w:r>
      <w:r>
        <w:rPr>
          <w:rFonts w:ascii="Times New Roman;serif" w:hAnsi="Times New Roman;serif"/>
          <w:b w:val="false"/>
          <w:color w:val="000000"/>
          <w:sz w:val="20"/>
        </w:rPr>
        <w:t xml:space="preserve">A novel trispecific T cell engager (“TriTCE”) targeting Delta-like ligand 3 (“DLL3”)-expressing tumor cells, is designed using our clinically validated Azymetric and EFECT platforms. By leveraging obligate cis-T cell binding and conditional cluster of differentiation 28 (“CD28”) engagement, this potentially first-in-class molecule has been designed to prevent unintended T cell activation, while enabling tumor-targeted cytotoxicity. The innovative design has demonstrated differentiated long-term cytotoxicity in vitro at low E:T (effector to target) ratios, with enhanced T cell proliferation and survival, offering significant potential to increase durability of responses in DLL3-expressing cancers. We expect to submit an IND to commence Phase 1 clinical studies for ZW209 in 1H-2026, with equivalent non-U.S. applications to be submitted thereafter. </w:t>
      </w:r>
    </w:p>
    <w:p>
      <w:pPr>
        <w:pStyle w:val="TextBody"/>
        <w:bidi w:val="0"/>
        <w:spacing w:lineRule="auto" w:line="288" w:before="240" w:after="283"/>
        <w:jc w:val="left"/>
        <w:rPr/>
      </w:pPr>
      <w:r>
        <w:rPr>
          <w:rFonts w:ascii="Times New Roman;serif" w:hAnsi="Times New Roman;serif"/>
          <w:b/>
          <w:i/>
          <w:color w:val="000000"/>
          <w:sz w:val="20"/>
        </w:rPr>
        <w:t>ZW171:</w:t>
      </w:r>
      <w:r>
        <w:rPr>
          <w:color w:val="000000"/>
        </w:rPr>
        <w:t xml:space="preserve"> </w:t>
      </w:r>
      <w:r>
        <w:rPr>
          <w:rFonts w:ascii="Times New Roman;serif" w:hAnsi="Times New Roman;serif"/>
          <w:b w:val="false"/>
          <w:color w:val="000000"/>
          <w:sz w:val="20"/>
        </w:rPr>
        <w:t xml:space="preserve">A clinical-stage multispecific antibody built using our Azymetric platform, is a novel 2 + 1 format TCE targeting mesothelin (“MSLN”)-expressing cancers. ZW171 has a unique geometry, with two single-chain fragment variable arms targeting MSLN and one Fab arm targeting the cluster of differentiation 3 protein (“CD3”) component of the T cell receptor, to redirect the body’s natural immune system to fight cancer cells. Preclinical data demonstrated in vivo anti-tumor activity, with engagement in high-expressing cells but not low-expressing cells, mitigating the risk of on-target, off-tumor toxicities. MSLN has strong expression in ovarian cancer (~84%), with moderate to strong expression in NSCLC (~36%), making it an appealing target for therapeutic development with our proprietary TCE technology. In preclinical studies, ZW171 has demonstrated potent preferential killing of tumor cells expressing relatively medium to high thresholds of MSLN while sparing cell line models representative of normal tissue MSLN expression, demonstrating reduced potential for on-target-off tumor toxicity. Incorporation of a low affinity anti-CD3 binding domain further mitigates the risk of peripheral T cell activation and cytokine release syndrome. Preclinical data demonstrated that ZW171 exhibits greater anti-tumor activity compared to benchmark in MSLN-expressing tumor models and is well tolerated in cynomolgus monkeys up to 30 mg/kg. In September 2025, we announced the decision to voluntarily discontinue clinical development of ZW171.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Autoimmune and Inflammatory Diseases (AIID) </w:t>
      </w:r>
    </w:p>
    <w:p>
      <w:pPr>
        <w:pStyle w:val="TextBody"/>
        <w:bidi w:val="0"/>
        <w:spacing w:lineRule="auto" w:line="288" w:before="240" w:after="283"/>
        <w:jc w:val="left"/>
        <w:rPr/>
      </w:pPr>
      <w:r>
        <w:rPr>
          <w:rFonts w:ascii="Times New Roman;serif" w:hAnsi="Times New Roman;serif"/>
          <w:b/>
          <w:i/>
          <w:color w:val="000000"/>
          <w:sz w:val="20"/>
        </w:rPr>
        <w:t>ZW1528:</w:t>
      </w:r>
      <w:r>
        <w:rPr>
          <w:color w:val="000000"/>
        </w:rPr>
        <w:t xml:space="preserve"> </w:t>
      </w:r>
      <w:r>
        <w:rPr>
          <w:rFonts w:ascii="Times New Roman;serif" w:hAnsi="Times New Roman;serif"/>
          <w:b w:val="false"/>
          <w:color w:val="000000"/>
          <w:sz w:val="20"/>
        </w:rPr>
        <w:t>Our first program in AIID, is a novel IL-4R⍺ x IL-33 bispecific molecule designed to address respiratory inflammation such as mixed-type chronic obstructive pulmonary disease (“COPD”) by inhibiting multiple pathways. By blocking three cytokines (IL-4, IL-13 and IL-33) in a single biologic, ZW1528 offers a unique approach to inhibit clinically validated pathways. The bispecific antibody is designed to provide complete, prolonged IL-4R⍺ blockade with simultaneous blockade of IL-33. Based on non-clinical in vitro studies, the bispecific can independently suppress IL-13, IL-4 and IL-33 driven cell signaling equivalent to that achieved with anti-IL-4R⍺ monoclonal antibody (“mAb”) or anti-IL-33 clinical benchmarks mAbs. Furthermore, in preclinical studies, ZW1528-mediated blockade of cytokine-driven activation of human epithelial cells was superior to that achieved with mAbs targeting either IL-4R⍺ or IL-33, indicating potential benefits of dual blockade. Additionally, preclinical studies with human peripheral blood mononuclear cells (“PBMCs”) demonstrate ZW1528 provides blockade of IL-33 mediated effects beyond that achievable with an anti-IL33 benchmark mAb. With native Immunoglobulin G (“IgG”)-like geometry, ZW1528 demonstrates the potential for high manufacturability and incorporates half-life extending Fc modifications. We expect to subm</w:t>
      </w:r>
      <w:r>
        <w:rPr>
          <w:rFonts w:ascii="Times New Roman;serif" w:hAnsi="Times New Roman;serif"/>
          <w:b w:val="false"/>
          <w:color w:val="000000"/>
          <w:sz w:val="20"/>
          <w:shd w:fill="FFFFFF" w:val="clear"/>
        </w:rPr>
        <w:t>it a non-U.S. regulatory filing to commence Phase 1 clinical studies for ZW1528 in 2H-2026, with further non-U.S. applications to be submitted thereafter.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Continued Pipeline Development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develop and advance additional product candidates in multiple different product formats for selected therapeutic indications in solid tumors, hematological cancers, and AIID, with further potential IND applications in 2027 and beyond. With these candidates, we intend to continue innovating with increased novelty in targets and unique mechanisms of action through bispecific or biparatopic ADCs, dual-payload ADCs, multi-specific immune cell engagers and immune-oncology.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Our Proprietary Therapeutic Platforms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proprietary capabilities and technologies include several modular, complementary therapeutic platforms that can be used in combination with each other and with existing approaches. This ability to layer technologies without compromising manufacturability enables us to engineer next-generation biotherapeutics with multifunctional activity, which we believe will result in improved patient outcomes. Our platforms include: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Azymetric, our multispecific antibody platform, which enables therapeutic antibodies to simultaneously bind multiple distinct locations on a target (known as an epitope) or to multiple targets. This is achieved by tailoring multiple configurations of the antibody’s Fc and Fab regions (locations on the antibody to which epitopes bind);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Drug Conjugate Platforms, used to develop ADC candidates, are comprised of cytotoxins and the linker technologies used to couple these cytotoxins to tumor-targeting antibodies or proteins. These platforms can be used in conjunction with our other therapeutic platforms, including our multispecific antibody platform, to increase safety and efficacy as compared to existing ADC technologies;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EFECT, which enables finely tuned modulation (both up and down) of immune cell recruitment and function;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ProTECT, which enables tumor-specific activity that may reduce systemic toxicity and simultaneously enhances localized immune co-stimulation or checkpoint modulation that may increase efficacy.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protein engineering expertise and proprietary structure-guided molecular modeling capabilities enable these therapeutic platforms. Together with our internal antibody discovery and generation technologies, we have established a fully integrated drug development engine and toolkit capable of rapidly delivering a steady pipeline of next-generation product candidates in oncology and other therapeutic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Recent Developments</w:t>
      </w:r>
      <w:r>
        <w:rPr>
          <w:color w:val="EE2724"/>
        </w:rPr>
        <w:t xml:space="preserve"> </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Wholly-Owned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we announced the decision to voluntarily discontinue clinical development of ZW171.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presented new preclinical data for ZW1528 at the European Respiratory Society Congress.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initial clinical data from the Phase 1 trial of ZW191 were presented at the AACR-NCI-EORTC Conference on Molecular Targets and Cancer Therapeutics.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initial dosing for the first patient in the Phase 1 trial of ZW251 for the treatment of HCC.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we expect to present three preclinical poster presentations at the Society for Immunotherapy of Cancer, titled: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TriTCE Co-stim: A differentiated T cell engager platform with conditional cis CD28 co-stimulation is transferable to diverse targeting strategies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Design of a Next Generation Tumor Targeted Masked IL-12Fc for Enhanced Tolerability and Localized Anti-Tumor Activity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High-throughput quantitative characterization of cytotoxic antibody-drug conjugates using spheroid models reveals important considerations in potential molecular mechanisms of ADC resistance (co-authored with NeoGenomics)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Zanidatamab Program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2025, our partner Jazz presented updated data and a trial-in-progress poster on zanidatamab at the European Society for Medical Oncology (ESMO) congress. Jazz presented two poster presentations, titled: “A 2-Year Follow-Up of Zanidatamab + mFOLFOX6 ± Bevacizumab in First-Line Treatment of Patients With Human Epidermal Growth Factor Receptor 2 (HER2)-Positive Advanced/Metastatic Colorectal Cancer” and “DiscovHER PAN-206: Phase 2 Tumour-Agnostic Study of Zanidatamab in Patients With Previously Treated Human Epidermal Growth Factor Receptor 2–Overexpressing Solid Tumours.”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2025, our partner Jazz announced that the intent-to-treat population for the primary PFS and interim overall survival analyses of the HERIZON-GEA-01 trial will include the full patient population enrolled in the study of 920 patients. Top-line PFS data from zanidatamab in Phase 3 1L GEA are expected in 4Q-2025.</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royalty revenue from Jazz and BeOne was $1.0 million in the three months ended September 30, 2025, driven primarily by net product sales of Ziihera® by Jazz in the three months ended September 30, 2025.</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Partnership Updates</w:t>
      </w:r>
    </w:p>
    <w:p>
      <w:pPr>
        <w:pStyle w:val="TextBody"/>
        <w:bidi w:val="0"/>
        <w:spacing w:lineRule="auto" w:line="268" w:before="240" w:after="283"/>
        <w:jc w:val="left"/>
        <w:rPr/>
      </w:pPr>
      <w:r>
        <w:rPr>
          <w:rFonts w:ascii="Times New Roman;serif" w:hAnsi="Times New Roman;serif"/>
          <w:b w:val="false"/>
          <w:color w:val="000000"/>
          <w:sz w:val="20"/>
        </w:rPr>
        <w:t>In September 2025, we</w:t>
      </w:r>
      <w:r>
        <w:rPr>
          <w:color w:val="000000"/>
          <w:shd w:fill="FFFFFF" w:val="clear"/>
        </w:rPr>
        <w:t xml:space="preserve"> </w:t>
      </w:r>
      <w:r>
        <w:rPr>
          <w:rFonts w:ascii="Times New Roman;serif" w:hAnsi="Times New Roman;serif"/>
          <w:b w:val="false"/>
          <w:color w:val="000000"/>
          <w:sz w:val="20"/>
          <w:shd w:fill="FFFFFF" w:val="clear"/>
        </w:rPr>
        <w:t xml:space="preserve">recognized </w:t>
      </w:r>
      <w:r>
        <w:rPr>
          <w:rFonts w:ascii="Times New Roman;serif" w:hAnsi="Times New Roman;serif"/>
          <w:b w:val="false"/>
          <w:color w:val="000000"/>
          <w:sz w:val="20"/>
        </w:rPr>
        <w:t>a $25.0 million development milestone payment from our collaboration partner Johnson &amp; Johnson Innovative Medicine (previously known as Janssen Biotech, Inc.) (“J&amp;J”) related to clinical progress of pasritamig entering into a Phase 3 trial in metastatic castration-resistant prostate cancer. Pasritamig is a first-in-class, bispecific T-cell engager targeting human kallikrein 2 (KLK2), engineered using Zymeworks’ Azymetric platform. Under our agreement with J&amp;J, we have recognized cumulative milestone payments of $33.0 million (including the $25.0 million milestone noted above), and we remain eligible to receive development milestone payments of up to $61.0 million, commercial milestone payments of up to $373.0 million, and mid-single digit royalties on sales.</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2025, J&amp;J presented new data on pasritamig at ESMO in a poster presentation titled “Translational Analyses of T-cell Phenotypes and Their Association with Clinical Efficacy in the First-In-Human (FIH) Trial of JNJ-78278343 (Pasritamig) in Metastatic Castration-Resistant Prostate Cancer.”</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2025, we announced the appointments of Gregory A. Ciongoli and Robert E. Landry to the Company’s board of directors, effective August 10, 2025. Troy M. Cox, who served on Zymeworks’ board of directors since 2019, resigned from the board effective August 9, 2025.</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October 2025, we announced the appointment of Dr. Adam Schayowitz as Acting Chief Development Officer. In this newly created role, Dr. Schayowitz will work closely with our R&amp;D and Business Development teams to advance our broad portfolio of nominated product candidates, while supporting our strategy to integrate partnerships and collaborations into our current wholly-owned portfolio.</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November 4, 2025, we have completed $22.7 million of the remaining $30.0 million of our previously approved Repurchase Program for 1,439,068 shares of our common stock at an average price per share of $15.80 (exclusive of commission expense and estimated excise tax).</w:t>
      </w:r>
    </w:p>
    <w:p>
      <w:pPr>
        <w:pStyle w:val="TextBody"/>
        <w:bidi w:val="0"/>
        <w:spacing w:lineRule="auto" w:line="26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Dr. Nancy Davidson, Dr. Neil Gallagher and Mr. Derek Miller stepped down from the Zymeworks board of directors, effective November 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Strategic Partnerships and Collaborations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novel product candidates, together with our combination of proprietary protein engineering capabilities and resulting therapeutic platform technologies, have enabled us to enter into a number of strategic partnerships, many of which were subsequently expanded in scope. Our strategic partnerships and collaborations provide us with the ability to accelerate clinical development of our product candidates in certain geographical regions and provide our strategic partners with access to components of our proprietary therapeutic platforms for their own therapeutics development. In addition, these strategic partnerships have provided us with non-dilutive funding as well as access to proprietary therapeutic assets, which increase our ability to rapidly advance our product candidates while maintaining commercial rights to our own therapeutics.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the table below presents a summary of key aspects of our collaboration and licensing agreements as of September 30, 2025.</w:t>
      </w:r>
    </w:p>
    <w:p>
      <w:pPr>
        <w:pStyle w:val="TextBody"/>
        <w:bidi w:val="0"/>
        <w:spacing w:before="240" w:after="283"/>
        <w:jc w:val="left"/>
        <w:rPr/>
      </w:pPr>
      <w:r>
        <w:rPr/>
        <w:drawing>
          <wp:inline distT="0" distB="0" distL="0" distR="0">
            <wp:extent cx="6629400" cy="24479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6629400" cy="2447925"/>
                    </a:xfrm>
                    <a:prstGeom prst="rect">
                      <a:avLst/>
                    </a:prstGeom>
                  </pic:spPr>
                </pic:pic>
              </a:graphicData>
            </a:graphic>
          </wp:inline>
        </w:drawing>
      </w:r>
      <w:bookmarkStart w:id="0" w:name="i-1"/>
      <w:bookmarkEnd w:id="0"/>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68" w:before="6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Current stage represents the current preclinical, clinical or commercial stage of development for the particular program, as applicable.</w:t>
      </w:r>
    </w:p>
    <w:p>
      <w:pPr>
        <w:pStyle w:val="TextBody"/>
        <w:bidi w:val="0"/>
        <w:spacing w:lineRule="auto" w:line="276"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Tiered royalties of up to 19.5% of net sales in BeOne territories, increasing to up to 20% when cumulative amounts forgone as a result of a royalty reduction of 0.5% reaches a cap in the low double-digit millions of dollars.</w:t>
      </w:r>
    </w:p>
    <w:p>
      <w:pPr>
        <w:pStyle w:val="TextBody"/>
        <w:bidi w:val="0"/>
        <w:spacing w:lineRule="auto" w:line="276" w:before="0" w:after="0"/>
        <w:jc w:val="left"/>
        <w:rPr/>
      </w:pPr>
      <w:r>
        <w:rPr>
          <w:rFonts w:ascii="Times New Roman;serif" w:hAnsi="Times New Roman;serif"/>
          <w:b w:val="false"/>
          <w:color w:val="000000"/>
          <w:sz w:val="12"/>
        </w:rPr>
        <w:t xml:space="preserve">3 </w:t>
      </w:r>
      <w:r>
        <w:rPr>
          <w:rFonts w:ascii="Times New Roman;serif" w:hAnsi="Times New Roman;serif"/>
          <w:b w:val="false"/>
          <w:color w:val="000000"/>
          <w:sz w:val="18"/>
        </w:rPr>
        <w:t>Represents potential future milestone payments following recognition of $25.0 million development milestone in September 2025.</w:t>
      </w:r>
    </w:p>
    <w:p>
      <w:pPr>
        <w:pStyle w:val="TextBody"/>
        <w:bidi w:val="0"/>
        <w:spacing w:lineRule="auto" w:line="268" w:before="240" w:after="283"/>
        <w:jc w:val="left"/>
        <w:rPr/>
      </w:pPr>
      <w:r>
        <w:rPr>
          <w:rFonts w:ascii="Times New Roman;serif" w:hAnsi="Times New Roman;serif"/>
          <w:b w:val="false"/>
          <w:color w:val="000000"/>
          <w:sz w:val="20"/>
        </w:rPr>
        <w:t>Thr</w:t>
      </w:r>
      <w:r>
        <w:rPr>
          <w:rFonts w:ascii="Times New Roman;serif" w:hAnsi="Times New Roman;serif"/>
          <w:b w:val="false"/>
          <w:color w:val="000000"/>
          <w:sz w:val="20"/>
          <w:shd w:fill="FFFFFF" w:val="clear"/>
        </w:rPr>
        <w:t>ough c</w:t>
      </w:r>
      <w:r>
        <w:rPr>
          <w:rFonts w:ascii="Times New Roman;serif" w:hAnsi="Times New Roman;serif"/>
          <w:b w:val="false"/>
          <w:color w:val="000000"/>
          <w:sz w:val="20"/>
        </w:rPr>
        <w:t>ollaboration agreements with Jazz and BeOne relating to our programs for zanidatamab and zanidatamab zovodotin, we have received $491.0 million through September 30, 2025 in the form of non-refundable upfront payments and milestone payments. In addition, through these partnerships with Jazz and BeOne with respect to zanidatamab, as of September 30, 2025, we remain eligible to receive up to $1.51 billion in potential regulatory, development and commercial milestone payments, as well as tiered royalties on potential future product sales, pending receipt of applicable regulatory approvals. These partnerships have provided us with a significant source of non-dilutive funding and provide for additional future funding for our lead asset, zanidatamab. These partnerships also leverage our partners’ commercial infrastructure, helping accelerate the development and expanding the potential reach of our lead product candidates.</w:t>
      </w:r>
    </w:p>
    <w:p>
      <w:pPr>
        <w:pStyle w:val="TextBody"/>
        <w:bidi w:val="0"/>
        <w:spacing w:lineRule="auto" w:line="268" w:before="240" w:after="283"/>
        <w:jc w:val="left"/>
        <w:rPr/>
      </w:pPr>
      <w:r>
        <w:rPr>
          <w:rFonts w:ascii="Times New Roman;serif" w:hAnsi="Times New Roman;serif"/>
          <w:b w:val="false"/>
          <w:color w:val="000000"/>
          <w:sz w:val="20"/>
        </w:rPr>
        <w:t xml:space="preserve">In addition to the payments we have received through our collaboration agreements with Jazz and BeOne relating to zanidatamab and zanidatamab zovodotin, as of September 30, 2025, we have received $208.4 million in the form of non-refundable upfront and milestone payments from platform partnership and collaboration agreements. We continue to have revenue-generating strategic partnerships and collaborations with respect to our Azymetric, EFECT and drug conjugate therapeutic platforms with the following pharmaceutical companies: Celgene Corporation (now a Bristol-Myers Squibb company, “BMS”), GlaxoSmithKline Intellectual Property Development Limited (“GSK”), Daiichi Sankyo Co., Ltd. (“Daiichi Sankyo”), J&amp;J, and Merck Sharp &amp; Dohme Research GmbH (“Merck”). Through these strategic partnerships and collaborations, as of September 30, 2025, we remain eligible to receive up to $1.01 billion in preclinical and development milestone payments and up to $3.08 billion in commercial milestone payments, as well </w:t>
      </w:r>
      <w:r>
        <w:rPr>
          <w:rFonts w:ascii="Times New Roman;serif" w:hAnsi="Times New Roman;serif"/>
          <w:b w:val="false"/>
          <w:color w:val="000000"/>
          <w:sz w:val="20"/>
          <w:shd w:fill="FFFFFF" w:val="clear"/>
        </w:rPr>
        <w:t>as tiered royalties on potential future product sales, pending regulatory approval. It i</w:t>
      </w:r>
      <w:r>
        <w:rPr>
          <w:rFonts w:ascii="Times New Roman;serif" w:hAnsi="Times New Roman;serif"/>
          <w:b w:val="false"/>
          <w:color w:val="000000"/>
          <w:sz w:val="20"/>
        </w:rPr>
        <w:t>s possible, however, that our strategic partners’ programs will not advance as currently contemplated, which would negatively affect the amount of development and commercial milestone payments and royalties on potential future product sales we may receive. Importantly, these partnerships include predominantly non-target-exclusive licenses for any of our therapeutic platforms, so we maintain the ability to develop therapeutics directed to many high-value targets using our platforms. There have not been any material changes to the key terms of any of our licensing and collaboration agreements since December 31, 2024. For further information on the terms and conditions of our existing collaboration and license agreements, please refer to “Item 1. Business - Strategic Partnerships and Collaborations”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revenue consists of collaboration revenue, including amounts recognized relating to upfront non-refundable payments for licenses or options to obtain future licenses, research and development funding, milestone payments and royalties earned under collaboration and license agreements. We expect that collaboration revenue from our strategic partnerships will be our primary source of revenue for the foreseeable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primarily of research and development expenses and general and administrative expenses. Personnel costs, including salaries, benefits, bonuses and stock-based compensation expense, comprise a significant component of research and development and general and administrative expenses. We allocate certain indirect expenses associated with our facilities, information technology, depreciation and other overhead costs between research and development and general and administrative categories based on employee headcount and the nature of work performed by each employee.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of expenses incurred in performing research and development activities such as conducting clinical trials and preclinical research studies, technical and manufacturing operations, regulatory affairs and other indirect expenses in support of advancing our product candidates and therapeutic platforms. Research and development expenses include third-party program costs, internal personnel costs and other indirect costs as follows: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CROs, consultants, subcontractors and other third-party vendors for work performed for our clinical trials, preclinical studies and regulatory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paid to third-party manufacturers to produce our product candidate supplies;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amounts paid to vendors and suppliers for laboratory supplies;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fees, milestone payments and other expenses incurred in connection with license agreements and amendments;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employee-related expenses such as salaries and benefits and stock-based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depreciation of laboratory equipment, computers and leasehold improvements;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overhead expenses such as facilities, information technology and other allocated items.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It is difficult to determine with certainty the duration and completion costs of our current or future clinical trials and preclinical programs of our product candidates, or if, when or to what extent we will generate revenue other than zanidatamab royalties from the commercialization and sale of any of our product candidates that obtain regulatory approval. We may never succeed in achieving regulatory approval for any of our current or future product candidates. The duration, costs and timing of clinical trials and development of our product candidates will depend on a variety of factors, including the uncertainties of clinical trials and preclinical studies, uncertainties in clinical trial enrollment rates and significant and changing government regulation, tariffs and trade policies.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We expect our research and development expenses to increase in the future, subject to periodic fluctuations, as we continue to advance, expand and complete the clinical development of our product candidates, support our ongoing collaborations, and conduct our ongoing preclinical research activities.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benefits and stock-based compensation costs for employees in our executive, finance, legal, intellectual property, business development, human resources and other support functions, as well as legal and professional fees, business insurance, facilities and information technology costs and other expenses. Our general and administrative expenses may increase in the future as we expand or modify our infrastructure to support our ongoing research and development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interest income and foreign exchange gain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are those policies that require the most significant judgments and estimates in the preparation of our interim condensed consolidated financial statements. A summary of our critical accounting policies is presented in note 2 of our annual consolidated financial statements for the year ended December 31, 2024.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management’s discussion and analysis of financial condition and results of operations is based on our interim condensed consolidated financial statements, which have been prepared in accordance with U.S. GAAP. The preparation of these interim condensed consolidated financial statements requires us to make estimates, judgments and assumptions that are inherently uncertain that affect the amounts reported in the interim condensed consolidated financial statements and accompanying notes.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 and expenses. Actual results and experiences may differ from these estimates. The results of any material revisions would be reflected in the interim condensed consolidated financial statements prospectively from the date of the change in estimate.</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significant judgments and estimates during the three and nine months ended September 30, 2025 as compared to what has been described in our most recent annual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recent accounting pronouncements is presented in note 3 of our interim condensed consolidated financial statements for the quarter ended September 30, 2025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20" w:after="283"/>
        <w:jc w:val="left"/>
        <w:rPr/>
      </w:pPr>
      <w:r>
        <w:rPr/>
      </w:r>
    </w:p>
    <w:p>
      <w:pPr>
        <w:pStyle w:val="TextBody"/>
        <w:bidi w:val="0"/>
        <w:spacing w:lineRule="auto" w:line="276" w:before="0" w:after="0"/>
        <w:jc w:val="left"/>
        <w:rPr/>
      </w:pPr>
      <w:bookmarkStart w:id="1" w:name="i5aabf17514ca4aa0a001c4326eb72903_8040"/>
      <w:bookmarkEnd w:id="1"/>
      <w:r>
        <w:rPr>
          <w:rFonts w:ascii="Times New Roman;serif" w:hAnsi="Times New Roman;serif"/>
          <w:b/>
          <w:color w:val="000000"/>
          <w:sz w:val="20"/>
        </w:rPr>
        <w:t>Results of Operations for the Three and Nine Months Ended September 30, 2025 and 2024</w:t>
      </w:r>
      <w:r>
        <w:rPr>
          <w:color w:val="EE2724"/>
        </w:rPr>
        <w:t xml:space="preserve"> </w:t>
      </w:r>
    </w:p>
    <w:p>
      <w:pPr>
        <w:pStyle w:val="TextBody"/>
        <w:bidi w:val="0"/>
        <w:spacing w:lineRule="auto" w:line="288" w:before="300" w:after="240"/>
        <w:jc w:val="left"/>
        <w:rPr>
          <w:rFonts w:ascii="Times New Roman;serif" w:hAnsi="Times New Roman;serif"/>
          <w:b/>
          <w:i/>
          <w:color w:val="000000"/>
          <w:sz w:val="20"/>
        </w:rPr>
      </w:pPr>
      <w:r>
        <w:rPr>
          <w:rFonts w:ascii="Times New Roman;serif" w:hAnsi="Times New Roman;serif"/>
          <w:b/>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588"/>
        <w:gridCol w:w="516"/>
        <w:gridCol w:w="306"/>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180"/>
        <w:gridCol w:w="181"/>
        <w:gridCol w:w="271"/>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33"/>
        <w:gridCol w:w="233"/>
        <w:gridCol w:w="317"/>
      </w:tblGrid>
      <w:tr>
        <w:trPr/>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research and collaborations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 relates primarily to non-recurring upfront fees, expansion payments or milestone payments from our licensing and collaboration agreements. </w:t>
      </w:r>
    </w:p>
    <w:p>
      <w:pPr>
        <w:pStyle w:val="TextBody"/>
        <w:bidi w:val="0"/>
        <w:spacing w:lineRule="auto" w:line="268" w:before="180" w:after="283"/>
        <w:jc w:val="left"/>
        <w:rPr/>
      </w:pPr>
      <w:r>
        <w:rPr>
          <w:rFonts w:ascii="Times New Roman;serif" w:hAnsi="Times New Roman;serif"/>
          <w:b w:val="false"/>
          <w:color w:val="000000"/>
          <w:sz w:val="20"/>
        </w:rPr>
        <w:t xml:space="preserve">Total revenue increased by $11.6 million in the three months ended September 30, 2025 compared to the same period in 2024. Revenue for the three months ended September 30, 2025 included </w:t>
      </w:r>
      <w:r>
        <w:rPr>
          <w:rFonts w:ascii="Times New Roman;serif" w:hAnsi="Times New Roman;serif"/>
          <w:b w:val="false"/>
          <w:color w:val="000000"/>
          <w:sz w:val="20"/>
          <w:shd w:fill="FFFFFF" w:val="clear"/>
        </w:rPr>
        <w:t>$25.0</w:t>
      </w:r>
      <w:r>
        <w:rPr>
          <w:color w:val="000000"/>
        </w:rPr>
        <w:t xml:space="preserve"> </w:t>
      </w:r>
      <w:r>
        <w:rPr>
          <w:rFonts w:ascii="Times New Roman;serif" w:hAnsi="Times New Roman;serif"/>
          <w:b w:val="false"/>
          <w:color w:val="000000"/>
          <w:sz w:val="20"/>
        </w:rPr>
        <w:t xml:space="preserve">million of non-refundable milestone revenue from J&amp;J due to the achievement of research milestones in the Phase 3 clinical trial of pasritamig, </w:t>
      </w:r>
      <w:r>
        <w:rPr>
          <w:rFonts w:ascii="Times New Roman;serif" w:hAnsi="Times New Roman;serif"/>
          <w:b w:val="false"/>
          <w:color w:val="000000"/>
          <w:sz w:val="20"/>
          <w:shd w:fill="FFFFFF" w:val="clear"/>
        </w:rPr>
        <w:t>$1.4 million for development support and drug supply revenue from Jazz and $1.0 million of royalty revenue from Jazz and BeOne.</w:t>
      </w:r>
      <w:r>
        <w:rPr>
          <w:color w:val="000000"/>
        </w:rPr>
        <w:t xml:space="preserve"> </w:t>
      </w:r>
      <w:r>
        <w:rPr>
          <w:rFonts w:ascii="Times New Roman;serif" w:hAnsi="Times New Roman;serif"/>
          <w:b w:val="false"/>
          <w:color w:val="000000"/>
          <w:sz w:val="20"/>
          <w:shd w:fill="FFFFFF" w:val="clear"/>
        </w:rPr>
        <w:t xml:space="preserve">Additionally, revenue included </w:t>
      </w:r>
      <w:r>
        <w:rPr>
          <w:rFonts w:ascii="Times New Roman;serif" w:hAnsi="Times New Roman;serif"/>
          <w:b w:val="false"/>
          <w:color w:val="000000"/>
          <w:sz w:val="20"/>
        </w:rPr>
        <w:t>a $0.3 million fee upon extension of the research term under our 2020 licensing agreement with Merck.</w:t>
      </w:r>
      <w:r>
        <w:rPr>
          <w:color w:val="000000"/>
          <w:shd w:fill="FFFFFF" w:val="clear"/>
        </w:rPr>
        <w:t xml:space="preserve"> </w:t>
      </w:r>
      <w:r>
        <w:rPr>
          <w:rFonts w:ascii="Times New Roman;serif" w:hAnsi="Times New Roman;serif"/>
          <w:b w:val="false"/>
          <w:color w:val="000000"/>
          <w:sz w:val="20"/>
          <w:shd w:fill="FFFFFF" w:val="clear"/>
        </w:rPr>
        <w:t>Revenue for the same period in 2024 included $12.1 million for development support and drug supply revenue from Jazz and $2.5 million of milestone revenue from GSK in relation to the sequence pair nomination under the 2016 licensing agreement, and $1.4 million of drug supply revenue from BeOne.</w:t>
      </w:r>
    </w:p>
    <w:p>
      <w:pPr>
        <w:pStyle w:val="TextBody"/>
        <w:bidi w:val="0"/>
        <w:spacing w:lineRule="auto" w:line="288" w:before="240" w:after="283"/>
        <w:jc w:val="left"/>
        <w:rPr/>
      </w:pPr>
      <w:r>
        <w:rPr>
          <w:rFonts w:ascii="Times New Roman;serif" w:hAnsi="Times New Roman;serif"/>
          <w:b w:val="false"/>
          <w:color w:val="000000"/>
          <w:sz w:val="20"/>
          <w:shd w:fill="FFFFFF" w:val="clear"/>
        </w:rPr>
        <w:t>Total revenue increased by $58.2 million in the nine months ended September 30, 2025 compared to the same</w:t>
      </w:r>
      <w:r>
        <w:rPr>
          <w:color w:val="000000"/>
        </w:rPr>
        <w:t xml:space="preserve"> </w:t>
      </w:r>
      <w:r>
        <w:rPr>
          <w:rFonts w:ascii="Times New Roman;serif" w:hAnsi="Times New Roman;serif"/>
          <w:b w:val="false"/>
          <w:color w:val="000000"/>
          <w:sz w:val="20"/>
        </w:rPr>
        <w:t xml:space="preserve">period in 2024. Revenue for the nine months ended September 30, 2025 included </w:t>
      </w:r>
      <w:r>
        <w:rPr>
          <w:rFonts w:ascii="Times New Roman;serif" w:hAnsi="Times New Roman;serif"/>
          <w:b w:val="false"/>
          <w:color w:val="000000"/>
          <w:sz w:val="20"/>
          <w:shd w:fill="FFFFFF" w:val="clear"/>
        </w:rPr>
        <w:t>$25.0 million</w:t>
      </w:r>
      <w:r>
        <w:rPr>
          <w:color w:val="000000"/>
        </w:rPr>
        <w:t xml:space="preserve"> </w:t>
      </w:r>
      <w:r>
        <w:rPr>
          <w:rFonts w:ascii="Times New Roman;serif" w:hAnsi="Times New Roman;serif"/>
          <w:b w:val="false"/>
          <w:color w:val="000000"/>
          <w:sz w:val="20"/>
        </w:rPr>
        <w:t xml:space="preserve">of non-refundable milestone revenue from J&amp;J due to the achievement of research milestones in the Phase 3 clinical trial of pasritamig, $14.0 million of milestone revenue from GSK in relation to a clinical milestone under our 2016 platform technology transfer and license agreement, $3.1 million of milestone revenue from Daiichi Sankyo following the first patient dosed in a clinical trial related to the 2018 license agreement,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$7.5 million fee upon BMS’s exercise of its commercial license option in relation to our 2014 licensing and collaboration agreement with BMS, $20.0 million of non-refundable milestone revenue from BeOne upon conditional approval of the BLA for zanidatamab for second-line treatment of HER2+ BTC by the NMPA in China, as well as the recognition of $18.3 million of deferred revenue in relation to the achievement of that milestone. Additionally, revenue included $13.3 million for development support and drug supply revenue and $1.6 million of royalty revenue from Jazz, and $0.2 million of drug supply revenue and $0.2 million of royalty revenue from BeOne and a $0.3 million fee upon extension of the research term under our 2020 licensing agreement with Merck. Revenue for the same period in 2024 included $32.8 million for development support and drug supply revenue from Jazz, $8.0 million of milestone revenue from BeOne in relation to the acceptance by the CDE of the NMPA in China of the BLA for zanidatamab for second-line treatment of HER2+ BTC, $2.5 million of milestone revenue from GSK in relation to the sequence pair nomination under the 2016 licensing agreement, $1.8 million from BeOne for drug supply revenue and $0.2 million from our partners for research support and other payments.  </w:t>
      </w:r>
    </w:p>
    <w:p>
      <w:pPr>
        <w:pStyle w:val="TextBody"/>
        <w:bidi w:val="0"/>
        <w:spacing w:lineRule="auto" w:line="268" w:before="3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w:t>
      </w:r>
    </w:p>
    <w:p>
      <w:pPr>
        <w:pStyle w:val="TextBody"/>
        <w:bidi w:val="0"/>
        <w:spacing w:lineRule="auto" w:line="288" w:before="24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11"/>
        <w:gridCol w:w="506"/>
        <w:gridCol w:w="316"/>
        <w:gridCol w:w="211"/>
        <w:gridCol w:w="511"/>
        <w:gridCol w:w="109"/>
        <w:gridCol w:w="109"/>
        <w:gridCol w:w="109"/>
        <w:gridCol w:w="109"/>
        <w:gridCol w:w="211"/>
        <w:gridCol w:w="511"/>
        <w:gridCol w:w="109"/>
        <w:gridCol w:w="109"/>
        <w:gridCol w:w="109"/>
        <w:gridCol w:w="109"/>
        <w:gridCol w:w="211"/>
        <w:gridCol w:w="425"/>
        <w:gridCol w:w="109"/>
        <w:gridCol w:w="109"/>
        <w:gridCol w:w="109"/>
        <w:gridCol w:w="109"/>
        <w:gridCol w:w="233"/>
        <w:gridCol w:w="233"/>
        <w:gridCol w:w="271"/>
        <w:gridCol w:w="109"/>
        <w:gridCol w:w="109"/>
        <w:gridCol w:w="109"/>
        <w:gridCol w:w="211"/>
        <w:gridCol w:w="616"/>
        <w:gridCol w:w="109"/>
        <w:gridCol w:w="109"/>
        <w:gridCol w:w="109"/>
        <w:gridCol w:w="109"/>
        <w:gridCol w:w="211"/>
        <w:gridCol w:w="511"/>
        <w:gridCol w:w="109"/>
        <w:gridCol w:w="109"/>
        <w:gridCol w:w="109"/>
        <w:gridCol w:w="109"/>
        <w:gridCol w:w="211"/>
        <w:gridCol w:w="425"/>
        <w:gridCol w:w="109"/>
        <w:gridCol w:w="109"/>
        <w:gridCol w:w="109"/>
        <w:gridCol w:w="109"/>
        <w:gridCol w:w="218"/>
        <w:gridCol w:w="190"/>
        <w:gridCol w:w="319"/>
      </w:tblGrid>
      <w:tr>
        <w:trPr/>
        <w:tc>
          <w:tcPr>
            <w:tcW w:w="71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research and development program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Zanidatamab</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Zanidatamab zovodotin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ZW171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ZW191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ZW220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ZW251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preclinical and research programs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departmental research and development expenses: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unallocated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 decreased by $0.8 million for the three months ended September 30, 2025 compared to the same period in 2024. The decrease was primarily due to a reduction in in expenses for ZW220, as IND enabling toxicology studies were largely completed in early 2025 before the pause on this program, and a decrease in expenses for ZW251, due to the completion of manufacturing activities for clinical drug supply in 2024 which were partly offset by an increase in clinical start-up activities. Expenses for zanidatamab decreased as a result of reduced clinical support provided to Jazz following BLA approval in 2024 and expenses for zanidatamab zovodotin decreased as this program was discontinued. The decrease was partially offset by an increase in other preclinical and research program expenses, primarily due to expenses for GMP manufacturing and toxicology studies for ZW209 and IND enabling studies for ZW1528, and higher costs for ZW171 and ZW191, due to the progression of clinical studies.</w:t>
      </w:r>
    </w:p>
    <w:p>
      <w:pPr>
        <w:pStyle w:val="TextBody"/>
        <w:bidi w:val="0"/>
        <w:spacing w:lineRule="auto" w:line="268" w:before="240" w:after="283"/>
        <w:jc w:val="left"/>
        <w:rPr/>
      </w:pPr>
      <w:r>
        <w:rPr>
          <w:rFonts w:ascii="Times New Roman;serif" w:hAnsi="Times New Roman;serif"/>
          <w:b w:val="false"/>
          <w:color w:val="000000"/>
          <w:sz w:val="20"/>
        </w:rPr>
        <w:t>Research and development expense increased by $8.2 million for the nine months ended September 30, 2025 compared to the same period in 2024. The increase in research and development expense was primarily due to other preclinical and research program expenses, due to expenses for GMP manufacturing toxicology studies and other IND enabling studies for ZW209 and ZW1528. Costs increased in ZW171, ZW191 and ZW251 due to the progression of the clinical studies, clinical drug supply expenses and start-up costs. These were partially offset by a decrease in expenses for ZW220 as a majority of the preclinical development studies were completed and due to the decision to pause this program; a decrease in expenses for zanidatamab as a result of reduced clinical support provided to Jazz following BLA approval in 2024, and a decrease in expenses for zanidatamab zovodotin as this program was discontinued. The increase in stock-based compensation expense in 2025 was primarily due to new stock award grants in 2025. Other unallocated expenses increased primarily due to reversal of a contingent liability provision in 2024 following the decision to discontinue zanidatamab zovodotin program and an increase in consulting and facilities expense</w:t>
      </w:r>
      <w:r>
        <w:rPr>
          <w:rFonts w:ascii="Times New Roman;serif" w:hAnsi="Times New Roman;serif"/>
          <w:b w:val="false"/>
          <w:color w:val="000000"/>
          <w:sz w:val="20"/>
          <w:shd w:fill="FFFFFF" w:val="clear"/>
        </w:rPr>
        <w: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360" w:after="60"/>
        <w:jc w:val="left"/>
        <w:rPr>
          <w:rFonts w:ascii="Times New Roman;serif" w:hAnsi="Times New Roman;serif"/>
          <w:b/>
          <w:i/>
          <w:color w:val="000000"/>
          <w:sz w:val="20"/>
        </w:rPr>
      </w:pPr>
      <w:r>
        <w:rPr>
          <w:rFonts w:ascii="Times New Roman;serif" w:hAnsi="Times New Roman;serif"/>
          <w:b/>
          <w:i/>
          <w:color w:val="000000"/>
          <w:sz w:val="20"/>
        </w:rPr>
        <w:t>General and Administrative Expense</w:t>
      </w:r>
    </w:p>
    <w:tbl>
      <w:tblPr>
        <w:tblW w:w="10205" w:type="dxa"/>
        <w:jc w:val="left"/>
        <w:tblInd w:w="0" w:type="dxa"/>
        <w:tblLayout w:type="fixed"/>
        <w:tblCellMar>
          <w:top w:w="28" w:type="dxa"/>
          <w:left w:w="28" w:type="dxa"/>
          <w:bottom w:w="28" w:type="dxa"/>
          <w:right w:w="28" w:type="dxa"/>
        </w:tblCellMar>
      </w:tblPr>
      <w:tblGrid>
        <w:gridCol w:w="805"/>
        <w:gridCol w:w="526"/>
        <w:gridCol w:w="404"/>
        <w:gridCol w:w="211"/>
        <w:gridCol w:w="511"/>
        <w:gridCol w:w="109"/>
        <w:gridCol w:w="109"/>
        <w:gridCol w:w="109"/>
        <w:gridCol w:w="109"/>
        <w:gridCol w:w="211"/>
        <w:gridCol w:w="511"/>
        <w:gridCol w:w="109"/>
        <w:gridCol w:w="109"/>
        <w:gridCol w:w="109"/>
        <w:gridCol w:w="109"/>
        <w:gridCol w:w="211"/>
        <w:gridCol w:w="429"/>
        <w:gridCol w:w="109"/>
        <w:gridCol w:w="109"/>
        <w:gridCol w:w="109"/>
        <w:gridCol w:w="109"/>
        <w:gridCol w:w="192"/>
        <w:gridCol w:w="192"/>
        <w:gridCol w:w="271"/>
        <w:gridCol w:w="109"/>
        <w:gridCol w:w="109"/>
        <w:gridCol w:w="109"/>
        <w:gridCol w:w="211"/>
        <w:gridCol w:w="511"/>
        <w:gridCol w:w="109"/>
        <w:gridCol w:w="109"/>
        <w:gridCol w:w="109"/>
        <w:gridCol w:w="109"/>
        <w:gridCol w:w="211"/>
        <w:gridCol w:w="511"/>
        <w:gridCol w:w="109"/>
        <w:gridCol w:w="109"/>
        <w:gridCol w:w="109"/>
        <w:gridCol w:w="109"/>
        <w:gridCol w:w="211"/>
        <w:gridCol w:w="429"/>
        <w:gridCol w:w="109"/>
        <w:gridCol w:w="109"/>
        <w:gridCol w:w="109"/>
        <w:gridCol w:w="109"/>
        <w:gridCol w:w="190"/>
        <w:gridCol w:w="194"/>
        <w:gridCol w:w="320"/>
      </w:tblGrid>
      <w:tr>
        <w:trPr/>
        <w:tc>
          <w:tcPr>
            <w:tcW w:w="80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(dollars 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 consulting and business insurance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$0.2 million for the three months ended September 30, 2025 compared to the same period in 2024. The increase in general and administrative expense was primarily due to an increase in stock-based compensation expense as a result of new stock award grants in 2025 and an increase in consulting fees. This was partially offset by a decrease in salaries and benefits due to reduced headcount as well as a decrease in information technology expenses.</w:t>
      </w:r>
    </w:p>
    <w:p>
      <w:pPr>
        <w:pStyle w:val="TextBody"/>
        <w:bidi w:val="0"/>
        <w:spacing w:lineRule="auto" w:line="268" w:before="24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by $0.8 million for the nine months ended September 30, 2025 compared to the same period in 2024. The increase in general and administrative expense was primarily due to an increase in stock-based compensation expense as a result of new stock award grants in 2025, an increase in amortization expenses for information technology systems and an increase in professional fees. This was partially offset by a decrease in salaries and benefits due to reduced headcount, a decrease in rent expense due to the termination of our long-term facility lease in Seattle in 2024, as well as a decrease in expenses for software subscriptions.</w:t>
      </w:r>
    </w:p>
    <w:p>
      <w:pPr>
        <w:pStyle w:val="TextBody"/>
        <w:bidi w:val="0"/>
        <w:spacing w:lineRule="auto" w:line="276" w:before="360" w:after="360"/>
        <w:jc w:val="left"/>
        <w:rPr>
          <w:rFonts w:ascii="Times New Roman;serif" w:hAnsi="Times New Roman;serif"/>
          <w:b/>
          <w:i/>
          <w:color w:val="000000"/>
          <w:sz w:val="20"/>
        </w:rPr>
      </w:pPr>
      <w:r>
        <w:rPr>
          <w:rFonts w:ascii="Times New Roman;serif" w:hAnsi="Times New Roman;serif"/>
          <w:b/>
          <w:i/>
          <w:color w:val="000000"/>
          <w:sz w:val="20"/>
        </w:rPr>
        <w:t>Impairment on Acquired IPR&amp;D</w:t>
      </w:r>
    </w:p>
    <w:tbl>
      <w:tblPr>
        <w:tblW w:w="10205" w:type="dxa"/>
        <w:jc w:val="left"/>
        <w:tblInd w:w="0" w:type="dxa"/>
        <w:tblLayout w:type="fixed"/>
        <w:tblCellMar>
          <w:top w:w="28" w:type="dxa"/>
          <w:left w:w="28" w:type="dxa"/>
          <w:bottom w:w="28" w:type="dxa"/>
          <w:right w:w="28" w:type="dxa"/>
        </w:tblCellMar>
      </w:tblPr>
      <w:tblGrid>
        <w:gridCol w:w="744"/>
        <w:gridCol w:w="548"/>
        <w:gridCol w:w="512"/>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03"/>
        <w:gridCol w:w="203"/>
        <w:gridCol w:w="271"/>
        <w:gridCol w:w="109"/>
        <w:gridCol w:w="109"/>
        <w:gridCol w:w="109"/>
        <w:gridCol w:w="211"/>
        <w:gridCol w:w="406"/>
        <w:gridCol w:w="109"/>
        <w:gridCol w:w="109"/>
        <w:gridCol w:w="109"/>
        <w:gridCol w:w="109"/>
        <w:gridCol w:w="211"/>
        <w:gridCol w:w="511"/>
        <w:gridCol w:w="109"/>
        <w:gridCol w:w="109"/>
        <w:gridCol w:w="109"/>
        <w:gridCol w:w="109"/>
        <w:gridCol w:w="211"/>
        <w:gridCol w:w="553"/>
        <w:gridCol w:w="109"/>
        <w:gridCol w:w="109"/>
        <w:gridCol w:w="109"/>
        <w:gridCol w:w="109"/>
        <w:gridCol w:w="253"/>
        <w:gridCol w:w="254"/>
        <w:gridCol w:w="320"/>
      </w:tblGrid>
      <w:tr>
        <w:trPr/>
        <w:tc>
          <w:tcPr>
            <w:tcW w:w="7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on acquired IPR&amp;D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we recorded an impairment charge of $17.3 million as a result of our decision to discontinue the zanidatamab zovodotin clinical development program which utilized the technology represented by acquired IPR&amp;D assets.</w:t>
      </w:r>
    </w:p>
    <w:p>
      <w:pPr>
        <w:pStyle w:val="TextBody"/>
        <w:bidi w:val="0"/>
        <w:spacing w:lineRule="auto" w:line="276" w:before="360" w:after="360"/>
        <w:jc w:val="left"/>
        <w:rPr/>
      </w:pPr>
      <w:r>
        <w:rPr>
          <w:rFonts w:ascii="Times New Roman;serif" w:hAnsi="Times New Roman;serif"/>
          <w:b/>
          <w:i/>
          <w:color w:val="000000"/>
          <w:sz w:val="20"/>
        </w:rPr>
        <w:t>Other Income, net</w:t>
      </w:r>
      <w:r>
        <w:rPr>
          <w:color w:val="000000"/>
        </w:rPr>
        <w:t> </w:t>
      </w:r>
    </w:p>
    <w:tbl>
      <w:tblPr>
        <w:tblW w:w="10023" w:type="dxa"/>
        <w:jc w:val="left"/>
        <w:tblInd w:w="0" w:type="dxa"/>
        <w:tblLayout w:type="fixed"/>
        <w:tblCellMar>
          <w:top w:w="28" w:type="dxa"/>
          <w:left w:w="28" w:type="dxa"/>
          <w:bottom w:w="28" w:type="dxa"/>
          <w:right w:w="28" w:type="dxa"/>
        </w:tblCellMar>
      </w:tblPr>
      <w:tblGrid>
        <w:gridCol w:w="565"/>
        <w:gridCol w:w="496"/>
        <w:gridCol w:w="498"/>
        <w:gridCol w:w="211"/>
        <w:gridCol w:w="406"/>
        <w:gridCol w:w="109"/>
        <w:gridCol w:w="109"/>
        <w:gridCol w:w="109"/>
        <w:gridCol w:w="109"/>
        <w:gridCol w:w="211"/>
        <w:gridCol w:w="406"/>
        <w:gridCol w:w="109"/>
        <w:gridCol w:w="109"/>
        <w:gridCol w:w="109"/>
        <w:gridCol w:w="109"/>
        <w:gridCol w:w="211"/>
        <w:gridCol w:w="481"/>
        <w:gridCol w:w="109"/>
        <w:gridCol w:w="109"/>
        <w:gridCol w:w="109"/>
        <w:gridCol w:w="109"/>
        <w:gridCol w:w="218"/>
        <w:gridCol w:w="218"/>
        <w:gridCol w:w="271"/>
        <w:gridCol w:w="109"/>
        <w:gridCol w:w="109"/>
        <w:gridCol w:w="109"/>
        <w:gridCol w:w="211"/>
        <w:gridCol w:w="511"/>
        <w:gridCol w:w="109"/>
        <w:gridCol w:w="109"/>
        <w:gridCol w:w="109"/>
        <w:gridCol w:w="109"/>
        <w:gridCol w:w="211"/>
        <w:gridCol w:w="511"/>
        <w:gridCol w:w="109"/>
        <w:gridCol w:w="109"/>
        <w:gridCol w:w="109"/>
        <w:gridCol w:w="109"/>
        <w:gridCol w:w="211"/>
        <w:gridCol w:w="481"/>
        <w:gridCol w:w="109"/>
        <w:gridCol w:w="109"/>
        <w:gridCol w:w="109"/>
        <w:gridCol w:w="109"/>
        <w:gridCol w:w="218"/>
        <w:gridCol w:w="21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60"/>
        <w:jc w:val="left"/>
        <w:rPr/>
      </w:pPr>
      <w:r>
        <w:rPr>
          <w:rFonts w:ascii="Times New Roman;serif" w:hAnsi="Times New Roman;serif"/>
          <w:b w:val="false"/>
          <w:color w:val="000000"/>
          <w:sz w:val="20"/>
        </w:rPr>
        <w:t>Other income, net decreased by $0.8 million for the three months ended September 30, 2025 compared to the same period in 2024. Other income, net for 2025 included $3.5 million in interest income and $0.3 million in net foreign exchange gain and other miscellaneous amount</w:t>
      </w:r>
      <w:r>
        <w:rPr>
          <w:rFonts w:ascii="Times New Roman;serif" w:hAnsi="Times New Roman;serif"/>
          <w:b w:val="false"/>
          <w:color w:val="000000"/>
          <w:sz w:val="20"/>
          <w:shd w:fill="FFFFFF" w:val="clear"/>
        </w:rPr>
        <w:t>s</w:t>
      </w:r>
      <w:r>
        <w:rPr>
          <w:rFonts w:ascii="Times New Roman;serif" w:hAnsi="Times New Roman;serif"/>
          <w:b w:val="false"/>
          <w:color w:val="000000"/>
          <w:sz w:val="20"/>
        </w:rPr>
        <w:t>. Other income, net for the three months ended September 30, 2024 included $4.8 million in interest income partially offset by $0.2 million net foreign exchange loss and other miscellaneous amount</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The decrease in interest income was due to a reduction in the balances of our cash, cash equivalents and marketable securities, due to operating cash requirements, and due to a decrease in the average yield of these investments compared to the same period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60"/>
        <w:jc w:val="left"/>
        <w:rPr/>
      </w:pPr>
      <w:r>
        <w:rPr>
          <w:rFonts w:ascii="Times New Roman;serif" w:hAnsi="Times New Roman;serif"/>
          <w:b w:val="false"/>
          <w:color w:val="000000"/>
          <w:sz w:val="20"/>
        </w:rPr>
        <w:t>Other income, net decreased by $6.0 million for the nine months ended September 30, 2025 compared to the same period in 2024. Other income, net for 2025 included $10.4 million in interest income, partially offset by $0.3 million in net foreign exchange loss and other miscellaneous amounts. Other income, net for the nine months ended September 30, 2024 included $15.9 million in interest income and $0.2 million in net foreign exchange gain and other miscellaneous amounts. The decrease in interest income was due to a reduction in the balances of our cash, cash equivalents and marketable securities, due to operating cash requirements, and due to a decrease in the average yield of these investments compared to the same peri</w:t>
      </w:r>
      <w:r>
        <w:rPr>
          <w:rFonts w:ascii="Times New Roman;serif" w:hAnsi="Times New Roman;serif"/>
          <w:b w:val="false"/>
          <w:color w:val="000000"/>
          <w:sz w:val="20"/>
          <w:shd w:fill="FFFFFF" w:val="clear"/>
        </w:rPr>
        <w:t>od in 2024.</w:t>
      </w:r>
    </w:p>
    <w:p>
      <w:pPr>
        <w:pStyle w:val="TextBody"/>
        <w:bidi w:val="0"/>
        <w:spacing w:lineRule="auto" w:line="276" w:before="360" w:after="360"/>
        <w:jc w:val="left"/>
        <w:rPr>
          <w:rFonts w:ascii="Times New Roman;serif" w:hAnsi="Times New Roman;serif"/>
          <w:b/>
          <w:i/>
          <w:color w:val="000000"/>
          <w:sz w:val="20"/>
        </w:rPr>
      </w:pPr>
      <w:r>
        <w:rPr>
          <w:rFonts w:ascii="Times New Roman;serif" w:hAnsi="Times New Roman;serif"/>
          <w:b/>
          <w:i/>
          <w:color w:val="000000"/>
          <w:sz w:val="20"/>
        </w:rPr>
        <w:t>Income Tax</w:t>
      </w:r>
    </w:p>
    <w:tbl>
      <w:tblPr>
        <w:tblW w:w="9889" w:type="dxa"/>
        <w:jc w:val="left"/>
        <w:tblInd w:w="0" w:type="dxa"/>
        <w:tblLayout w:type="fixed"/>
        <w:tblCellMar>
          <w:top w:w="28" w:type="dxa"/>
          <w:left w:w="28" w:type="dxa"/>
          <w:bottom w:w="28" w:type="dxa"/>
          <w:right w:w="28" w:type="dxa"/>
        </w:tblCellMar>
      </w:tblPr>
      <w:tblGrid>
        <w:gridCol w:w="625"/>
        <w:gridCol w:w="549"/>
        <w:gridCol w:w="551"/>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33"/>
        <w:gridCol w:w="233"/>
        <w:gridCol w:w="271"/>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33"/>
        <w:gridCol w:w="233"/>
        <w:gridCol w:w="316"/>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Income tax expense increased by $1.1 million for the three months ended September 30, 2025, compared to the same period in 2024. The increase was primarily due to an increase in U.S. taxes due to the application of Subpart F income rules.</w:t>
      </w:r>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Income tax expense increased by $1.2 million for the nine months ended September 30, 2025, compared to the same period in 2024. The increase was primarily due to an increase in U.S. taxes due to the Subpart F income rules and withholding taxes incurred on revenue recognized in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Since our IPO in 2017, we have funded our operations primarily through follow-on public offerings, including the issuance of pre-funded warrants, as well as from upfront fees, milestone payments, and research support payments generated from our strategic collaborations and licensing agreements.</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we entered into a sales agreement (the “Cowen Sales Agreement”) with TD Securities (USA) LLC. (“TD Cowen”) to sell shares of our common stock subject to a maximum aggregate dollar amount registered pursuant to an applicable prospectus supplement, from time to time, through an “at-the-market” equity offering program under which TD Cowen will act as our sales agent. Sales of shares of common stock through TD Cowen, if any, will be made by any method permitted by law deemed to be an “at-the-market” offering as defined in Rule 415(a)(4) under the Securities Act. As of the date of this report, no shares of our common stock have been sold under the Cowen Sales Agreement.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$299.4 million of cash, cash equivalents, and marketable securities, comprised of $64.8 million in cash and cash equivalents and $234.5 million in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240" w:after="283"/>
        <w:jc w:val="left"/>
        <w:rPr/>
      </w:pPr>
      <w:r>
        <w:rPr>
          <w:rFonts w:ascii="Times New Roman;serif" w:hAnsi="Times New Roman;serif"/>
          <w:b w:val="false"/>
          <w:color w:val="000000"/>
          <w:sz w:val="20"/>
        </w:rPr>
        <w:t xml:space="preserve">The following table represents a summary of our cash flows for the nine months ended September 30, 2025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p>
    <w:tbl>
      <w:tblPr>
        <w:tblW w:w="7269" w:type="dxa"/>
        <w:jc w:val="left"/>
        <w:tblInd w:w="0" w:type="dxa"/>
        <w:tblLayout w:type="fixed"/>
        <w:tblCellMar>
          <w:top w:w="28" w:type="dxa"/>
          <w:left w:w="28" w:type="dxa"/>
          <w:bottom w:w="28" w:type="dxa"/>
          <w:right w:w="28" w:type="dxa"/>
        </w:tblCellMar>
      </w:tblPr>
      <w:tblGrid>
        <w:gridCol w:w="1839"/>
        <w:gridCol w:w="1618"/>
        <w:gridCol w:w="1628"/>
        <w:gridCol w:w="211"/>
        <w:gridCol w:w="586"/>
        <w:gridCol w:w="109"/>
        <w:gridCol w:w="109"/>
        <w:gridCol w:w="109"/>
        <w:gridCol w:w="109"/>
        <w:gridCol w:w="211"/>
        <w:gridCol w:w="586"/>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millions)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cash used in operating activities was $22.7 million compared to $68.5 million of cash used in operating activities for the same period in 2024. The positive change in net cash used in operating activities was primarily due to milestone revenues received during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nine months ended September 30, 2025 included net proceeds of $5.0 million from a private placement, $10.1 million from stock option exercises and $1.4 million from the issuance of shares of common stock under our employee stock purchase plan. These were partially offset by $16.2 million used for the Repurchase Program. Net cash used in financing activities for the nine months ended September 30, 2024 included $20.6 million used for the Repurchase Program partially offset by net proceeds of $8.1 million from stock option exercises and $0.9 million from the issuance of shares of common stock under our employee stock purchase plan.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investing activities for the nine months ended September 30, 2025 primarily related to net proceeds from marketable securities of $22.9 million partially offset by cash outflows of $1.6 million for expenditures for office equipment and software implementation. Net cash provided by investing activities for the nine month period ended September 30, 2024 primarily related to net proceeds from marketable securities of $47.7 million partially offset by cash outflows of $2.8 million for expenditures for software implementation and acquisition of property and equipment in our office and laboratory spaces in Canada and the United States.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quarter ended December 31, 2024, we began recognizing royalty revenue from sales of zanidatamab by our partner Jazz, and in the quarter ended June 30, 2025, we began recognizing royalty revenue from sales of zanidatamab by our partner BeOne. However, we have not generated revenue from sales of any of our wholly-owned product candidates as of September 30, 2025 and we do not expect to do so until such time as we obtain regulatory approval and commercialize one or more of our current or future product candidates. As we are currently in the clinical and preclinical stages of development, it will be some time before we expect to achieve this, and it is uncertain that we ever will. We expect that we will continue to increase our operating expenses, subject to periodic fluctuations, in connection with ongoing clinical trials and preclinical activities and the development of product candidates in our pipeline. In addition, inflation generally may affect us by increasing our cost of labor, outside services, manufacturing and clinical trial expenses. Our funding requirements in the short-term and long-term will consist of the operational, capital, and manufacturing expenditures, a portion of which contain contractual or other obligations including future minimum lease payments under non-cancelable operating leases as presented in note 11 and other commitments and contingencies as presented in note 13 to the interim condensed consolidated financial statements. Because of the inherent risks and uncertainties associated with the development and commercialization of our drug candidates, it is difficult to predict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amounts of capital outflows and operating expenditures associated with our current and anticipated clinical trials and preclinical studies.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it is difficult to predict our funding requirements, based on our current operating plan, we anticipate that our existing cash and cash equivalents and marketable securities will enable us to fund our operating expenses and capital expenditure requirements for at least the next twelve months from the date this Quarterly Report on Form 10-Q is filed with the SEC. We have based these estimates on assumptions and plans which may change and which could impact the magnitude and/or timing of operating expenses, capital expenditures and our cash runway. The successful development of our product candidates and the achievement of milestones by our strategic partners is uncertain, and therefore it is difficult to predict the actual funds we will require to complete the research, development and commercialization of product candidates. See Part II, Item 1A, “Risk Factors – Risks Related to Our Business and the Development and Commercialization of Our Product Candidates” and “Risk Factors – Risks Related to Our Dependence on Third Parties.”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on August 1, 2024, our board of directors authorized the Repurchase Program, under which we may repurchase up to $60.0 million of our common stock. As of September 30, 2025, there was $14.3 million of remaining capacity under the Repurchase Program. The shares may be repurchased from time to time in open market transactions, or other means in accordance with Rule 10b5-1 of the Exchange Act and Rule 10b-18 of the Exchange Act. As of September 30, 2025, we have repurchased 3,573,735 shares of our common stock under the Repurchase Program. The timing, number of shares repurchased, and prices paid for any additional shares of the stock repurchased under this program will depend on general business and market conditions as well as corporate and regulatory limitations, prevailing stock prices, and other considerations. The Repurchase Program may be suspended or discontinued at any time and does not obligate us to acquire any additional shares of common stock.</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substantial additional funding to support our continuing operations and pursue our long-term business plans. Accordingly, our future funding requirements will depend on many factors, including but not limited to: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rate of progress, results and costs of our clinical trials, preclinical studies and other related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establish and maintain strategic collaborations, licensing or other arrangements and the financial terms of such agreements as well as our ability to enter into new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timing and the costs of obtaining regulatory approvals for any of our current or future drug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cost of commercialization activities if any of our current or future drug candidates are approved for sale, including marketing, sales and distribution costs;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amount of royalties and sales-based milestones, if any, received from our collaboration partners for commercial sales of drug candidates, for any such drug candidates that receive marketing approval;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amount of revenue, if any, received from commercial sales of our drug candidates, should any of our drug candidates receive marketing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 deterioration in the equity or credit markets may make any necessary debt or equity financing more difficult, more costly and more 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Segment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view our operations and manage our business in one segment, which is the development of next-generation multifunctional biotherapeutics.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Outstanding Share Data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1,000,000,000 shares of stock, consisting of 900,000,000 shares of common stock, par value $0.00001 per share, and 100,000,000 shares of preferred stock, par value 0.00001 per share. As of November 4,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74,836,534 shares of common stock were issued and outstanding. In addition, as of November 4, 2025, we had 4,314,446 shares of common stock issuable pursuant to 4,314,446 exercisable outstanding stock options, 4,425,961 shares of common stock issuable pursuant to 4,425,961 outstanding options that were not exercisable at that date, and 1,947,941 shares of common stock issuable upon vesting of outstanding restricted stock units.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Plan of Arrangement, we issued to the Share Trustee one share of our preferred stock, par value $0.00001 per share, which has certain variable voting rights in proportion to the number of Exchangeable Shares outstanding, enabling the Share Trustee to exercise voting rights for the benefit of the holders of Exchangeable Shares. In connection with the consummation of the Plan of Arrangement, 1,424,533 Exchangeable Shares were issued to former Zymeworks BC shareholders. We will issue shares of our common stock as consideration when a holder of Exchangeable Shares calls for Exchangeable Shares to be retracted by ExchangeCo, when ExchangeCo redeems Exchangeable Shares from the holder, or when CallCo purchases Exchangeable Shares from the holder of Exchangeable Shares under CallCo’s overriding call rights. For additional information and meaning of defined terms referenced in this paragraph, please see notes 1 and 8a of our interim condensed consolidated financial statements as of and for the quarter ended September 30, 2025, within this Quarterly Report on Form 10-Q. </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November 4, 2025, 871,349 Exchangeable Shares have been exchanged on a one-to-one basis for 871,349 shares of our common stock and 553,184 Exchangeable Shares are held by former Zymeworks BC shareholders and are exchangeable on a one-to-one basis, subject to adjustment, for up to 553,184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Exchange Act, and pursuant to Item 305 of Regulation S-K, we are not required to provide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with the participation of our Chief Executive Officer and our Chief Financial Officer, evaluated the design and operating effectiveness of our disclosure controls and procedures as defined in Rules 13a-15(e) and 15d-15(e) under the Exchange Act. Our disclosure controls and procedures are designed to ensure that information required to be disclosed in the reports that the Company files or submits under the Exchange Act is recorded, processed, summarized, and reported within the time periods specified in the SEC’s rules and forms. Any such information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of our disclosure controls and procedures as of September 30, 2025, our Chief Executive Officer and our Chief Financial Officer concluded that, as of such date, our disclosure controls and procedures were, in design and operation, effective at the reasonable assurance level.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fiscal quarter ended September 30, 2025 that have materially affected, or are reasonably likely to materially affect, our internal control over financial reporting.</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2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48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As of September 30,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240" w:after="283"/>
        <w:jc w:val="left"/>
        <w:rPr>
          <w:rFonts w:ascii="Times New Roman;serif" w:hAnsi="Times New Roman;serif"/>
          <w:b w:val="false"/>
          <w:i/>
          <w:color w:val="000000"/>
          <w:sz w:val="20"/>
        </w:rPr>
      </w:pPr>
      <w:r>
        <w:rPr>
          <w:rFonts w:ascii="Times New Roman;serif" w:hAnsi="Times New Roman;serif"/>
          <w:b w:val="false"/>
          <w:i/>
          <w:color w:val="000000"/>
          <w:sz w:val="20"/>
        </w:rPr>
        <w:t>You should carefully consider the following risk factors, in addition to the other information contained in this Quarterly Report on Form 10-Q, including our interim condensed consolidated financial statements and related notes. If any of the events described in the following risk factors occurs, our business, operating results and financial condition could be seriously harmed.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See “Cautionary Note Regarding Forward-Looking Statements.” The risks below are not the only risks facing our company. Risks and uncertainties not currently known to us or that we currently deem to be immaterial also may materially adversely affect our business, financial condition, results of operations, and/or prospects.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240" w:after="283"/>
        <w:ind w:left="0" w:right="0" w:hanging="1080"/>
        <w:jc w:val="left"/>
        <w:rPr>
          <w:rFonts w:ascii="Times New Roman;serif" w:hAnsi="Times New Roman;serif"/>
          <w:b/>
          <w:color w:val="000000"/>
          <w:sz w:val="20"/>
          <w:u w:val="single"/>
        </w:rPr>
      </w:pPr>
      <w:r>
        <w:rPr>
          <w:rFonts w:ascii="Times New Roman;serif" w:hAnsi="Times New Roman;serif"/>
          <w:b/>
          <w:color w:val="000000"/>
          <w:sz w:val="20"/>
          <w:u w:val="single"/>
        </w:rPr>
        <w:t>Summary of Risk Factors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Below is a summary of the principal factors that make an investment in shares of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 before making an investment decision regarding shares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a limited number of product candidates, which are still in preclinical or clinical development. If we do not obtain regulatory approval of our product candidates, or experience significant delays in doing so, our business will be materially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long-term prospects depend in part upon successfully executing our evolving business strategy and discovering, developing and commercializing additional product candidates, which may fail in development or suffer delays that adversely affect their commercial viability.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product candidates may have undesirable side effects that may delay or prevent marketing approval or, if approval is received, require them to be taken off the market, require them to include safety warnings or otherwise limit their sales.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face significant competition, and if our competitors develop and market products that are more effective, safer and/or less expensive than our product candidates, our commercial opportunities will be negatively impacted.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zanidatamab or any of our product candidates that receives regulatory approval in the future does not achieve broad market acceptance among physicians, patients, the medical community and third-party payors, revenue generated from royalties or sales would be limited.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be successful in our efforts to use our therapeutic platforms to build a pipeline of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any product liability lawsuits are successfully brought against us or any of our strategic partners, we may incur substantial liabilities and commercialization efforts of zanidatamab or our product candidates may need to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or our strategic partners to commercialize any approved products that we or our strategic partners develop and affect the prices that may be obtained.</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have incurred significant losses since inception and anticipate that we will continue to incur losses for the foreseeable future. We have only one product approved for commercial sale, and, 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we have not received any revenue or profit from product sales, other than the receipt of royalties relating to sales of zanidatamab. We may never achieve or sustain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will require substantial additional funding, which may not be available to us on acceptable terms, or at all, and, if not available, may require us to delay, scale back, or cease our product development programs or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Tax law changes could adversely affect our business and financial condition.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depend on our collaborative relationships with Jazz and BeOne to further develop and commercialize zanidatamab, and if our relationships are not successful or are terminated, we may be delayed in or unable to effectively develop and/or commercialize zanidatamab, which could have a material adverse effect on our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If we are unable to protect the confidentiality of our proprietary information, the value of our technology and products could be adversely affected.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stock price is likely to be volatile and the market price of our common stock may drop below the price paid by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Business and the Development and Commercialization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a limited number of product candidates, which are still in preclinical or clinical development. If we do not obtain regulatory approval of our product candidates, or experience significant delays in doing so, our business will be materially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strategic partner Jazz has received accelerated approval from the FDA for Ziihera® for the treatment of adults with previously-treated, unresectable or metastatic HER2+ BTC. Ziihera® is the first product candidate from one of our therapeutic platforms to receive regulatory approval. In May 2025, the NMPA in China granted conditional approval of zanidatamab for the treatment of patients with previously treated, unresectable or metastatic HER2+ BTC. In July 2025, the European Commission granted conditional marketing authorization of Ziihera® for the treatment of adults with unresectable locally advanced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metastatic HER2+ BTC. Our other product candidates are in preclinical or clinical development and we have not submitted any marketing application, or received marketing approval, for any other product candidates, and we may never be able to achieve such regulatory approval. In addition, although Jazz is developing zanidatamab for regulatory approval in additional indications, such regulatory approval may never be achieved.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Obtaining regulatory approval and commercializing any approved product candidates depends on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successfully completing clinical trials that demonstrate the pre-specified efficacy endpoints and acceptable safety profile of the product candidate in the indication for which approval is sought;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preparation and submission to the appropriate regulatory authorities of an application for marketing approval that includes substantial evidence of safety, purity and potency from results of nonclinical testing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establishing adequate commercial manufacturing arrangements and maintaining a consistent, quality supply of product or establishing our own commercial manufacturing capabilities or reliable arrangements with third-party contract manufacturers;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pre-approval audits of nonclinical sites, clinical trial sites, and third-party manufacturing sites that generated the data and product in support of the marketing application;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launching commercial sales, marketing and distribution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Many of these factors are wholly or partially beyond our control, including clinical advancement, the regulatory submission process and changes in the competitive landscape. If we do not achieve one or more of these factors in a timely manner, we could experience significant delays or an inability to develop our product candidates at all.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Although our strategic partner Jazz submitted a BLA with respect to zanidatamab, we have not submitted a BLA to the FDA or similar marketing applications to non-U.S. health authorities with respect to any of our other product candidates. A BLA must include extensive preclinical and clinical data and supporting information to establish the product candidate’s safety, purity and efficacy for each desired indication. The BLA must also include significant information regarding the manufacturing controls for the product. The novel nature of our product candidates may introduce uncertain, complex, expensive and lengthy challenges that could impact regulatory approval. Even if we eventually complete clinical testing and receive approval of any regulatory filing for our product candidates, the FDA or non-U.S. health authorities may approve our product candidates for a more limited indication or a narrower patient population than we originally requested.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is an extremely high rate of attrition from the failure of product candidates proceeding through preclinical studies and clinical trials. We will be required to demonstrate with substantial evidence through well-controlled clinical trials that our product candidates are safe and effective for use in a diverse population before we can seek regulatory approvals for their commercial sale. These clinical trials involve significant expense and may produce negative or inconclusive results, and we or any of our current and future strategic partners may decide, or regulators may require us, to conduct additional clinical or preclinical testing.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Patients treated with our product candidates also may experience side effects or adverse events that are unrelated to our product candidates but may still impact the success of our clinical trials. The inclusion of patients with significant co-morbidities in our clinical trials may result in deaths or other adverse medical events due to an underlying condition or other therapies or medications that such patients may be using. Any of these events could prevent us from obtaining regulatory approval or achieving or maintaining market acceptance and impair our ability to commercialize our product candidates.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success in preclinical studies or early-stage clinical trials does not mean that future clinical trials or registrational clinical trials will be successful because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Similarly, interim results of a clinical trial do not necessarily predict final results. Data obtained from preclinical and clinical activities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varying interpretations, which may delay, limit or prevent regulatory approval. In addition, regulatory delays or rejections may be encountered as a result of many factors, including changes in regulatory policy.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Applications for our product candidates could fail to receive regulatory approval for many reasons,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or non-U.S. health authorities may disagree with the design, implementation or data analyses of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or non-U.S. health authorities may determine that the product candidate(s) do not have adequate risk-benefit ratio or have undesirable or unintended side effects, toxicities or other characteristics that preclude obtaining marketing approval or prevent or limit commercial use;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population studied in the clinical program may not be sufficiently broad or representative to assure efficacy and safety in the full population for which approval is sought;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or non-U.S. regulators may disagree with our interpretation of data from preclinical studies or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data collected from clinical trials of the product candidates may not be sufficient to support the submission of a BLA or other submission or to obtain regulatory approval in the United States or elsewhere;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FDA or non-U.S. health authorities may fail to approve the manufacturing processes, test procedures and specifications or facilities of third-party manufacturers providing our clinical and commercial supplies;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or non-U.S. health authorities may significantly change in a manner rendering clinical data insufficient for approval.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conducted, and may in the future conduct, clinical trials outside the United States. Although the FDA may accept data from clinical trials conducted outside the United States, acceptance of these data is subject to certain conditions imposed by the FDA and its determination that the trials complied with all applicable U.S. laws and regulations. If the FDA does not accept the data from any clinical trials conducted outside the United States, it would likely result in the need for additional trials, which would be costly and time-consuming and delay or halt development of any future product candidates.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regulatory approval is obtained for a particular indication, there is no guarantee that additional indications will be approved, which could materially limit the commercial potential of any approved product. For example, while Jazz intends to seek approval of zanidatamab in additional indications, we cannot be certain that such approvals will be obtained. If additional indications are not approved, our ability to achieve additional milestone payments and royalties on sales of zanidatamab will be materially and negatively impacted.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part of our evolving business strategy to help enhance long-term stockholder value and in parallel with our efforts to advance product candidates through preclinical studies or clinical trials, we plan to evaluate various partnering and other strategic collaboration transactions that may enable us to transfer certain costs and risks related to later-stage development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conditions and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clinical trials for product candidates are prolonged, delayed or stopped, we may be unable to obtain regulatory approval and commercialize product candidates on a timely basis, or at all, which could require us to incur additional costs and delay our receipt of any product revenue.</w:t>
      </w:r>
    </w:p>
    <w:p>
      <w:pPr>
        <w:pStyle w:val="TextBody"/>
        <w:bidi w:val="0"/>
        <w:spacing w:lineRule="auto" w:line="288" w:before="240" w:after="283"/>
        <w:jc w:val="left"/>
        <w:rPr/>
      </w:pPr>
      <w:r>
        <w:rPr>
          <w:rFonts w:ascii="Times New Roman;serif" w:hAnsi="Times New Roman;serif"/>
          <w:b w:val="false"/>
          <w:color w:val="000000"/>
          <w:sz w:val="20"/>
          <w:shd w:fill="FFFFFF" w:val="clear"/>
        </w:rPr>
        <w:t>We currently have three clinical-stage product candidates, ZW191, ZW251 and ZW171. We have licensed zanidatamab to our strategic partner Jazz, which has been responsible for completing its clinical development in the United States and other jurisdictions not covered by our license to BeOne. In November 2024, Jazz announced the FDA granted accelerated approval for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(IHC 3+) BTC. Jazz is conducting the confirmatory trial for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related to the accelerated approval. If the confirmatory trial fails to demonstrate a clinical benefit, the FDA may remove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from the market, which would negatively impact our ability to earn milestone payments and royalties from Jazz. Additionally, in May 2025, the NMPA in China granted conditional approval of zanidatamab for the treatment of patients with previously treated, unresectable or metastatic HER2+ BTC. The NMPA conditional approval was based on results of the HERIZON-BTC-01 clinical study, which demonstrated overall survival benefit for patients treated with zanidatamab. Continued approval of this indication will depend on the verification of clinical benefit in the patient population through ongoing confirmatory trials. </w:t>
      </w:r>
      <w:r>
        <w:rPr>
          <w:rFonts w:ascii="Times New Roman;serif" w:hAnsi="Times New Roman;serif"/>
          <w:b w:val="false"/>
          <w:color w:val="000000"/>
          <w:sz w:val="20"/>
        </w:rPr>
        <w:t xml:space="preserve">In July 2025, Jazz announced that the European Commission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conditional marketing authorization of Ziihera® for the treatment of adults with unresectable locally advanced or metastatic HER2+ BTC. Ziihera® is the first HER2-targeted therapy given conditional authorization for HER2+ BTC in the European Union. Continued approval for this indication is contingent upon verification and description of clinical benefit in the ongoing Phase 3 HERIZON-BTC-302 trial, which is evaluating zanidatamab in combination with standard-of-care therapy versus standard-of-care therapy alone in the first-line setting for patients with HER2+ BTC.</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Following the transfer of the zanidatamab development program to Jazz and the discontinuation of our zanidatamab zovodotin clinical development program following a strategic business review, we have been focused on the development of our early-stage product candidates and general discovery efforts. We are currently recruiting patients in ongoing global Phase 1, open-label, multicenter studies of ZW191 and ZW251 in North America, Europe, and the Asia-Pacific region.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commencement or completion of ongoing or planned clinical trials could be substantially delayed, prevented or suspended by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further discussions with the FDA or other regulatory agencies regarding the scope or design of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limited number of, and competition for, suitable sites and patients required to conduct our clinical trials, many of which may already be engaged in other clinical trial programs, including some that may be for the same indication as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delay or failure to obtain approval or agreement to commence a clinical trial in any of the countries where enrollment is planned;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obtain sufficient funds required for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recruit clinical operations personnel and other personnel with later-stage development experience;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clinical holds on, or other regulatory objections to, a new or ongoing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 or failure to manufacture sufficient supplies of the product candidate for our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 or failure to reach agreement on acceptable clinical trial agreement terms or clinical trial protocols with prospective sites or CROs, the terms of which can be subject to extensive negotiation and may vary significantly among different sites or CROs;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 or failure to obtain institutional review board (“IRB”) approval to conduct a clinical trial at a prospective site;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slower than expected rates of patient recruitment and enrollment;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of patients to complete the clinical trial or to be lost to follow up;</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enroll a sufficient number of patients in studies to ensure adequate statistical power to detect statistically significant treatment effects;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unforeseen safety issues, including severe or unexpected drug-related adverse effects experienced by patients, including possible deaths;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lack of efficacy during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termination of our clinical trials by one or more clinical trial sites;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or unwillingness of patients or clinical investigators to follow our clinical trial protocols;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inability to monitor patients adequately during or after treatment by us or our CROs;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CROs or clinical study sites failing to comply with the trial protocol or regulatory requirements or meet their contractual obligations to us in a timely manner, or at all, deviating from the protocol or dropping out of a study;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address any noncompliance with regulatory requirements or safety concerns that arise during the course of a clinical trial;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third-party contractors becoming debarred or suspended or otherwise penalized by the FDA or non-U.S. health authorities for violations of applicable regulatory requirements;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in the testing, validation, manufacturing and delivery of our product candidates to the clinical trial sites, including due to a facility manufacturing any of our product candidates or any of their components being ordered by the FDA or non-U.S. health authorities to temporarily or permanently shut down due to violations of cGMP regulations or other applicable requirements, or cross-contaminations of product candidates in the manufacturing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inconclusive or negative results or unforeseen complications in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breach or suspension or termination pursuant to the terms of any agreement with, or for any other reason by, current or future strategic partners that have responsibility for the clinical development of any of our product candidates;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to conduct our clinical trials in accordance with regulatory requirements or our clinical protocols, inspection of the clinical trial operations or trial site by the FDA or non-U.S. health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receiving untimely or unfavorable feedback from applicable regulatory authorities regarding the trial or requests from regulatory authorities to modify the design of a trial.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example, in September 2025, we announced the decision to discontinue the clinical development program of ZW171, a T cell engager designed to target gynecological, thoracic, and digestive system cancers, based on completion of the planned cohorts of the dose escalation portion of the Phase 1 trial of ZW171 in patients with ovarian cancer and non-small cell lung cancer. After completing the planned dose escalation cohorts and establishing a maximum tolerated dose, we determined that further dose evaluation in the trial would be unlikely to support a benefit-risk profile consistent with the desired monotherapy target product profile.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Changes in regulatory requirements, policies and guidelines may also occur and we may need to significantly amend clinical trial protocols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failure or significant delay in commencing or completing clinical trials would adversely affect our ability to obtain regulatory approval, and our commercial prospects and ability to generate product revenue will be diminished. Even if trials are successfully completed, clinical data are often susceptible to varying interpretations and analyses, and we cannot guarantee that the FDA or non-U.S. health authorities will interpret the results as we do, and more trials could be required before we submit our product candidates for approval. We cannot guarantee that the FDA or non-U.S. health authorities will view any of our product candidates as having adequate safety and efficacy profiles even if favorable results are observed in these clinical trials, and we may receive unexpected or unfavorable feedback from the FDA or non-U.S. health authorities regarding satisfaction of safety, purity and potency (including clinical efficacy), amongst other factors. To the extent the results of the trials are not satisfactory to the FDA or non-U.S. health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long-term prospects depend in part upon successfully executing our evolving business strategy and discovering, developing and commercializing additional product candidates, which may fail in development or suffer delays that adversely affect their commercial viability.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future operating results are dependent in part on our ability to successfully discover, develop, obtain regulatory approval for and commercialize product candidates beyond zanidatamab and the product candidates we currently have in clinical and preclinical development. A product candidate can unexpectedly fail at any stage of preclinical and clinical development. Our investments in our early-stage research and development efforts may not yield any promising product candidates. Even if our research and development efforts yield product candidates that advance into clinical studies,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later-stage clinical trials of the product candidate.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other product candidates we may develop will depend on many factors, including generating sufficient data to support the initiation or continuation of clinical trials and obtaining regulatory permission to initiate clinical trials. Even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successfully advance any other product candidates into clinical development, their success will be subject to the clinical, regulatory and commercial risks described elsewhere in this “Risk Factors” section. We cannot assure you that we will ever be able to discover, develop, obtain regulatory approval of, commercialize or generate significant revenue from our other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parallel with our efforts to discover and advance product candidates, we are evolving our business strategy to help enhance long-term stockholder value through thoughtful capital allocation, while continuing to pursue meaningful impact on patient outcomes through our research and development innovation. This evolution includes anchoring our future strategy around anticipated royalty and milestone revenues from Ziihera® in currently approved indications and other potential future indications, with the potential for these revenues to be supplemented over time with additional potential revenues from our existing partnerships as well as new partnerships and collaborations formed from our wholly-owned research and development pipeline and other potential opportunistic investments. We believe that, if we can successfully implement this focused, capital-efficient partnership business model, the anticipated royalty and milestone revenues could serve as both a longer-term funding source for our continued research and development operations and as a foundation from which to grow our self-contained royalty income over the longer term. We intend to remain disciplined with our research and development investment strategy with respect to focusing resource allocation on high-potential, innovative programs that align with our partnership-driver business model, whether originating from our wholly-owned research and development pipeline or accessed externally. Our implementation of this evolving business strategy is ongoing and there can be no assurance that any changes in business strategy will be successfully implemented or will achieve the intended results. Any such change in strategy may require revisions to multiple facets of our business, including our organizational structure, operations and tax planning. Moreover, any such change in business strategy may result in delays and disruptions to existing development efforts, increased costs, loss of key personnel and diversion of management’s attention, any of which could materially adversely affect our business. Even if we successfully implement this change in strategy, we cannot be certain that anticipated royalty and milestone revenues will be sufficient to appropriately fund and advance our research and development pipeline or that we will be successful in partnering any current or future programs or product candidates.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we, or any of our strategic partners, are unable to enroll patients in clinical trials, we will be unable to complete these trials on a timely basis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In particular, we are developing certain of our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will be unable to gain marketing approval for such product candidates and our business will be harmed. Additionally, projections of addressable patient populations that have the potential to benefit from treatment with our or our strategic partners’ product candidates are based on estimates, and, if such estimates are inaccurate, could have an adverse material impact on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U.S. federal Right to Try Act, among other things, provides a framework for patients to access certain investigational new drug products that have completed a Phase 1 clinical trial. Under certain circumstances, eligible patients can seek treatment without enrolling in clinical trials and without obtaining FDA approval under the FDA expanded access program. While there is no obligation to make product candidates available to eligible patients as a result of the Right to Try Act, new and emerging legislation regarding expanded access to unapproved drugs could negatively impact enrollment in our clinical trials and our business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design or our execution of clinical trials may not support regulatory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trials we or any of our strategic partners may conduct will demonstrate consistent or adequate efficacy and safety to obtain regulatory approval to market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the FDA and comparable non-U.S. regulatory authorities have substantial discretion in the approval process and in determining when or whether regulatory approval will be obtained for any of our product candidates. Our product candidates may not be approved even if they achieve their primary endpoints in any Phase 3 clinical trials or registration trials. The FDA or other non-U.S. regulatory authorities may disagree with our trial design and our interpretation of data from preclinical studies and clinical trials. In addition, any of these regulatory authorities may change requirements for the approval of a product candidate after reviewing and providing comments or advice on a protocol for a pivotal Phase 3 clinical trial that has the potential to result in FDA or other agencies’ approval. In addition, any of these regulatory authorities may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preliminary or top-line data from our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preliminary or top-line data from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is available. Adverse differences between interim, preliminary or top-line data and final data could significantly harm our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Past results of clinical trials may not be predictive of future results.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we choose to publicly disclose regarding a particular study or clinical trial is based on what is typically more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and ongoing preclinical studies and clinical trials of our product candidates according to our current development timeline, the positive results from such preclinical studies and clinical trials of our product candidates may not be replicated in subsequent preclinical studies or clinical trial results.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other regulatory approval.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Fast Track and Breakthrough Therapy designations received for zanidatamab may not result in faster development, regulatory review or approval process.</w:t>
      </w:r>
    </w:p>
    <w:p>
      <w:pPr>
        <w:pStyle w:val="TextBody"/>
        <w:bidi w:val="0"/>
        <w:spacing w:lineRule="auto" w:line="288" w:before="240" w:after="283"/>
        <w:jc w:val="left"/>
        <w:rPr/>
      </w:pPr>
      <w:r>
        <w:rPr>
          <w:rFonts w:ascii="Times New Roman;serif" w:hAnsi="Times New Roman;serif"/>
          <w:b w:val="false"/>
          <w:color w:val="000000"/>
          <w:sz w:val="20"/>
          <w:shd w:fill="FFFFFF" w:val="clear"/>
        </w:rPr>
        <w:t>The FDA has granted Fast Track designations to zanidatamab for the first-line treatment of patients with HER2-overexpressing GEA in combination with standard of care chemotherapy and for previously treated or recurrent gene-amplified BTC. While the FDA granted accelerated approval in November 2024 for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BTC (IHC 3+), these Fast Track designations do not ensure that zanidatamab will experience a faster development, regulatory review or approval process compared to conventional FDA procedures or that zanidatamab will ultimately obtain regulatory approval for additional indications. The FDA may withdraw Fast Track designation if it believes that the designation is no longer supported by data from the zanidatamab clinical development program. The FDA also granted Breakthrough Therapy designation for zanidatamab for treatment of patients with previously treated HER2 gene-amplified locally advanced/unresectable or metastatic BTC. Designation</w:t>
      </w:r>
      <w:r>
        <w:rPr>
          <w:color w:val="000000"/>
        </w:rPr>
        <w:t xml:space="preserve"> </w:t>
      </w:r>
      <w:r>
        <w:rPr>
          <w:rFonts w:ascii="Times New Roman;serif" w:hAnsi="Times New Roman;serif"/>
          <w:b w:val="false"/>
          <w:color w:val="000000"/>
          <w:sz w:val="20"/>
        </w:rPr>
        <w:t xml:space="preserve">as a Breakthrough Therapy is within the discretion of the FDA and the FDA may decide to rescind a Breakthrough Therapy designation if it believes that a designated product candidate no longer meets the conditions for qualification of this program. If a clinical development program is suspended, terminated, or put on clinical hold due to unexpected adverse events or other issues, including clinical supply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benefits associated with the Fast Track or Breakthrough Therapy designations may not be realized by us or our strategic partners. Furthermore, Fast Track designation does not change the standards for approval, and the designation alone does not guarantee qualification for the FDA’s priority review procedures.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Zanidatamab was granted Breakthrough Therapy designation from the CDE in China for treating patients with BTC who have failed prior systemic therapies. In May 2025, the NMPA in China granted conditional approval of zanidatamab for the treatment of patients with previously treated, unresectable or metastatic HER2+ BTC.</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Development of product candidates in combination with other therapies could expose us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that the FDA, the EMA or other comparable regulatory authorities could revoke approval of any therapies with which zanidatamab or any other product candidate that receives marketing approval is approved for use. We are also subject to the risk that safety, efficacy, manufacturing or supply issues could arise with such therapies. In addition, it is possible that existing therapies with which zanidatamab or our product candidates are approved for use could fall out of favor or be relegated to later lines of treatment, which could result in such products being removed from the market or being less successful commercially. We may also evaluate our product candidates in combination with one or more other therapies that have not yet been approved for marketing by the FDA, EMA or comparable regulatory authorities. We will not be able to market and sell any product candidate in combination with any such unapproved therapies that do not ultimately obtain marketing approval. If the FDA, EMA or other comparable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if the third-party providers of therapies or therapies in development with which zanidatamab or our product candidates is approved for use are unable to produce sufficient quantities for clinical trials or for commercialization of our product candidates, or if the cost of combination therapies is prohibitive, our development and commercialization efforts would be impaired, which would have an adverse effect on our business, financial condition, results of operations and growth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successfully develop any required companion diagnostic tests for our product candidates, or experience significant delays in doing so, or rely on third parties in the development of such companion diagnostic tests, we may not realize the full commercial potential of our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develop a product candidate for which there are no commercially available diagnostic tests for identifying the appropriate patient population to ensure safe and effective use of such candidate, the FDA may require us to develop a companion diagnostic plan in conjunction with clinical development and regulatory approval for our product candidate. Lack of a reliable commercially available companion diagnostic can introduce uncertainties in the regulatory process for our product candidate. Developing a companion diagnostic or working with a third party to develop such companion diagnostic for our product candidate will require more resources and could expose us to additional liabilities related to government regulation of companion diagnostics. If the FDA expects to review and approve simultaneously marketing submissions for a therapeutic candidate and its companion diagnostic, any delay in obtaining the appropriate marketing authorization for a companion diagnostic or laboratory-developed test could delay the drug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rely on third parties for the design, development and manufacture of companion diagnostic tests for our product candidates that require such tests. To be successful, we or our collaborators will need to address a number of scientific, technical, regulatory and logistical challenges. If we or such third parties are unable to successfully develop companion diagnostics, or experience delays in doing so, we may be unable to enroll enough patients for our current and planned clinical trials, the development of our product candidates may be adversely affected or we may not obtain marketing approval, and we may not realize the full commercial potential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could hinder their ability to hire, retain or deploy key leadership and other personnel, or otherwise prevent new or modified product candidates from being developed, or approved or commercialized in a timely manner or at all, which could negatively impact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Government funding of other government agencies that fund research and development activities is subject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political process, which is inherently fluid and unpredictable. In addition, the current U.S. Presidential administration has issued certain policies and Executive Orders directed towards reducing employee headcount and costs associated with U.S. administrative agencies, including the FDA, and it remains unclear the degree to which these efforts may limit or otherwise adversely affect the FDA’s ability to conduct routine activities. If funding shortages, staffing limitations or other factors hinder or prevent the FDA from conducting regular inspections, reviews or other regulatory activities, there could be a significant impact on the ability of the FDA to timely review and process our regulatory submissions, which could have a material impact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Successful development of our current and future product candidates is uncertain and we may discontinue or reprioritize the development of any of our product candidates at any time, at our discretion.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Before obtaining regulatory approval for the commercial distribution of our product candidates, we must conduct, at our own expense, extensive preclinical tests and clinical trials to demonstrate the safety and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Many companies in the pharmaceutical and biotechnology industries have suffered significant setbacks in clinical development after achieving promising results in earlier studies, and any such setbacks in any future clinical development could have a material adverse effect on our business and operating results. For example, in September 2025, we announced the decision to discontinue the clinical development program of ZW171, a T cell engager designed to target gynecological, thoracic, and digestive system cancers, based on completion of the planned cohorts of the dose escalation portion of the Phase 1 trial of ZW171 in patients with ovarian cancer and non-small cell lung cancer. Alternatively,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product candidates may have undesirable side effects that may delay or prevent marketing approval or, if approval is received, require them to be taken off the market, require them to include safety warnings or otherwise limit their sales.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Unforeseen side effects from any of our product candidates could arise either during clinical development or, if approved by regulatory authorities, after the approved product has been marketed. As our product candidates are evaluated in clinical trials, the results of such clinical trials may show that our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believe that our clinical trials and preclinical studies demonstrate the safety and efficacy of our product candidates, only the FDA and other comparable regulatory agencies may ultimately make such determination.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we or others later identify undesirable or unacceptable side effects caused by zanidatamab or other product candidates that receive marketing approval: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the approved product to be taken off the market;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partners may be required to change the way the product is administered, conduct additional clinical trials or change the labeling of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partners may be subject to limitations on how we may promote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of the product may decrease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subject to litigation or product liability claims;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or our current or future strategic partners from achieving or maintaining market acceptance of the affected product or could substantially increase commercialization costs and expenses, which in turn could delay or prevent us from generating revenue from the sale of any future products.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and if our competitors develop and market products that are more effective, safer and/or less expensive than our product candidates, our commercial opportunities will be negatively impacted.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life sciences industry is highly competitive and subject to rapid and significant technological change. We are developing biotherapeutics that will compete with other drugs and therapies that currently exist or are being developed. Products we may develop in the future are also likely to face competition from other drugs and therapies, some of which we may not currently be aware. We have competitors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these factors, our competitors may succeed in obtaining patent protection or FDA approval or discovering, developing and commercializing products in our field before we do. Specifically, there are a large number of companies developing or marketing treatments for cancer and AIID, including many major pharmaceutical and biotechnology companies. These treatments consist both of small-molecule drug products, as well as biologics that work by using various antibody therapeutic platforms to address specific targets.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products that are safer, more effective, more convenient or less expensive than any products that we may develop. Our competitors also may obtain FDA or other regulatory approval for their products more rapidly than we may obtain approval for our product candidates, which could result in our competitors establishing a strong market position before we are able to enter the market.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expect to compete with biosimilar versions of already approved products, and even if additional product candidates achieve marketing approval, they may be challenged to achieve a price premium over competitive biosimilar products and will compete for market share with them.</w:t>
      </w:r>
    </w:p>
    <w:p>
      <w:pPr>
        <w:pStyle w:val="TextBody"/>
        <w:bidi w:val="0"/>
        <w:spacing w:lineRule="auto" w:line="288" w:before="240" w:after="283"/>
        <w:jc w:val="left"/>
        <w:rPr/>
      </w:pPr>
      <w:r>
        <w:rPr>
          <w:rFonts w:ascii="Times New Roman;serif" w:hAnsi="Times New Roman;serif"/>
          <w:b w:val="false"/>
          <w:color w:val="000000"/>
          <w:sz w:val="20"/>
        </w:rPr>
        <w:t xml:space="preserve">The Biologics Price Competition and Innovation Act of 2009, which is included in the 2010 Patient Protection and Affordable Care Act </w:t>
      </w:r>
      <w:r>
        <w:rPr>
          <w:rFonts w:ascii="Times New Roman;serif" w:hAnsi="Times New Roman;serif"/>
          <w:b w:val="false"/>
          <w:color w:val="000000"/>
          <w:sz w:val="20"/>
          <w:shd w:fill="FFFFFF" w:val="clear"/>
        </w:rPr>
        <w:t>(“</w:t>
      </w:r>
      <w:r>
        <w:rPr>
          <w:rFonts w:ascii="Times New Roman;serif" w:hAnsi="Times New Roman;serif"/>
          <w:b w:val="false"/>
          <w:color w:val="000000"/>
          <w:sz w:val="20"/>
        </w:rPr>
        <w:t>PPACA</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 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zanidatamab or any of our product candidates that receives regulatory approval in the future does not achieve broad market acceptance among physicians, patients, the medical community and third-party payors, revenue generated from royalties or sales would be limited.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commercial success of zanidatamab or our product candidates will depend upon their acceptance among physicians, patients and the medical community. The degree of market acceptance of zanidatamab or our product candidates will depend on a number of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or warnings contained in the approved labeling;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standard of care for the targeted indications;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in the approved clinical indications;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demonstrated clinical safety and efficacy compared to other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sales, marketing and distribution support;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of coverage and the extent of access and reimbursement from managed care plans and other third-party payors;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timing of market introduction and perceived effectiveness of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availability of alternative therapies at similar or lower cost;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extent to which the product is approved for inclusion on formularies of hospitals and managed care organizations;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the product is designated under physician treatment guidelines as a first-line therapy or as a second- or third-line therapy for particular diseases;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whether the product can be used effectively with other therapies to achieve higher response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publicity about the product or favorable publicity about competitive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convenience and ease of administration of the product;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product liability claims.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zanidatamab or any of our product candidates that are approved in the future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zanidatamab or our product candidates may require significant resources and may never be successful.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or our strategic partners may be unable to obtain orphan drug exclusivity in specific indications for zanidatamab or in future product candidates that we may develop. If our competitors are able to obtain orphan product exclusivity for their products in specific indications, we may not be able to have competing products approved in those indications by the applicable regulatory authority for a significant period of time.</w:t>
      </w:r>
    </w:p>
    <w:p>
      <w:pPr>
        <w:pStyle w:val="TextBody"/>
        <w:bidi w:val="0"/>
        <w:spacing w:lineRule="auto" w:line="288" w:before="240" w:after="283"/>
        <w:jc w:val="left"/>
        <w:rPr/>
      </w:pPr>
      <w:r>
        <w:rPr>
          <w:rFonts w:ascii="Times New Roman;serif" w:hAnsi="Times New Roman;serif"/>
          <w:b w:val="false"/>
          <w:color w:val="000000"/>
          <w:sz w:val="20"/>
        </w:rPr>
        <w:t xml:space="preserve">The FDA granted Orphan Drug Designation to zanidatamab for the treatment of BTC and gastric cancer, including cancer of the gastroesophageal junction, the EMA granted Orphan Drug Designation to zanidatamab for the treatment of gastric cancer and BTC, and we or our strategic partners may seek Orphan Drug Designation for zanidatamab or other product candidates for additional indications in the future. Orphan Drug Designation neither shortens the development time or regulatory review time of a drug nor gives the drug any advantage in the regulatory review or approval process. </w:t>
      </w:r>
      <w:r>
        <w:rPr>
          <w:rFonts w:ascii="Times New Roman;serif" w:hAnsi="Times New Roman;serif"/>
          <w:b w:val="false"/>
          <w:color w:val="000000"/>
          <w:sz w:val="20"/>
          <w:shd w:fill="FFFFFF" w:val="clear"/>
        </w:rPr>
        <w:t xml:space="preserve">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w:t>
      </w:r>
      <w:r>
        <w:rPr>
          <w:color w:val="000000"/>
        </w:rPr>
        <w:t>“</w:t>
      </w:r>
      <w:r>
        <w:rPr>
          <w:rFonts w:ascii="Times New Roman;serif" w:hAnsi="Times New Roman;serif"/>
          <w:b w:val="false"/>
          <w:color w:val="000000"/>
          <w:sz w:val="20"/>
        </w:rPr>
        <w:t>same drug”, as defined under the FDA orphan drug regulation, for the same indication for that time period. The applicable period is seven years in the United States and ten years in Europe. The European exclusivity peri</w:t>
      </w:r>
      <w:r>
        <w:rPr>
          <w:rFonts w:ascii="Times New Roman;serif" w:hAnsi="Times New Roman;serif"/>
          <w:b w:val="false"/>
          <w:color w:val="000000"/>
          <w:sz w:val="20"/>
          <w:shd w:fill="FFFFFF" w:val="clear"/>
        </w:rPr>
        <w:t>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our ability to successfully commercialize our product candidates, earn revenues and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Aside from the orphan drug exclusivity for zanidatamab, even if we obtain orphan drug exclusivity for other product candidates that receive an Orphan Drug Designation in the future, that exclusivity may not effectively protect the product from competition because different drugs with different active moieties can be approved for the same condition. Further, in the United States,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or our strategic partners are unable to manufacture sufficient supply of a product to meet the needs of patients, the FDA can withdraw orphan exclusive marketing rights or approve another marketing application for the “same drug” product before the expiration of the exclusivity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in Catalyst Pharms., Inc. v. Becerra, 14 F.4th 1299 (11th Cir. 2021), the court disagreed with the FDA’s longstanding position that the orphan drug exclusivity only applies to the approved use or indication within an eligible disease, and not to all uses or indications within the entire disease or condition. In January 2023, the FDA published a notice in the Federal Register to clarify that while the FDA complies with the court’s order in Catalyst, the FDA intends to continue to apply its longstanding interpretation of the regulations to matters outside of the scope of the Catalyst order – that is, the agency will continue tying the scope of orphan drug exclusivity to the uses or indications for which a drug is approved, which permits other sponsors to obtain approval of a drug for new uses or indications within the same orphan designated disease or condition that have not yet been approved. The U.S. Supreme Court’s June 2024 Chevron decision may invite lawsuits against the FDA to challenge longstanding decisions and policies of the FDA, including the FDA’s statutory interpretations of market exclusivities, which could undermine the FDA’s authority, lead to uncertainty in the industry, and disrupt the FDA’s normal operations. Further, the current U.S. Presidential administration, along with new leadership at the FDA, may issue new policies and regulations. Executive actions under the current U.S. Presidential administration, such as layoffs, a hiring freeze and budget cuts, may also disrupt the normal operations of federal agencies. It is unclear how future litigation, legislation, agency decisions, and administrative actions will impact the scope of the orphan drug exclusivity.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obtain FDA approval of any of our product candidates, we may never obtain approval or commercialize such product candidates outside of the United States, which would limit our ability to realize their full market potential.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non-U.S. regulatory approvals could result in significant delays, difficulties and costs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Our failure to obtain regulatory approval in any country may delay or have negative effects on the process for regulatory approval in other countries. Zanidatamab is the only product developed using our therapeutic platforms to have received FDA approval. In May 2025, the NMPA in China granted conditional approval of zanidatamab for the treatment of patients with previously treated, unresectable or metastatic HER2+ BTC. In July 2025, the European Commission granted conditional marketing authorization of Ziihera® for the treatment of adults with unresectable locally advanced or metastatic HER2+ BTC. Such approvals were received by our strategic partners Jazz and BeOne, and we do not have experience in obtaining regulatory approval in the United States or international markets. If we fail to comply with regulatory requirements in international markets or to obtain and maintain required approvals, our target market will be reduced and our ability to realize the full market potential of our products will be harmed.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eventually generate significant revenues from product sales will depend on a number of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submission of IND and non-U.S. applications, or other regulatory applications, for our planned clinical trials or future clinical trials and authorizations from regulators to initiate clinical studies;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successful enrollment in, and completion of,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achieving favorable results from clinical trials;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receipt of marketing approvals from applicable regulatory authorities;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and maintaining sufficient manufacturing capabilities, for clinical and commercial supply;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obtaining pricing, reimbursement, and hospital formulary 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combination with other products;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to complete the necessary preclinical studies and clinical trials and commercialization activities;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developing and implementing successful marketing and reimbursement strategies;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trade secret and other intellectual property protection and regulatory exclusivity for our product candidates; and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maintaining a continued acceptable safety profile of any product following approval, if 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achieve one or more of these requirements in a timely manner, we could experience significant delays or an inability to successfully commercialize our product candidates, which would materially harm our business. To become and remain profitable, we must develop, obtain approval for and eventually commercialize products, if approved, that generate significant revenue. Even if we obtain approval and begin commercializing one or more of our product candidates, we may never generate revenue that is significant or large enough to achieve profitability.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Reimbursement decisions by third-party payors may have an adverse effect on pricing and market acceptance. If there is not sufficient reimbursement for our products, it is less likely that our products will be widely used.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regulations that govern marketing approvals, pricing, coverage and reimbursement for new drugs vary widely from country to country. Many countries require approval of the sale price of a drug before it can be marketed. In most cases, the pricing review period begins after marketing or product licensing approval is granted. In some non-U.S. markets, prescription pharmaceutical pricing remains subject to continuing governmental control after initial approval is granted. As a result, we might obtain regulatory approval for a product in a particular country, but then be subject to price regulations that delay our commercial launch of the product and negatively impact the revenues we are able to generate from the sale of the product in that country. In many countries, particularly those in the EU, prescription drug pricing and reimbursement is subject to governmental control. In countries that impose price controls, pricing negotiations with governmental authorities can take considerable time after receipt of marketing approval for a product. To obtain reimbursement or pricing approval in some countries, we or our strategic partners may be required to conduct a clinical trial that compares the cost-effectiveness of our product candidates to other available therapies.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third-party payors. Obtaining coverage and reimbursement approval of a product from a government or other third-party payor is a time-consuming and costly process that could require us to provide to the payor supporting scientific, clinical and cost-effectiveness data for the use of our products. If we are not currently capturing the scientific and clinical data that will be required for reimbursement approval, we may be required to conduct additional trials, which may delay or suspend reimbursement approval.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a product candidate that receives regulatory approval to each payor separately, with no assurance that coverage and adequate reimbursement will be obtained.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We cannot be certain that reimbursement will be available for any products that we develop. If reimbursement is not available or is available on a limited basis, we may not be able to successfully commercialize any approved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experience pricing pressures in connection with the sale of any products that we develop, due to the trend toward managed healthcare, the increasing influence of health maintenance organizations and additional legislative proposals.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Various industry stakeholders have initiated lawsuits against the federal government asserting that the price negotiation provisions of the Inflation Reduction Act are unconstitutional. Further, the current U.S. Presidential administration has issued executive orders focused on decreasing prescription drug prices, including directing the Secretary of the U.S. Department of Health and Human Services (“HHS”) to establish a mechanism through which U.S.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If HHS begins to set most-favored-nation pricing targets for prescription drugs, including the use of international pricing reference to set drug prices in the United States, or increases generic and biosimilar drug entry sooner than expected, that can have a material adverse effect on our industry, ability to set adequate pricing for new drugs to recover research and development costs, and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U.S. Presidential administration related to drug pricing, drug supply chain and manufacturing in the United States. The impact of ongoing and future judicial challenges, changes in the leadership of the federal agencies, legislative, executive, and administrative actions and any future healthcare measures and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currently restrict imports of drugs from countries where they may be sold at lower prices than in the United States. Our or any collaborator’s inability to promptly obtain coverage and profitable payment rates from both government-funded and private payors for any approved products that we or our strategic partners develop could have a material adverse effect on our operating results, our ability to raise capital needed to commercialize product candidates and our overall financial condition.</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successful in our efforts to use our therapeutic platforms to build a pipeline of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intend to use our therapeutic platforms to build a pipeline of product candidates and progress these product candidates through clinical development for the treatment of a variety of diseases. Although our research and development efforts have resulted in a pipeline of product candidates directed at various cancers and AIID, we may not be able to develop product candidates that are safe and effective.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 in future periods, which could result in significant harm to our financial position and adversely affect our stock price. We are also evolving our business strategy to help enhance long-term stockholder value. However, our revised business strategy may not be successful and could divert management’s attention, require substantial resources, or introduce new operational, regulatory or financial risks. If we are unable to effectively implement our revised business strategy, or if our revised strategy does not generate the intended benefits, our business and financial condition may be significantly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Even if we receive regulatory approval to commercialize any of the product candidates that we develop, we will be subject to ongoing regulatory obligations and continued regulatory review, which may result in significant additional expense.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regulatory approvals we receive for our product candidates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 For example, in November 2024 the FDA granted accelerated approval for Ziihera® for the treatment of adults with previously treated, unresectable or metastatic HER2+ (IHC 3+) BTC, in May 2025, the NMPA in China granted conditional approval for zanidatamab for the treatment of patients with previously treated, unresectable or metastatic HER2+ BTC, and in July 2025, the European Commission granted conditional marketing authorization of Ziihera® for the treatment of adults with unresectable locally advanced or metastatic HER2+ BTC. However, continued approval for these indications is contingent upon verification and description of clinical benefits in confirmatory trials.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any approved product,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the marketing or manufacturing of the product;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withdrawal of the product from the market or voluntary or mandatory product recalls;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fines, warning letters or holds on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refusal by the FDA, EMA or another applicable regulatory authority to approve pending applications or supplements to approved applications filed by us or our strategic partners, or suspension or revocation of product license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Occurrence of any of the foregoing could have a material and adverse effect on our business and results of operations. Our business also may be impacted by new policies and leadership changes at the FDA and other federal agencies, government shutdown, and a lapse in U.S. government appropriations under the current administration. Such changes may delay our interactions and submissions with the FDA, our clinical development timeline, or result in increased compliance costs. Further, the FDA’s or other ex-U.S. regulators’ policies may change and additional government regulations may be enacted that could prevent, limit or delay regulatory approval of our product candidates.</w:t>
      </w:r>
      <w:r>
        <w:rPr>
          <w:color w:val="000000"/>
          <w:shd w:fill="FFFFFF" w:val="clear"/>
        </w:rPr>
        <w:t xml:space="preserve"> </w:t>
      </w:r>
      <w:r>
        <w:rPr>
          <w:rFonts w:ascii="Times New Roman;serif" w:hAnsi="Times New Roman;serif"/>
          <w:b w:val="false"/>
          <w:color w:val="000000"/>
          <w:sz w:val="20"/>
          <w:shd w:fill="FFFFFF" w:val="clear"/>
        </w:rPr>
        <w:t>We also cannot predict the full impact of the U.S. Supreme Court</w:t>
      </w:r>
      <w:r>
        <w:rPr>
          <w:color w:val="000000"/>
        </w:rPr>
        <w:t>’</w:t>
      </w:r>
      <w:r>
        <w:rPr>
          <w:rFonts w:ascii="Times New Roman;serif" w:hAnsi="Times New Roman;serif"/>
          <w:b w:val="false"/>
          <w:color w:val="000000"/>
          <w:sz w:val="20"/>
          <w:shd w:fill="FFFFFF" w:val="clear"/>
        </w:rPr>
        <w:t xml:space="preserve">s decision overruling the Chevron doctrine, future judicial challenges brought against the FDA, or the nature or extent of government regulation that may arise from future legislation or administrative action. </w:t>
      </w:r>
      <w:r>
        <w:rPr>
          <w:rFonts w:ascii="Times New Roman;serif" w:hAnsi="Times New Roman;serif"/>
          <w:b w:val="false"/>
          <w:color w:val="000000"/>
          <w:sz w:val="20"/>
        </w:rPr>
        <w:t>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It is unclear how our industry and our clinical programs will be impacted by pending legislation and new policies and regulations implemented under the current U.S. Presidential administration and the new FDA commissioner. For example, Congress is presently reconciling House and Senate versions of the National Defense Authorization Act of 2026 (“2026 NDAA”), both of which include provisions that would restrict federal government contracts, grants, and loans being issued to certain parties affiliated with countries of concern (“BIOSECURE 2.0”). These provisions, if they are included in the final passed 2026 NDAA, may limit certain U.S. biotechnology companies from using equipment or services produced or provided by Chinese biotechnology companies that meet certain criteria. BIOSECURE 2.0, or similar legislation in the future, could adversely impact our current or future third-party arrangements with certain companies, including those in China or Chinese-owned U.S. companies.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for companies supporting certain U.S. national health priorities and interests. The FDA has also increased its scrutiny of drug manufacturing facilities and other contractors based in China, especially with respect to the transfer of biological materials, genetic data, and other health data of U.S. patients to parties located in China. Further, the FDA’s “real-time” release of newly issued Complete Response Letters associated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withdrawn or abandoned applications, if applicable to any of our product candidates, can materially impact our competitive advantage and intellectual property. In addition, the Department of Justice recently issued a final rule that took effect in April 2025 which has placed limitations, and in some cases prohibitions, on certain transfers of U.S. bulk sensitive personal data to business partners located in China and other designated countries, or with other specified links to China and other designated countries. These and other changes in U.S. government policies and trade practices with respect to sharing of clinical trial data or other forms of cross-border collaboration may further adversely impact our current or future third-party arrangements with such companies.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FDA strictly regulates manufacturers’ promotional claims of drug products. In particular, a drug product may not be promoted by manufacturers for uses that are not approved by the FDA, as reflected in FDA-approved labeling, although healthcare professionals are permitted to use drug products for off-label uses. The FDA, among other government agencies, actively enforces the laws and regulations prohibiting manufacturers’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any approved product candidates, we could become subject to significant liability, which would materially adversely affect our business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any product liability lawsuits are successfully brought against us or any of our strategic partners, we may incur substantial liabilities and commercialization efforts of zanidatamab or our product candidates may need to be limited.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lawsuits related to the testing of our product candidates in seriously ill patients, and face an even greater risk as a result of commercialization of any approved product candidates. Product liability claims may be brought against us or our strategic partners by participants enrolled in our clinical trials, patients, health care providers or others using, administering or selling any of our current or future approved products. If we cannot successfully defend ourselves against any such claims, we may incur substantial liabilities. Regardless of their merit or eventual outcome, liability claims may result in: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decreased demand for any current or future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placed on our promotional activities;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termination of clinical trial sites or entire trial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increased regulatory scrutiny;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litigation costs;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substantial monetary awards to, or costly settlement with, patients or other claimants;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recalls or a change in the indications for which they may be used;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of revenue;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management and scientific resources from our business operations;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inability to commercialize approved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need to have in place increased product liability coverage when we begin the commercialization of any product candidates. Insurance coverage is becoming increasingly expensive and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Patients with cancer and other diseases targeted by zanidatamab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zanidatamab or our product candidates. Such events could subject us to costly litigation, require us to pay substantial amounts of money to injured patients, delay, negatively impact or end the opportunity to receive or maintain regulatory approval to market zanidatamab or our product candidates, or require us or our strategic partners to suspend or abandon commercialization efforts. Even in circumstances in which we do not believe that an adverse event is related to zanidatamab or our product candidates,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investigation into the circumstance may be time-consuming or inconclusive, and may result in reputational harm. These investigations may interrupt our sales efforts, delay our regulatory approval process in other countries, or impact and limit the type of regulatory approvals zanidatamab or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our strategic partners or any of our third-party manufacturers encounter manufacturing difficulties, our ability to provide supply of our product candidates for clinical trials or any approved products for patients could be delayed or prevented.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non-U.S. regulations. Prolonged uncertainty in trade relationships could result in supply chain disruptions, packaging issues, delayed shipments, or increased operational complexity, which could also adversely affect our business, results of operations and cash flows. While we are evaluating steps to mitigate any impacts of new or increased tariffs or other impacts resulting from changes in trade policy, our ability to do so may be limited by operational and supply chain constraints, especially in the short term. Additionally, if contaminants are discovered in the supply of our products or product candidates or in the manufacturing facilities, such manufacturing facilities may need to be closed for an extended period of time to investigate and remedy the contamination. We cannot assure you that any stability, purity, and efficacy failures, deficiencies, or other issues relating to the manufacture of our products or product candidates will not occur in the future. Even if any of our product candidates is approved, these manufacturing difficulties and supply chain risks will persist and an inability to source sufficient commercial supply would materially and negatively impact our commercialization efforts and financial results. Our research and development activities also involve the controlled use of potentially hazardous substances, including chemical and biological materials, by our third-party manufacturers. While we currently outsource all manufacturing to third parties, we and our manufacturers are subject to federal, state and local laws and regulations governing the use, manufacture, storage, handling and disposal of medical and hazardous materials. Although we believe that our manufacturers’ procedures relating to these laws comply with legally prescribed standards, we cannot completely eliminate the risk of contamination or injury, and any related liability, resulting from medical or hazardous materials. In addition, manufacturing methods and formulation changes for product candidates advancing towards commercialization carry the risk that such product candidates may perform differently and affect the results of planned clinical trials or other future clinical trials conducted with the altered materials. While such changes are common and intended to help optimize processes and results during the development process, any of these changes could increase costs, cause delays and impact our ability, or our strategic partners’ ability, to commence product sales and generate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Strategic transactions could disrupt our business, cause dilution to our stockholders and otherwise harm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actively evaluate various strategic transactions on an ongoing basis, and we may acquire other businesses, products, product candidates, programs or technologies as well as pursue strategic alliances, joint ventures, investments in complementary businesses, out-licensing and in-licensing agreements, divestitures or other transactions. For example, as part of the evolution of our business strategy announced in August 2025, we plan to look for opportunities to augment our development pipeline with external programs and product candidates, as well as other opportunistic investments that may bolster our royalty-driven cash flows. Future growth through acquisition or in-licensing will depend upon the availability of suitable products, product candidates, programs for acquisition or in-licensing on acceptable prices, terms and conditions, and there are a limited number of suitable and attractive opportunities in the market. Any of these transactions could be material to our financial condition and operating results and expose us to many risks,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in our relationships with existing strategic partners or suppliers as a result of such a transaction;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unanticipated liabilities related to acquired companies;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integrating acquired personnel, technologies, operations, products, product candidates or programs into our existing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retention of key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management time and focus from operating our business to management of strategic alliances or joint ventures or acquisition integration challenges;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and uncertainties associated with the other party to such a transaction, including the prospects of that party and their existing products or product candidates and marketing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increases in our expenses and reductions in our cash available for operations and other uses;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write-offs or impairment charges relating to acquired businesses.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Also, the anticipated benefit of any strategic transaction may not materialize or such strategic transaction may be prohibited. The competition to acquire or in-license rights to promising products, product candidates and programs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Any future acquisitions or dispositions could result in dilutive issuances of our equity securities, the incurrence of debt, contingent liabilities or amortization expenses or write-offs of goodwill, any of which could harm our financial condition or reputation. We cannot predict the number, timing or size of any future strategic alliances, joint ventures, investments, acquisitions, divestitures or other strategic transactions, or the effect that any such transactions might have on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our CROs and other service providers collect, store and otherwise process petabytes of sensitive data, including legally protected health information, personal information, intellectual property and proprietary business information owned or controlled by ourselves or our strategic partners. We manage and maintain our applications and data by using a combination of on-site systems, managed data center systems and cloud-based data center systems. These applications and data encompass a wide variety of business-critical information, including research and development information, commercial information and business and financial information. We face four primary risks relative to protecting this critical information: loss of access risk, inappropriate disclosure risk, inappropriate modification risk and the risk of being unable to adequately monitor our controls over the first three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take measures designed to protect sensitive information from unauthorized access or disclosure, our information technology and infrastructure and those that our CROs and our other third-party service providers may use in the past have been subject to, and may be vulnerable to, attacks by hackers or other third parties, viruses, ransomware or other malicious code, vulnerabilities or other means of causing breaches, incidents, outages, interruptions or compromises due to causes such as inadvertent or intentional actions by our employees, contractors,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systems or information). The risks of these types of incidents and other matters occurring may be heightened in connection with geopolitical events. Any such incident or other matter could compromise systems and networks used in our business and lead to system and other operational outages, interruptions and disruptions and the loss, destruction, alteration, disclosure or dissemination of, or prevention of access, damage or unauthorized access to, our data (including trade secrets or other confidential information, intellectual property, proprietary business information, and personal information) or data that is maintained or otherwise processed on our behalf, or other assets, which could result in financial, legal, business and reputational harm to us. Any such event could result in legal claims, demands and litigation or governmental investigations or other proceedings, liability under laws and regulations, including those that protect the privacy of personal information, such as the Health Insurance Portability and Accountability Act of 1996 (“HIPAA”), and regulatory penalties and other liabilities. </w:t>
      </w:r>
    </w:p>
    <w:p>
      <w:pPr>
        <w:pStyle w:val="TextBody"/>
        <w:bidi w:val="0"/>
        <w:spacing w:lineRule="auto" w:line="288" w:before="240" w:after="283"/>
        <w:jc w:val="left"/>
        <w:rPr/>
      </w:pPr>
      <w:r>
        <w:rPr>
          <w:rFonts w:ascii="Times New Roman;serif" w:hAnsi="Times New Roman;serif"/>
          <w:b w:val="false"/>
          <w:color w:val="000000"/>
          <w:sz w:val="20"/>
        </w:rPr>
        <w:t>Although we have implemented security measures and a formal enterprise security program designed to prevent unauthorized access to sensitive data, and make use of third-party service providers to perform certain operational and security functions on our behalf, there is no guarantee that we or our third-party service providers ca</w:t>
      </w:r>
      <w:r>
        <w:rPr>
          <w:rFonts w:ascii="Times New Roman;serif" w:hAnsi="Times New Roman;serif"/>
          <w:b w:val="false"/>
          <w:color w:val="000000"/>
          <w:sz w:val="20"/>
          <w:shd w:fill="FFFFFF" w:val="clear"/>
        </w:rPr>
        <w:t xml:space="preserve">n, or have been able to, </w:t>
      </w:r>
      <w:r>
        <w:rPr>
          <w:rFonts w:ascii="Times New Roman;serif" w:hAnsi="Times New Roman;serif"/>
          <w:b w:val="false"/>
          <w:color w:val="000000"/>
          <w:sz w:val="20"/>
        </w:rPr>
        <w:t xml:space="preserve">protect our systems or networks or other systems or networks used in our business from security breaches, incidents, outages, interruptions, compromises, or vulnerabilities, or that we or they have been or will be able to identify, identify the cause of or otherwise respond to any actual or potential security breach, incident, outage, interruption, compromise or vulnerability. We have engaged in efforts to improve our security measures, and we expect to continue to incur additional expenses in further efforts to do so, whether in response to actual or perceived security breaches or incidents, compromises, outages, interruptions, vulnerabilities or otherwise. Any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destruction, alteration, disclosure or dissemination of, or prevention of access,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HIPAA, as amended by the Health Information Technology for Economic and Clinical Health Act (“HITECH”), and its implementing regulations, impose certain requirements relating to the privacy, security, transmission and breach reporting of individually identifiable health information. Penalties for HIPAA violations can be significant, and criminal and monetary penalties, as well as injunctive relief, may be imposed for HIPAA violations. Most drug manufacturers are not directly subject to HIPAA, but prosecutors increasingly are using HIPAA-related theories of liability against drug manufacturers and their agents and we could be subject to criminal penalties if we knowingly obtain individually identifiable health information from a HIPAA-covered entity in a manner that is not authorized or permitted by HIPAA. Furthermore, HIPAA regulations impose specific reporting requirements to regulators, individuals impacted by the breach, as defined by HIPAA, and, in some cases, the media. Issuing such notifications can be costly, time and resource intensive, and can generate significant negative publicity. In addition to HIPAA, other applicable data privacy and security obligations may require us to notify relevant stakeholders of any security breaches or incidents that result in the unauthorized disclosure or dissemination of personal information. Such disclosures are costly, and the disclosures or the failure to comply with such requirements could lead to adverse impacts.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loss, corruption or unavailability of clinical trial data from completed or future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or otherwise relating to their collection, storage or processing of data could also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U.S. states have enacted and are considering enacting laws relating to the protection of personal information (including health and other data of patients, research subjects, and other individuals), which may be more rigorous than, or impose additional requirements beyond those required by, HIPAA. For example, the California Consumer Privacy Act (“CCPA”), which became effective in January 2020, gives California consumers expanded rights to access and delete their personal information, opt out of certain personal information sharing and receive detailed information about how their personal information is used. The CCPA allows for statutory fines for noncompliance as well as a limited private right of action in connection with certain data breaches. The California Privacy Rights Act of 2020, which went into effect in January 2023, expanded the CCPA in numerous ways and established the California Privacy Protection Agency to implement and enforce the law. Many other privacy and security laws have been proposed at the federal level and in other states, certain of which impose obligations similar to the CCPA. Other privacy and security laws address specific subject matter, such as Washington’s My Health, My Data Act, which, among other things, provides for a private right of action. While exemptions to some of these laws may apply to portions of our business, these laws’ enactment and evolving interpretations may increase our compliance costs and potential liability. These or other proposed or enacted laws relating to privacy and security could similarly increase our compliance obligations and costs in the future.</w:t>
      </w:r>
    </w:p>
    <w:p>
      <w:pPr>
        <w:pStyle w:val="TextBody"/>
        <w:bidi w:val="0"/>
        <w:spacing w:lineRule="auto" w:line="288" w:before="240" w:after="283"/>
        <w:jc w:val="left"/>
        <w:rPr/>
      </w:pPr>
      <w:r>
        <w:rPr>
          <w:rFonts w:ascii="Times New Roman;serif" w:hAnsi="Times New Roman;serif"/>
          <w:b w:val="false"/>
          <w:color w:val="000000"/>
          <w:sz w:val="20"/>
        </w:rPr>
        <w:t xml:space="preserve">We may also become subject to laws and regulations in non-U.S. countries covering privacy and security and the protection of health-related and other personal information. In particular, the European Economic Area (“EEA”), the UK and Switzerland have </w:t>
      </w:r>
      <w:r>
        <w:rPr>
          <w:rFonts w:ascii="Times New Roman;serif" w:hAnsi="Times New Roman;serif"/>
          <w:b w:val="false"/>
          <w:color w:val="000000"/>
          <w:sz w:val="20"/>
          <w:shd w:fill="FFFFFF" w:val="clear"/>
        </w:rPr>
        <w:t xml:space="preserve">adopted laws and regulations addressing privacy, data protection and security that impose significant compliance obligations. These laws and regulations are subject to frequent revisions and differing interpretations and have generally become more stringent over time. </w:t>
      </w:r>
    </w:p>
    <w:p>
      <w:pPr>
        <w:pStyle w:val="TextBody"/>
        <w:bidi w:val="0"/>
        <w:spacing w:lineRule="auto" w:line="288" w:before="240" w:after="283"/>
        <w:jc w:val="left"/>
        <w:rPr/>
      </w:pPr>
      <w:r>
        <w:rPr>
          <w:rFonts w:ascii="Times New Roman;serif" w:hAnsi="Times New Roman;serif"/>
          <w:b w:val="false"/>
          <w:color w:val="000000"/>
          <w:sz w:val="20"/>
          <w:shd w:fill="FFFFFF" w:val="clear"/>
        </w:rPr>
        <w:t>The General Data Protection Regulation 2016/679 (“GDPR”) applies to the processing of personal information and imposes numerous requirements, including high standards for obtaining consent, requirements for more robust disclosures to individuals and strengthened individual data rights, required data breach notifications, limitations on retention and secondary use of information, increased requirements pertaining to health data and pseudonymized (i.e., key-coded) data and additional obligations when contracting third-party data processors. The GDPR allows EEA countries to make additional laws and regulations further limiting the processing of genetic, biometric or health data. The GDPR provides for fines of up to the greater of €20.0 million or up to 4% of total worldwide annual turnover of the preceding financial year and other administrative penalties; further, the GDPR permits other for</w:t>
      </w:r>
      <w:r>
        <w:rPr>
          <w:rFonts w:ascii="Times New Roman;serif" w:hAnsi="Times New Roman;serif"/>
          <w:b w:val="false"/>
          <w:color w:val="000000"/>
          <w:sz w:val="20"/>
        </w:rPr>
        <w:t xml:space="preserve">ms of relief and recovery, and other national and local data protection laws provide for additional penalties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relief. Adverse publicity relating to actual or alleged GDPR noncompliance also could cause a loss of goodwill, which could have an adverse effect on our reputation, brand, business and financial condition. The UK has implemented legislation similar to the GDPR, referred to as the UK GDPR, which provides for fines of up to the greater of £17.5 million or 4% of global turnover. The UK enacted the UK Data (Use and Access) Act 2025 (“DUAA”) in June 2025, which made targeted amendments to the UK’s data protection regime that cause it to deviate further from the GDPR. This has introduced additional compliance complexity and has created uncertainty with respect to the European Commission’s adequacy determination regarding the UK’s data protection regime, which must be renewed in 2025 to permit ongoing relatively unrestricted data flows from the EEA to the UK. The European Commission has proposed to renew the UK’s adequacy decision after assessing the DUAA, but additional procedural steps remain, creating some uncertainty regarding such decision.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In July 2023, the European Commission adopted its adequacy decision for the EU-U.S. Data Privacy Framework, and generally permits personal information to flow from the EU to the United States by companies participating in the EU-U.S. Data Privacy Framework. We are not certified under the EU-U.S. Data Privacy Framework, and instead rely on other data transfer tools such as the EU standard contractual clauses (“EU SCCs”) and the UK addendum to the EU SCCs to transfer personal information to third countries outside the EEA and the UK, taking into consideration related obligations. To the extent we transfer personal information from other jurisdictions to the United States, we may not be able to implement or maintain an appropriate data transfer mechanism to continue such transfers. The U.S. Department of Justice also has issued rules regarding certain bulk sensitive personal data transfers. The interpretation of data transfer requirements, regulatory guidance and opinions, and other developments relating to cross-border data transfer may require us to implement additional contractual and technical safeguards for any personal information transferred out of the EEA, Switzerland, the UK, the United States, or other regions, which may increase compliance costs, lead to increased regulatory scrutiny or liability, and may require additional contractual negotiations, which may adversely impact our business, financial condition, and operating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an increase in regulatory requirements relating to privacy, data protection and cybersecurity that may apply to our business. For instance, the EU has enacted numerous laws and regulations addressing cybersecurity, including substantial revisions to its Network and Information Security directive that EU member states are required to reflect in national law. Requirements for hosting health data will vary by jurisdiction within EEA countries and the UK, and we may be or become subject to other national healthcare regulations or regulatory requirements. For example, France requires hosts of health data to obtain a prior certification with the competent certification body.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interpretation and application of consumer, health-related and privacy, data protection and security laws in the United States, the EEA, Switzerland, the UK and elsewhere are often uncertain, contradictory and in flux. Any failure or perceived failure to comply with federal, state or non-U.S.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These privacy regulations vary between states, may differ from country to country, and may vary based on whether testing is performed in the United States or in the local country. Complying with these various laws could cause us to incur substantial costs or require us to change our business practices and compliance procedures in a manner adverse to our business.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Current and future legislation may increase the difficulty and cost for us or our strategic partners to commercialize any approved products that we or our strategic partners develop and affect the prices that may be obtained.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United States and some other jurisdictions are considering or have enacted a number of legislative and regulatory proposals to change healthcare systems in ways that could affect our or our strategic partners’ ability to sell any of our product candidates profitably, if such product candidates are approved for sale.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2010, the PPACA became law in the United States. The PPACA may affect the operational results of companies in the pharmaceutical industry, including us, by imposing on them additional costs. For example, effective January 2010, PPACA increased the minimum Medicaid drug rebates for pharmaceutical companies and imposed an annual fee on certain branded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prescription drugs and biologics. Since the enactment of PPACA, there have been executive, judicial and Congressional challenges to certain aspects of the PPACA. In June 2021, the U.S. Supreme Court held that Texas and other challengers had no legal standing to challenge the PPACA, dismissing the case without specifically ruling on the constitutionality of the PPACA. Accordingly, the PPACA remains in effect in its current form. It is unclear how future litigation or healthcare measures promulgated by the current U.S. Presidential administration will impact our business, financial condition and results of operations. Complying with any new legislation or changes in healthcare regulation could be time-intensive and expensive, resulting in a material adverse effect on our business.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since the PPACA was enacted. For example, the Bipartisan Budget Act of 2018, among other things, amended the PPACA, effective January 2019, to close the coverage gap in most Medicare drug plans. The Budget Control Act of 2011, which calls for aggregate reductions to Medicare payments to providers of up to 2% per year, began in 2013 and, due to subsequent legislative amendments, will remain in effect through 2032 unless Congress takes further action.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zanidatamab or our product candidates, if approved, and, accordingly, our future financial operations. We are unable to predict the future course of federal or state health care legislation or non-U.S. regulations relating to the marketing, pricing and reimbursement of pharmaceutical products.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U.S. Congressional inquiries, presidential executive orders,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under the American Rescue Plan Act of 2021, effective January 1, 2024, Medicaid statutory rebates are no longer be capped at 100% of average manufacturer price. Elimination of this cap may require pharmaceutical manufacturers to pay more in rebates than they receive on the sale of products, which could have a material impact on our business. As discussed above,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single-source Medicare drugs. Further, the current administration has issued executive orders focused on decreasing prescription drug prices. On September 30, 2025, the government announced the first agreement with a major pharmaceutical company, Pfizer, to bring American drug prices in line with the lowest paid by other developed nations, requiring the company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as well as increases in generic and biosimilar drug entry that occur sooner than expected, can have a material adverse effect on our industry, ability to set adequate pricing for new drugs to recover research and development costs, and ability to attract potential investors and potential buyers in the future. The implementation of cost containment measures, including the prescription drug provisions under the Inflation Reduction Act, as well as other healthcare reforms and drug pricing policies,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many states have proposed or enacted legislation and administrative actions that seek to indirectly or directly regulate pharmaceutical drug pricing, such as by requiring biopharmaceutical manufacturers to publicly report proprietary pricing information or to place a maximum price ceiling on pharmaceutical products purchased by state agencies. For example, the FDA has authorized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Additionally, a number of states are considering or have enacted state drug price transparency and reporting laws that could substantially increase compliance burdens and expose us to greater liability under such state laws once we begin commercialization after obtaining regulatory approval for any of our products candidates. We cannot be sure of the extent of these and future legislative and regulatory efforts, whether FDA regulations, guidance or interpretations will be changed, or what the impact of such changes on the marketing approvals of our product candidates, if any, may be. Increased scrutiny by Congress of the FDA’s approval process may significantly delay or prevent marketing approval and subject us to more stringent product labeling and post-marketing testing and other requirements.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EU similar political, economic and regulatory developments may affect our ability to profitably commercialize any future products. In addition to continuing pressure on prices and cost containment measures, legislative developments at the EU or member state level may result in significant additional requirements or obstacles that may increase our operating costs.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payors, an adequate level of reimbursement might not be available for such products, and third-party payors’ reimbursement policies might adversely affect our or our strategic partners’ ability to sell any future products profitably.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cannot predict the likelihood, nature or extent of government regulation that may arise from future legislation or administrative action, either in the United States or elsewhere. If we or our strategic partners are slow or unable to adapt to changes in existing requirements or the adoption of new requirements or policies, or if we or our strategic partners are not able to maintain regulatory compliance, any approved products may lose any marketing approval that may have been obtained and we may not achieve or sustain profitability, which would adversely affect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may become subject to economic, political, regulatory and other risks associated with international operations.</w:t>
      </w:r>
    </w:p>
    <w:p>
      <w:pPr>
        <w:pStyle w:val="TextBody"/>
        <w:bidi w:val="0"/>
        <w:spacing w:lineRule="auto" w:line="288" w:before="240" w:after="283"/>
        <w:jc w:val="left"/>
        <w:rPr/>
      </w:pPr>
      <w:r>
        <w:rPr>
          <w:rFonts w:ascii="Times New Roman;serif" w:hAnsi="Times New Roman;serif"/>
          <w:b w:val="false"/>
          <w:color w:val="000000"/>
          <w:sz w:val="20"/>
        </w:rPr>
        <w:t>Our business, financial condition, and stock price may be adversely affected by economic downturns, a volatile business environment, or large-scale unpredictable or unstable or unfavorable market conditions, including a prolonged government shutdown, geopolitical events, or a globa</w:t>
      </w:r>
      <w:r>
        <w:rPr>
          <w:rFonts w:ascii="Times New Roman;serif" w:hAnsi="Times New Roman;serif"/>
          <w:b w:val="false"/>
          <w:color w:val="000000"/>
          <w:sz w:val="20"/>
          <w:shd w:fill="FFFFFF" w:val="clear"/>
        </w:rPr>
        <w:t>l pandemic. If ev</w:t>
      </w:r>
      <w:r>
        <w:rPr>
          <w:rFonts w:ascii="Times New Roman;serif" w:hAnsi="Times New Roman;serif"/>
          <w:b w:val="false"/>
          <w:color w:val="000000"/>
          <w:sz w:val="20"/>
        </w:rPr>
        <w:t>ents like these occur, our business may be materially and adversely impacted, including making any necessary debt or equity financing more difficult, more costly and more dilutive.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risks associated with conducting business internationally. We have physical operations and personnel in North America, Europe and Asia, and some of our suppliers and collaborative and clinical trial relationships are located outside the United States. Accordingly, our future results could be harmed by a variety of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instability or weakness, including inflation, reduced growth, diminished credit availability, weakened consumer confidence or increased unemployment;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insta</w:t>
      </w:r>
      <w:r>
        <w:rPr>
          <w:rFonts w:ascii="Times New Roman;serif" w:hAnsi="Times New Roman;serif"/>
          <w:b w:val="false"/>
          <w:color w:val="000000"/>
          <w:sz w:val="20"/>
          <w:shd w:fill="FFFFFF" w:val="clear"/>
        </w:rPr>
        <w:t>bility in the international geopolitical environment, including as a result of the Russian invasion of Ukraine and the recent conflicts in Israel and the broader Middle East;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sociopolitical instability in particular non-U.S. economies and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regulatory requirements for drug approvals in non-U.S.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potentially reduced protection for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difficulties in compliance with non-U.S.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w:t>
      </w:r>
      <w:r>
        <w:rPr>
          <w:rFonts w:ascii="Times New Roman;serif" w:hAnsi="Times New Roman;serif"/>
          <w:b w:val="false"/>
          <w:color w:val="000000"/>
          <w:sz w:val="20"/>
          <w:shd w:fill="FFFFFF" w:val="clear"/>
        </w:rPr>
        <w:t>hanges in U.S. or non-U.S. customs laws and regulations, tariffs and trade barriers, including any changes that nations may impose as a result of political tensions, including tensions between Canada and China, Canada and the United States, or the United States and China;</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changes in non-U.S. currency exchange rates and currency controls;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fluctuations in the U.S. dollar, particularly a weakening of the U.S. dollar against other currencies;</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trade protection measures, import or export licensing requirements or other restrictive actions by U.S. or non-U.S. governments;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restrictions on cross-border data exchanges;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differing reimbursement regimes, including price controls;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negative consequences from changes in tax 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outside the United States;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supply and other disruptions resulting from the impact of public health epidemics on our strategic partners, third-party manufacturers, suppliers and other third parties upon which we rely.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there is currently significant uncertainty about the future relationship between the United States and various other countries, most significantly China, with respect to trade policies, treaties, tariffs, treatment of intellectual property, taxes,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limitations on cross-border operations, including the provision of services and the exchange of data. The U.S. government has made and continues to make significant changes in U.S. trade policy and may continue to take actions that could negatively impact U.S. trade. For example, there have been legislative proposals that would limit the extension of certain specific types of government contracts or renewals, loans, or grants to companies that may do business with select Chinese biotechnology equipment or service providers. If enacted, such legislation would preclude certain U.S. biotechnology companies from using equipment or services produced or provided by those Chinese biotechnology companies when performing on specified types of agreements with the U.S. government. Others in Congress have advocated for the use of existing executive branch authorities to limit certain Chinese service providers’ ability to engage in business in the United States. We cannot predict whether any proposed legislation will be enacted, what executive actions may implicate these kinds of service relationships, or what other actions may ultimately be taken with respect to trade relations between the United States and China or other countries.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Relatedly, the United States has recently enacted significant new tariffs on a number of countries. These include new global tariffs affecting virtually all U.S. trading partners, plus additional tariff measures specifically targeting goods of Canadian, Mexican, and Chinese origin. The current U.S. Presidential administration has directed various federal agencies to further evaluate key aspects of U.S. trade policy and there has been ongoing action, discussion, negotiation, commentary and litigation regarding significant changes to U.S. trade policies, treaties and tariffs. Significant uncertainty continues to exist about the future relationship between the United States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global trade. Additionally, these developments and their direct and indirect impacts could also weaken the U.S. dollar against other currencies, which may adversely affect our business, including as a result of increased costs for goods and services denominated in currencies other than the U.S. dollar. These effects may also negatively impact our partners. Any of these factors could depress economic activity and restrict our access to third-party services as well as disrupt the supply chain for the sourcing of our product candidates. For example, the early-stage clinical supplies for our internal pipeline are currently sourced from China, and while we are actively monitoring tariffs and evaluating other locations for future clinical product requirements, our mitigation efforts may not be successful and our business may be adversely affected. We also run a portion of our global clinical studies and utilize clinical trial sites in non-U.S. locations; we cannot predict how these non-U.S. locations may be impacted by tariffs or a broader trade war. If we or our partners are unable to obtain or use services from existing service providers, unable to source supplies of product candidates or approved drugs, or unable to export or sell approved products or export or sell approved products at competitive prices, our business, liquidity, financial condition, and/or results of operations could be materially and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current U.S. Presidential administration has indicated that it views non-U.S. pharmaceutical manufacturing as a national security concern. As a result, the Department of Commerce has initiated an investigation into imports of pharmaceuticals and pharmaceutical products. If a threat is determined to exist, the current U.S. Presidential administration could impose new and/or additional pharmaceutical-specific tariffs or take other actions. While we cannot predict the outcome of this investigation and whether or not it will result in the imposition of additional tariffs, if additional tariffs are imposed, it could materially increase our costs and also further complicate our supply chain for the manufacture and importation of our product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business has been in the past and may in the future be adversely affected by public health outbreaks and pandemics. </w:t>
      </w:r>
    </w:p>
    <w:p>
      <w:pPr>
        <w:pStyle w:val="TextBody"/>
        <w:bidi w:val="0"/>
        <w:spacing w:lineRule="auto" w:line="288" w:before="240" w:after="283"/>
        <w:jc w:val="left"/>
        <w:rPr/>
      </w:pPr>
      <w:r>
        <w:rPr>
          <w:rFonts w:ascii="Times New Roman;serif" w:hAnsi="Times New Roman;serif"/>
          <w:b w:val="false"/>
          <w:color w:val="000000"/>
          <w:sz w:val="20"/>
        </w:rPr>
        <w:t xml:space="preserve">Our business has been in the past and may in the future be adversely affected by public health outbreaks and pandemics. If a public health outbreak or pandemic </w:t>
      </w:r>
      <w:r>
        <w:rPr>
          <w:rFonts w:ascii="Times New Roman;serif" w:hAnsi="Times New Roman;serif"/>
          <w:b w:val="false"/>
          <w:color w:val="000000"/>
          <w:sz w:val="20"/>
          <w:shd w:fill="FFFFFF" w:val="clear"/>
        </w:rPr>
        <w:t xml:space="preserve">leads </w:t>
      </w:r>
      <w:r>
        <w:rPr>
          <w:rFonts w:ascii="Times New Roman;serif" w:hAnsi="Times New Roman;serif"/>
          <w:b w:val="false"/>
          <w:color w:val="000000"/>
          <w:sz w:val="20"/>
        </w:rPr>
        <w:t>to disruptions in our industry or to our service providers, particularly in regions where we or our strategic partners and suppliers do business, we could experience disruptions that could significantly impact our current and planned clinical trials, preclinical research and other business activities,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 to and delays in preclinical research activities due to extended closure or reduced capacity of lab facilities;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or difficulties in enrolling patients in our ongoing and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patients discontinuing their treatment or follow-up visits;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or difficulties in clinical site initiation, including limitations on access to sites, limitations to site initiation activities that can be carried out remotely, and limitations on the number of clinical site staff on site from time to time;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interruption of key clinical trial activities, such as clinical trial site monitoring, due to limitations on travel imposed or recommended by federal or state governments, employers and others;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shortages, disruptions in supply, logistics or other activities related to the procurement of materials and other supplies, which could have a negative impact on our ability to conduct preclinical research, initiate or complete our clinical trials or commercialize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diversion of healthcare resources away from the conduct of clinical trials, including the diversion of hospitals serving as our clinical trial sites and hospital staff supporting the conduct of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interruption of key business activities due to illness and/or quarantine of key individuals and delays associated with recruiting, hiring and training new temporary or permanent replacements for such key individuals, both internally and at our third-party service providers and strategic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in resources that would otherwise be focused on the conduct of our business or our current or planned clinical trials or preclinical research, including because of sickness, the desire to avoid contact with large groups of people, restrictions on travel, or prolonged stay-at-home or similar working arrangements;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delays in receiving approvals from regulatory authorities to initiate our planned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regulations as part of a response to public health outbreaks, pandemics, or a resurgence of COVID-19 cases and related disruptions, which may require us to change the ways in which our clinical trials are conducted and incur unexpected costs, or require us to discontinue clinical trials altogether;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delays in necessary interactions with regulators (including the FDA), ethics committees and other important agencies and contractors due to limitations in employee resources or furlough of government or contractor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disruptions to our strategic partners’ operations, which could delay the development of our product candidates in certain geographical regions and thereby affect the timing of development and commercial milestone payments and royalties on potential future product sales we may receive;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limitations on our ability to recruit any necessary preclinical research, clinical, regulatory and other professional staff on the timeframe required to support our research and development programs.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impact of such disruptions would be highly uncertain and would depend on factors such as the location, duration and severity, travel restrictions and social distancing, business closures or disruptions, and the effectiveness of actions taken to contain and treat the disease and to address its impact, including on financial markets. Public health outbreaks, pandemics, and related disruptions could disrupt the global financial markets, reducing our ability to access capital, which could negatively affect our liquidity and could heighten the volatility of the financial markets, which could adversely impact the value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in the United States and elsewhere play a primary role in the recommendation and prescription of zanidatamab and any product candidates for which we obtain marketing approval.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current and future arrangements with healthcare professionals, principal investigators, consultants, customers, and third-party payors and other entities may expose us to broadly applicable fraud and abuse and other healthcare laws and regulations, including the federal Anti-Kickback Statute and the federal False Claims Act, that may constrain the business or financial arrangements and relationships through which we conduct clinical research on product candidates and market, sell and distribute any approved products. In addition, we may be subject to transparency laws and patient privacy regulation by the federal government and by the U.S. states and non-U.S. jurisdictions in which we conduct our business. The applicable federal, state and non-U.S. healthcare laws and regulations that may affect our ability to operate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federal civil and criminal false claims laws and civil monetary penalty laws, including the federal False Claims Act, impose criminal or civil penalties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HIPAA, as amended by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federal Open Payments program under the Physician Payments Sunshine Act, created under Section 6002 of the PPACA and its implementing regulations, requires applicable group purchasing organizations and manufacturers of drugs, devices, biologics and medical supplies for which payment is available under Medicare, Medicaid or the Children’s Health Insurance Program (with certain exceptions) to report annually to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or their immediate family members;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analogous and similar state and non-U.S.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 including private insurers);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any available statutory exceptions and safe harbors, it is possible that some of our current and future business activities could be subject to challenge under one or more of such laws.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Any failure or perceived failure by us to comply with such laws, regulations, or case law may result in governmental investigations or enforcement actions, litigation, claims and other proceedings, harm our reputation, and could result in significant liability. If our operations are found to be in violation of any of these laws or any other governmental regulations that may apply to us, we may be subject to significant civil, criminal and administrative penalties, including damages, fines,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We are subject to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p>
    <w:p>
      <w:pPr>
        <w:pStyle w:val="TextBody"/>
        <w:bidi w:val="0"/>
        <w:spacing w:lineRule="auto" w:line="288" w:before="180" w:after="283"/>
        <w:jc w:val="left"/>
        <w:rPr/>
      </w:pPr>
      <w:r>
        <w:rPr>
          <w:rFonts w:ascii="Times New Roman;serif" w:hAnsi="Times New Roman;serif"/>
          <w:b w:val="false"/>
          <w:color w:val="000000"/>
          <w:sz w:val="20"/>
        </w:rPr>
        <w:t>In addition to potential risks discussed above at the risk factor entitled “</w:t>
      </w:r>
      <w:r>
        <w:rPr>
          <w:rFonts w:ascii="Times New Roman;serif" w:hAnsi="Times New Roman;serif"/>
          <w:b w:val="false"/>
          <w:i/>
          <w:color w:val="000000"/>
          <w:sz w:val="20"/>
        </w:rPr>
        <w:t>Our business may become subject to economic, political, regulatory and other risks associated with international operations</w:t>
      </w:r>
      <w:r>
        <w:rPr>
          <w:color w:val="000000"/>
        </w:rPr>
        <w:t>”</w:t>
      </w:r>
      <w:r>
        <w:rPr>
          <w:rFonts w:ascii="Times New Roman;serif" w:hAnsi="Times New Roman;serif"/>
          <w:b w:val="false"/>
          <w:color w:val="000000"/>
          <w:sz w:val="20"/>
        </w:rPr>
        <w:t>, 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w:t>
      </w:r>
      <w:r>
        <w:rPr>
          <w:color w:val="000000"/>
          <w:shd w:fill="FFFFFF" w:val="clear"/>
        </w:rPr>
        <w:t xml:space="preserve"> </w:t>
      </w:r>
      <w:r>
        <w:rPr>
          <w:rFonts w:ascii="Times New Roman;serif" w:hAnsi="Times New Roman;serif"/>
          <w:b w:val="false"/>
          <w:color w:val="000000"/>
          <w:sz w:val="20"/>
          <w:shd w:fill="FFFFFF" w:val="clear"/>
        </w:rPr>
        <w:t>§201</w:t>
      </w:r>
      <w:r>
        <w:rPr>
          <w:rFonts w:ascii="Times New Roman;serif" w:hAnsi="Times New Roman;serif"/>
          <w:b w:val="false"/>
          <w:color w:val="000000"/>
          <w:sz w:val="20"/>
        </w:rPr>
        <w:t xml:space="preserve">, the U.S. Travel Act, the USA PATRIOT Act, the UK Bribery Act 2010, the Proceeds of Crime Act 2002, and other state and national anti-bribery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sell our products outside of the United States once we enter a commercialization phase, or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necessity to replace current third parties, resulting in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Risks Related to Our Financial Position and Need for Additional Capital</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have incurred significant losses since inception and anticipate that we will continue to incur losses for the foreseeable future. We have only one product approved for commercial sale, and, as of September 30, 2025, we have not received any revenue or profit from product sales, other than the receipt of royalties relating to sales of zanidatamab. We may never achieve or sustain profitability.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significant losses since our inception. Our net losses for the years ended December 31, 2024 and 2023 were $122.7 million and $118.7 million, respectively, while our net loss for the nine months ended September 30, 2025 was $39.9 million. As of September 30, 2025, our accumulated deficit was $886.5 million. Our revenue as of September 30, 2025 has been primarily revenue from the license of our proprietary therapeutic platforms for the development of product candidates by others or revenue from our strategic partners. We do not anticipate being net income positive on a regular basis for the foreseeable future. We expect to continue to incur losses for the foreseeable future as we continue our research and development of, and seek regulatory approvals for, our product candidates, prepare for and begin to commercialize any approved product candidates and add infrastructure, which may include personnel, to support our product development efforts. In addition, inflationary pressure could adversely impact our financial results. The net losses and negative cash flows incurred as of September 30, 2025, together with expected future losses, have had, and likely will continue to have, an adverse effect on our stockholders’ deficit and working capital. The amount of future net losses will depend, in part, on the rate of future growth of our expenses and our ability to generate revenue, including through the receipt of royalties from our strategic partners. Because of the numerous risks and uncertainties associated with pharmaceutical product development, we are unable to accurately predict the timing or amount of increased expenses or when, or if, we will be able to achieve profitability. </w:t>
      </w:r>
    </w:p>
    <w:p>
      <w:pPr>
        <w:pStyle w:val="TextBody"/>
        <w:bidi w:val="0"/>
        <w:spacing w:lineRule="auto" w:line="288" w:before="180" w:after="283"/>
        <w:jc w:val="left"/>
        <w:rPr/>
      </w:pPr>
      <w:r>
        <w:rPr>
          <w:rFonts w:ascii="Times New Roman;serif" w:hAnsi="Times New Roman;serif"/>
          <w:b w:val="false"/>
          <w:color w:val="000000"/>
          <w:sz w:val="20"/>
        </w:rPr>
        <w:t>We have devoted substantially all of our financial resources and efforts to developing our proprietary therapeutic platforms, identifying potential product candidates and conducting preclinical studies and clinical trials. Zanidatamab is the only product candidate developed with our therapeutic platforms that has received regulatory approval, and we and our strategic partners are still developing other product candidates. To become and remain profitable, we or our strategic partners must succeed in developing and commercializing product candidates with significant market potential. This will require us to be successful in a range of challenging activities for which we are only in the preliminary stages,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or royalties that is significant enough to achieve profitability. While we are receiving royalties from sales of zanidatamab, we do not anticipate generating revenue from sales of our wholly-owned product candidates in the near term.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w:t>
      </w:r>
      <w:r>
        <w:rPr>
          <w:rFonts w:ascii="Times New Roman;serif" w:hAnsi="Times New Roman;serif"/>
          <w:b w:val="false"/>
          <w:color w:val="000000"/>
          <w:sz w:val="20"/>
          <w:shd w:fill="FFFFFF" w:val="clear"/>
        </w:rPr>
        <w:t>ntinue our operations. A decline in the value of our company could also cause our stockholders to lose all or part of their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will require substantial additional funding, which may not be available to us on acceptable terms, or at all, and, if not available, may require us to delay, scale back, or cease our product development programs or operations.</w:t>
      </w:r>
    </w:p>
    <w:p>
      <w:pPr>
        <w:pStyle w:val="TextBody"/>
        <w:bidi w:val="0"/>
        <w:spacing w:lineRule="auto" w:line="288" w:before="180" w:after="283"/>
        <w:jc w:val="left"/>
        <w:rPr/>
      </w:pPr>
      <w:r>
        <w:rPr>
          <w:rFonts w:ascii="Times New Roman;serif" w:hAnsi="Times New Roman;serif"/>
          <w:b w:val="false"/>
          <w:color w:val="000000"/>
          <w:sz w:val="20"/>
          <w:shd w:fill="FFFFFF" w:val="clear"/>
        </w:rPr>
        <w:t>We currently have three clinical-stage product candidates, ZW191, ZW251 and ZW171. We have licensed zanidatamab to our strategic partner Jazz, which has been responsible for completing clinical development in the United States and other jurisdictions not covered by our license to BeOne. In November 2024, Jazz announced the FDA granted accelerated approval for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(IHC 3+) BTC. Jazz is conducting the confirmatory trial for Ziihera® related to the accelerated approval. If the confirmatory trial fails to demonstrate a clinical benefit, the FDA may remove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from the market, which would negatively impact our ability to earn milestone payments and royalties from Jazz. Additionally, in May 2025, the NMPA in China granted conditional approval of zanidatamab for the treatment of patients with previously treated, unresectable or metastatic HER2+ BTC, and in July 2025, Jazz announced that the European Commission granted conditional marketing authorization of Ziihera® for the treatment of adults with unresectable locally advanced or metastatic HER2+ BTC. Continued approval for these indications is contingent upon verification and description of clinical benefits in confirmatory trials, and if these ongoing confirmatory trials fail to demonstrate a clinical benefit, the applicable regulators may revoke the conditional approvals, which would negatively impact our ability to earn milestone payments and royalties from BeOne and/or Jazz.</w:t>
      </w:r>
    </w:p>
    <w:p>
      <w:pPr>
        <w:pStyle w:val="TextBody"/>
        <w:bidi w:val="0"/>
        <w:spacing w:lineRule="auto" w:line="288" w:before="180" w:after="283"/>
        <w:jc w:val="left"/>
        <w:rPr/>
      </w:pPr>
      <w:r>
        <w:rPr>
          <w:rFonts w:ascii="Times New Roman;serif" w:hAnsi="Times New Roman;serif"/>
          <w:b w:val="false"/>
          <w:color w:val="000000"/>
          <w:sz w:val="20"/>
        </w:rPr>
        <w:t>We are</w:t>
      </w:r>
      <w:r>
        <w:rPr>
          <w:color w:val="000000"/>
          <w:shd w:fill="FFFFFF" w:val="clear"/>
        </w:rPr>
        <w:t xml:space="preserve"> </w:t>
      </w:r>
      <w:r>
        <w:rPr>
          <w:rFonts w:ascii="Times New Roman;serif" w:hAnsi="Times New Roman;serif"/>
          <w:b w:val="false"/>
          <w:color w:val="000000"/>
          <w:sz w:val="20"/>
          <w:shd w:fill="FFFFFF" w:val="clear"/>
        </w:rPr>
        <w:t xml:space="preserve">focused on the development of our early-stage product candidates and general discovery efforts. We are currently recruiting patients in ongoing global Phase 1, open-label, multicenter studies of ZW191 and ZW251 in North America, Europe, and the Asia-Pacific region. </w:t>
      </w:r>
    </w:p>
    <w:p>
      <w:pPr>
        <w:pStyle w:val="TextBody"/>
        <w:bidi w:val="0"/>
        <w:spacing w:lineRule="auto" w:line="288" w:before="180" w:after="283"/>
        <w:jc w:val="left"/>
        <w:rPr/>
      </w:pPr>
      <w:r>
        <w:rPr>
          <w:rFonts w:ascii="Times New Roman;serif" w:hAnsi="Times New Roman;serif"/>
          <w:b w:val="false"/>
          <w:color w:val="000000"/>
          <w:sz w:val="20"/>
          <w:shd w:fill="FFFFFF" w:val="clear"/>
        </w:rPr>
        <w:t>D</w:t>
      </w:r>
      <w:r>
        <w:rPr>
          <w:rFonts w:ascii="Times New Roman;serif" w:hAnsi="Times New Roman;serif"/>
          <w:b w:val="false"/>
          <w:color w:val="000000"/>
          <w:sz w:val="20"/>
        </w:rPr>
        <w:t>eveloping pharmaceutical products, including conducting preclinical studies and clinical trials, is expensive. In order to obtain regulatory approval, we will be required to conduct clinical trials for each indication for each of our product candidates. Although our collaboration agreements with Jaz</w:t>
      </w:r>
      <w:r>
        <w:rPr>
          <w:rFonts w:ascii="Times New Roman;serif" w:hAnsi="Times New Roman;serif"/>
          <w:b w:val="false"/>
          <w:color w:val="000000"/>
          <w:sz w:val="20"/>
          <w:shd w:fill="FFFFFF" w:val="clear"/>
        </w:rPr>
        <w:t>z and BeOne provide</w:t>
      </w:r>
      <w:r>
        <w:rPr>
          <w:color w:val="000000"/>
        </w:rPr>
        <w:t xml:space="preserve"> </w:t>
      </w:r>
      <w:r>
        <w:rPr>
          <w:rFonts w:ascii="Times New Roman;serif" w:hAnsi="Times New Roman;serif"/>
          <w:b w:val="false"/>
          <w:color w:val="000000"/>
          <w:sz w:val="20"/>
        </w:rPr>
        <w:t>for additional future funding for zanidatamab,</w:t>
      </w:r>
      <w:r>
        <w:rPr>
          <w:color w:val="000000"/>
          <w:shd w:fill="FFFFFF" w:val="clear"/>
        </w:rPr>
        <w:t xml:space="preserve"> </w:t>
      </w:r>
      <w:r>
        <w:rPr>
          <w:rFonts w:ascii="Times New Roman;serif" w:hAnsi="Times New Roman;serif"/>
          <w:b w:val="false"/>
          <w:color w:val="000000"/>
          <w:sz w:val="20"/>
          <w:shd w:fill="FFFFFF" w:val="clear"/>
        </w:rPr>
        <w:t>we will continue to require additional funding to advan</w:t>
      </w:r>
      <w:r>
        <w:rPr>
          <w:rFonts w:ascii="Times New Roman;serif" w:hAnsi="Times New Roman;serif"/>
          <w:b w:val="false"/>
          <w:color w:val="000000"/>
          <w:sz w:val="20"/>
        </w:rPr>
        <w:t xml:space="preserve">ce and complete the development of our other product candidates, and such funding may not be available on acceptable terms or at all. If sufficient funds on acceptable terms are not available when needed, or at all, we could be forced to significantly reduce operating expenses and delay, scale back or eliminate one or more of our development programs or our business operations. </w:t>
      </w:r>
      <w:r>
        <w:rPr>
          <w:rFonts w:ascii="Times New Roman;serif" w:hAnsi="Times New Roman;serif"/>
          <w:b w:val="false"/>
          <w:color w:val="000000"/>
          <w:sz w:val="20"/>
          <w:shd w:fill="FFFFFF" w:val="clear"/>
        </w:rPr>
        <w:t>As part of our evolving business strategy to help enhance long-term stockholder value and as an alternative to us pursuing later-stage clinical development of our product candidates, we plan to evaluate various partnering and other strategic collaboration transactions that may enable us to transfer certain costs and risks related to later-stage development to our strategic partners. If we successfully enter into these types of transactions, we expect to be able to enhance our capital efficiency by deploying resources that may have otherwise been spent on later-stage clinical development across other areas of our business; however, we may not be able to identify suitable partners or enter into agreements on terms acceptable to us. Even if we are able to secure additional partnering arrangements, there can be no assurance that these arrangements will be successful, which could materially harm our business, financial conditions and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number and characteristics of other product candidates that we pursue;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scope, progress, timing, cost and results of research, preclinical development, and clinical trials;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timing and outcome of seeking and obtaining FDA and non-U.S. regulatory approvals;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costs associated with manufacturing our product candidates and establishing sales, marketing and distribution capabilities;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hire when needed additional management, scientific and medical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effect of competing products that may limit market penetration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implement additional internal systems and infrastructure, including financial and reporting systems;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Until we can generate a sufficient amount of product revenue to finance our cash requirements, which we may never do, we expect to finance future cash needs primarily through a combination of public and private equity offerings, debt financings, asset monetization, strategic partnerships and grant funding.</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Raising additional capital may cause dilution to our stockholders, restrict our operations or require us to relinquish substantial rights.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For example, in August 2024, we entered into the Cowen Sales Agreement with TD Cowen as sales agent to sell shares of our common stock from time to time through an “at-the-market” equity offering program, subject to a maximum aggregate dollar amount registered pursuant to a prospectus supplement. As part of the ongoing management of our operations and related funding needs, we evaluate various financing vehicles, including “at-the-market” equity offering programs, and may enter into similar “at-the-market” equity offering programs in the future, as well as other financing transactions. Debt financing, if available at all, may involve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Tax law changes could adversely affect our business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income taxes in the United States and various non-U.S. jurisdictions. Our effective tax rate could be adversely affected by several factors, many of which are outside of our control, including enactment of new income, sales, use or other tax laws, statutes, rules, regulations, or ordinances or changes or modifications in existing tax laws, statutes, rules, regulations, or ordinances, or the interpretation of the same. For example, the recently enacted U.S. federal tax legislation commonly referred to as the One Big Beautiful Bill Act (the “OBBB Act”) has made many significant changes to the U.S. tax laws. We are currently evaluating the full impact of the OBBB Act on us. Future guidance from the Internal Revenue Service and other tax authorities with respect to current tax laws may affect us, and certain aspects of current tax laws could be repealed or modified in future legislation. In addition, it is uncertain if and to what extent various states will conform to such legislation or any newly enacted federal tax legislation. Changes in corporate tax rates, the realization of net deferred tax assets relating to our operations, the taxation of non-U.S. earnings, and the deductibility of expenses under past or future reform legislation could have a material impact on the value of our deferred tax assets, could result in significant one-time charges, and could increase our future tax expense.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depend on our collaborative relationships with Jazz and BeOne to further develop and commercialize zanidatamab, and if our relationships are not successful or are terminated, we may be delayed in or unable to effectively develop and/or commercialize zanidatamab, which could have a material adverse effect on our business.</w:t>
      </w:r>
    </w:p>
    <w:p>
      <w:pPr>
        <w:pStyle w:val="TextBody"/>
        <w:bidi w:val="0"/>
        <w:spacing w:lineRule="auto" w:line="288" w:before="240" w:after="283"/>
        <w:jc w:val="left"/>
        <w:rPr/>
      </w:pPr>
      <w:r>
        <w:rPr>
          <w:rFonts w:ascii="Times New Roman;serif" w:hAnsi="Times New Roman;serif"/>
          <w:b w:val="false"/>
          <w:color w:val="000000"/>
          <w:sz w:val="20"/>
        </w:rPr>
        <w:t>In October 2022, Zymeworks BC entered into a License and Collaboration Agreement (the “Original Jazz Collaboration Agreement”) with Jazz, under which Jazz obtained development and commercialization right</w:t>
      </w:r>
      <w:r>
        <w:rPr>
          <w:rFonts w:ascii="Times New Roman;serif" w:hAnsi="Times New Roman;serif"/>
          <w:b w:val="false"/>
          <w:color w:val="000000"/>
          <w:sz w:val="20"/>
          <w:shd w:fill="FFFFFF" w:val="clear"/>
        </w:rPr>
        <w:t xml:space="preserve">s of zanidatamab throughout the world, excluding certain territories already covered by Zymeworks BC’s agreement with BeOne. </w:t>
      </w:r>
      <w:r>
        <w:rPr>
          <w:rFonts w:ascii="Times New Roman;serif" w:hAnsi="Times New Roman;serif"/>
          <w:b w:val="false"/>
          <w:color w:val="000000"/>
          <w:sz w:val="20"/>
        </w:rPr>
        <w:t>In</w:t>
      </w:r>
      <w:r>
        <w:rPr>
          <w:color w:val="000000"/>
          <w:shd w:fill="FFFFFF" w:val="clear"/>
        </w:rPr>
        <w:t xml:space="preserve"> </w:t>
      </w:r>
      <w:r>
        <w:rPr>
          <w:rFonts w:ascii="Times New Roman;serif" w:hAnsi="Times New Roman;serif"/>
          <w:b w:val="false"/>
          <w:color w:val="000000"/>
          <w:sz w:val="20"/>
          <w:shd w:fill="FFFFFF" w:val="clear"/>
        </w:rPr>
        <w:t>April 2023, certain of our subsidiaries entered into a stock and asset purchase agreement with Jazz Inc. (as amended, the “Transfer Agreement”). Pursuant to the terms of the Transfer Agreement, we took a series of steps designed to simplify, focus, and potentially expedite the clinical development and commercialization of zanidatamab in partnership with Jazz by transferring certain assets, contracts and employees associated with our zanidatamab development program to Jazz and its affiliates (the “Program”). As part of the transactions contemplated by the Transfer Agreement, at the closing of the Transfer Agreement in May 2023, Zymeworks BC and Jazz amended and restated the Original Jazz Collaboration Agreement to reflect the transfer of responsibility for the Program (as amended, the “Amended Jazz Collaboration Agreement”). Under the Amended Jazz Collaboration Agreement, the financial terms of the Original Jazz Collaboration Agreement were unchanged, except that the costs of the Program (including ongoing costs related to the service providers transferred to Jazz purs</w:t>
      </w:r>
      <w:r>
        <w:rPr>
          <w:rFonts w:ascii="Times New Roman;serif" w:hAnsi="Times New Roman;serif"/>
          <w:b w:val="false"/>
          <w:color w:val="000000"/>
          <w:sz w:val="20"/>
        </w:rPr>
        <w:t xml:space="preserve">uant to the Transfer Agreement) incurred following the closing of the Transfer Agreement are directly borne by Jazz instead of being incurred by us and charged back to Jazz for reimbursement,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Zymeworks BC remains eligible for reimbursement of certain costs for activities where Zymeworks BC maintains responsibility under the Amended Jazz Collaboration Agreement. Other material terms in the Amended Jazz Collaboration Agreement also remain substantially similar to the terms of the Original Jazz Collaboration Agreement, including commercialization, term and termination, and certain other customary terms and conditions, including mutual representations and warranties, indemnification, and confidentiality provisions. We cannot be certain that our amended arrangement with Jazz will simplify, focus, or potentially expedite the clinical development and commercialization of zanidatamab in partnership with Jazz. We continue to depend on Jazz to collaborate with us to develop and commercialize zanidatamab in the territories covered by the Amended Jazz Collaboration Agreement and, as a result, the eventual success or commercial viability of zanidatamab is largely beyond our control. Any future financial returns to us depend in large part on achievement of regulatory and commercialization milestones, plus a share of any revenue from sales. Therefore, our success, and any associated financial returns to us and our investors, will depend in significant part on Jazz’s performance under the Amended Jazz Collaboration Agreement.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a number of additional specific risks associated with our dependence on our collaborative relationship with Jazz,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adverse decisions by Jazz regarding the development and commercialization of zanidatamab;</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Jazz’s ability to manufacture, directly or through third parties, commercially required quantities of zanidatamab in a timely manner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Jazz’s compliance with ongoing post-marketing obligations, including completion of the confirmatory trial for zanidatamab;</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disagreements as to the timing, nature and extent of development plans, including clinical trials or regulatory approval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loss of significant rights if we fail to meet our obligations under the agreement;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changes in key management personnel at Jazz;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possible disagreements with Jazz regarding the agreement, for example, with regard to ownership of intellectual property rights or program costs and reimbursement matters;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Jazz may not perform its obligations as expected.</w:t>
      </w:r>
    </w:p>
    <w:p>
      <w:pPr>
        <w:pStyle w:val="TextBody"/>
        <w:bidi w:val="0"/>
        <w:spacing w:lineRule="auto" w:line="288" w:before="240" w:after="283"/>
        <w:jc w:val="left"/>
        <w:rPr/>
      </w:pPr>
      <w:r>
        <w:rPr>
          <w:rFonts w:ascii="Times New Roman;serif" w:hAnsi="Times New Roman;serif"/>
          <w:b w:val="false"/>
          <w:color w:val="000000"/>
          <w:sz w:val="20"/>
          <w:shd w:fill="FFFFFF" w:val="clear"/>
        </w:rPr>
        <w:t>In November 2024, Jazz announced the FDA granted accelerated approval for Ziihera</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for injection for intravenous use for the treatment of adults with previously treated, unresectable or metastatic HER2+ (IHC 3+) BTC. Jazz is conducting the confirmatory trial for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related to the accelerated approval. If the confirmatory trial fails to demonstrate a clinical benefit, the FDA may remove Ziihera</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from the market, which would negatively impact our ability to earn milestone payments and royalties from Jazz. In addition, although Jazz is developing zanidatamab for regulatory approval in additional indications, such regulatory approval may never be achieved. If additional indications are not approved, our ability to achieve additional milestone payments and royalties on sales of zanidatamab will be materially and negatively impacted. Jazz is also subject to the risks relating to development and commercialization of product candidates or approved products discussed elsewhere in this “Risk Factors” section, which could restrict Jazz’s ability to further develop and commercialize zanidatamab and negatively impact our ability to achieve milestone payments and royalties.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either we or Jazz fail to perform our respective obligations, any clinical trial, regulatory approval or development progress could be significantly delayed or halted, could result in costly or time-consuming litigation or arbitration and could have a material adverse effect on our business. In addition, we depend on Jazz to provide certain information to us regarding the Program, and any delay by Jazz in fulfilling its information-sharing obligations under the Amended Collaboration Agreement could impact our understanding of the status of the Program, as well as result in potential delays or inaccuracies in our disclosures relating to the Program.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Decisions by Jazz to emphasize other drug candidates currently in its portfolio ahead of zanidatamab or to add competitive agents to its portfolio could result in a decision to terminate the agreement, in which event, among other things, we may be responsible for paying any remaining costs of ongoing or future clinical trials. If Jazz decides to terminate the Amended Jazz Collaboration Agreement, we may be delayed in or unable to effectively develop and/or commercialize zanidatamab, which could have a material adverse effect on our business. Any of the above discussed scenarios could adversely affect the timing and extent of the development and commercialization activities related to zanidatamab, which could materially and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in November 2018, we entered into a License and Collaboration Agreement with BeOne granting BeOne an exclusive license for the research, development, and commercialization of zanidatamab in Asia (excluding Japan, but including the People’s Republic of China, South Korea and other countries), Australia, and New Zealand. We face similar risks with respect to our relationship with BeOne as we do with Jazz.</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pStyle w:val="TextBody"/>
        <w:bidi w:val="0"/>
        <w:spacing w:lineRule="auto" w:line="288" w:before="240" w:after="283"/>
        <w:jc w:val="left"/>
        <w:rPr/>
      </w:pPr>
      <w:r>
        <w:rPr>
          <w:rFonts w:ascii="Times New Roman;serif" w:hAnsi="Times New Roman;serif"/>
          <w:b w:val="false"/>
          <w:color w:val="000000"/>
          <w:sz w:val="20"/>
        </w:rPr>
        <w:t>We have limited capabilities for drug development and commercialization of our produ</w:t>
      </w:r>
      <w:r>
        <w:rPr>
          <w:rFonts w:ascii="Times New Roman;serif" w:hAnsi="Times New Roman;serif"/>
          <w:b w:val="false"/>
          <w:color w:val="000000"/>
          <w:sz w:val="20"/>
          <w:shd w:fill="FFFFFF" w:val="clear"/>
        </w:rPr>
        <w:t>ct candidates, if approved. Accordingly, we have entered into strategic partnerships with other companies that we believe can provide such capabilities, including our collaboration and license agreements with Jazz, BeOne, BMS, GSK, Daiichi Sankyo, J&amp;J and Merck. T</w:t>
      </w:r>
      <w:r>
        <w:rPr>
          <w:rFonts w:ascii="Times New Roman;serif" w:hAnsi="Times New Roman;serif"/>
          <w:b w:val="false"/>
          <w:color w:val="000000"/>
          <w:sz w:val="20"/>
        </w:rPr>
        <w:t>hese relationships also have provided us with non-dilutive funding for our wholly-owned pipeline and therapeutic platforms and we expect to receive additional funding under these strategic partnerships in the future. Our existing strategic partnerships, and any future strategic partnerships we enter into, may pose a number of risks, including: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have significant discretion in determining the efforts and resources that they will apply to these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not perform their obligations as expected;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strategic partner with marketing and distribution rights to one or more of our product candidates that achieve regulatory approval may not commit sufficient resources to the marketing and distribution of such product candidates;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be dependent on strategic partners to provide certain information to us regarding the development of product candidates, and any delay by our strategic partners to full information-sharing obligations could impact our understanding of such development, as well as result in potential delays or inaccuracies in our disclosures;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infringe the intellectual property rights of third parties, which may expose us to litigation and potential liability;</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BeOne, BMS, GSK, Daiichi Sankyo, J&amp;J and Merck may be terminated for convenience upon the completion of a specified notice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elect to enter into additional licensing or collaboration agreements to partner our product candidates in territories we currently retain, and in the event we grant exclusive rights to such partners, we would be precluded from potential commercialization of our product candidates within the territories in which we have a partner;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strategic partners may not have the ability or the development capabilities to perform their obligations as expected, including as a result of the impact of a pandemic or epidemic on our strategic partners’ operations or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our strategic partners are subject to the risks relating to development and commercialization of product candidates discussed elsewhere in this “Risk Factors” section, which could limit their ability to develop and commercialize product candidates and negatively impact our ability to achieve milestone, royalty or other contractual payments.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strategic partnerships do not result in the successful development and commercialization of product candidates or if one of our partners terminates its agreement with us, we may not receive any future research funding or milestone or royalty payments under the collaboration. If we do not receive the funding we expect under our strategic partnership agreements, our development of our therapeutic platforms and product candidates could be delayed and we may need additional resources to develop product candidates and our therapeutic platforms.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face significant competition in seeking new strategic partners.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some of our product candidates, we may in the future determine to collaborate with additional pharmaceutical and biotechnology companies for development and potential commercialization of therapeutic products.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strategic partner may also consider alternative product candidates or technologies for similar indications that may be available to collaborate on and whether such a collaboration could be more attractive than the one with us for our product candidate.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Strategic partnerships are complex and time-consuming to negotiate and document. In addition, there have been and may continue to be a significant number of business combinations among large pharmaceutical companies that have resulted in and may in the future result in a reduced number of potential strategic partners. If we are unable to reach agreements with suitable strategic partners on a timely basis, on acceptable terms, or at all, we may have to curtail the development of a product candidate, reduce or delay one or more of our other development programs, delay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products.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do not currently own or operate any manufacturing facilities. We rely on our strategic partners to manufacture product candidates licensed to them or work with multiple third-party contract manufacturers to produce sufficient quantities of materials required for the manufacture of our product candidates for preclinical testing and clinical trials, in compliance with applicable regulatory and quality standards,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manufacture of biopharmaceutical products is complex and requires significant expertise and capital investment, including the development of advanced manufacturing techniques and process controls. The process of manufacturing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in accordance with cGMP by utilizing cells that are stor</w:t>
      </w:r>
      <w:r>
        <w:rPr>
          <w:rFonts w:ascii="Times New Roman;serif" w:hAnsi="Times New Roman;serif"/>
          <w:b w:val="false"/>
          <w:color w:val="000000"/>
          <w:sz w:val="20"/>
          <w:shd w:fill="FFFFFF" w:val="clear"/>
        </w:rPr>
        <w:t>ed in a cell bank. We have one master cell bank and one working cell bank for zanidatamab and one master cell bank for each of ZW171, ZW191, ZW209, ZW220 and ZW251. S</w:t>
      </w:r>
      <w:r>
        <w:rPr>
          <w:rFonts w:ascii="Times New Roman;serif" w:hAnsi="Times New Roman;serif"/>
          <w:b w:val="false"/>
          <w:color w:val="000000"/>
          <w:sz w:val="20"/>
        </w:rPr>
        <w:t>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non-U.S. standards. Pharmaceutical manufacturers and their subcontractors are required to register their facilities or products manufactured at the time of submission of the marketing application and then annually thereafter with the FDA and certain state and non-U.S. agencies. They are also subject to periodic unannounced inspections by the FDA, state and other non-U.S.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disruptions to ports and other shipping infrastructure may result in shortages or delays impacting the availability of materials and other supplies, which could negatively impact our manufacturers, suppliers and other third parties on whom we rely. While we have not suffered any direct, material negative impacts from supply chain disruptions to date, we cannot be certain that we will not be impacted by any such disruptions in the future, which could increase our costs or negatively impact our development timelines.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rely on entities outside of our control, which may include academic institutions, CROs, hospitals, clinics and other third-party strategic partners, to monitor, support, conduct and oversee preclinical studies and clinical trials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trials in the manner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These third parties, in turn, may face their own constraints in obtaining the resources and personnel needed to perform the work for which we engage them.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EMA or other regulatory agencies.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and our CROs are required to comply with GCP regulations and guidelines enforced by the FDA, the competent authorities of the member states of the EU and comparable non-U.S. regulatory authorities for products in clinical development. Regulatory authorities enforce these GCP regulations through periodic inspections of clinical trial sponsors, principal investigators and clinical trial sites. If we or any of our CROs fail to comply with applicable 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any of our clinical trial sites terminate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Switching or adding CROs or other suppliers can involve substantial cost and require extensive management time and focus, and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currently rely upon third-party consultants and contractors to provide certain operational and administrative services, including external financial, legal, information technology,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 If we are unsuccessful in choosing or finding high-quality partners, if we fail to negotiate cost-effective relationships with them, or if we ineffectively manage these relationships, it could have an adverse impact on our business and financial performance.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 attempts to harm the systems. The occurrence of a natural or intentional disaster, any decision to close a facility we are using without adequate notice, or an unanticipated problem at our cloud-based virtual server facility, could result in harmful interruptions in our service, resulting in adverse effects to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commercial success depends significantly on our ability to operate without infringing the patents and other proprietary rights of third parties.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In addition, we are aware of certain third-party patents and patent applications that generally encompass topoisomerase 1 inhibitors. If our or our strategic partners’ product candidates or products are covered by any claims of these patents or patents that may issue from these applications, and if licenses for them are not available on commercially reasonable terms or at all, we or our strategic partners are unable to invalidate or render unenforceable those patents, or we or our strategic partners are unable to reengineer such product candidates or products, our business could be materially harmed.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patent covering any technology that we require may materially harm our business, financial condition and results of operations. Moreover, our failure to maintain a license to any patent covering any technology that we require may also materially harm our business, financial condition and results of operations. Furthermore, we would be exposed to a threat of litigation.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at issue or to license the technology from third parties. We may not be able to obtain any required licenses on commercially acceptable terms or at all. Any of these outcomes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obtain, maintain and enforce patent and trade secret protection for our product candidates and related technology, our business could be materially harmed.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Moreover, the patent position of biopharmaceutical companies generally is 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recent reforms and changes at U.S. government agencies and those of non-U.S. jurisdictions could increase the uncertainties and costs surrounding the prosecution or maintenance of our patent applications, and the maintenance, enforcement, or defense of our issued patents. For example, the ability of the U.S.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U.S. law.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patents covering one or more of our products or product candidates could be found invalid or unenforceable if challenged.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our intellectual property rights could be challenged or invalidated despite measures we take to obtain patent and other intellectual property protection with respect to our product candidates and proprietary technology. These challenges could be initiated in the courts or administratively in various patent offices. For example, if we were to initiate legal proceedings against a third party to enforce a patent covering one of our product candidates, the defendant could counterclaim that our patent is invalid and/or unenforceable or file an administrative action to invalidate our patent.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non-U.S.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enforce such claims against the defendant and others. The cost of defending such a challenge, and any resulting loss of patent protection, could have a material adverse impact on one or more of our product candidates and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intellectual property rights will not necessarily provide us with competitive advantages.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able to make compounds that are similar to our product candidates but that are not covered by the claims of the patents that we or our strategic partners own or have exclusively licensed;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independently develop similar or alternative technologies without infringing our intellectual property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issued patents that we own or have exclusively licensed may not provide us with any competitive advantages, or may be held invalid or unenforceable, as a result of legal challenges by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competitors might conduct research and development activities in countries where we do not have patent rights and use the information learned from such activities to develop competitive products for sale in our major commercial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fail to develop additional proprietary technologies that are patentable;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laws of certain countries may not protect our intellectual property rights to the same extent as U.S. law, or we may fail to apply for or obtain adequate intellectual property protection in all the jurisdictions in which we operate;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patents of others may have an adverse effect on our business, for example by preventing us from marketing one or more of our product candidates for one or more indications.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of the aforementioned threats to our competitive advantage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become involved in lawsuits to protect or enforce our patents and trade secrets, which could be expensive, time consuming and unsuccessful.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business objectives.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are examples of litigation and other adversarial proceedings or disputes that we could become a party to involving our patents or patents licensed to us: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or our strategic partners may initiate litigation or other proceedings against third parties to enforce our patent or trade secret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litigation or other proceedings seeking to invalidate patents owned by or licensed to us or to obtain a declaratory judgment that their product or technology does not infringe our patents or patents licensed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there may be a challenge or dispute regarding inventorship or ownership of patents or trade secrets currently identified as being solely or co-owned by us or by a licensor who has granted a license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third parties may seek approval to market biosimilar versions of our future approved products prior to expiration of relevant patents owned by or licensed to us, requiring us to defend our patents, including by filing lawsuits alleging patent infringement.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able to develop a platform that is similar to, or better than, ours in a way that is not covered by the claims of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others may be able to make compounds that are similar to our product candidates but that are not covered by the claims of our patents;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might not have been the first to make the inventions covered by patents or pending patent applications;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might not have been the first to file patent applications for these inventions;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patents that we obtain may not provide us with any competitive advantages or may ultimately be found invalid or unenforceable;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 or that afford meaningful trade secret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Patent terms may be inadequate to protect our competitive position on our product candidates for an adequate amount of time.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Further, judicial decisions in the United States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obtain protection under the Hatch-Waxman Amendments and similar legislation in other countries for extending the term of patents covering each of our product candidates, our business may be materially harmed.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Depending upon the timing, duration and conditions of FDA marketing approval of our product candidates, one or more of our U.S. patents may be eligible for limited patent term extension under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proprietary information, the value of our technology and products could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that individual’s assignee, or a third party. Such assignment or license may not be available on commercially reasonable terms or at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or applications will be due to the USPTO and various non-U.S. patent offices at various points over the lifetime of our patents or applications. We have systems in place to remind us to pay these fees, and we rely on our outside patent annuity service to pay these fees when due. Additionally, the USPTO and various non-U.S.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claims challenging the inventorship of our patents and other intellectual property.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protection and patent prosecution for some of our product candidates may be dependent on, and the ability to assert patents and defend them against claims of invalidity may be maintained by, third parties.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times when certain patents that relate to our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prosecute and maintain patents and patent applications within our portfolio as well as the ability to assert such patents against infringers.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ability to develop and commercialize any such product candidate may be adversely affected and we may not be able to prevent competitors from making, using and selling competing products.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patent laws or patent jurisprudence could diminish the value of patents in general, thereby impairing our ability to protect our products.</w:t>
      </w:r>
    </w:p>
    <w:p>
      <w:pPr>
        <w:pStyle w:val="TextBody"/>
        <w:bidi w:val="0"/>
        <w:spacing w:lineRule="auto" w:line="288" w:before="240" w:after="283"/>
        <w:jc w:val="left"/>
        <w:rPr/>
      </w:pPr>
      <w:r>
        <w:rPr>
          <w:rFonts w:ascii="Times New Roman;serif" w:hAnsi="Times New Roman;serif"/>
          <w:b w:val="false"/>
          <w:color w:val="000000"/>
          <w:sz w:val="20"/>
        </w:rPr>
        <w:t>The patent positions of pharmaceutical and biotechnology companies can be highly uncertain and involve complex legal and factual questions for which important legal principles remain unresolved. Changes in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w:t>
      </w:r>
      <w:r>
        <w:rPr>
          <w:color w:val="000000"/>
          <w:shd w:fill="FFFFFF" w:val="clear"/>
        </w:rPr>
        <w:t xml:space="preserve"> </w:t>
      </w:r>
      <w:r>
        <w:rPr>
          <w:rFonts w:ascii="Times New Roman;serif" w:hAnsi="Times New Roman;serif"/>
          <w:b w:val="false"/>
          <w:color w:val="000000"/>
          <w:sz w:val="20"/>
          <w:shd w:fill="FFFFFF" w:val="clear"/>
        </w:rPr>
        <w:t>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September 2011, the Leahy-Smith America Invents Act, also known as the America Invents Act (“AIA”), was signed into law.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Depending on decisions by the U.S. Congress, the U.S. federal courts, the USPTO or similar authorities in non-U.S. jurisdictions, the laws and regulations governing patents could change in unpredictable ways that may weaken our and our licensors’ ability to obtain new patents or to enforce existing patents we and our licensors or partners may obtain in the future. For example, the U.S. Supreme Court held in Amgen v. Sanofi (2023) that a functionally claimed genus was invalid for failing to comply with the enablement requirement of the Patent Act. As such, any of our patent rights with functional claims may be vulnerable to third-party challenges seeking to invalidate these claims for lacking enablement or adequate support in the specification.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240" w:after="283"/>
        <w:jc w:val="left"/>
        <w:rPr/>
      </w:pPr>
      <w:r>
        <w:rPr>
          <w:rFonts w:ascii="Times New Roman;serif" w:hAnsi="Times New Roman;serif"/>
          <w:b w:val="false"/>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U.S. law.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w:t>
      </w:r>
      <w:r>
        <w:rPr>
          <w:rFonts w:ascii="Times New Roman;serif" w:hAnsi="Times New Roman;serif"/>
          <w:b w:val="false"/>
          <w:color w:val="000000"/>
          <w:sz w:val="20"/>
          <w:shd w:fill="FFFFFF" w:val="clear"/>
        </w:rPr>
        <w:t>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rights around the world may be inadequate to obtain a significant commercial advantage from the intellectual property that we develop or license.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requirements for patentability may differ in certain countries, which may make it more difficult for us to obtain sufficient claim scope to protect our products in those jurisdictions.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pStyle w:val="TextBody"/>
        <w:bidi w:val="0"/>
        <w:spacing w:lineRule="auto" w:line="288" w:before="240" w:after="283"/>
        <w:jc w:val="left"/>
        <w:rPr/>
      </w:pPr>
      <w:r>
        <w:rPr>
          <w:rFonts w:ascii="Times New Roman;serif" w:hAnsi="Times New Roman;serif"/>
          <w:b w:val="false"/>
          <w:color w:val="000000"/>
          <w:sz w:val="20"/>
        </w:rPr>
        <w:t xml:space="preserve">Geo-political actions could increase the uncertainties and costs surrounding the prosecution or maintenance of our patent applications or those of any current or future licensors or licensees and the maintenance, enforcement or defense of our issued patents or those of any current or future licensors or licensees. For example, in March 2025, the Chinese government issued regulations for implementation of the 2021 Anti-Foreign Sanctions Act. These regulations expand the Chinese government’s ability to seize certain assets, including intellectual property, of foreign entities in response to foreign sanctions, including those by the United States. Accordingly, our competitive position may be impaired, and our business, financial condition, results of operations and prospects may be adversely affected. In addition, the complexity and uncertainty of European patent laws have increased in recent years. In Europe, a new unitary patent system was introduced in June 2023, which will significantly impact European patents, including those granted before the introduction of this system. Under the unitary patent system, European applications have the option, upon grant of a patent, of becoming a Unitary Patent which is subject to the jurisdiction of the Unitary Patent Court (the </w:t>
      </w:r>
      <w:r>
        <w:rPr>
          <w:color w:val="000000"/>
          <w:shd w:fill="FFFFFF" w:val="clear"/>
        </w:rPr>
        <w:t>“</w:t>
      </w:r>
      <w:r>
        <w:rPr>
          <w:rFonts w:ascii="Times New Roman;serif" w:hAnsi="Times New Roman;serif"/>
          <w:b w:val="false"/>
          <w:color w:val="000000"/>
          <w:sz w:val="20"/>
        </w:rPr>
        <w:t>UPC</w:t>
      </w:r>
      <w:r>
        <w:rPr>
          <w:color w:val="000000"/>
          <w:shd w:fill="FFFFFF" w:val="clear"/>
        </w:rPr>
        <w:t>”</w:t>
      </w:r>
      <w:r>
        <w:rPr>
          <w:rFonts w:ascii="Times New Roman;serif" w:hAnsi="Times New Roman;serif"/>
          <w:b w:val="false"/>
          <w:color w:val="000000"/>
          <w:sz w:val="20"/>
        </w:rPr>
        <w:t>).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open source software in connection with our internal research and development programs, which could negatively affect our ability to develop products and subject us to litigation or other 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connection with our internal research and development programs. The terms of many open source licenses have not been interpreted by U.S. or non-U.S. courts,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w:t>
      </w:r>
    </w:p>
    <w:p>
      <w:pPr>
        <w:pStyle w:val="TextBody"/>
        <w:bidi w:val="0"/>
        <w:spacing w:lineRule="auto" w:line="288" w:before="240" w:after="283"/>
        <w:jc w:val="left"/>
        <w:rPr/>
      </w:pPr>
      <w:r>
        <w:rPr>
          <w:rFonts w:ascii="Times New Roman;serif" w:hAnsi="Times New Roman;serif"/>
          <w:b w:val="false"/>
          <w:color w:val="000000"/>
          <w:sz w:val="20"/>
        </w:rPr>
        <w:t>If we were to combine our proprietary software with open source software in a certain manner, we could, under certain open source licenses, be required to relea</w:t>
      </w:r>
      <w:r>
        <w:rPr>
          <w:rFonts w:ascii="Times New Roman;serif" w:hAnsi="Times New Roman;serif"/>
          <w:b w:val="false"/>
          <w:color w:val="000000"/>
          <w:sz w:val="20"/>
          <w:shd w:fill="FFFFFF" w:val="clear"/>
        </w:rPr>
        <w:t xml:space="preserve">se the source code of our proprietary software to the public. If </w:t>
      </w:r>
      <w:r>
        <w:rPr>
          <w:rFonts w:ascii="Times New Roman;serif" w:hAnsi="Times New Roman;serif"/>
          <w:b w:val="false"/>
          <w:color w:val="000000"/>
          <w:sz w:val="20"/>
        </w:rPr>
        <w:t>we inappropriately use open source software, or if the license terms for open source software that we use change, we may be required to re-engineer our platform, incur additional costs, discontinue the use of some or all of our platform or take other remedial 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risks related to license requirements, usage of open source software can lead to greater risks than use of third-party commercial software, because open source licensors generally do not provide warranties or assurance of title or controls on origin of the software.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Many of the risks associated with usage of open source software, such as the lack of warranties or assurances of title, cannot be eliminated, and if not properly addressed, could have an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need to obtain FDA approval for any proposed product candidate names, and any failure or delay associated with such approval may adversely affect our business.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product candidate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Additional Legal and Compliance Matters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employees may engage in misconduct or other improper activities, including noncompliance with regulatory standards and requirements, insider trading, and noncompliance with our policies and procedures.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or our contractors or agents market products in a manner that violates healthcare fraud and abuse laws, or if we violate government price reporting laws and transparency laws, we may be subject to civil or criminal penalties.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addition to FDA restrictions on the marketing of pharmaceutical products, federal and state healthcare laws restrict certain business practices in the biopharmaceutical industry. If our product candidates are approved and we begin commercialization, we will be subject to additional healthcare laws and regulations enforced by the federal government and by authorities in the states and non-U.S. jurisdictions in which we conduct our business. These state and federal healthcare laws, commonly referred to as “fraud and abuse” laws, have been applied to restrict certain marketing practices in the pharmaceutical industry, and include anti-kickback, false claims, data privacy and security and transparency statutes and regulations.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Federal false claims laws prohibit, among other things,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Most states also have statutes or regulations similar to the federal anti-kickback law and federal false claims laws, which may apply to items such as pharmaceutical products and services reimbursed by private insurers. Administrative, civil and criminal sanctions may be imposed under these federal and state laws.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federal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HIPAA created federal criminal statutes that prohibit knowingly and willfully executing, or attempting to execute, a scheme to defraud or obtain, by means of false or fraudulent pretenses, representations, or promises, any of the money or property owned by, or under the custody or control of, any healthcare benefit program, including private third-party payors, and knowingly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willfully falsifying, concealing or covering up a material fact or making any materially false, fictitious or fraudulent statement in connection with the delivery of, or payment for, healthcare benefits, items or services.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be subject to data privacy and security regulation by both the federal government and the states in which we conduct our business, including HIPAA, as amended by HITECH, and its implementing regulations, which imposes certain requirements relating to the privacy, security and transmission of individually identifiable information. In addition, state laws govern the privacy and security of health information in certain circumstances, many of which differ from each other in significant ways. These state laws may not have the same effect and often are not preempted by HIPAA, thus complicating compliance efforts.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PPACA also included the federal Physician Payments Sunshine Act, which requires applicable manufacturers of drugs, devices, biologics and medical supplies for which payment is available under Medicare, Medicaid or the Children’s Health Insurance Program (with certain exceptions) to report annually information related to certain payments or other transfers of value made in the previous year to covered recipients, including physicians and teaching hospitals, including certain ownership and investment interests held by physicians or their immediate family members. Failure to comply with the required reporting requirements could subject applicable reporting entities such as manufacturers to substantial civil monetary penalties.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Many states have similar healthcare statutes or regulations that apply to items and services reimbursed under Medicaid and other state programs, or, in several states, apply regardless of the payor. Certain states require pharmaceutical companies to implement a comprehensive compliance program that includes a limit or outright ban on expenditures for, or payments to, individual medical or health professionals and/or require pharmaceutical companies to track and report gifts and other payments made to physicians and other healthcare providers.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our operations are found to be in violation of any of the healthcare laws or regulations described above or any other laws that apply to us, we may be subject to penalties, including potentially significant criminal, civil or administrative penalties, damages, fines, disgorgement, individual imprisonment, exclusion of products from reimbursement under government programs, contractual damages, reputational harm, administrative burdens, diminished profits and future earnings or the curtailment or restructuring of our operations, any of which could adversely affect our ability to operate our business and our results of operations. To the extent that any of our products will be sold outside the United States, we may be subject to similar non-U.S. laws and regulations, which may include, for instance, applicable post-marketing requirements, including safety surveillance, fraud and abuse laws, and implementation of corporate compliance programs and reporting of payments or transfers of value to healthcare professionals.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do not comply with laws regulating the protection of the environment and health and human safety, our business could be adversely affected.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certain jurisdictions in which we operate to cover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subject to certain costs and inefficiencies as a result of our 2022 Redomicile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became a Delaware corporation in October 2022 as a result of the Redomicile Transactions. In connection with the Redomicile Transactions, we agreed to use reasonable efforts to effect certain steps following the Redomicile Transactions, including the reorganization of certain subsidiaries. For business reasons, certain of these steps were not completed. While we are managing any tax and operational implications resulting from our current organizational structure, and we may pursue additional reorganizations in the future, certain tax and operational implications may persist. In addition, we incurred non-recurring costs associated with the Redomicile Transactions, and the associated reorganization of our corporate structure may result in additional and unforeseen expenses in the future. While it is expected that benefits of the Redomicile Transactions will offset these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over time, this net benefit may not be achieved. These combined factors could adversely affect our business, financial condition and results of operations.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Employee Matters and Managing Growth</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future success depends on our ability to retain key executives and to attract, retain and motivate qualified personnel.</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highly dependent on key members of our senior management team, including Kenneth Galbraith, the Chair of our board of directors, President, and Chief Executive Officer, Leone Patterson, our Chief Business Officer and Chief Financial Officer, Paul Moore, our Chief Scientific Officer, Jeffrey Smith, our Chief Medical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commercialization objectives and seriously harm our ability to successfully implement our business strategy.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Retention and any future recruitment of qualified scientific, technical, clinical, manufacturing and sales and marketing personnel will also be critical to our success. If we are successful in advancing the development of our early-stage candidates, we will need to evaluate any organizational hiring needs. In addition, we will need to effectively manage our managerial, operational, financial, development and other resources in order to successfully pursue our research, development and commercialization efforts for our existing and future product candidates. Furthermore, replacing key senior managers and employees may be difficult and may take an extended period of time because of the limited talent pool in our industry due to the breadth of skills and experience required to successfully develop, gain regulatory approval of and commercialize products. Intense competition for attracting key skill-sets and the impact of inflationary pressure on wages may limit our ability to attract, retain and motivate key personnel on acceptable terms.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As we advance our development and commercialization plans and strategies, we may need to grow or modify our organization, and we may experience difficulty in managing such change, which could disrupt our operations.</w:t>
      </w:r>
    </w:p>
    <w:p>
      <w:pPr>
        <w:pStyle w:val="TextBody"/>
        <w:bidi w:val="0"/>
        <w:spacing w:lineRule="auto" w:line="288" w:before="240" w:after="283"/>
        <w:jc w:val="left"/>
        <w:rPr/>
      </w:pPr>
      <w:r>
        <w:rPr>
          <w:rFonts w:ascii="Times New Roman;serif" w:hAnsi="Times New Roman;serif"/>
          <w:b w:val="false"/>
          <w:color w:val="000000"/>
          <w:sz w:val="20"/>
          <w:shd w:fill="FFFFFF" w:val="clear"/>
        </w:rPr>
        <w:t>As of September 30, 2025, we ha</w:t>
      </w:r>
      <w:r>
        <w:rPr>
          <w:rFonts w:ascii="Times New Roman;serif" w:hAnsi="Times New Roman;serif"/>
          <w:b w:val="false"/>
          <w:color w:val="000000"/>
          <w:sz w:val="20"/>
        </w:rPr>
        <w:t>d 263 full-ti</w:t>
      </w:r>
      <w:r>
        <w:rPr>
          <w:rFonts w:ascii="Times New Roman;serif" w:hAnsi="Times New Roman;serif"/>
          <w:b w:val="false"/>
          <w:color w:val="000000"/>
          <w:sz w:val="20"/>
          <w:shd w:fill="FFFFFF" w:val="clear"/>
        </w:rPr>
        <w:t>me employees. As we advance our development and commercialization plans and strategies in the future, we anticipate that we may need to expand or modify our employee base. While as part of our evolving business strategy we intend to remain focused on disciplined allocation of capital across our development pipeline, as our product candidates enter and advance through preclinical studies and any clinical trials, we may need to expand or modify our development, manufacturing, regulatory, sales and marketing capabilities or contract with other organizations to provide these capabilities for us. If we do not enter into partnering arrangements for later-stage clinical development, we believe the need for future expansion or modification in these areas will increase as our product candidates reach later stages of preclinical and clinical development.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any necessary growth activities. We may not be able to effectively manage an expansion or modification of our operations, which may result in weaknesses in our infrastructure, give rise to operational errors, loss of business opportunities, loss of employees and reduced productivity amongst remaining employees. Any growth or organizational modification could require significant capital expenditures and may divert financial resources from other projects, such as the development of existing and additional product candidates. If our management is unable to effectively manage any needed growth or organizational modifications, our expenses may increase more than expected, our ability to generate or grow revenue could be reduced and we may not be able to implement our business strategy. Our future financial performance and our ability to commercialize our product candidates and compete effectively with others in our industry will depend on our ability to effectively manage any future growth or organizational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stock price is likely to be volatile and the market price of our common stock may drop below the price paid by stockholders.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Investors should consider an investment in our common stock as risky and invest only if they can withstand a significant loss and wide fluctuations in the market value of their investment. Investors may be unable to sell their common stock at or above the price they paid for such stock due to fluctuations in the market price of our common stock arising from changes in our operating performance or prospects. Factors that may cause the market price of our common stock to fluctuate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results and timing of our clinical trials and clinical trials of our competitors’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or discontinuation of any of our development programs;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success of our partnerships and our ability to enter into future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achieve milestones and receive associated milestone and royalty payments pursuant to the terms of our partnerships;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issues in manufacturing our product candidates or future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regulatory developments or enforcement in the United States and other countries with respect to our product candidates or our competitors’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from existing products or new products that may emerge;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developments or disputes concerning patents or other proprietary rights;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introduction of technological innovations or new commercial products by us or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announcements by us, our strategic partners or our competitors of significant acquisitions, strategic partnerships, joint ventures, or capital commitments;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actions taken by industry or securities analysts that cover our company or common stock, including changes in estimates or recommendations, inaccurate or unfavorable research or a decision to drop coverage;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fluctuations in the valuation of companies in the biotechnology industry or otherwise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additional instances of stockholder activism, including unsolicited takeover proposals or proxy contests;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public concern over our product candidates or any future approved products;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litigation;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future sales of our common stock or the perception that such sales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stock price and volume fluctuations attributable to inconsistent trading volume levels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on our key strategic priorities, including our evolving business strategy announced in August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the structure of health care payment systems in the United States or other countries;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failure of zanidatamab or our product candidates, if approved, to achieve commercial success;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economic and other external factors or other disasters or crises;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customs laws and regulations, tariffs and trade barriers, or the perception that any of them could occur;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period-to-period fluctuations in our financial condition and results of operations, including the timing of receipt of any milestone or other payments under commercialization or licensing agreements;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general market conditions and market conditions for biopharmaceutical stocks;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potential disagreements or disputes with certain of our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effectively address environmental, social, and governance matters affecting our business that are a focus of certain investors, environmental activists, the media, and governmental and nongovernmental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overall fluctuations in U.S. equity markets;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purchases under our Repurchase Program;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factors that may be unanticipated or out of our control.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stock market in general, and the stock of biopharmaceutical companies in particular, have experienced extreme price and volume fluctuations that have often been unrelated or disproportionate to the operating performance of the relevant companies,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may negatively affect the market price of our common stock, regardless of our actual operating performance. Securities class action litigation has often been brought against companies following a decline in the market price of their securities. If we face such litigation, it could result in substantial costs and a diversion of management’s attention and resources, which could materially harm our business. The realization of any of the above risks or any of a broad range of other risks, including those described in this “Risk Factors” section, could have a material adverse effect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 active trading market for our common stock may not be sustained.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may fail to meet the continued listing requirements of the Nasdaq Stock Market LLC (“Nasdaq”). If Nasdaq delists our shares of common stock from trading on its exchange, we could face significant material adverse consequences,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impairment of the liquidity for and visibility of our common stock, which may substantially decrease the market price of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limited availability of market quotations for our securities;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determination that our common stock qualifies as a “penny stock” which will require brokers trading in our common stock to adhere to more stringent rules and possibly resulting in a reduced level of trading activity in the secondary trading market for our common stock;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limited amount of news and analyst coverage for our company;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loss of confidence of potential industry partners, lenders and employees, which may harm our ability to pursue our business strategy, issue additional securities or obtain additional financing in the future.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management team has broad discretion to use the net proceeds from our financing activities as well as funds received pursuant to our strategic collaborations, and its investment of these proceeds may not yield a favorable return. They may invest the proceeds in ways with which our stockholders disagree.</w:t>
      </w:r>
    </w:p>
    <w:p>
      <w:pPr>
        <w:pStyle w:val="TextBody"/>
        <w:bidi w:val="0"/>
        <w:spacing w:lineRule="auto" w:line="288" w:before="240" w:after="283"/>
        <w:jc w:val="left"/>
        <w:rPr/>
      </w:pPr>
      <w:r>
        <w:rPr>
          <w:rFonts w:ascii="Times New Roman;serif" w:hAnsi="Times New Roman;serif"/>
          <w:b w:val="false"/>
          <w:color w:val="000000"/>
          <w:sz w:val="20"/>
        </w:rPr>
        <w:t>Our management team has broad discretion in the applicatio</w:t>
      </w:r>
      <w:r>
        <w:rPr>
          <w:rFonts w:ascii="Times New Roman;serif" w:hAnsi="Times New Roman;serif"/>
          <w:b w:val="false"/>
          <w:color w:val="000000"/>
          <w:sz w:val="20"/>
          <w:shd w:fill="FFFFFF" w:val="clear"/>
        </w:rPr>
        <w:t xml:space="preserve">n of the proceeds we receive from our financing activities and from our strategic collaborations, and we could spend or invest the proceeds in ways with which our stockholders disagree. Accordingly, stockholders will need to rely on our management team’s judgment with respect to the use of these proceeds. The failure by management to apply these funds effectively could negatively affect our ability to operate and grow our business. </w:t>
      </w:r>
      <w:r>
        <w:rPr>
          <w:rFonts w:ascii="Times New Roman;serif" w:hAnsi="Times New Roman;serif"/>
          <w:b w:val="false"/>
          <w:color w:val="000000"/>
          <w:sz w:val="20"/>
        </w:rPr>
        <w:t>We cannot specify with certainty all of the particular uses for the net proceeds received from our fundraising efforts or for funds received pursuant to our strategic collaborations and our actual expenditures will depend upon numerous factors. Until the net proceeds are used, they may be placed in investments that do not produce significant income or that may lose value.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do not anticipate paying cash dividends for the foreseeable future, and accordingly, stockholders must rely on stock appreciation for any return on their investment.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stock. Any future determination to pay dividends will be at the discretion of our board of directors and will depend upon many factors, and, as a result, future dividends payable to investors are not guaranteed.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principal stockholders, in aggregate, could exert substantial influence over us which could delay or prevent a change in corporate control or result in the entrenchment of management or the board of directors.</w:t>
      </w:r>
    </w:p>
    <w:p>
      <w:pPr>
        <w:pStyle w:val="TextBody"/>
        <w:bidi w:val="0"/>
        <w:spacing w:lineRule="auto" w:line="288" w:before="240" w:after="283"/>
        <w:jc w:val="left"/>
        <w:rPr/>
      </w:pPr>
      <w:r>
        <w:rPr>
          <w:rFonts w:ascii="Times New Roman;serif" w:hAnsi="Times New Roman;serif"/>
          <w:b w:val="false"/>
          <w:color w:val="000000"/>
          <w:sz w:val="20"/>
          <w:shd w:fill="FFFFFF" w:val="clear"/>
        </w:rPr>
        <w:t>Our principal stockholders, being our stockholders that beneficially own 5% or more of our common stock, together with their affiliates and related persons, in aggregate, o</w:t>
      </w:r>
      <w:r>
        <w:rPr>
          <w:rFonts w:ascii="Times New Roman;serif" w:hAnsi="Times New Roman;serif"/>
          <w:b w:val="false"/>
          <w:color w:val="000000"/>
          <w:sz w:val="20"/>
        </w:rPr>
        <w:t>wned approximately 52.8% of our outstanding common stock as of September 30, 2025. Our directors and executive officers together with their respective affiliates owned, in the aggregate, approximately 31.4% of our outstanding common stock as of September 30, 2025. Our principal stockholders, if acting together (with or without our directors and executive officers), may have the ability to exert substantial influence over the outcome of matters submitted to our stockholders for approval, including the election and removal of directors and any merger or sale of all or substantially all of our</w:t>
      </w:r>
      <w:r>
        <w:rPr>
          <w:color w:val="000000"/>
          <w:shd w:fill="FFFFFF" w:val="clear"/>
        </w:rPr>
        <w:t xml:space="preserve"> </w:t>
      </w:r>
      <w:r>
        <w:rPr>
          <w:rFonts w:ascii="Times New Roman;serif" w:hAnsi="Times New Roman;serif"/>
          <w:b w:val="false"/>
          <w:color w:val="000000"/>
          <w:sz w:val="20"/>
          <w:shd w:fill="FFFFFF" w:val="clear"/>
        </w:rPr>
        <w:t>assets. In addition, our principal stockholders, if acting together (with or without our directors and executive officers), may have the ability to exert substantial influence over the management and affairs of our company. Accordingly, this concentration of ownership could harm the market price of our common stock by: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delaying, deferring, or preventing a change in control;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entrenching our management or the board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impeding a merger, takeover, or other business combination involving us; 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discouraging a potential acquirer from making a tender offer or otherwise attempting to obtain control of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qualify as a smaller reporting company, and any decision on our part to comply only with certain reduced reporting and disclosure requirements applicable to such companies could make our common stock less attractive to investors.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qualify as a “smaller reporting company,” as defined under the Exchange Act. In addition, we are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an exemption from the requirement that our independent registered public accounting firm attest to the effectiveness of our internal control over financial reporting under Section 404.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Opting to forego an attestation to the effectiveness of our internal control over financial reporting from our independent registered public accounting firm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 As a result of our decision to rely on certain of these disclosure exemptions, the information we provide stockholders will be different than the information that is available with respect to other public companies and some investors may find our shares of common stock less attractive, which may result in a less active trading market for our common stock and the market price of our common stock may be more volatile.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Sarbanes-Oxley Act of 2002, we are required to establish and maintain effective internal control over financial reporting and adequate disclosure controls and procedures. Effective internal control over financial 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Undetected material weaknesses in our internal controls could lead to financial statement restatements and require us to incur the expense of remediation.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during the evaluation and testing process of our internal controls, we identify one or more material weaknesses in our internal control over financial reporting, we will be unable to assert that our internal control over financial reporting is effective. We cannot assure you that there will not be material weaknesses in our internal controls over financial reporting in the future. If we are unable to conclude that our internal control over financial reporting is effective, or if our independent registered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accounting firm determines we have a material weakness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Furthermore, if we cannot provide reliable financial reports or prevent fraud, including as a result of remote working by our employees, our business and results of operations would likely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Holders of our Exchangeable Shares are subject to additional risks.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Redomicile Transactions, certain holders of common shares of our predecessor company exchanged their common shares for exchangeable shares (“Exchangeable Shares”) in the capital of our subsidiary Zymeworks ExchangeCo Ltd. (“ExchangeCo”). Exchangeable Shares are exchangeable at the option of the holder for shares of our common stock.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Exchangeable Shares are subject to additional risks, including: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Exchangeable Shares are not and will not be listed on any stock exchange. There is no market through which the Exchangeable Shares may be sold, and holders may not be able to sell their Exchangeable Shares.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Exchangeable Shares may be subject to different tax consequences under Canadian law depending on whether the exchangeable shares are disposed of in a redemption or an acquisition by one of our subsidiaries, and such transaction may not be within the control of the holder.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tax treatment of Exchangeable Shares for non-Canadian tax purposes, including U.S. federal income tax purposes, is uncertain.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may make the acquisition of Zymeworks more difficult or delay or prevent changes in control of its management. Among other things, these provisions: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authorize our board of directors to issue shares of preferred stock and determine the price and other terms of those shares, including preferences and voting rights, without stockholder approval;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establish that members of our board of directors serve in one of three staggered terms of three years each;</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our directors may only be removed by the affirmative vote of at least 66 2/3% of the voting power of the shares cast on such proposal;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permit stockholders to only take actions at a duly called annual or special meeting and not by written consent;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that stockholders give advance notice to nominate directors or submit proposals for consideration at stockholder meetings;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not provide for cumulative voting rights in the election of directors;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require a super-majority vote of stockholders to amend some of the provisions described above.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 that, unless we consent in writing to the selection of an alternative forum, the federal district courts of the United States will be the sole and exclusive forum for resolving any complaint asserting a cause of action arising under the Securities Act.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There can be no assurance that we will repurchase additional shares of our common stock or that we will repurchase shares at favorable prices.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August 2024, our board of directors approved the Repurchase Program, pursuant to which we are authorized to repurchase up to $60.0 million of our common stock from time to time through open market transactions, or other means in accordance with Rule 10b5-1 and Rule 10b-18 under the Exchange Act. As of September 30, 2025, we have repurchased 3,573,735 shares of our common stock under the Repurchase Program. The timing, number of shares repurchased, and prices paid for any additional shares of stock repurchased under this program will depend on general business and market conditions as well as corporate and regulatory limitations, prevailing stock prices, and other considerations. Our Repurchase Program may be suspended or discontinued at any time, and does not obligate us to acquire any additional shares of common stock.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ability to make share repurchases will depend upon market conditions, cash balances and future capital requirements, results of operations, financial condition, compliance with applicable legal requirements and other factors that we may deem relevant and which may be beyond our control. In addition, we can provide no assurance that we will repurchase stock at favorable prices. As a result, there can be no guarantee around the timing of our share repurchases. Any failure to repurchase additional shares of stock, a reduction in the frequency of repurchases, or the completion of our Repurchase Program could have a negative effect on our reputation, investor confidence in us and our stock price.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existence of our Repurchase Program could cause our stock price to be higher than it otherwise would be and could potentially reduce the market liquidity for our stock. Although our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as part of our evolving business strategy, we intend to evaluate opportunities to return capital to our stockholders through additional potential share repurchases. However, there can be no assurance that implementation of our evolving business strategy will generate sufficient cash flows from royalties, milestones and other sources to enable such additional share repurchases and, as a result, our stockholders may not realize enhanced long-term stockholder value. Any use of our cash resources to repurchase our common stock will reduce the amount of cash we have available for investment in other parts of our business and we may not deploy our resources in a way that enhances stockholder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56"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1, 2024, our board of directors authorized the Repurchase Program, whereby we may repurchase up to $60.0 million of our outstanding common stock, par value $0.00001 per share. As of October 31, 2024, we had completed the initial $30.0 million of the Repurchase Program for 2,545,402 shares of our common stock at an average price per share of $11.79 (exclusive of commission expense and estimated excise tax).</w:t>
      </w:r>
    </w:p>
    <w:p>
      <w:pPr>
        <w:pStyle w:val="TextBody"/>
        <w:bidi w:val="0"/>
        <w:spacing w:lineRule="auto" w:line="256"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third quarter of 2025, shares of common stock purchased under the authorization consisted of the following:</w:t>
      </w:r>
    </w:p>
    <w:tbl>
      <w:tblPr>
        <w:tblW w:w="10205" w:type="dxa"/>
        <w:jc w:val="left"/>
        <w:tblInd w:w="0" w:type="dxa"/>
        <w:tblLayout w:type="fixed"/>
        <w:tblCellMar>
          <w:top w:w="28" w:type="dxa"/>
          <w:left w:w="28" w:type="dxa"/>
          <w:bottom w:w="28" w:type="dxa"/>
          <w:right w:w="28" w:type="dxa"/>
        </w:tblCellMar>
      </w:tblPr>
      <w:tblGrid>
        <w:gridCol w:w="690"/>
        <w:gridCol w:w="356"/>
        <w:gridCol w:w="357"/>
        <w:gridCol w:w="722"/>
        <w:gridCol w:w="433"/>
        <w:gridCol w:w="434"/>
        <w:gridCol w:w="109"/>
        <w:gridCol w:w="109"/>
        <w:gridCol w:w="109"/>
        <w:gridCol w:w="282"/>
        <w:gridCol w:w="825"/>
        <w:gridCol w:w="145"/>
        <w:gridCol w:w="109"/>
        <w:gridCol w:w="109"/>
        <w:gridCol w:w="109"/>
        <w:gridCol w:w="975"/>
        <w:gridCol w:w="709"/>
        <w:gridCol w:w="711"/>
        <w:gridCol w:w="109"/>
        <w:gridCol w:w="109"/>
        <w:gridCol w:w="109"/>
        <w:gridCol w:w="620"/>
        <w:gridCol w:w="1502"/>
        <w:gridCol w:w="463"/>
      </w:tblGrid>
      <w:tr>
        <w:trPr/>
        <w:tc>
          <w:tcPr>
            <w:tcW w:w="69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Period</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Dollar value of shares that may yet be purchased under publicly announced plans or programs (in millions)</w:t>
            </w:r>
            <w:r>
              <w:rPr>
                <w:rFonts w:ascii="Times New Roman;serif" w:hAnsi="Times New Roman;serif"/>
                <w:b/>
                <w:color w:val="000000"/>
                <w:sz w:val="12"/>
              </w:rPr>
              <w:t>(2)</w:t>
            </w:r>
          </w:p>
        </w:tc>
      </w:tr>
      <w:tr>
        <w:trPr/>
        <w:tc>
          <w:tcPr>
            <w:tcW w:w="1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July 1, 2025 - July 31, 2025</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August 1, 2025 - August 31, 2025</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348,853 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348,853 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September 1, 2025 - September 30, 2025</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679,480 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679,480 </w:t>
            </w:r>
          </w:p>
        </w:tc>
        <w:tc>
          <w:tcPr>
            <w:tcW w:w="7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1,028,333 </w:t>
            </w:r>
          </w:p>
        </w:tc>
        <w:tc>
          <w:tcPr>
            <w:tcW w:w="4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1,028,333 </w:t>
            </w:r>
          </w:p>
        </w:tc>
        <w:tc>
          <w:tcPr>
            <w:tcW w:w="7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rFonts w:ascii="Times New Roman;serif" w:hAnsi="Times New Roman;serif"/>
          <w:b w:val="false"/>
          <w:color w:val="000000"/>
          <w:sz w:val="18"/>
        </w:rPr>
      </w:pPr>
      <w:r>
        <w:rPr>
          <w:rFonts w:ascii="Times New Roman;serif" w:hAnsi="Times New Roman;serif"/>
          <w:b w:val="false"/>
          <w:color w:val="000000"/>
          <w:sz w:val="18"/>
        </w:rPr>
        <w:t>(1) Average price paid per share excludes commission expense and estimated excise tax.</w:t>
      </w:r>
    </w:p>
    <w:p>
      <w:pPr>
        <w:pStyle w:val="TextBody"/>
        <w:bidi w:val="0"/>
        <w:spacing w:lineRule="auto" w:line="252" w:before="60" w:after="120"/>
        <w:jc w:val="left"/>
        <w:rPr>
          <w:rFonts w:ascii="Times New Roman;serif" w:hAnsi="Times New Roman;serif"/>
          <w:b w:val="false"/>
          <w:color w:val="000000"/>
          <w:sz w:val="18"/>
        </w:rPr>
      </w:pPr>
      <w:r>
        <w:rPr>
          <w:rFonts w:ascii="Times New Roman;serif" w:hAnsi="Times New Roman;serif"/>
          <w:b w:val="false"/>
          <w:color w:val="000000"/>
          <w:sz w:val="18"/>
        </w:rPr>
        <w:t xml:space="preserve">(2) Dollar value of shares that may yet be purchased has been rounded to one decimal point and does not include $0.5 million of shares of common stock purchased but not settled at September 30, 2025. </w:t>
      </w:r>
    </w:p>
    <w:p>
      <w:pPr>
        <w:pStyle w:val="TextBody"/>
        <w:bidi w:val="0"/>
        <w:spacing w:lineRule="auto" w:line="256"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of November 4, 2025, we have completed $22.7 million of the remaining $30.0 million of the Repurchase Program for 1,439,068 shares of our common stock at an average price per share of $15.80 (exclusive of commission expense and estimated excise tax).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br/>
        <w:t xml:space="preserve">(a)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Departure of Directors or Certain Officers</w:t>
      </w:r>
    </w:p>
    <w:p>
      <w:pPr>
        <w:pStyle w:val="TextBody"/>
        <w:bidi w:val="0"/>
        <w:spacing w:lineRule="auto" w:line="288" w:before="0" w:after="0"/>
        <w:jc w:val="left"/>
        <w:rPr/>
      </w:pPr>
      <w:r>
        <w:rPr>
          <w:rFonts w:ascii="Times New Roman;serif" w:hAnsi="Times New Roman;serif"/>
          <w:b w:val="false"/>
          <w:color w:val="000000"/>
          <w:sz w:val="20"/>
        </w:rPr>
        <w:br/>
        <w:t>On Novembe</w:t>
      </w:r>
      <w:r>
        <w:rPr>
          <w:rFonts w:ascii="Times New Roman;serif" w:hAnsi="Times New Roman;serif"/>
          <w:b w:val="false"/>
          <w:color w:val="000000"/>
          <w:sz w:val="20"/>
          <w:shd w:fill="FFFFFF" w:val="clear"/>
        </w:rPr>
        <w:t xml:space="preserve">r 3, </w:t>
      </w:r>
      <w:r>
        <w:rPr>
          <w:rFonts w:ascii="Times New Roman;serif" w:hAnsi="Times New Roman;serif"/>
          <w:b w:val="false"/>
          <w:color w:val="000000"/>
          <w:sz w:val="20"/>
        </w:rPr>
        <w:t>2025, Dr. Nancy Davidson, Dr. Neil Gallagher and Mr. Derek Miller submitted their resignations from their positions as members of our board of directors, including from any committee thereof, effective as of November</w:t>
      </w:r>
      <w:r>
        <w:rPr>
          <w:color w:val="000000"/>
          <w:shd w:fill="FFFFFF" w:val="clear"/>
        </w:rPr>
        <w:t xml:space="preserve"> </w:t>
      </w:r>
      <w:r>
        <w:rPr>
          <w:rFonts w:ascii="Times New Roman;serif" w:hAnsi="Times New Roman;serif"/>
          <w:b w:val="false"/>
          <w:color w:val="000000"/>
          <w:sz w:val="20"/>
          <w:shd w:fill="FFFFFF" w:val="clear"/>
        </w:rPr>
        <w:t xml:space="preserve">6, </w:t>
      </w:r>
      <w:r>
        <w:rPr>
          <w:rFonts w:ascii="Times New Roman;serif" w:hAnsi="Times New Roman;serif"/>
          <w:b w:val="false"/>
          <w:color w:val="000000"/>
          <w:sz w:val="20"/>
        </w:rPr>
        <w:t>2025. None of the resignations of Dr. Davidson, Dr. Gallagher and Mr. Miller was the result of any disagreement with the Company on any matter relating to the Company’s operations, policies or practices.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Events</w:t>
      </w:r>
    </w:p>
    <w:p>
      <w:pPr>
        <w:pStyle w:val="TextBody"/>
        <w:bidi w:val="0"/>
        <w:spacing w:lineRule="auto" w:line="268" w:before="0" w:after="0"/>
        <w:jc w:val="left"/>
        <w:rPr/>
      </w:pPr>
      <w:r>
        <w:rPr>
          <w:rFonts w:ascii="Times New Roman;serif" w:hAnsi="Times New Roman;serif"/>
          <w:b w:val="false"/>
          <w:color w:val="000000"/>
          <w:sz w:val="20"/>
        </w:rPr>
        <w:br/>
        <w:t xml:space="preserve">In connection with the resignations of Dr. Davidson, Dr. Gallagher and Mr. Miller, our board of directors approved the composition of its standing committees as set forth below. In addition, our board of directors approved the dissolution of our research and development committee effective as of November </w:t>
      </w:r>
      <w:r>
        <w:rPr>
          <w:rFonts w:ascii="Times New Roman;serif" w:hAnsi="Times New Roman;serif"/>
          <w:b w:val="false"/>
          <w:color w:val="000000"/>
          <w:sz w:val="20"/>
          <w:shd w:fill="FFFFFF" w:val="clear"/>
        </w:rPr>
        <w:t>6</w:t>
      </w:r>
      <w:r>
        <w:rPr>
          <w:rFonts w:ascii="Times New Roman;serif" w:hAnsi="Times New Roman;serif"/>
          <w:b w:val="false"/>
          <w:color w:val="000000"/>
          <w:sz w:val="20"/>
        </w:rPr>
        <w:t xml:space="preserve">, 2025. </w:t>
      </w:r>
    </w:p>
    <w:tbl>
      <w:tblPr>
        <w:tblW w:w="7114" w:type="dxa"/>
        <w:jc w:val="left"/>
        <w:tblInd w:w="0" w:type="dxa"/>
        <w:tblLayout w:type="fixed"/>
        <w:tblCellMar>
          <w:top w:w="28" w:type="dxa"/>
          <w:left w:w="28" w:type="dxa"/>
          <w:bottom w:w="28" w:type="dxa"/>
          <w:right w:w="28" w:type="dxa"/>
        </w:tblCellMar>
      </w:tblPr>
      <w:tblGrid>
        <w:gridCol w:w="724"/>
        <w:gridCol w:w="633"/>
        <w:gridCol w:w="638"/>
        <w:gridCol w:w="109"/>
        <w:gridCol w:w="109"/>
        <w:gridCol w:w="109"/>
        <w:gridCol w:w="644"/>
        <w:gridCol w:w="644"/>
        <w:gridCol w:w="646"/>
        <w:gridCol w:w="109"/>
        <w:gridCol w:w="109"/>
        <w:gridCol w:w="109"/>
        <w:gridCol w:w="719"/>
        <w:gridCol w:w="719"/>
        <w:gridCol w:w="721"/>
        <w:gridCol w:w="109"/>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Compensation</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Nominating and</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Corporate Governance</w:t>
            </w:r>
          </w:p>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Carlos Campoy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Susan Mahony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Gregory Ciongoli (Chair)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Gregory Ciongoli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Alessandra Cesano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Robert Landry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Oleg Nodelman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Oleg Nodelman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our last fiscal quarter, no director or officer, as defined in Rule 16a-1(f) of the Exchange Act, adopted or terminated a “Rule 10b5-1 trading arrangement” or any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942"/>
        <w:gridCol w:w="2794"/>
        <w:gridCol w:w="2822"/>
        <w:gridCol w:w="109"/>
        <w:gridCol w:w="109"/>
        <w:gridCol w:w="15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Amended and Restated Certificate of Incorporation of the Company (incorporated by reference to Exhibit 3.1 to the Company’s Current Report on Form 8-K12B filed with the SEC on October 13,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20"/>
                  <w:u w:val="single"/>
                </w:rPr>
                <w:t>Amended and Restated Bylaws of the Company (incorporated by reference to Exhibit 3.1 to the Company’s Current Report on Form 8-K filed with the SEC on March 15,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Elimination of Series B Participating Preferred Stock of Zymeworks Inc. (incorporated by reference to Exhibit 3.1 to the Company’s Current Report on Form 8-K filed with the SEC on June 12,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Designations of Special Voting Stock of the Company (incorporated by reference to Exhibit 3.2 to the Company’s Current Report on Form 8-K12B filed with the SEC on October 13, 2022).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80"/>
                  <w:sz w:val="20"/>
                  <w:u w:val="single"/>
                </w:rPr>
                <w:t>First Ame</w:t>
              </w:r>
            </w:hyperlink>
            <w:hyperlink r:id="rId8">
              <w:r>
                <w:rPr>
                  <w:rStyle w:val="InternetLink"/>
                  <w:rFonts w:ascii="Times New Roman;serif" w:hAnsi="Times New Roman;serif"/>
                  <w:b w:val="false"/>
                  <w:color w:val="000080"/>
                  <w:sz w:val="20"/>
                  <w:u w:val="single"/>
                </w:rPr>
                <w:t>nd</w:t>
              </w:r>
            </w:hyperlink>
            <w:hyperlink r:id="rId9">
              <w:r>
                <w:rPr>
                  <w:rStyle w:val="InternetLink"/>
                  <w:rFonts w:ascii="Times New Roman;serif" w:hAnsi="Times New Roman;serif"/>
                  <w:b w:val="false"/>
                  <w:color w:val="000080"/>
                  <w:sz w:val="20"/>
                  <w:u w:val="single"/>
                </w:rPr>
                <w:t>ment to Research License and Commercial Option Agreement, effective July 7, 2025, by and am</w:t>
              </w:r>
            </w:hyperlink>
            <w:hyperlink r:id="rId10">
              <w:r>
                <w:rPr>
                  <w:rStyle w:val="InternetLink"/>
                  <w:rFonts w:ascii="Times New Roman;serif" w:hAnsi="Times New Roman;serif"/>
                  <w:b w:val="false"/>
                  <w:color w:val="000080"/>
                  <w:sz w:val="20"/>
                  <w:u w:val="single"/>
                </w:rPr>
                <w:t>ong Merck Sha</w:t>
              </w:r>
            </w:hyperlink>
            <w:hyperlink r:id="rId11">
              <w:r>
                <w:rPr>
                  <w:rStyle w:val="InternetLink"/>
                  <w:rFonts w:ascii="Times New Roman;serif" w:hAnsi="Times New Roman;serif"/>
                  <w:b w:val="false"/>
                  <w:color w:val="000080"/>
                  <w:sz w:val="20"/>
                  <w:u w:val="single"/>
                </w:rPr>
                <w:t>rp &amp; Dohme LLC, Intervet Internati</w:t>
              </w:r>
            </w:hyperlink>
            <w:hyperlink r:id="rId12">
              <w:r>
                <w:rPr>
                  <w:rStyle w:val="InternetLink"/>
                  <w:rFonts w:ascii="Times New Roman;serif" w:hAnsi="Times New Roman;serif"/>
                  <w:b w:val="false"/>
                  <w:color w:val="000080"/>
                  <w:sz w:val="20"/>
                  <w:u w:val="single"/>
                </w:rPr>
                <w:t>o</w:t>
              </w:r>
            </w:hyperlink>
            <w:hyperlink r:id="rId13">
              <w:r>
                <w:rPr>
                  <w:rStyle w:val="InternetLink"/>
                  <w:rFonts w:ascii="Times New Roman;serif" w:hAnsi="Times New Roman;serif"/>
                  <w:b w:val="false"/>
                  <w:color w:val="000080"/>
                  <w:sz w:val="20"/>
                  <w:u w:val="single"/>
                </w:rPr>
                <w:t>nal B.V</w:t>
              </w:r>
            </w:hyperlink>
            <w:hyperlink r:id="rId14">
              <w:r>
                <w:rPr>
                  <w:rStyle w:val="InternetLink"/>
                  <w:rFonts w:ascii="Times New Roman;serif" w:hAnsi="Times New Roman;serif"/>
                  <w:b w:val="false"/>
                  <w:color w:val="000080"/>
                  <w:sz w:val="20"/>
                  <w:u w:val="single"/>
                </w:rPr>
                <w:t>., and Zymewor</w:t>
              </w:r>
            </w:hyperlink>
            <w:hyperlink r:id="rId15">
              <w:r>
                <w:rPr>
                  <w:rStyle w:val="InternetLink"/>
                  <w:rFonts w:ascii="Times New Roman;serif" w:hAnsi="Times New Roman;serif"/>
                  <w:b w:val="false"/>
                  <w:color w:val="000080"/>
                  <w:sz w:val="20"/>
                  <w:u w:val="single"/>
                </w:rPr>
                <w:t>ks BC I</w:t>
              </w:r>
            </w:hyperlink>
            <w:hyperlink r:id="rId16">
              <w:r>
                <w:rPr>
                  <w:rStyle w:val="InternetLink"/>
                  <w:rFonts w:ascii="Times New Roman;serif" w:hAnsi="Times New Roman;serif"/>
                  <w:b w:val="false"/>
                  <w:color w:val="000080"/>
                  <w:sz w:val="20"/>
                  <w:u w:val="single"/>
                </w:rPr>
                <w:t>nc</w:t>
              </w:r>
            </w:hyperlink>
            <w:hyperlink r:id="rId17">
              <w:r>
                <w:rPr>
                  <w:rStyle w:val="InternetLink"/>
                  <w:rFonts w:ascii="Times New Roman;serif" w:hAnsi="Times New Roman;serif"/>
                  <w:b w:val="false"/>
                  <w:color w:val="000080"/>
                  <w:sz w:val="20"/>
                  <w:u w:val="single"/>
                </w:rPr>
                <w:t>.</w:t>
              </w:r>
            </w:hyperlink>
            <w:hyperlink r:id="rId18">
              <w:r>
                <w:rPr>
                  <w:rStyle w:val="InternetLink"/>
                  <w:rFonts w:ascii="Times New Roman;serif" w:hAnsi="Times New Roman;serif"/>
                  <w:b w:val="false"/>
                  <w:color w:val="000080"/>
                  <w:sz w:val="20"/>
                  <w:u w:val="single"/>
                </w:rPr>
                <w:t xml:space="preserve"> (</w:t>
              </w:r>
            </w:hyperlink>
            <w:hyperlink r:id="rId19">
              <w:r>
                <w:rPr>
                  <w:rStyle w:val="InternetLink"/>
                  <w:rFonts w:ascii="Times New Roman;serif" w:hAnsi="Times New Roman;serif"/>
                  <w:b w:val="false"/>
                  <w:color w:val="000080"/>
                  <w:sz w:val="20"/>
                  <w:u w:val="single"/>
                </w:rPr>
                <w:t>incorporated by referenc</w:t>
              </w:r>
            </w:hyperlink>
            <w:hyperlink r:id="rId20">
              <w:r>
                <w:rPr>
                  <w:rStyle w:val="InternetLink"/>
                  <w:rFonts w:ascii="Times New Roman;serif" w:hAnsi="Times New Roman;serif"/>
                  <w:b w:val="false"/>
                  <w:color w:val="000080"/>
                  <w:sz w:val="20"/>
                  <w:u w:val="single"/>
                </w:rPr>
                <w:t>e to Exhibit 10.2 to the Company</w:t>
              </w:r>
            </w:hyperlink>
            <w:hyperlink r:id="rId21">
              <w:r>
                <w:rPr>
                  <w:rStyle w:val="InternetLink"/>
                  <w:rFonts w:ascii="Times New Roman;serif" w:hAnsi="Times New Roman;serif"/>
                  <w:b w:val="false"/>
                  <w:color w:val="000080"/>
                  <w:sz w:val="20"/>
                  <w:u w:val="single"/>
                </w:rPr>
                <w:t>’</w:t>
              </w:r>
            </w:hyperlink>
            <w:hyperlink r:id="rId22">
              <w:r>
                <w:rPr>
                  <w:rStyle w:val="InternetLink"/>
                  <w:rFonts w:ascii="Times New Roman;serif" w:hAnsi="Times New Roman;serif"/>
                  <w:b w:val="false"/>
                  <w:color w:val="000080"/>
                  <w:sz w:val="20"/>
                  <w:u w:val="single"/>
                </w:rPr>
                <w:t>s</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Q</w:t>
              </w:r>
            </w:hyperlink>
            <w:hyperlink r:id="rId25">
              <w:r>
                <w:rPr>
                  <w:rStyle w:val="InternetLink"/>
                  <w:rFonts w:ascii="Times New Roman;serif" w:hAnsi="Times New Roman;serif"/>
                  <w:b w:val="false"/>
                  <w:color w:val="000080"/>
                  <w:sz w:val="20"/>
                  <w:u w:val="single"/>
                </w:rPr>
                <w:t>uarterly Report on Form 10-Q filed with t</w:t>
              </w:r>
            </w:hyperlink>
            <w:hyperlink r:id="rId26">
              <w:r>
                <w:rPr>
                  <w:rStyle w:val="InternetLink"/>
                  <w:rFonts w:ascii="Times New Roman;serif" w:hAnsi="Times New Roman;serif"/>
                  <w:b w:val="false"/>
                  <w:color w:val="000080"/>
                  <w:sz w:val="20"/>
                  <w:u w:val="single"/>
                </w:rPr>
                <w:t>he SEC on August 7, 20</w:t>
              </w:r>
            </w:hyperlink>
            <w:hyperlink r:id="rId27">
              <w:r>
                <w:rPr>
                  <w:rStyle w:val="InternetLink"/>
                  <w:rFonts w:ascii="Times New Roman;serif" w:hAnsi="Times New Roman;serif"/>
                  <w:b w:val="false"/>
                  <w:color w:val="000080"/>
                  <w:sz w:val="20"/>
                  <w:u w:val="single"/>
                </w:rPr>
                <w:t>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80"/>
                  <w:sz w:val="20"/>
                  <w:u w:val="single"/>
                </w:rPr>
                <w:t>Stoc</w:t>
              </w:r>
            </w:hyperlink>
            <w:hyperlink r:id="rId29">
              <w:r>
                <w:rPr>
                  <w:rStyle w:val="InternetLink"/>
                  <w:rFonts w:ascii="Times New Roman;serif" w:hAnsi="Times New Roman;serif"/>
                  <w:b w:val="false"/>
                  <w:color w:val="000080"/>
                  <w:sz w:val="20"/>
                  <w:u w:val="single"/>
                </w:rPr>
                <w:t>k Purchase Agreement</w:t>
              </w:r>
            </w:hyperlink>
            <w:hyperlink r:id="rId30">
              <w:r>
                <w:rPr>
                  <w:rStyle w:val="InternetLink"/>
                  <w:rFonts w:ascii="Times New Roman;serif" w:hAnsi="Times New Roman;serif"/>
                  <w:b w:val="false"/>
                  <w:color w:val="000080"/>
                  <w:sz w:val="20"/>
                  <w:u w:val="single"/>
                </w:rPr>
                <w:t>, dated August 10, 2025, by and between the Company and Gregory C</w:t>
              </w:r>
            </w:hyperlink>
            <w:hyperlink r:id="rId31">
              <w:r>
                <w:rPr>
                  <w:rStyle w:val="InternetLink"/>
                  <w:rFonts w:ascii="Times New Roman;serif" w:hAnsi="Times New Roman;serif"/>
                  <w:b w:val="false"/>
                  <w:color w:val="000080"/>
                  <w:sz w:val="20"/>
                  <w:u w:val="single"/>
                </w:rPr>
                <w:t>iongoli (incorporated by refer</w:t>
              </w:r>
            </w:hyperlink>
            <w:hyperlink r:id="rId32">
              <w:r>
                <w:rPr>
                  <w:rStyle w:val="InternetLink"/>
                  <w:rFonts w:ascii="Times New Roman;serif" w:hAnsi="Times New Roman;serif"/>
                  <w:b w:val="false"/>
                  <w:color w:val="000080"/>
                  <w:sz w:val="20"/>
                  <w:u w:val="single"/>
                </w:rPr>
                <w:t>ence to Exhibit 1</w:t>
              </w:r>
            </w:hyperlink>
            <w:hyperlink r:id="rId33">
              <w:r>
                <w:rPr>
                  <w:rStyle w:val="InternetLink"/>
                  <w:rFonts w:ascii="Times New Roman;serif" w:hAnsi="Times New Roman;serif"/>
                  <w:b w:val="false"/>
                  <w:color w:val="000080"/>
                  <w:sz w:val="20"/>
                  <w:u w:val="single"/>
                </w:rPr>
                <w:t>0.1</w:t>
              </w:r>
            </w:hyperlink>
            <w:hyperlink r:id="rId34">
              <w:r>
                <w:rPr>
                  <w:rStyle w:val="InternetLink"/>
                  <w:rFonts w:ascii="Times New Roman;serif" w:hAnsi="Times New Roman;serif"/>
                  <w:b w:val="false"/>
                  <w:color w:val="000080"/>
                  <w:sz w:val="20"/>
                  <w:u w:val="single"/>
                </w:rPr>
                <w:t xml:space="preserve"> to the Company</w:t>
              </w:r>
            </w:hyperlink>
            <w:hyperlink r:id="rId35">
              <w:r>
                <w:rPr>
                  <w:rStyle w:val="InternetLink"/>
                  <w:rFonts w:ascii="Times New Roman;serif" w:hAnsi="Times New Roman;serif"/>
                  <w:b w:val="false"/>
                  <w:color w:val="000080"/>
                  <w:sz w:val="20"/>
                  <w:u w:val="single"/>
                </w:rPr>
                <w:t>’</w:t>
              </w:r>
            </w:hyperlink>
            <w:hyperlink r:id="rId36">
              <w:r>
                <w:rPr>
                  <w:rStyle w:val="InternetLink"/>
                  <w:rFonts w:ascii="Times New Roman;serif" w:hAnsi="Times New Roman;serif"/>
                  <w:b w:val="false"/>
                  <w:color w:val="000080"/>
                  <w:sz w:val="20"/>
                  <w:u w:val="single"/>
                </w:rPr>
                <w:t xml:space="preserve">s Current </w:t>
              </w:r>
            </w:hyperlink>
            <w:hyperlink r:id="rId37">
              <w:r>
                <w:rPr>
                  <w:rStyle w:val="InternetLink"/>
                  <w:rFonts w:ascii="Times New Roman;serif" w:hAnsi="Times New Roman;serif"/>
                  <w:b w:val="false"/>
                  <w:color w:val="000080"/>
                  <w:sz w:val="20"/>
                  <w:u w:val="single"/>
                </w:rPr>
                <w:t>Report on Form 8-K filed with the SEC on August 11, 2025).</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50930xex311.htm">
              <w:r>
                <w:rPr>
                  <w:rStyle w:val="InternetLink"/>
                  <w:rFonts w:ascii="Times New Roman;serif" w:hAnsi="Times New Roman;serif"/>
                  <w:b w:val="false"/>
                  <w:color w:val="0000FF"/>
                  <w:sz w:val="20"/>
                  <w:u w:val="single"/>
                </w:rPr>
                <w:t>Certification of Chief Executive Officer pursuant to Rule 13a-14(a) or 15d-14(a) of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50930xex312.htm">
              <w:r>
                <w:rPr>
                  <w:rStyle w:val="InternetLink"/>
                  <w:rFonts w:ascii="Times New Roman;serif" w:hAnsi="Times New Roman;serif"/>
                  <w:b w:val="false"/>
                  <w:color w:val="0000FF"/>
                  <w:sz w:val="20"/>
                  <w:u w:val="single"/>
                </w:rPr>
                <w:t>Certification of Chief Financial Officer pursuant to Rule 13a-14(a) or 15d-14(a) of the Securities Exchange Act of 1934.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50930xex321.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zyme-20250930xex322.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Quarterly Report on Form 10-Q for the period ended September 30, 2025, formatted in Inline XBRL (Inline eXtensible Business Reporting Language): (i) Condensed Consolidated Balance Sheets as of September 30, 2025 (unaudited) and December 31, 2024 (audited), (ii) Condensed Consolidated Statements of Loss and Comprehensive Loss for the three and nine months period ended September 30, 2025 and 2024 (unaudited), (iii) Condensed Consolidated Statement of Changes in Stockholders’ Equity for the three and nine month periods ended September 30, 2025 and 2024 (unaudited), (iv) Condensed Consolidated Statements of Cash Flows for the Nine month period ended September, 2025 and 2024 (unaudited) and (v) Notes to the Interim Condensed Consolidated Financial Statements (unaudited).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(indicated by “[***]”) have been omitted in accordance with Item 601(b)(10) of Regulation S-K because the omitted information is not material and the Company customarily and actually treats such omitted information as private or confidential.</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68" w:before="0" w:after="0"/>
        <w:jc w:val="left"/>
        <w:rPr/>
      </w:pPr>
      <w:hyperlink w:anchor="if8ea44d7df7b4341a26dce1332251b12_10">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189"/>
        <w:gridCol w:w="189"/>
        <w:gridCol w:w="189"/>
        <w:gridCol w:w="284"/>
        <w:gridCol w:w="255"/>
        <w:gridCol w:w="255"/>
        <w:gridCol w:w="2529"/>
        <w:gridCol w:w="2474"/>
        <w:gridCol w:w="3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ZYMEWORKS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 of Directors, President and 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9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Leone Patterson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Leone Patterson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5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Business Officer and Chief Financial Officer (Principal Financial Officer and Principal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8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Kenneth Galbraith,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r>
        <w:rPr>
          <w:color w:val="000000"/>
        </w:rPr>
        <w:t> </w:t>
      </w:r>
    </w:p>
    <w:tbl>
      <w:tblPr>
        <w:tblW w:w="2471" w:type="dxa"/>
        <w:jc w:val="left"/>
        <w:tblInd w:w="0" w:type="dxa"/>
        <w:tblLayout w:type="fixed"/>
        <w:tblCellMar>
          <w:top w:w="28" w:type="dxa"/>
          <w:left w:w="28" w:type="dxa"/>
          <w:bottom w:w="28" w:type="dxa"/>
          <w:right w:w="28" w:type="dxa"/>
        </w:tblCellMar>
      </w:tblPr>
      <w:tblGrid>
        <w:gridCol w:w="759"/>
        <w:gridCol w:w="668"/>
        <w:gridCol w:w="672"/>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Leone Patterson, certify that:</w:t>
      </w:r>
    </w:p>
    <w:p>
      <w:pPr>
        <w:pStyle w:val="TextBody"/>
        <w:bidi w:val="0"/>
        <w:spacing w:lineRule="auto" w:line="288" w:before="120" w:after="283"/>
        <w:ind w:left="0" w:right="0" w:firstLine="54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Zymeworks Inc.;</w:t>
      </w:r>
    </w:p>
    <w:p>
      <w:pPr>
        <w:pStyle w:val="TextBody"/>
        <w:bidi w:val="0"/>
        <w:spacing w:lineRule="auto" w:line="288" w:before="240" w:after="283"/>
        <w:ind w:left="0" w:right="0" w:firstLine="54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54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firstLine="54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2471" w:type="dxa"/>
        <w:jc w:val="left"/>
        <w:tblInd w:w="0" w:type="dxa"/>
        <w:tblLayout w:type="fixed"/>
        <w:tblCellMar>
          <w:top w:w="28" w:type="dxa"/>
          <w:left w:w="28" w:type="dxa"/>
          <w:bottom w:w="28" w:type="dxa"/>
          <w:right w:w="28" w:type="dxa"/>
        </w:tblCellMar>
      </w:tblPr>
      <w:tblGrid>
        <w:gridCol w:w="759"/>
        <w:gridCol w:w="668"/>
        <w:gridCol w:w="672"/>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Leone Patterson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September 30, 2025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283"/>
        <w:jc w:val="left"/>
        <w:rPr/>
      </w:pPr>
      <w:r>
        <w:rPr/>
      </w:r>
    </w:p>
    <w:tbl>
      <w:tblPr>
        <w:tblW w:w="3344" w:type="dxa"/>
        <w:jc w:val="left"/>
        <w:tblInd w:w="0" w:type="dxa"/>
        <w:tblLayout w:type="fixed"/>
        <w:tblCellMar>
          <w:top w:w="28" w:type="dxa"/>
          <w:left w:w="28" w:type="dxa"/>
          <w:bottom w:w="28" w:type="dxa"/>
          <w:right w:w="28" w:type="dxa"/>
        </w:tblCellMar>
      </w:tblPr>
      <w:tblGrid>
        <w:gridCol w:w="344"/>
        <w:gridCol w:w="302"/>
        <w:gridCol w:w="302"/>
        <w:gridCol w:w="671"/>
        <w:gridCol w:w="671"/>
        <w:gridCol w:w="682"/>
        <w:gridCol w:w="109"/>
        <w:gridCol w:w="109"/>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Kenneth Galbraith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SECTION 906 CERTIFICATION</w:t>
      </w:r>
    </w:p>
    <w:p>
      <w:pPr>
        <w:pStyle w:val="TextBody"/>
        <w:bidi w:val="0"/>
        <w:spacing w:lineRule="auto" w:line="288" w:before="240" w:after="283"/>
        <w:jc w:val="left"/>
        <w:rPr/>
      </w:pPr>
      <w:r>
        <w:rPr>
          <w:rFonts w:ascii="Times New Roman;serif" w:hAnsi="Times New Roman;serif"/>
          <w:b w:val="false"/>
          <w:color w:val="000000"/>
          <w:sz w:val="20"/>
        </w:rPr>
        <w:t>Pursuant to section 906 of the Sarbanes-Oxley Act of 2002 (subsections (a) and (b) of section 1350, chapter 63 of title 18, United States Code) in connection with the Quarterly Report on Form 10-Q of Zymeworks Inc. for the quarterly period ended September 30, 2025 as filed with the Securities and Exchange Commission on the date hereof (the “Report”), the undersigned officer hereby certifies, to such officer’s knowledge, that:</w:t>
      </w:r>
      <w:r>
        <w:rPr>
          <w:color w:val="000000"/>
        </w:rPr>
        <w:t> </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Zymeworks Inc.</w:t>
      </w:r>
    </w:p>
    <w:p>
      <w:pPr>
        <w:pStyle w:val="TextBody"/>
        <w:bidi w:val="0"/>
        <w:spacing w:before="120" w:after="60"/>
        <w:jc w:val="left"/>
        <w:rPr/>
      </w:pPr>
      <w:r>
        <w:rPr/>
      </w:r>
    </w:p>
    <w:tbl>
      <w:tblPr>
        <w:tblW w:w="3182" w:type="dxa"/>
        <w:jc w:val="left"/>
        <w:tblInd w:w="0" w:type="dxa"/>
        <w:tblLayout w:type="fixed"/>
        <w:tblCellMar>
          <w:top w:w="28" w:type="dxa"/>
          <w:left w:w="28" w:type="dxa"/>
          <w:bottom w:w="28" w:type="dxa"/>
          <w:right w:w="28" w:type="dxa"/>
        </w:tblCellMar>
      </w:tblPr>
      <w:tblGrid>
        <w:gridCol w:w="307"/>
        <w:gridCol w:w="269"/>
        <w:gridCol w:w="269"/>
        <w:gridCol w:w="647"/>
        <w:gridCol w:w="647"/>
        <w:gridCol w:w="671"/>
        <w:gridCol w:w="109"/>
        <w:gridCol w:w="109"/>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Leone Patterson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Leone Patterson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Report pursuant to § 906 of the Sarbanes-Oxley Act of 2002 and shall not, except to the extent required by the Sarbanes-Oxley Act of 2002, be deemed “filed” by the Company for purposes of §18 of the Securities Exchange Act of 1934, as amended, or otherwise subject to the liability of that section.</w:t>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37653/000119312522261838/d351779dex31.htm" TargetMode="External"/><Relationship Id="rId4" Type="http://schemas.openxmlformats.org/officeDocument/2006/relationships/hyperlink" Target="https://www.sec.gov/Archives/edgar/data/1937653/000119312523071337/d485013dex31.htm" TargetMode="External"/><Relationship Id="rId5" Type="http://schemas.openxmlformats.org/officeDocument/2006/relationships/hyperlink" Target="https://www.sec.gov/Archives/edgar/data/1937653/000119312523165284/d505663dex31.htm" TargetMode="External"/><Relationship Id="rId6" Type="http://schemas.openxmlformats.org/officeDocument/2006/relationships/hyperlink" Target="https://www.sec.gov/Archives/edgar/data/1937653/000119312522261838/d351779dex32.htm" TargetMode="External"/><Relationship Id="rId7" Type="http://schemas.openxmlformats.org/officeDocument/2006/relationships/hyperlink" Target="https://www.sec.gov/Archives/edgar/data/1937653/000193765325000049/zyme-20250630xex102.htm" TargetMode="External"/><Relationship Id="rId8" Type="http://schemas.openxmlformats.org/officeDocument/2006/relationships/hyperlink" Target="https://www.sec.gov/Archives/edgar/data/1937653/000193765325000049/zyme-20250630xex102.htm" TargetMode="External"/><Relationship Id="rId9" Type="http://schemas.openxmlformats.org/officeDocument/2006/relationships/hyperlink" Target="https://www.sec.gov/Archives/edgar/data/1937653/000193765325000049/zyme-20250630xex102.htm" TargetMode="External"/><Relationship Id="rId10" Type="http://schemas.openxmlformats.org/officeDocument/2006/relationships/hyperlink" Target="https://www.sec.gov/Archives/edgar/data/1937653/000193765325000049/zyme-20250630xex102.htm" TargetMode="External"/><Relationship Id="rId11" Type="http://schemas.openxmlformats.org/officeDocument/2006/relationships/hyperlink" Target="https://www.sec.gov/Archives/edgar/data/1937653/000193765325000049/zyme-20250630xex102.htm" TargetMode="External"/><Relationship Id="rId12" Type="http://schemas.openxmlformats.org/officeDocument/2006/relationships/hyperlink" Target="https://www.sec.gov/Archives/edgar/data/1937653/000193765325000049/zyme-20250630xex102.htm" TargetMode="External"/><Relationship Id="rId13" Type="http://schemas.openxmlformats.org/officeDocument/2006/relationships/hyperlink" Target="https://www.sec.gov/Archives/edgar/data/1937653/000193765325000049/zyme-20250630xex102.htm" TargetMode="External"/><Relationship Id="rId14" Type="http://schemas.openxmlformats.org/officeDocument/2006/relationships/hyperlink" Target="https://www.sec.gov/Archives/edgar/data/1937653/000193765325000049/zyme-20250630xex102.htm" TargetMode="External"/><Relationship Id="rId15" Type="http://schemas.openxmlformats.org/officeDocument/2006/relationships/hyperlink" Target="https://www.sec.gov/Archives/edgar/data/1937653/000193765325000049/zyme-20250630xex102.htm" TargetMode="External"/><Relationship Id="rId16" Type="http://schemas.openxmlformats.org/officeDocument/2006/relationships/hyperlink" Target="https://www.sec.gov/Archives/edgar/data/1937653/000193765325000049/zyme-20250630xex102.htm" TargetMode="External"/><Relationship Id="rId17" Type="http://schemas.openxmlformats.org/officeDocument/2006/relationships/hyperlink" Target="https://www.sec.gov/Archives/edgar/data/1937653/000193765325000049/zyme-20250630xex102.htm" TargetMode="External"/><Relationship Id="rId18" Type="http://schemas.openxmlformats.org/officeDocument/2006/relationships/hyperlink" Target="https://www.sec.gov/Archives/edgar/data/1937653/000193765325000049/zyme-20250630xex102.htm" TargetMode="External"/><Relationship Id="rId19" Type="http://schemas.openxmlformats.org/officeDocument/2006/relationships/hyperlink" Target="https://www.sec.gov/Archives/edgar/data/1937653/000193765325000049/zyme-20250630xex102.htm" TargetMode="External"/><Relationship Id="rId20" Type="http://schemas.openxmlformats.org/officeDocument/2006/relationships/hyperlink" Target="https://www.sec.gov/Archives/edgar/data/1937653/000193765325000049/zyme-20250630xex102.htm" TargetMode="External"/><Relationship Id="rId21" Type="http://schemas.openxmlformats.org/officeDocument/2006/relationships/hyperlink" Target="https://www.sec.gov/Archives/edgar/data/1937653/000193765325000049/zyme-20250630xex102.htm" TargetMode="External"/><Relationship Id="rId22" Type="http://schemas.openxmlformats.org/officeDocument/2006/relationships/hyperlink" Target="https://www.sec.gov/Archives/edgar/data/1937653/000193765325000049/zyme-20250630xex102.htm" TargetMode="External"/><Relationship Id="rId23" Type="http://schemas.openxmlformats.org/officeDocument/2006/relationships/hyperlink" Target="https://www.sec.gov/Archives/edgar/data/1937653/000193765325000049/zyme-20250630xex102.htm" TargetMode="External"/><Relationship Id="rId24" Type="http://schemas.openxmlformats.org/officeDocument/2006/relationships/hyperlink" Target="https://www.sec.gov/Archives/edgar/data/1937653/000193765325000049/zyme-20250630xex102.htm" TargetMode="External"/><Relationship Id="rId25" Type="http://schemas.openxmlformats.org/officeDocument/2006/relationships/hyperlink" Target="https://www.sec.gov/Archives/edgar/data/1937653/000193765325000049/zyme-20250630xex102.htm" TargetMode="External"/><Relationship Id="rId26" Type="http://schemas.openxmlformats.org/officeDocument/2006/relationships/hyperlink" Target="https://www.sec.gov/Archives/edgar/data/1937653/000193765325000049/zyme-20250630xex102.htm" TargetMode="External"/><Relationship Id="rId27" Type="http://schemas.openxmlformats.org/officeDocument/2006/relationships/hyperlink" Target="https://www.sec.gov/Archives/edgar/data/1937653/000193765325000049/zyme-20250630xex102.htm" TargetMode="External"/><Relationship Id="rId28" Type="http://schemas.openxmlformats.org/officeDocument/2006/relationships/hyperlink" Target="https://www.sec.gov/Archives/edgar/data/1937653/000119312525177505/d86037dex101.htm" TargetMode="External"/><Relationship Id="rId29" Type="http://schemas.openxmlformats.org/officeDocument/2006/relationships/hyperlink" Target="https://www.sec.gov/Archives/edgar/data/1937653/000119312525177505/d86037dex101.htm" TargetMode="External"/><Relationship Id="rId30" Type="http://schemas.openxmlformats.org/officeDocument/2006/relationships/hyperlink" Target="https://www.sec.gov/Archives/edgar/data/1937653/000119312525177505/d86037dex101.htm" TargetMode="External"/><Relationship Id="rId31" Type="http://schemas.openxmlformats.org/officeDocument/2006/relationships/hyperlink" Target="https://www.sec.gov/Archives/edgar/data/1937653/000119312525177505/d86037dex101.htm" TargetMode="External"/><Relationship Id="rId32" Type="http://schemas.openxmlformats.org/officeDocument/2006/relationships/hyperlink" Target="https://www.sec.gov/Archives/edgar/data/1937653/000119312525177505/d86037dex101.htm" TargetMode="External"/><Relationship Id="rId33" Type="http://schemas.openxmlformats.org/officeDocument/2006/relationships/hyperlink" Target="https://www.sec.gov/Archives/edgar/data/1937653/000119312525177505/d86037dex101.htm" TargetMode="External"/><Relationship Id="rId34" Type="http://schemas.openxmlformats.org/officeDocument/2006/relationships/hyperlink" Target="https://www.sec.gov/Archives/edgar/data/1937653/000119312525177505/d86037dex101.htm" TargetMode="External"/><Relationship Id="rId35" Type="http://schemas.openxmlformats.org/officeDocument/2006/relationships/hyperlink" Target="https://www.sec.gov/Archives/edgar/data/1937653/000119312525177505/d86037dex101.htm" TargetMode="External"/><Relationship Id="rId36" Type="http://schemas.openxmlformats.org/officeDocument/2006/relationships/hyperlink" Target="https://www.sec.gov/Archives/edgar/data/1937653/000119312525177505/d86037dex101.htm" TargetMode="External"/><Relationship Id="rId37" Type="http://schemas.openxmlformats.org/officeDocument/2006/relationships/hyperlink" Target="https://www.sec.gov/Archives/edgar/data/1937653/000119312525177505/d86037dex101.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63632</Words>
  <Characters>363719</Characters>
  <CharactersWithSpaces>425669</CharactersWithSpaces>
  <Paragraphs>3586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