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930d8k.htm"/>
      <w:bookmarkStart w:id="1" w:name="ksd1109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Zymeworks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001-41535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88-3099146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108 Patriot Drive, Suite A</w:t>
            </w:r>
          </w:p>
          <w:p>
            <w:pPr>
              <w:pStyle w:val="TableContents"/>
              <w:bidi w:val="0"/>
              <w:spacing w:before="0" w:after="20"/>
              <w:jc w:val="center"/>
              <w:rPr>
                <w:rFonts w:ascii="Times New Roman" w:hAnsi="Times New Roman"/>
                <w:b/>
                <w:sz w:val="20"/>
              </w:rPr>
            </w:pPr>
            <w:r>
              <w:rPr>
                <w:rFonts w:ascii="Times New Roman" w:hAnsi="Times New Roman"/>
                <w:b/>
                <w:sz w:val="20"/>
              </w:rPr>
              <w:t>Middletown, 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19709</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(302) 274-8744</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95" w:type="dxa"/>
        <w:jc w:val="left"/>
        <w:tblInd w:w="0" w:type="dxa"/>
        <w:tblLayout w:type="fixed"/>
        <w:tblCellMar>
          <w:top w:w="0" w:type="dxa"/>
          <w:left w:w="0" w:type="dxa"/>
          <w:bottom w:w="0" w:type="dxa"/>
          <w:right w:w="0" w:type="dxa"/>
        </w:tblCellMar>
      </w:tblPr>
      <w:tblGrid>
        <w:gridCol w:w="4385"/>
        <w:gridCol w:w="60"/>
        <w:gridCol w:w="740"/>
        <w:gridCol w:w="60"/>
        <w:gridCol w:w="305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85" w:type="dxa"/>
            <w:tcBorders/>
            <w:vAlign w:val="center"/>
          </w:tcPr>
          <w:p>
            <w:pPr>
              <w:pStyle w:val="TableContents"/>
              <w:bidi w:val="0"/>
              <w:spacing w:before="0" w:after="283"/>
              <w:jc w:val="center"/>
              <w:rPr/>
            </w:pPr>
            <w:r>
              <w:rPr/>
              <w:t>Common Stock, par value $0.00001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ZYME</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May 14, 2026, Zymeworks Inc. (the “Company”) issued a press release announcing that its Board of Directors (the “Board”) had authorized a share repurchase program (the “2026 Share Repurchase Program”) under which the Company may repurchase up to $125.0 million of the Company’s common stock, par value $0.00001 per share (the “Common Stock”). In connection with approval of the 2026 Share Repurchase Program, the Board terminated the previous authorization of up to $125.0 million of repurchases of Common Stock (the “2025 Repurchase Program”), under which an aggregate of 4,197,553 shares of Common Stock were repurchased with an average price of $24.36 per share, for total repurchases of $102.3 million (exclusive of commission expense and estimated excise tax).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announcing the 2026 Share Repurchase Program is attached as Exhibit 99.1 to this Current Report on Form 8-K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Based on current operating plans, and assuming full execution of the $125.0 million 2026 Share Repurchase Plan, the Company currently expects its existing cash resources as of March 31, 2026, when combined with anticipated regulatory milestone payments of $440.0 million related to the potential approvals of Ziihera in GEA in the U.S., Europe, Japan, and China, to fund its planned operations beyond 2028. This anticipated cash runway does not take into account any contribution from additional future milestone payments or royalties related to Ziihera, other current licensed product candidates or contributions from future partnerships and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is being furnished and shall not be deemed to be “filed” for purposes of Section 18 of the Exchange Act, or otherwise subject to the liabilities of that section, and shall not be incorporated by reference into any registration statement or other document filed pursuant to the Securities Act or the Exchange Act, regardless of any general incorporation language contained in such, unless the Company specifically states that the information is to be considered “filed” under the Exchange Act or specifically incorporates it by reference into a filing under the Securities Act or the Exchange Act.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This Current Report on Form 8-K contains certain forward-looking statements within the meaning of Section 27A of the Securities Act and Section 21E of the Exchange Act. Forward-looking statements are identified by such words as “believe,” “expect,” “anticipate” and words of similar import and are based on current expectations that involve risks and uncertainties, such as the Company’s plans, projections, objectives, expectations and intentions. All statements other than historical or current facts are forward-looking statements, including, without limitation, statements about the anticipated sufficiency of existing cash resources as of March 31, 2026, when combined with anticipated regulatory milestone payments of $440.0 million related to the potential approvals of Ziihera in GEA in the U.S., Europe, Japan, and China, to fund the Company’s planned operations beyond 2028, assuming the potential full execution of the 2026 Share Repurchase Program. These forward-looking statements are subject to certain risks and uncertainties that could cause actual results to differ materially from those anticipated in the forward-looking statements. Forward-looking statements speak only as of the date they are made, and the Company is not under any obligation and expressly disclaims any obligation to update, alter or otherwise revise any forward-looking statement, whether as a result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1205"/>
        <w:gridCol w:w="120"/>
        <w:gridCol w:w="687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7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699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pPr>
            <w:hyperlink w:anchor="d110930dex991.htm">
              <w:r>
                <w:rPr>
                  <w:rStyle w:val="InternetLink"/>
                </w:rPr>
                <w:t xml:space="preserve">Press Release, dated May 14,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699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pPr>
            <w:r>
              <w:rPr/>
              <w:t>Cover Page Interactive Data File (embedded as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t> </w:t>
      </w:r>
    </w:p>
    <w:tbl>
      <w:tblPr>
        <w:tblW w:w="6360" w:type="dxa"/>
        <w:jc w:val="left"/>
        <w:tblInd w:w="0" w:type="dxa"/>
        <w:tblLayout w:type="fixed"/>
        <w:tblCellMar>
          <w:top w:w="0" w:type="dxa"/>
          <w:left w:w="0" w:type="dxa"/>
          <w:bottom w:w="0" w:type="dxa"/>
          <w:right w:w="0" w:type="dxa"/>
        </w:tblCellMar>
      </w:tblPr>
      <w:tblGrid>
        <w:gridCol w:w="1940"/>
        <w:gridCol w:w="60"/>
        <w:gridCol w:w="60"/>
        <w:gridCol w:w="60"/>
        <w:gridCol w:w="545"/>
        <w:gridCol w:w="60"/>
        <w:gridCol w:w="363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0" w:type="dxa"/>
            <w:gridSpan w:val="3"/>
            <w:tcBorders/>
            <w:vAlign w:val="center"/>
          </w:tcPr>
          <w:p>
            <w:pPr>
              <w:pStyle w:val="TableContents"/>
              <w:pBdr>
                <w:bottom w:val="single" w:sz="2" w:space="1" w:color="000000"/>
              </w:pBdr>
              <w:bidi w:val="0"/>
              <w:spacing w:before="0" w:after="20"/>
              <w:jc w:val="center"/>
              <w:rPr>
                <w:rFonts w:ascii="Times New Roman" w:hAnsi="Times New Roman"/>
                <w:b/>
                <w:sz w:val="20"/>
              </w:rPr>
            </w:pPr>
            <w:r>
              <w:rPr>
                <w:rFonts w:ascii="Times New Roman" w:hAnsi="Times New Roman"/>
                <w:b/>
                <w:sz w:val="20"/>
              </w:rPr>
              <w:t>ZYMEWORKS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40" w:type="dxa"/>
            <w:gridSpan w:val="3"/>
            <w:tcBorders/>
            <w:vAlign w:val="center"/>
          </w:tcPr>
          <w:p>
            <w:pPr>
              <w:pStyle w:val="TableContents"/>
              <w:bidi w:val="0"/>
              <w:spacing w:before="0" w:after="283"/>
              <w:jc w:val="center"/>
              <w:rPr/>
            </w:pPr>
            <w:r>
              <w:rPr/>
              <w:t>(Registrant)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14,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Kenneth Galbraith</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p>
            <w:pPr>
              <w:pStyle w:val="TableContents"/>
              <w:bidi w:val="0"/>
              <w:spacing w:before="0" w:after="20"/>
              <w:jc w:val="left"/>
              <w:rPr>
                <w:rFonts w:ascii="Times New Roman" w:hAnsi="Times New Roman"/>
                <w:sz w:val="20"/>
              </w:rPr>
            </w:pPr>
            <w:r>
              <w:rPr>
                <w:rFonts w:ascii="Times New Roman" w:hAnsi="Times New Roman"/>
                <w:sz w:val="20"/>
              </w:rPr>
              <w:t>Chair, President and Chief Executive Officer</w:t>
            </w:r>
          </w:p>
        </w:tc>
      </w:tr>
    </w:tbl>
    <w:p>
      <w:pPr>
        <w:pStyle w:val="TextBody"/>
        <w:bidi w:val="0"/>
        <w:spacing w:before="0" w:after="0"/>
        <w:jc w:val="right"/>
        <w:rPr>
          <w:rFonts w:ascii="Times New Roman" w:hAnsi="Times New Roman"/>
          <w:b/>
          <w:sz w:val="20"/>
        </w:rPr>
      </w:pPr>
      <w:bookmarkStart w:id="2" w:name="d110930dex991.htm"/>
      <w:bookmarkStart w:id="3" w:name="ksd11093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21932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19325" cy="1000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Zymeworks Announces Share Repurchase Program of up to $125 Million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Vancouver, British Columbia (May 14, 2026) – Zymeworks Inc. (Nasdaq: ZYME), a biotechnology company managing a portfolio of licensed healthcare assets while developing a diverse pipeline of novel, multifunctional biotherapeutics, today announced that its Board of Directors has authorized a 2026 share repurchase program under which the Company may repurchase up to $125.0 million of its outstanding common stock, par value $0.00001 per share. Concurrently, Zymeworks has terminated its existing 2025 share repurchase program under which the Company has repurchased 4,197,553 million shares of common stock for $102.3 million, representing an average purchase price of $24.36 per common share. </w:t>
      </w:r>
    </w:p>
    <w:p>
      <w:pPr>
        <w:pStyle w:val="TextBody"/>
        <w:bidi w:val="0"/>
        <w:spacing w:before="240" w:after="0"/>
        <w:jc w:val="left"/>
        <w:rPr/>
      </w:pPr>
      <w:r>
        <w:rPr/>
        <w:t>“</w:t>
      </w:r>
      <w:r>
        <w:rPr>
          <w:rFonts w:ascii="Times New Roman" w:hAnsi="Times New Roman"/>
          <w:sz w:val="20"/>
        </w:rPr>
        <w:t xml:space="preserve">The authorization of this 2026 share repurchase program reflects our continued focus on disciplined capital allocation and long-term value creation,” said Kenneth Galbraith, Chair and Chief Executive Officer of Zymeworks. “We believe this program provides an efficient mechanism to return capital to stockholders, while preserving the flexibility to further invest in our R&amp;D pipeline and pursue strategic opportunities.” </w:t>
      </w:r>
    </w:p>
    <w:p>
      <w:pPr>
        <w:pStyle w:val="TextBody"/>
        <w:bidi w:val="0"/>
        <w:spacing w:before="240" w:after="0"/>
        <w:jc w:val="left"/>
        <w:rPr>
          <w:rFonts w:ascii="Times New Roman" w:hAnsi="Times New Roman"/>
          <w:sz w:val="20"/>
        </w:rPr>
      </w:pPr>
      <w:r>
        <w:rPr>
          <w:rFonts w:ascii="Times New Roman" w:hAnsi="Times New Roman"/>
          <w:sz w:val="20"/>
        </w:rPr>
        <w:t xml:space="preserve">As of May 13, 2026, the Company had approximately 73.0 million outstanding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program will be funded through the Company’s strong balance sheet, leveraging its financial capacity to repurchase shares. The shares may be repurchased from time to time in open market transactions, or other means in accordance with Rule 10b5-1 of the Securities Exchange Act of 1934, as amended (the “Exchange Act”), and Rule 10b-18 of the Exchange Act. The timing, number of shares repurchased, and prices paid for the shares under this program will depend on general business and market conditions as well as corporate and regulatory limitations, prevailing stock prices, and other considerations. The 2026 share repurchase program may be suspended or discontinued at any time and does not obligate the Company to acquire any amount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About Zymeworks Inc. </w:t>
      </w:r>
    </w:p>
    <w:p>
      <w:pPr>
        <w:pStyle w:val="TextBody"/>
        <w:bidi w:val="0"/>
        <w:spacing w:before="120" w:after="0"/>
        <w:jc w:val="left"/>
        <w:rPr>
          <w:rFonts w:ascii="Times New Roman" w:hAnsi="Times New Roman"/>
          <w:sz w:val="20"/>
        </w:rPr>
      </w:pPr>
      <w:r>
        <w:rPr>
          <w:rFonts w:ascii="Times New Roman" w:hAnsi="Times New Roman"/>
          <w:sz w:val="20"/>
        </w:rPr>
        <w:t xml:space="preserve">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Zymeworks’ asset and royalty aggregation strategy focuses on optimizing positive future cash flows from an emerging portfolio of licensed products such as Ziihera® (zanidatamab-hrii) and other licensed products and product candidates, such as pasritamig. In addition, Zymeworks is also building a portfolio of healthcare assets that can generate strong cash flows, while supporting the development of innovative medicines. Zymeworks engineered and developed Ziihera, a HER2-targeted bispecific antibody using Zymeworks’ proprietary Azymetric technology and has entered into separate agreements with BeOne Medicines Ltd. (formerly BeiGene, Ltd.) and Jazz Pharmaceuticals Ireland Limited granting each exclusive rights to develop and commercialize zanidatamab in different territories. Zymeworks is rapidly advancing a robust pipeline of product candidates, leveraging its expertise in both antibody drug conjugates and multispecific antibody therapeutics targeting novel pathways in areas of significant unmet medical need. Zymeworks’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complementary therapeutic platforms and fully integrated drug development engine provide the flexibility and compatibility to precisely engineer and develop highly differentiated antibody-based therapeutics. These capabilities have been further leveraged through strategic partnerships with global biopharmaceutical companies. For information about Zymeworks, visit www.zymeworks.com and follow @ZymeworksInc on X.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ability to execute the share repurchase program, in whole or in part; Zymeworks’ flexibility to invest in its R&amp;D pipeline and pursue strategic opportunities while returning capital to stockholders; expected benefits to stockholders of share repurchases; Zymeworks’ expectations regarding implementation of its long-term strategy to maximize value creation; Zymeworks’ and its partners’ clinical development of product candidates; potential safety profile and therapeutic effects of product candidates; the commercial potential of technology platforms and product candidates; the anticipated benefits of its collaboration agreements; and other information that is not historical information. When used herein, words such as “plan”, “believe”, “expect”, “may”, “continue”, “anticipate”, “potential”, “will”, “on track”, “progress”, “preserve”, “intend”, “could”,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may not be able to successfully execute the share repurchase program; the anticipated benefits of the share repurchase program may not be realized; Zymeworks may not achieve milestones or receive additional payments or royalties under its collaborations; regulatory agencies may impose additional requirements or delay the initiation of clinical trials; the impact of new or changing laws and regulations; market conditions, including the impact of tariffs; potential negative impacts of FDA regulatory delays and uncertainty around recent policy developments, changes in the leadership of federal agencies such as the FDA, staff layoffs, budget cuts to agency programs and research, and changes in drug pricing controls;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Zymeworks’ business strategy related to anticipated and potential future milestones and royalty streams and existing and potential new partnerships may not be successfully implemented; Zymeworks’ evolution of its business strategy may not deliver meaningful stockholder returns; Zymeworks may be unsuccessful in actively managing and/or aggregating revenue-generating assets alongside its active R&amp;D operations; ongoing and future clinical trials may not demonstrate safety and efficacy of any of Zymeworks’ or its collaborators’ product candidates; data providing early validation of our antibody drug conjugate platform and next generation pipeline programs may not be replicated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studies; Zymeworks’ assumptions and estimates regarding its financial condition, future financial performance and estimated cash runway may be incorrect; inability to maintain or enter into new partnerships or strategic collaborations; the inability of Zymeworks to identify and consummate a strategic acquisition; and the factors described under “Risk Factors” in Zymeworks’ quarterly and annual reports filed with the Securities and Exchange Commission (copies of which may be obtained at www.sec.gov and www.sedarplus.ca). </w:t>
      </w:r>
    </w:p>
    <w:p>
      <w:pPr>
        <w:pStyle w:val="TextBody"/>
        <w:bidi w:val="0"/>
        <w:spacing w:before="240" w:after="0"/>
        <w:jc w:val="left"/>
        <w:rPr>
          <w:rFonts w:ascii="Times New Roman" w:hAnsi="Times New Roman"/>
          <w:sz w:val="20"/>
        </w:rPr>
      </w:pPr>
      <w:r>
        <w:rPr>
          <w:rFonts w:ascii="Times New Roman" w:hAnsi="Times New Roman"/>
          <w:sz w:val="20"/>
        </w:rPr>
        <w:t xml:space="preserve">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 Inquiries: </w:t>
      </w:r>
    </w:p>
    <w:p>
      <w:pPr>
        <w:pStyle w:val="TextBody"/>
        <w:bidi w:val="0"/>
        <w:spacing w:before="0" w:after="0"/>
        <w:jc w:val="left"/>
        <w:rPr>
          <w:rFonts w:ascii="Times New Roman" w:hAnsi="Times New Roman"/>
          <w:sz w:val="20"/>
        </w:rPr>
      </w:pPr>
      <w:r>
        <w:rPr>
          <w:rFonts w:ascii="Times New Roman" w:hAnsi="Times New Roman"/>
          <w:sz w:val="20"/>
        </w:rPr>
        <w:t xml:space="preserve">Shrinal Inamdar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(604) 678-1388 </w:t>
      </w:r>
    </w:p>
    <w:p>
      <w:pPr>
        <w:pStyle w:val="TextBody"/>
        <w:bidi w:val="0"/>
        <w:spacing w:before="0" w:after="0"/>
        <w:jc w:val="left"/>
        <w:rPr>
          <w:rFonts w:ascii="Times New Roman" w:hAnsi="Times New Roman"/>
          <w:sz w:val="20"/>
          <w:u w:val="single"/>
        </w:rPr>
      </w:pPr>
      <w:r>
        <w:rPr>
          <w:rFonts w:ascii="Times New Roman" w:hAnsi="Times New Roman"/>
          <w:sz w:val="20"/>
          <w:u w:val="single"/>
        </w:rPr>
        <w:t>ir@zymeworks.com</w:t>
      </w:r>
    </w:p>
    <w:p>
      <w:pPr>
        <w:pStyle w:val="TextBody"/>
        <w:bidi w:val="0"/>
        <w:spacing w:before="240" w:after="0"/>
        <w:jc w:val="left"/>
        <w:rPr>
          <w:rFonts w:ascii="Times New Roman" w:hAnsi="Times New Roman"/>
          <w:sz w:val="20"/>
        </w:rPr>
      </w:pPr>
      <w:r>
        <w:rPr>
          <w:rFonts w:ascii="Times New Roman" w:hAnsi="Times New Roman"/>
          <w:sz w:val="20"/>
        </w:rPr>
        <w:t xml:space="preserve">Media Inquiries: </w:t>
      </w:r>
    </w:p>
    <w:p>
      <w:pPr>
        <w:pStyle w:val="TextBody"/>
        <w:bidi w:val="0"/>
        <w:spacing w:before="120" w:after="0"/>
        <w:jc w:val="left"/>
        <w:rPr>
          <w:rFonts w:ascii="Times New Roman" w:hAnsi="Times New Roman"/>
          <w:sz w:val="20"/>
        </w:rPr>
      </w:pPr>
      <w:r>
        <w:rPr>
          <w:rFonts w:ascii="Times New Roman" w:hAnsi="Times New Roman"/>
          <w:sz w:val="20"/>
        </w:rPr>
        <w:t xml:space="preserve">Diana Papove </w:t>
      </w:r>
    </w:p>
    <w:p>
      <w:pPr>
        <w:pStyle w:val="TextBody"/>
        <w:bidi w:val="0"/>
        <w:spacing w:before="0" w:after="0"/>
        <w:jc w:val="left"/>
        <w:rPr>
          <w:rFonts w:ascii="Times New Roman" w:hAnsi="Times New Roman"/>
          <w:sz w:val="20"/>
        </w:rPr>
      </w:pPr>
      <w:r>
        <w:rPr>
          <w:rFonts w:ascii="Times New Roman" w:hAnsi="Times New Roman"/>
          <w:sz w:val="20"/>
        </w:rPr>
        <w:t xml:space="preserve">Vice President,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(604) 678-1388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media@zymeworks.com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2213</Words>
  <Characters>13303</Characters>
  <CharactersWithSpaces>15508</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