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Zymeworks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Rubric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Rosen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9.49 %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Zymeworks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108 Patriot Drive, Suite A Middletown, DE, 19709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This statement is filed by: (i) Rubric Capital Management LP ("Rubric Capital"), the investment adviser to certain investment funds and/or accounts (collectively, the "Rubric Funds") that hold the shares of Common Stock, $0.00001</w:t>
      </w:r>
    </w:p>
    <w:p>
      <w:pPr>
        <w:spacing w:after="0" w:line="1" w:lineRule="exact"/>
        <w:rPr>
          <w:sz w:val="20"/>
          <w:szCs w:val="20"/>
          <w:color w:val="auto"/>
        </w:rPr>
      </w:pPr>
    </w:p>
    <w:p>
      <w:pPr>
        <w:ind w:left="9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 value (the "Common Stock") of Zymeworks Inc.,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of Common Stock reported herein.</w:t>
      </w:r>
    </w:p>
    <w:p>
      <w:pPr>
        <w:sectPr>
          <w:pgSz w:w="11900" w:h="16838" w:orient="portrait"/>
          <w:cols w:equalWidth="0" w:num="1">
            <w:col w:w="11120"/>
          </w:cols>
          <w:pgMar w:left="360" w:top="111" w:right="419" w:bottom="208"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155 East 44th St, Suite 1630, New York, NY 10017.</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Rubric Capital is a Delaware limited partnership. Mr. Rosen is a citizen of the 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208"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20"/>
          </w:cols>
          <w:pgMar w:left="360" w:top="111" w:right="419" w:bottom="208" w:gutter="0" w:footer="0" w:header="0"/>
          <w:type w:val="continuous"/>
        </w:sectPr>
      </w:pPr>
    </w:p>
    <w:bookmarkStart w:id="3" w:name="page4"/>
    <w:bookmarkEnd w:id="3"/>
    <w:p>
      <w:pPr>
        <w:ind w:left="920"/>
        <w:spacing w:after="0" w:line="23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9 of the cover page for each of the Reporting Persons and is incorporated herein by reference. The percentage set forth in Row (11) of the cover page for each of the Reporting Persons and in Item 4(b) is based on the 73,749,607 shares of Common Stock outstanding as of February 6, 2026, as reported in the Issuer's Quarterly Report on Form 10-K for the fiscal year ended December 31, 2026, filed with the Securities and Exchange Commission on March 2,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9.49 %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See Item 2(a). Rubric Capital Master Fund LP, a Rubric Fund, has the right to receive or the power to direct the receipt of dividends from, or the proceeds from the sale of, more than 5% of the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Rubric Capital Management LP</w:t>
      </w:r>
    </w:p>
    <w:p>
      <w:pPr>
        <w:spacing w:after="0" w:line="152" w:lineRule="exact"/>
        <w:rPr>
          <w:sz w:val="20"/>
          <w:szCs w:val="20"/>
          <w:color w:val="auto"/>
        </w:rPr>
      </w:pPr>
    </w:p>
    <w:p>
      <w:pPr>
        <w:ind w:left="5180"/>
        <w:spacing w:after="0"/>
        <w:tabs>
          <w:tab w:leader="none" w:pos="6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Nachmani</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4100"/>
        <w:spacing w:after="0"/>
        <w:rPr>
          <w:sz w:val="20"/>
          <w:szCs w:val="20"/>
          <w:color w:val="auto"/>
        </w:rPr>
      </w:pPr>
      <w:r>
        <w:rPr>
          <w:rFonts w:ascii="Times New Roman" w:cs="Times New Roman" w:eastAsia="Times New Roman" w:hAnsi="Times New Roman"/>
          <w:sz w:val="21"/>
          <w:szCs w:val="21"/>
          <w:color w:val="auto"/>
        </w:rPr>
        <w:t>Name/Title: Michael Nachmani / Chief Operating Officer</w:t>
      </w:r>
    </w:p>
    <w:p>
      <w:pPr>
        <w:spacing w:after="0" w:line="56"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David Rosen</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Rosen</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David Rosen / Individually</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80"/>
      </w:cols>
      <w:pgMar w:left="1440" w:top="112"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2026-05-15T15:25:26Z</dcterms:created>
  <dcterms:modified xsi:type="dcterms:W3CDTF">2026-05-15T15:25:26Z</dcterms:modified>
</cp:coreProperties>
</file>