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0" w:lineRule="exact"/>
        <w:rPr>
          <w:sz w:val="24"/>
          <w:szCs w:val="24"/>
          <w:color w:val="auto"/>
        </w:rPr>
      </w:pPr>
    </w:p>
    <w:tbl>
      <w:tblPr>
        <w:tblLayout w:type="fixed"/>
        <w:tblInd w:w="10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60" w:type="dxa"/>
            <w:vAlign w:val="bottom"/>
            <w:gridSpan w:val="6"/>
          </w:tcPr>
          <w:p>
            <w:pPr>
              <w:jc w:val="center"/>
              <w:ind w:right="1682"/>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 ___________to ___________</w:t>
            </w:r>
          </w:p>
        </w:tc>
      </w:tr>
      <w:tr>
        <w:trPr>
          <w:trHeight w:val="275"/>
        </w:trPr>
        <w:tc>
          <w:tcPr>
            <w:tcW w:w="1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20" w:type="dxa"/>
            <w:vAlign w:val="bottom"/>
            <w:gridSpan w:val="3"/>
          </w:tcPr>
          <w:p>
            <w:pPr>
              <w:jc w:val="center"/>
              <w:ind w:left="103"/>
              <w:spacing w:after="0"/>
              <w:rPr>
                <w:sz w:val="20"/>
                <w:szCs w:val="20"/>
                <w:color w:val="auto"/>
              </w:rPr>
            </w:pPr>
            <w:r>
              <w:rPr>
                <w:rFonts w:ascii="Times New Roman" w:cs="Times New Roman" w:eastAsia="Times New Roman" w:hAnsi="Times New Roman"/>
                <w:sz w:val="18"/>
                <w:szCs w:val="18"/>
                <w:b w:val="1"/>
                <w:bCs w:val="1"/>
                <w:color w:val="auto"/>
              </w:rPr>
              <w:t>Commission file number: 001-41535</w:t>
            </w:r>
          </w:p>
        </w:tc>
        <w:tc>
          <w:tcPr>
            <w:tcW w:w="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38"/>
        </w:trPr>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3"/>
          </w:tcPr>
          <w:p>
            <w:pPr>
              <w:jc w:val="center"/>
              <w:ind w:left="83"/>
              <w:spacing w:after="0"/>
              <w:rPr>
                <w:sz w:val="20"/>
                <w:szCs w:val="20"/>
                <w:color w:val="auto"/>
              </w:rPr>
            </w:pPr>
            <w:r>
              <w:rPr>
                <w:rFonts w:ascii="Times New Roman" w:cs="Times New Roman" w:eastAsia="Times New Roman" w:hAnsi="Times New Roman"/>
                <w:sz w:val="18"/>
                <w:szCs w:val="18"/>
                <w:b w:val="1"/>
                <w:bCs w:val="1"/>
                <w:color w:val="auto"/>
                <w:w w:val="99"/>
              </w:rPr>
              <w:t>_________________________</w:t>
            </w: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52"/>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20" w:type="dxa"/>
            <w:vAlign w:val="bottom"/>
            <w:gridSpan w:val="3"/>
          </w:tcPr>
          <w:p>
            <w:pPr>
              <w:jc w:val="center"/>
              <w:ind w:left="83"/>
              <w:spacing w:after="0"/>
              <w:rPr>
                <w:sz w:val="20"/>
                <w:szCs w:val="20"/>
                <w:color w:val="auto"/>
              </w:rPr>
            </w:pPr>
            <w:r>
              <w:rPr>
                <w:rFonts w:ascii="Times New Roman" w:cs="Times New Roman" w:eastAsia="Times New Roman" w:hAnsi="Times New Roman"/>
                <w:sz w:val="40"/>
                <w:szCs w:val="40"/>
                <w:b w:val="1"/>
                <w:bCs w:val="1"/>
                <w:color w:val="auto"/>
                <w:w w:val="99"/>
              </w:rPr>
              <w:t>ZYMEWORKS INC.</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2"/>
        </w:trPr>
        <w:tc>
          <w:tcPr>
            <w:tcW w:w="1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20" w:type="dxa"/>
            <w:vAlign w:val="bottom"/>
            <w:gridSpan w:val="3"/>
          </w:tcPr>
          <w:p>
            <w:pPr>
              <w:jc w:val="center"/>
              <w:ind w:left="10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38"/>
        </w:trPr>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3"/>
          </w:tcPr>
          <w:p>
            <w:pPr>
              <w:jc w:val="center"/>
              <w:ind w:left="83"/>
              <w:spacing w:after="0"/>
              <w:rPr>
                <w:sz w:val="20"/>
                <w:szCs w:val="20"/>
                <w:color w:val="auto"/>
              </w:rPr>
            </w:pPr>
            <w:r>
              <w:rPr>
                <w:rFonts w:ascii="Times New Roman" w:cs="Times New Roman" w:eastAsia="Times New Roman" w:hAnsi="Times New Roman"/>
                <w:sz w:val="18"/>
                <w:szCs w:val="18"/>
                <w:b w:val="1"/>
                <w:bCs w:val="1"/>
                <w:color w:val="auto"/>
                <w:w w:val="99"/>
              </w:rPr>
              <w:t>_________________________</w:t>
            </w: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45"/>
        </w:trPr>
        <w:tc>
          <w:tcPr>
            <w:tcW w:w="1500" w:type="dxa"/>
            <w:vAlign w:val="bottom"/>
          </w:tcPr>
          <w:p>
            <w:pPr>
              <w:spacing w:after="0"/>
              <w:rPr>
                <w:sz w:val="21"/>
                <w:szCs w:val="21"/>
                <w:color w:val="auto"/>
              </w:rPr>
            </w:pPr>
          </w:p>
        </w:tc>
        <w:tc>
          <w:tcPr>
            <w:tcW w:w="18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700" w:type="dxa"/>
            <w:vAlign w:val="bottom"/>
            <w:gridSpan w:val="2"/>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rPr>
              <w:t>88-3099146</w:t>
            </w:r>
          </w:p>
        </w:tc>
      </w:tr>
      <w:tr>
        <w:trPr>
          <w:trHeight w:val="149"/>
        </w:trPr>
        <w:tc>
          <w:tcPr>
            <w:tcW w:w="3320" w:type="dxa"/>
            <w:vAlign w:val="bottom"/>
            <w:gridSpan w:val="3"/>
          </w:tcPr>
          <w:p>
            <w:pPr>
              <w:jc w:val="center"/>
              <w:ind w:left="12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20" w:type="dxa"/>
            <w:vAlign w:val="bottom"/>
            <w:gridSpan w:val="3"/>
          </w:tcPr>
          <w:p>
            <w:pPr>
              <w:jc w:val="center"/>
              <w:ind w:left="12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66"/>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20" w:type="dxa"/>
            <w:vAlign w:val="bottom"/>
            <w:gridSpan w:val="3"/>
          </w:tcPr>
          <w:p>
            <w:pPr>
              <w:jc w:val="center"/>
              <w:ind w:left="83"/>
              <w:spacing w:after="0"/>
              <w:rPr>
                <w:sz w:val="20"/>
                <w:szCs w:val="20"/>
                <w:color w:val="auto"/>
              </w:rPr>
            </w:pPr>
            <w:r>
              <w:rPr>
                <w:rFonts w:ascii="Times New Roman" w:cs="Times New Roman" w:eastAsia="Times New Roman" w:hAnsi="Times New Roman"/>
                <w:sz w:val="18"/>
                <w:szCs w:val="18"/>
                <w:b w:val="1"/>
                <w:bCs w:val="1"/>
                <w:color w:val="auto"/>
                <w:w w:val="99"/>
              </w:rPr>
              <w:t>108 Patriot Drive — Suite A</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4"/>
        </w:trPr>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20" w:type="dxa"/>
            <w:vAlign w:val="bottom"/>
            <w:gridSpan w:val="3"/>
          </w:tcPr>
          <w:p>
            <w:pPr>
              <w:jc w:val="center"/>
              <w:ind w:left="83"/>
              <w:spacing w:after="0"/>
              <w:rPr>
                <w:sz w:val="20"/>
                <w:szCs w:val="20"/>
                <w:color w:val="auto"/>
              </w:rPr>
            </w:pPr>
            <w:r>
              <w:rPr>
                <w:rFonts w:ascii="Times New Roman" w:cs="Times New Roman" w:eastAsia="Times New Roman" w:hAnsi="Times New Roman"/>
                <w:sz w:val="18"/>
                <w:szCs w:val="18"/>
                <w:b w:val="1"/>
                <w:bCs w:val="1"/>
                <w:color w:val="auto"/>
                <w:w w:val="99"/>
              </w:rPr>
              <w:t>Middletown, Delaware 19709</w:t>
            </w: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90"/>
        </w:trPr>
        <w:tc>
          <w:tcPr>
            <w:tcW w:w="1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20" w:type="dxa"/>
            <w:vAlign w:val="bottom"/>
            <w:gridSpan w:val="3"/>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93"/>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60" w:type="dxa"/>
            <w:vAlign w:val="bottom"/>
            <w:gridSpan w:val="6"/>
          </w:tcPr>
          <w:p>
            <w:pPr>
              <w:jc w:val="center"/>
              <w:ind w:right="170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(302) 274-8744</w:t>
            </w:r>
          </w:p>
        </w:tc>
      </w:tr>
      <w:tr>
        <w:trPr>
          <w:trHeight w:val="284"/>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20" w:type="dxa"/>
            <w:vAlign w:val="bottom"/>
            <w:gridSpan w:val="5"/>
          </w:tcPr>
          <w:p>
            <w:pPr>
              <w:jc w:val="center"/>
              <w:ind w:right="2442"/>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6"/>
        </w:trPr>
        <w:tc>
          <w:tcPr>
            <w:tcW w:w="1500" w:type="dxa"/>
            <w:vAlign w:val="bottom"/>
          </w:tcPr>
          <w:p>
            <w:pPr>
              <w:spacing w:after="0"/>
              <w:rPr>
                <w:sz w:val="22"/>
                <w:szCs w:val="22"/>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4"/>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540" w:type="dxa"/>
            <w:vAlign w:val="bottom"/>
          </w:tcPr>
          <w:p>
            <w:pPr>
              <w:spacing w:after="0"/>
              <w:rPr>
                <w:sz w:val="22"/>
                <w:szCs w:val="22"/>
                <w:color w:val="auto"/>
              </w:rPr>
            </w:pPr>
          </w:p>
        </w:tc>
        <w:tc>
          <w:tcPr>
            <w:tcW w:w="268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color w:val="auto"/>
                <w:w w:val="97"/>
              </w:rPr>
              <w:t>ZYME</w:t>
            </w:r>
          </w:p>
        </w:tc>
        <w:tc>
          <w:tcPr>
            <w:tcW w:w="2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58" w:lineRule="exact"/>
        <w:rPr>
          <w:sz w:val="24"/>
          <w:szCs w:val="24"/>
          <w:color w:val="auto"/>
        </w:rPr>
      </w:pPr>
    </w:p>
    <w:p>
      <w:pPr>
        <w:ind w:left="340" w:right="142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63" w:lineRule="exact"/>
        <w:rPr>
          <w:sz w:val="24"/>
          <w:szCs w:val="24"/>
          <w:color w:val="auto"/>
        </w:rPr>
      </w:pPr>
    </w:p>
    <w:p>
      <w:pPr>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and “emerging growth company” in Rule 12b-2 of the Exchange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56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320"/>
              <w:spacing w:after="0" w:line="221" w:lineRule="exact"/>
              <w:rPr>
                <w:sz w:val="20"/>
                <w:szCs w:val="20"/>
                <w:color w:val="auto"/>
              </w:rPr>
            </w:pPr>
            <w:r>
              <w:rPr>
                <w:rFonts w:ascii="MS PGothic" w:cs="MS PGothic" w:eastAsia="MS PGothic" w:hAnsi="MS PGothic"/>
                <w:sz w:val="22"/>
                <w:szCs w:val="22"/>
                <w:color w:val="auto"/>
              </w:rPr>
              <w:t>☐</w:t>
            </w:r>
          </w:p>
        </w:tc>
      </w:tr>
      <w:tr>
        <w:trPr>
          <w:trHeight w:val="31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56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320"/>
              <w:spacing w:after="0" w:line="221" w:lineRule="exact"/>
              <w:rPr>
                <w:sz w:val="20"/>
                <w:szCs w:val="20"/>
                <w:color w:val="auto"/>
              </w:rPr>
            </w:pPr>
            <w:r>
              <w:rPr>
                <w:rFonts w:ascii="MS PGothic" w:cs="MS PGothic" w:eastAsia="MS PGothic" w:hAnsi="MS PGothic"/>
                <w:sz w:val="22"/>
                <w:szCs w:val="22"/>
                <w:color w:val="auto"/>
              </w:rPr>
              <w:t>☒</w:t>
            </w:r>
          </w:p>
        </w:tc>
      </w:tr>
      <w:tr>
        <w:trPr>
          <w:trHeight w:val="362"/>
        </w:trPr>
        <w:tc>
          <w:tcPr>
            <w:tcW w:w="2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54" w:lineRule="exact"/>
        <w:rPr>
          <w:sz w:val="24"/>
          <w:szCs w:val="24"/>
          <w:color w:val="auto"/>
        </w:rPr>
      </w:pPr>
    </w:p>
    <w:p>
      <w:pPr>
        <w:ind w:right="16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right="20" w:firstLine="324"/>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48" w:lineRule="exact"/>
        <w:rPr>
          <w:sz w:val="24"/>
          <w:szCs w:val="24"/>
          <w:color w:val="auto"/>
        </w:rPr>
      </w:pPr>
    </w:p>
    <w:p>
      <w:pPr>
        <w:ind w:right="220" w:firstLine="324"/>
        <w:spacing w:after="0" w:line="268" w:lineRule="exact"/>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21"/>
          <w:szCs w:val="21"/>
          <w:color w:val="auto"/>
        </w:rPr>
        <w:t>☐</w:t>
      </w:r>
    </w:p>
    <w:p>
      <w:pPr>
        <w:spacing w:after="0" w:line="60" w:lineRule="exact"/>
        <w:rPr>
          <w:sz w:val="24"/>
          <w:szCs w:val="24"/>
          <w:color w:val="auto"/>
        </w:rPr>
      </w:pPr>
    </w:p>
    <w:p>
      <w:pPr>
        <w:ind w:right="420" w:firstLine="324"/>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1"/>
          <w:szCs w:val="21"/>
          <w:color w:val="auto"/>
        </w:rPr>
        <w:t>☐</w:t>
      </w:r>
    </w:p>
    <w:p>
      <w:pPr>
        <w:spacing w:after="0" w:line="2" w:lineRule="exact"/>
        <w:rPr>
          <w:sz w:val="24"/>
          <w:szCs w:val="24"/>
          <w:color w:val="auto"/>
        </w:rPr>
      </w:pPr>
    </w:p>
    <w:p>
      <w:pPr>
        <w:jc w:val="center"/>
        <w:ind w:right="-19"/>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Securities Exchange Act of 1934).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ectPr>
          <w:pgSz w:w="11900" w:h="16838" w:orient="portrait"/>
          <w:cols w:equalWidth="0" w:num="1">
            <w:col w:w="11220"/>
          </w:cols>
          <w:pgMar w:left="320" w:top="225" w:right="359" w:bottom="0" w:gutter="0" w:footer="0" w:header="0"/>
        </w:sectPr>
      </w:pPr>
    </w:p>
    <w:bookmarkStart w:id="1" w:name="page2"/>
    <w:bookmarkEnd w:id="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shares held by non-affiliates of the registrant, based on the closing sale price of the registrant’s common shares on the last business day of its most recently completed second fiscal quarter, as reported on the Nasdaq Stock Market LLC, was approximately $649.5 million.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outstanding shares of common stock of the registrant, $0.00001 par value per share, as of February 26, 2026 was 73,749,607.</w:t>
      </w:r>
    </w:p>
    <w:p>
      <w:pPr>
        <w:spacing w:after="0" w:line="7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20" w:type="dxa"/>
            <w:vAlign w:val="bottom"/>
            <w:gridSpan w:val="9"/>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ZYMEWORKS INC.</w:t>
            </w:r>
          </w:p>
        </w:tc>
        <w:tc>
          <w:tcPr>
            <w:tcW w:w="10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2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0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0" w:type="dxa"/>
            <w:vAlign w:val="bottom"/>
            <w:gridSpan w:val="12"/>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2025</w:t>
            </w:r>
          </w:p>
        </w:tc>
        <w:tc>
          <w:tcPr>
            <w:tcW w:w="10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20" w:type="dxa"/>
            <w:vAlign w:val="bottom"/>
            <w:gridSpan w:val="9"/>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6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200" w:type="dxa"/>
            <w:vAlign w:val="bottom"/>
            <w:gridSpan w:val="20"/>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1A.</w:t>
            </w: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940" w:type="dxa"/>
            <w:vAlign w:val="bottom"/>
            <w:gridSpan w:val="18"/>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1B.</w:t>
            </w:r>
          </w:p>
        </w:tc>
        <w:tc>
          <w:tcPr>
            <w:tcW w:w="88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7"/>
        </w:trPr>
        <w:tc>
          <w:tcPr>
            <w:tcW w:w="20" w:type="dxa"/>
            <w:vAlign w:val="bottom"/>
          </w:tcPr>
          <w:p>
            <w:pPr>
              <w:spacing w:after="0"/>
              <w:rPr>
                <w:sz w:val="20"/>
                <w:szCs w:val="20"/>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1C.</w:t>
            </w:r>
          </w:p>
        </w:tc>
        <w:tc>
          <w:tcPr>
            <w:tcW w:w="20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800" w:type="dxa"/>
            <w:vAlign w:val="bottom"/>
            <w:gridSpan w:val="12"/>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63"/>
        </w:trPr>
        <w:tc>
          <w:tcPr>
            <w:tcW w:w="20" w:type="dxa"/>
            <w:vAlign w:val="bottom"/>
          </w:tcPr>
          <w:p>
            <w:pPr>
              <w:spacing w:after="0"/>
              <w:rPr>
                <w:sz w:val="22"/>
                <w:szCs w:val="22"/>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2"/>
                <w:szCs w:val="22"/>
                <w:color w:val="auto"/>
              </w:rPr>
            </w:pP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40" w:type="dxa"/>
            <w:vAlign w:val="bottom"/>
            <w:gridSpan w:val="17"/>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88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88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20" w:type="dxa"/>
            <w:vAlign w:val="bottom"/>
          </w:tcPr>
          <w:p>
            <w:pPr>
              <w:spacing w:after="0"/>
              <w:rPr>
                <w:sz w:val="21"/>
                <w:szCs w:val="21"/>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II</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88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80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1"/>
                <w:szCs w:val="21"/>
                <w:color w:val="auto"/>
              </w:rPr>
            </w:pPr>
          </w:p>
        </w:tc>
        <w:tc>
          <w:tcPr>
            <w:tcW w:w="88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7A.</w:t>
            </w:r>
          </w:p>
        </w:tc>
        <w:tc>
          <w:tcPr>
            <w:tcW w:w="63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2460" w:type="dxa"/>
            <w:vAlign w:val="bottom"/>
            <w:gridSpan w:val="4"/>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1"/>
                <w:szCs w:val="21"/>
                <w:color w:val="auto"/>
              </w:rPr>
            </w:pPr>
          </w:p>
        </w:tc>
        <w:tc>
          <w:tcPr>
            <w:tcW w:w="42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560" w:type="dxa"/>
            <w:vAlign w:val="bottom"/>
            <w:gridSpan w:val="7"/>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1"/>
                <w:szCs w:val="21"/>
                <w:color w:val="auto"/>
              </w:rPr>
            </w:pPr>
          </w:p>
        </w:tc>
        <w:tc>
          <w:tcPr>
            <w:tcW w:w="64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360" w:type="dxa"/>
            <w:vAlign w:val="bottom"/>
            <w:gridSpan w:val="3"/>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9A.</w:t>
            </w:r>
          </w:p>
        </w:tc>
        <w:tc>
          <w:tcPr>
            <w:tcW w:w="88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9B.</w:t>
            </w: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80" w:type="dxa"/>
            <w:vAlign w:val="bottom"/>
            <w:gridSpan w:val="14"/>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9C.</w:t>
            </w:r>
          </w:p>
        </w:tc>
        <w:tc>
          <w:tcPr>
            <w:tcW w:w="88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63"/>
        </w:trPr>
        <w:tc>
          <w:tcPr>
            <w:tcW w:w="20" w:type="dxa"/>
            <w:vAlign w:val="bottom"/>
          </w:tcPr>
          <w:p>
            <w:pPr>
              <w:spacing w:after="0"/>
              <w:rPr>
                <w:sz w:val="22"/>
                <w:szCs w:val="22"/>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PART III</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50"/>
        </w:trPr>
        <w:tc>
          <w:tcPr>
            <w:tcW w:w="20" w:type="dxa"/>
            <w:vAlign w:val="bottom"/>
          </w:tcPr>
          <w:p>
            <w:pPr>
              <w:spacing w:after="0"/>
              <w:rPr>
                <w:sz w:val="21"/>
                <w:szCs w:val="21"/>
                <w:color w:val="auto"/>
              </w:rPr>
            </w:pPr>
          </w:p>
        </w:tc>
        <w:tc>
          <w:tcPr>
            <w:tcW w:w="6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Item</w:t>
            </w:r>
          </w:p>
        </w:tc>
        <w:tc>
          <w:tcPr>
            <w:tcW w:w="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88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1"/>
                <w:szCs w:val="21"/>
                <w:color w:val="auto"/>
              </w:rPr>
            </w:pPr>
          </w:p>
        </w:tc>
        <w:tc>
          <w:tcPr>
            <w:tcW w:w="18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21"/>
                <w:szCs w:val="21"/>
                <w:color w:val="auto"/>
              </w:rPr>
            </w:pPr>
          </w:p>
        </w:tc>
        <w:tc>
          <w:tcPr>
            <w:tcW w:w="4760" w:type="dxa"/>
            <w:vAlign w:val="bottom"/>
            <w:gridSpan w:val="8"/>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1"/>
                <w:szCs w:val="21"/>
                <w:color w:val="auto"/>
              </w:rPr>
            </w:pPr>
          </w:p>
        </w:tc>
        <w:tc>
          <w:tcPr>
            <w:tcW w:w="88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1"/>
                <w:szCs w:val="21"/>
                <w:color w:val="auto"/>
              </w:rPr>
            </w:pPr>
          </w:p>
        </w:tc>
        <w:tc>
          <w:tcPr>
            <w:tcW w:w="72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60" w:type="dxa"/>
            <w:vAlign w:val="bottom"/>
            <w:gridSpan w:val="2"/>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54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440" w:type="dxa"/>
            <w:vAlign w:val="bottom"/>
            <w:gridSpan w:val="5"/>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50"/>
        </w:trPr>
        <w:tc>
          <w:tcPr>
            <w:tcW w:w="20" w:type="dxa"/>
            <w:vAlign w:val="bottom"/>
          </w:tcPr>
          <w:p>
            <w:pPr>
              <w:spacing w:after="0"/>
              <w:rPr>
                <w:sz w:val="21"/>
                <w:szCs w:val="21"/>
                <w:color w:val="auto"/>
              </w:rPr>
            </w:pPr>
          </w:p>
        </w:tc>
        <w:tc>
          <w:tcPr>
            <w:tcW w:w="6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94"/>
              </w:rPr>
              <w:t>PART IV</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1"/>
                <w:szCs w:val="21"/>
                <w:color w:val="auto"/>
              </w:rPr>
            </w:pPr>
          </w:p>
        </w:tc>
        <w:tc>
          <w:tcPr>
            <w:tcW w:w="2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5940" w:type="dxa"/>
            <w:vAlign w:val="bottom"/>
            <w:gridSpan w:val="10"/>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1"/>
                <w:szCs w:val="21"/>
                <w:color w:val="auto"/>
              </w:rPr>
            </w:pPr>
          </w:p>
        </w:tc>
        <w:tc>
          <w:tcPr>
            <w:tcW w:w="88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50"/>
        </w:trPr>
        <w:tc>
          <w:tcPr>
            <w:tcW w:w="20" w:type="dxa"/>
            <w:vAlign w:val="bottom"/>
          </w:tcPr>
          <w:p>
            <w:pPr>
              <w:spacing w:after="0"/>
              <w:rPr>
                <w:sz w:val="21"/>
                <w:szCs w:val="21"/>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1418"/>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or information within the meaning of applicable securities legislation, including Section 27A of the Securities Act of 1933, as amended (the “Securities Act”), and Section 21E of the Securities Exchange Act of 1934, as amended (the “Exchange Act”). Forward-looking statements include statements that may relate to our plans, objectives, goals, strategies, future events, future revenue or performance, capital expenditures, financing needs and other information that is not historical information. Many of these statements appear, in particular, under the headings “Business,” “Risk Factors” and “Management’s Discussion and Analysis of Financial Condition and Results of Operations.” Forward-looking statements can often be identified by the use of terminology such as “subject to,” “believe,” “anticipate,” “plan,” “expect,” “intend,” “estimate,” “project,” “may,” “will,” “should,” “would,” “could,” “can,” the negatives thereof, variations thereon and similar expressions, or by discussions of strategy. In addition, any statements or information that refer to expectations, beliefs, plans, projections, objectives, performance or other characterizations of future events or circumstances, including any underlying assumptions, are forward-looking. In particular, these forward-looking statements include, but are not limited to, statements about:</w:t>
      </w:r>
    </w:p>
    <w:p>
      <w:pPr>
        <w:spacing w:after="0" w:line="8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addressable markets and our or our strategic partners’ ability to commercialize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advances in and expansion of our therapeutic platforms and antibody engineering expertise;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or our strategic partners’ product candidate development and clinical trial progression, initiation or success;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milestone and royalty revenue from existing or potential new partnerships;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our business strategy related to anticipated and potential future milestones and royalty streams and existing and potential new partnerships;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compound long-term stockholder value;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strategic partners’ ability to predict and manage government regulation.</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forward-looking statements, including, without limitation, those related to our examination of historical operating trends, are based upon our current expectations and various assumptions. Certain assumptions made in preparing the forward-looking statements include:</w:t>
      </w:r>
    </w:p>
    <w:p>
      <w:pPr>
        <w:spacing w:after="0" w:line="5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evolution of our business strategy effectively;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adverse changes in our industry or the global economy;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and predict trends in our industry and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maintain good business relationships with our strategic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navigate current and future regulatory standards, policies and programs, some of which are rapidly changing;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compliance with third-party license terms and the non-infringement of third-party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integrate any acquisitions we may pursue;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successfully compete for and acquire attractive royalty-generating assets;</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acquisition or in-licensing opportunities or strategic partners that are consistent with the evolution of our business strategy;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receive milestones and royalties from current and future collaborations;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debt, equity, or non-dilutive financing to support our strategy and business objectives.</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referred to in the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section titled “Risk Factors”), could affect future performance and cause actual results to differ materially from those matters expressed in or implied by forward-looking statements:</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success of our royalty-driven asset aggregation strategy;</w:t>
      </w:r>
    </w:p>
    <w:p>
      <w:pPr>
        <w:spacing w:after="0" w:line="117"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business and dilution of our shareholdings associated with acquisitions, joint ventures and other business development transactions;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favorable assets and progress them through preclinical and clinical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strategic partners’ discretion to discontinue or reprioritize the development of any of our product candidates;</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and receive associated milestone payments and royalties pursuant to the terms of our collaboration agreements, including the Amended Jazz Collaboration Agreement (as defined below);</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future strategic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of our strategic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future strategic partners;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obligations and realize expected benefits under our financing arrangements, which may depend on future royalties and other factors that are subject to uncertainty;</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face significant competition, including biosimilar products, as well as competition for potential acquisitions and other business development transactions we may pursue;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strategic partners’ ability to obtain regulatory approval for product candidates without significant delays;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value of our or our strategic partners’ current or planned clinical trials;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with respect to the development and commercialization of our or our strategic partners’ product candidates, which may cause increased costs or delay receipt of product revenue;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any of our strategic partners’ ability to enroll subjects in clinical trials and thereby complete trials on a timely basis;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or our execution of clinical trials may not support regulatory approval, including where clinical trials are conducted outside the United States;</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and receive associated milestone payments and royalties pursuant to the terms of our collaboration agreements, including the Amended Jazz Collaboration Agreement (as defined below);</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may be adversely affected by pandemics or other health crises;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as well as social and political unrest in the locations where our or our strategic partners’ clinical trials are held, and the related impact on our business and the markets generally;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tax consequences in connection with the Redomicile Transactions (as defined below);</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Fast Track and Breakthrough Therapy designations for any of our or our strategic partners’ product candidates may not expedite regulatory review or approval;</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Administration’s (the “FDA”) refusal to accept data from trials we or our strategic partners conduct outside the United States;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caused by funding shortages, global health concerns or changes implemented by the current U.S. Presidential administration;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and customs, tariffs and trade barriers;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or our strategic partners’ product candidates to have undesirable side effects;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broad market acceptance of our or our strategic partners’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Orphan Drug Designation or exclusivity for some or all of our or our strategic partners’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strategic partners’ ability to commercialize products outside of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reimbursement decisions by third-party payors relating to our or our strategic partners’ products;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market opportunities for any product that we or our strategic partners develop;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strategic partners’ ability to pursue product candidates that may be profitable or have a high likelihood of success;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and expand our therapeutic platforms to build a pipeline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strategic partners’ ability to meet the requirements of ongoing regulatory review;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product liability lawsuits against us or any of our strategic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candidate manufacturing or formulation that may result in additional costs or delay;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non-U.S. governments to impose strict price controls;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security breaches and incidents or data loss, which could compromise sensitive business or health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that may increase the difficulty and cost of commercializing our or our strategic partners’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regulatory and other risks associated with international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legal and reputational penalties as a result of any of our current and future relationships with various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strategic partners’ ability to comply with export control and import laws and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significant losses since inception;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dilution to our stockholders associated with any future financings;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seek financing, which may be imposed by future debt;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changes in 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 third party’s ability to successfully develop any companion diagnostic tests for our product candidates without significant delays;</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strategic partners’ reliance on third-party manufacturers to produce our product candidate supplies and on other third parties to monitor and transport bulk drug substance and drug product;</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strategic partners’ reliance on third parties to oversee clinical trials of our product candidates and, in some cases, maintain regulatory files for those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manufacture of product candidates and difficulties in production;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strategic partners’ reliance on third parties for various operational and administrative aspects of our business including our reliance on third parties’ cloud-based software platforms;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strategic partners’ reliance on the performance of independent clinical investigators and contract research organizations (“CROs”);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without infringing the patents and other proprietary rights of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enforce patent protection for our or our strategic partners’ product candidates and related technology;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could be found invalid or unenforceable if challenged;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may not necessarily provide us with competitive advantages;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involvement in expensive and time-consuming patent lawsuits;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duration of our patents will not adequately protect our competitive position;</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protection under the Drug Price Competition and Patent Term Restoration Act of 1984 (the “Hatch-Waxman Amendments”) and similar non-U.S. legislation;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the confidentiality of our proprietary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procedural and administrative requirements relating to our patents;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claims challenging the inventorship of our patents and other intellectual property;</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the abilities of third parties to assert and defend our intellectual property rights for some of our or our strategic partners’ product candidates;</w:t>
      </w:r>
    </w:p>
    <w:p>
      <w:pPr>
        <w:spacing w:after="0" w:line="53"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reform legislation and court decisions can diminish the value of patents in general, thereby impairing our ability to protect our or our strategic partners’ products or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throughout the world;</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and our strategic partners will require FDA approval for any proposed product candidate names and any failure or delay associated with such approval which may adversely affect our anticipated milestone or royalty revenues;</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election to rely on certain reduced reporting and disclosure requirements available to smaller reporting companies may make our common stock less attractive to investors;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employee misconduct including noncompliance with regulatory standards and insider trading;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strategic partners’ ability to market products in a manner that does not violate the law and subject us to civil or criminal penalties;</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to our business from any non-compliance with laws regulating the protection of the environment and health and human safety;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executives and attract and retain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evolution of our business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potential securities class action litigation; and</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share price and trading volume could decline if securities or industry analysts do not publish research or publish inaccurate or unfavorable research about our business.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Consequently, forward-looking statements should be regarded solely as our current plans, estimates and beliefs. You should not place undue reliance on forward-looking statements. We cannot guarantee future results, events, levels of activity, performance or achievements. We do not undertake and specifically decline any obligation to update, republish or revise forward-looking statements to reflect future events or circumstances or to reflect the occurrences of unanticipated events, except as required by law. Our Risk Factors are not guarantees that no such conditions exist as of the date of this report and should not be interpreted as an affirmative statement that such risks or conditions have not materialized, in whole or in part.</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own or have rights to trademarks, service marks or trade names that we use in connection with the operation of our business. In addition, our names, logos and website names and addresses are our service marks or trademarks. Our registered trademarks include Azymetric, Zymeworks, ZymeCAD, EFECT, ZymeLink and ProTECT. The other trademarks, trade names and service marks appearing in this Annual Report on Form 10-K are the property of their respective owners. Solely for convenience, the trademarks, service marks, tradenames and copyrights referred to in this Annual Report on Form 10-K are listed without the ©, ® and TM symbols, but we will assert, to the fullest extent under applicable law, our rights or the rights of the applicable licensors to these trademarks, service marks and tradenames.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express all amounts in this Annual Report on Form 10-K in U.S. dollars, except where otherwise indicated. References to “$” and “US$” are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and references to “C$” are to Canadian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Zymeworks is a global biotechnology company managing a portfolio of licensed healthcare assets and developing a diverse pipeline of novel, multifunctional biotherapeutics to improve the standard of care for difficult-to-treat conditions, including cancer, inflammation, and autoimmune disease. We believe our asset and royalty aggregation strategy differentiates us from other biotechnology companies because it provides us with an opportunity to optimize future milestone and royalty cash flows and selectively invest in high-quality assets while retaining the flexibility to return capital to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strategy is focused on compounding long-term stockholder value through a combination of royalty growth, strategic acquisitions, and internal innovation, supported by disciplined capital allocation and a strengthened financial foundation through expected milestone payments and royalties from existing commercial partners. We pursue this strategy by discovering or acquiring and developing a diversified portfolio of preclinical or clinical healthcare assets while also evaluating strategic partnership opportunities to transfer certain costs and risks related to clinical development and/or commercialization to our strategic partners and secure the right to receive potential future royalty and milestone revenues. The following elements collectively support the execution of our strategy.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Technology Platforms and R&amp;D Engine</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seek to leverage our expertise in protein engineering and drug chemistry to discover and develop next-generation antibody-based therapeutics to address significant unmet medical needs, particularly in hard-to-treat diseases. Our proprietary structure-guided molecular modeling, combined with internal antibody discovery and generation technologies, supports a fully integrated drug development engine capable of efficiently advancing a pipeline of innovative product candidates.</w:t>
      </w:r>
    </w:p>
    <w:p>
      <w:pPr>
        <w:spacing w:after="0" w:line="20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pipeline of multifunctional therapeutics is supported by our multispecific antibody therapeutics (“MSATs”) and antibody-drug conjugates (“ADCs”) technology platforms, which enable the development of novel therapeutics in cancer, inflammation, and autoimmune disease and create opportunities for new partnerships.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Partnerships and Risk-Sharing</w:t>
      </w:r>
    </w:p>
    <w:p>
      <w:pPr>
        <w:spacing w:after="0" w:line="175"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Partnerships and collaborations are central to our strategy as a potential source of funding for ongoing research and development while also reducing reliance on internal capital for later-stage clinical development of partnered assets. These arrangements enable risk sharing, particularly in late-stage development, and support disciplined R&amp;D investment, which can reduce the need to use future milestone and royalty payments to fund planned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Portfolio and Cash Flow Generation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Through our asset and royalty aggregation strategy, we seek to optimize future cash flows from a growing portfolio of licensed products and product candidates, including Ziihera (zanidatamab-hrii) and pasritamig. As partnered therapies advance through late-stage development and commercialization, we expect to grow durable and predictable cash flows that can be deployed by us in order to seek attractive risk-adjusted returns for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Returns and Capital Allocation Discipline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capital allocation strategy is focused on balancing investment in long-term growth with returning capital to stockholders. As our royalty portfolio matures and generates excess capital beyond the needs of our operations and strategic investments, we maintain the flexibility to opportunistically allocate capital to stock repurchases. We view stock repurchases as a potential tool to strategically reduce our share count and enhance total stockholder return over time, while continuing to prioritize investments that can help support sustainable value creation. Decisions regarding capital returns are evaluated within the context of our liquidity position, future cash flow outlook, and overall strategic objectives.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intend to evaluate and selectively acquire programs, technologies, product candidates and/or companies with high-quality assets or partnerships that align with our strategic objectives. By applying our scientific expertise, development capabilities, and</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operational efficiencies, we seek to enhance asset value and generate new royalty streams. In evaluating acquisition opportunities, we consider multiple factors, including:</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fit;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potential;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Differentiated assets or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to address an unmet medical need;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intellectual property protection;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cash or tax attributes.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and Milestone Opportunities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Zanidatamab (Ziihera)</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maintain a portfolio of partnered programs that leverage our technology platforms and scientific expertise while enabling risk-sharing and the potential for near-term milestone and royalty-based returns.</w:t>
      </w:r>
    </w:p>
    <w:p>
      <w:pPr>
        <w:spacing w:after="0" w:line="17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Zanidatamab, our first internally developed product candidate to receive regulatory approval, illustrates the execution of this partnership-based approach. Ziihera (zanidatamab-hrii), a bispecific antibody targeting HER2-expressing tumors developed using our Azymetric platform, has demonstrated positive late-stage clinical results and achieved regulatory approvals for the treatment of HER2-positive (“HER2+”) (IHC 3+) biliary tract cancer (“BTC”) in multiple jurisdictions including the United States, China, Europe and Canada. We have entered into separate collaboration and license agreements with BeOne Medicines Ltd. (formerly BeiGene, Ltd. and, together with its affiliates, “BeOne”) and Jazz Pharmaceuticals Ireland Limited, a subsidiary of Jazz Pharmaceuticals plc (collectively with their affiliates, “Jazz”), granting each partner exclusive rights to develop and commercialize zanidatamab in different territories. Jazz intends to complete the supplementary biologic license application (“sBLA”) submission for zanidatamab in the first quarter of 2026 for the treatment of first-line HER2+ locally advanced or metastatic gastroesophageal adenocarcinoma (“GEA”) under the real-time oncology review program in the United States, where zanidatamab has been granted Breakthrough Therapy Designation for patients with HER2+ GEA. Additionally, zanidatamab is currently being evaluated in multiple global clinical trials for treatment of broader HER2-expressing indications including neoadjuvant populations, breast cancer, and other HER2-expressing cancers. Our partnerships with Jazz and BeOne reflect our strategy of advancing internally discovered programs through collaborations that share development risk while preserving the potential for long-term royalty and milestone revenues.</w:t>
      </w:r>
    </w:p>
    <w:p>
      <w:pPr>
        <w:spacing w:after="0" w:line="2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$53.0 million already received for regulatory approval of Ziihera in BTC, we are entitled to receive up to $440.0 million in near-term milestone payments from Jazz and BeOne related to approvals of Ziihera in GEA in the United States, Europe, Japan and China as follows: U.S. - $250.0 million; EU - $100.0 million; Japan - $75.0 million; China - $15.0 million. We also expect that royalty revenue from Ziihera sales will increase as potential regulatory approvals are obtained in global markets for GEA.</w:t>
      </w:r>
    </w:p>
    <w:p>
      <w:pPr>
        <w:spacing w:after="0" w:line="20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also have the potential to receive milestone payments related to future regulatory approvals in a third indication totaling $89.0 million, collectively, from Jazz and BeOne. For Jazz this includes a $50.0 million milestone payment upon regulatory approval of zanidatamab from the FDA in a third indication and a $25.0 million milestone payment upon regulatory approval of zanidatamab from the European Commission in a third indication. For BeOne this includes $4.0 million payable upon first patient dosed with zanidatamab in a third registrational study in the territory and $10.0 million upon approval of zanidatamab by a regulatory authority for the third indication in the territory.</w:t>
      </w:r>
    </w:p>
    <w:p>
      <w:pPr>
        <w:spacing w:after="0" w:line="197"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In addition, we could be eligible to receive future commercial milestones and increased royalties as additional indications of Ziihera are developed, approved and commercialized by Jazz and BeOne. Under our collaboration agreement with Jazz, we are eligible to receive tiered royalties of ten to high teens percentages on global (outside of Asia (other than Japan), Australia and New Zealand) annual net sales of Ziihera up to $2.0 billion and 20% on annual net sales above $2.0 billion. Under the collaboration agreement with BeOne, we are eligible to receive tiered royalties of mid-single to mid-double digit percentages on annual net sales of Ziihera in Asia (other than Japan), Australia and New Zealand up to $1.0 billion and 19.5% on annual net sales above $1.0 billion (with royalty rates increasing by 0.5% when cumulative amounts forgone as a result of a royalty reduction of 0.5% reaches a cap in the low double-digit millions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Pasritamig (JNJ-78278343)</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Pasritamig is a first-in-class, bispecific T cell engager (“TCE”) targeting human kallikrein 2 (“KLK2”), and was engineered using Zymeworks’ Azymetric platform. Pasritamig has demonstrated promising safety and antitumor activity in Phase 1 clinical trials. In September 2025, Johnson &amp; Johnson Innovative Medicine (formerly Janssen Inc., “J&amp;J”) announced the initiation of multiple Phase 3 clinical trials evaluating pasritamig as both monotherapy and in combination regimens in castration resistant prostate cancer.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Partnerships</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2025, we earned $69.9 million in milestone payments, an option exercise fee and a research period extension fee from collaboration partners Celgene Corporation and Celgene Alpine Investment Co. LLC (now a Bristol-Myers Squibb company, “BMS”), GlaxoSmithKline Intellectual Property Development Limited (“GSK”), Daiichi Sankyo Co., Ltd. (“Daiichi Sankyo”), J&amp;J, Merck Sharp &amp; Dohme Research GmbH (“Merck”), primarily related to legacy platform collaboration agreements, as well as from BeOne related to our zanidatamab collaboration agreement. For additional information regarding these agreements, see the section titled “Strategic Partnerships and Collaborations”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Pharma Loan Arrangement</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2, 2026, Zymeworks BC entered into a sale agreement (the “Sale Agreement”) with Zymeworks Royalty Limited Partnership (the “Subsidiary”), a special purpose entity newly formed by Zymeworks BC and by its general partner Zymeworks General Partner ULC (“Zymeworks GP”), under which Zymeworks BC sold to the Subsidiary 30% of future royalty payments (not to exceed 120% of the maximum amount payable (excluding indemnification and other similar obligations) by the Subsidiary under the Loan Agreement (as defined below) related to Ziihera receivable under the Jazz Collaboration Agreement and Zanidatamab Agreement (each as defined below, and together, the “Covered Agreements”) at a purchase price of $250.0 million (such Ziihera-related assets and rights sold to the Subsidiary, the “Royalty Interest”).</w:t>
      </w:r>
    </w:p>
    <w:p>
      <w:pPr>
        <w:spacing w:after="0" w:line="2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Following the sale and transfer of the Royalty Interest, the Subsidiary entered into a Loan Agreement (the “Loan Agreement”), dated March 2, 2026, with Royalty Pharma Development Funding, LLC (“Royalty Pharma”) as administrative agent and lender, pursuant to which the lenders party to the Loan Agreement made a term loan to the Subsidiary (the “Loan”) in an aggregate principal amount of $250.0 million (the “Loan Amount”), that bears interest at a fixed rate and matures on December 31, 2042 (the “Maturity Date”). Under the terms of the Loan Agreement, the amount payable to the lenders no later than the Maturity Date is approximately $481.3 million, provided that if the Loan is repaid in full on or before December 31, 2033, the amount payable to the lenders is $412.5 million, in each case inclusive of all applicable interest, yield protection premiums, early redemption fees, exit fees and other amounts payable under the Loan Agreement (excluding indemnification and similar obligations). Any amount borrowed and repaid by Subsidiary may not be reborrowed.</w:t>
      </w: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will retain 70% of royalties on Ziihera annual net sales, with full royalty rights reverting to us once the Loan and other amounts payable under the Loan Agreement to Royalty Pharma have been repaid in full. All earned regulatory and commercial milestone payments under the Covered Agreements will be retained by us. For additional information regarding this arrangement, see the section titled “Liquidity and Capital Resources” under Part II. Item 7. “Management’s Discussion and Analysis of Financial Condition and Results of Operations”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Wholly-Owned Pipeline</w:t>
      </w:r>
    </w:p>
    <w:p>
      <w:pPr>
        <w:spacing w:after="0" w:line="229"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Our wholly-owned programs include novel ADC and MSAT candidates, such as TCEs, focusing on highly-expressed targets which provide opportunities for benchmarking in preclinical development and expected clinical differentiation. Our ADC candidates exploit our proprietary topoisomerase 1 inhibitor (“TOPO1i”) payload, ZD06519, while exploring alternate mechanisms of action for longer-term development and leveraging validated peptide-cleavable linkers and stochastic conjugations. With potential for enhanced activity compared to combination therapy, our current MSAT candidates (ZW209 and ZW1528) include trispecific TCEs (“TriTCE”) incorporating conditional co-stimulation to enhance immune-mediated killing of cancer cells, and multi-cytokine blockers for treatment of autoimmune and inflammatory diseases. Our TriTCE molecules are carefully designed to optimize tumor cell engagement and enhance T cell activation to increase anti-tumor activity while also minimizing cytokine release and off-tumor toxicities.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 Tumors in Oncology: Antibody-Drug Conjugates (ADCs)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ZW191: </w:t>
      </w:r>
      <w:r>
        <w:rPr>
          <w:rFonts w:ascii="Times New Roman" w:cs="Times New Roman" w:eastAsia="Times New Roman" w:hAnsi="Times New Roman"/>
          <w:sz w:val="18"/>
          <w:szCs w:val="18"/>
          <w:color w:val="auto"/>
        </w:rPr>
        <w:t>A clinical-stage ADC that targets folate receptor alpha (“FRα”)-expressing tumors including ovarian cancer, endometrial cancer, and non-small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cell lung cancer (“NSCLC”), is built using our novel, bystander-active, TOPO1i payload technology, ZD06519. The FRα-targeting monoclonal antibody incorporated in ZW191 was selected based on compelling internalization characteristics to enable targeting of high, mid, and low levels of FRα expression. A drug-antibody-ratio (“DAR”) of eight was selected due to the restricted expression profile of FRα in normal tissues and to enhance our ability to deliver payload to tumors with lower levels of FRα. FRα is a clinically validated target, found in approximately 75% of high-grade serous ovarian carcinomas,</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50% of endometrial cancers, and in 70% of NSCLC. Preclinical data demonstrate strong ZW191 activity across a range of FRα-expressing patient-derived xenografts, including models with low levels of FRα. The ability to target lower levels of FRα is in part due to the DAR-eight format and the observed superior internalization, payload delivery, and tissue penetration derived from the ZW191 monoclonal antibody compared to other FRα monoclonal antibodies used in ADCs currently or previously in development. In a good laboratory practices (“GLP”) toxicology study, ZW191 achieved a highest non-severely toxic dose (“HNSTD”) in non-human primates of 60 mg/kg, which presents a compelling profile and enables the expectation of potentially achieving an efficacious dose level in the Phase 1 clinical trial. We are currently recruiting patients in an ongoing global Phase 1, open-label, multicenter study of ZW191, registered under NCT06555744 on clinicaltrials.gov. The study aims to enroll approximately 145 participants with advanced solid tumors, including ovarian, endometrial, and non-small cell lung cancers, across North America, Europe, and the Asia-Pacific region. The study is designed to evaluate the safety, tolerability, pharmacokinetics, and preliminary anti-tumor activity of ascending doses of ZW191. In October 2025, we presented initial clinical data from the Phase 1 trial. Based on the preliminary efficacy data and the tolerable safety profile observed, we have initiated dose optimization in ovarian cancer to further evaluate ZW191’s clinical activity and safety to help inform the product candidate’s registrational strategy.</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ZW251: </w:t>
      </w:r>
      <w:r>
        <w:rPr>
          <w:rFonts w:ascii="Times New Roman" w:cs="Times New Roman" w:eastAsia="Times New Roman" w:hAnsi="Times New Roman"/>
          <w:sz w:val="18"/>
          <w:szCs w:val="18"/>
          <w:color w:val="auto"/>
        </w:rPr>
        <w:t>A potential first-in-class clinical-stage ADC molecule designed for the treatment of glypican 3 (“GPC3”)-expressing hepatocellular carcinoma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(“HCC”), incorporates the same Zymeworks proprietary bystander-active TOPO1i payload utilized in ZW191 (anti-FRα) and ZW220 (anti-NaPi2b), ZD06519. The GPC3-targeting monospecific antibody incorporated in ZW251 was selected based on favorable binding and internalization properties to enable targeting of a range of GPC3-expressing tumors. A DAR of four was selected for this program as a lower DAR potentially could unlock a broader range of dose levels, a potential benefit as HCC patients are commonly challenged by impairment of liver function as a result of chronic liver disease and cirrhosis. GPC3, a glycosylphosphatidylinositol (“GPI”)-anchored cell surface oncofetal antigen, is over-expressed in most HCC patients (&gt;75%), and displays minimal normal adult tissue expression, making it an appealing ADC target. In preclinical studies, anti-tumor activity for ZW251 was observed in multiple patient-derived xenograft models of HCC reflecting a range of GPC3 over-expression. In GLP toxicology studies performed in non-human primates, ZW251 achieved a highest non-severely toxic dose (“HNSTD”) of 100 mg/kg, suggesting the potential for high doses in humans. We are encouraged by published research demonstrating the potential of targeting GPC3 with an antibody in HCC patients as evidenced by tumor localization of iodine radio-labeled condrituzumab, a clinical-stage anti-GPC3 monoclonal antibody, and believe that ADC-based targeting of GPC3 could enable a novel and effective approach to treatment of HCC. In July 2025, we announced that the investigational new drug (“IND”) application for ZW251 was cleared by the FDA. We are currently recruiting patients in an ongoing global Phase 1, open-label, multicenter study of ZW251, registered under NCT07164313 on clinicaltrials.gov. The study aims to enroll approximately 100 participants with advanced solid tumors, including HCC, across North America, Europe, and the Asia-Pacific region. The study is designed to evaluate the safety, tolerability, pharmacokinetics, and preliminary anti-tumor activity of ZW251.</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ZW220: </w:t>
      </w:r>
      <w:r>
        <w:rPr>
          <w:rFonts w:ascii="Times New Roman" w:cs="Times New Roman" w:eastAsia="Times New Roman" w:hAnsi="Times New Roman"/>
          <w:sz w:val="18"/>
          <w:szCs w:val="18"/>
          <w:color w:val="auto"/>
        </w:rPr>
        <w:t>An ADC that targets NaPi2b-expressing NSCLC and ovarian cancer, is built, like ZW191, using our proprietary bystander active TOPO1i payload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ZD06519. The strong and persistent bystander effect of the ZD06519 payload that we have observed in preclinical studies may help overcome NaPi2b heterogeneity across different cancers. The NaPi2b-targeting monospecific antibody incorporated in ZW220 was selected based on a favorable binding profile and enhanced internalization properties to enable targeting of both Napi2b-high and NaPi2b-low expressing tumors. Distinct from ZW191, ZW220 utilizes a DAR-four format paired with mutations in the fragment crystallizable (“Fc”) region to attenuate binding to Fc-gamma family receptors. These features were incorporated in ZW220 with the goal of minimizing potential toxicities associated with expression of NaPi2b in normal lung tissue. NaPi2b is expressed in approximately 83% of ovarian (serous) cancer, 81% of endometrial cancer, and 77% of adenocarcinoma NSCLC. Preclinical data demonstrate that ZW220 is active in models of ovarian cancer and NSCLC with strong anti-tumor activity observed in patient-derived xenograft models and growth inhibition observed in three-dimensional spheroid models. ZW220 is tolerated at high doses in non-GLP animal studies with a maximum tolerated dose (“MTD”) ≥90 mg/kg in non-human primates and ≥200 mg/kg in rats, suggesting the potential for high doses in humans. NaPi2b is a compelling ADC target, and we believe the design of ZW220 may overcome some of the challenges encountered with other NaPi2b-targeted ADCs, including Lifa-V, UpRi, and XMT-1592, and may potentially provide a safe and meaningful benefit to patients with NaPi2b-expressing tumors. We have paused the preparations for the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commencement of a Phase 1 study of ZW220 to help facilitate the accelerated development of ZW251. However, we believe ZW220 remains a highly differentiated, IND-ready asset with strong clinical, commercial, and partnership potential.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 Tumors in Oncology: Multispecific Antibody Therapeutics (MSATs)</w:t>
      </w:r>
    </w:p>
    <w:p>
      <w:pPr>
        <w:spacing w:after="0" w:line="22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ZW209: </w:t>
      </w:r>
      <w:r>
        <w:rPr>
          <w:rFonts w:ascii="Times New Roman" w:cs="Times New Roman" w:eastAsia="Times New Roman" w:hAnsi="Times New Roman"/>
          <w:sz w:val="18"/>
          <w:szCs w:val="18"/>
          <w:color w:val="auto"/>
        </w:rPr>
        <w:t>A novel TriTCE targeting Delta-like ligand 3 (“DLL3”)-expressing tumor cells, is designed using our clinically validated Azymetric and EFECT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platforms. By leveraging obligate cis-T cell binding and conditional cluster of differentiation 28 (“CD28”) engagement, this potentially first-in-class molecule has been designed to prevent unintended T cell activation, while enabling tumor-targeted cytotoxicity. The innovative design has demonstrated differentiated long-term cytotoxicity in vitro at low E:T (effector to target) ratios, with enhanced T cell proliferation and survival, offering significant potential to increase durability of responses in DLL3-expressing cancers. We expect to submit an IND to commence Phase 1 clinical studies for ZW209 in 2026, with equivalent non-U.S. applications to be submitted thereafter.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Autoimmune and Inflammatory Diseases (AIID)</w:t>
      </w:r>
    </w:p>
    <w:p>
      <w:pPr>
        <w:spacing w:after="0" w:line="188"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8"/>
          <w:szCs w:val="18"/>
          <w:b w:val="1"/>
          <w:bCs w:val="1"/>
          <w:i w:val="1"/>
          <w:iCs w:val="1"/>
          <w:color w:val="auto"/>
        </w:rPr>
        <w:t xml:space="preserve">ZW1528: </w:t>
      </w:r>
      <w:r>
        <w:rPr>
          <w:rFonts w:ascii="Times New Roman" w:cs="Times New Roman" w:eastAsia="Times New Roman" w:hAnsi="Times New Roman"/>
          <w:sz w:val="18"/>
          <w:szCs w:val="18"/>
          <w:color w:val="auto"/>
        </w:rPr>
        <w:t>Our first program in AIID, is a novel IL-4R</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x IL-33 bispecific molecule designed to address respiratory inflammation such as mixed-type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chronic obstructive pulmonary disease (“COPD”) by inhibiting multiple pathways. By blocking three cytokines (IL-4, IL-13, and IL-33) in a single biologic, ZW1528 offers a unique approach to inhibit clinically validated pathways. The bispecific antibody is designed to provide complete, prolonged IL-4R</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blockade with simultaneous blockade of IL-33. Based on non-clinical in vitro studies, the bispecific can independently suppress IL-4, IL-13, and IL-33 driven cell signaling equivalent to that achieved with anti-IL-4R</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monoclonal antibody (“mAb”) or anti-IL-33 clinical benchmarks mAbs. Furthermore, in preclinical studies, ZW1528-mediated blockade of cytokine-driven activation of human epithelial cells was superior to that achieved with mAbs targeting either IL-4R</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or IL-33, indicating potential benefits of dual blockade. Additionally, preclinical studies with human peripheral blood mononuclear cells (“PBMCs”) demonstrate ZW1528 provides blockade of IL-33 mediated effects beyond that achievable with an anti-IL33 benchmark mAb. With native Immunoglobulin G (“IgG”)-like geometry, ZW1528 demonstrates the potential for high manufacturability and incorporates half-life extending Fc modifications. We expect to submit a non-U.S. regulatory filing to commence Phase 1 clinical studies for ZW1528 in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Pipeline Development</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Going forward, we currently expect to focus our ADVANCE research efforts primarily on multispecific antibody and engineered-cytokine platforms. We anticipate that these activities will be partially supported through early-stage partnerships and collaborations. ZW1528 is currently expected to be the first ADVANCE program to enter clinical studies in 2026. We also intend to continue disseminating scientific findings through peer-reviewed publications and data presentations across our preclinical and clinical programs, as appropriate.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our ADC portfolio, we currently expect to continue conducting Phase 1 clinical studies for ZW191 and ZW251 during 2026. We also intend to advance our other ongoing ADC research programs, including potential clinical development of ZW220, ZW327, and ZW418, a biparatopic PTK7-targeting ADC incorporating a novel pan-RAS inhibitor payload, only if and when partnerships, collaborations, and/or other sources of external funding become available.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intend to continue innovating with increased novelty in targets and unique mechanisms of action through bispecific or biparatopic ADCs, dual-payload ADCs, multi-specific immune cell engagers and immune-oncology, subject to strategic priorities, and the availability of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Therapeutic Platforms</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expertise in protein engineering has enabled the development of our proprietary therapeutic platforms, a complementary suite of highly tailored biologics solutions. Our therapeutic platforms can be used alone or in combination to develop multifunctional fit-for-purpose biotherapeutics with bispecific capabilities (Azymetric), targeted cytotoxin payload delivery and linker technologies (drug conjugate platforms), finely tuned immune function modulation (EFECT), and tumor-specific immune co-stimulation (ProTECT). The modular design and ease of use of our therapeutic platforms allow for the design and evaluation of multiple candidates with different formats to determine the optimal therapeutic combination early in development. We continue to leverage these therapeutic platforms to expand our pipeline of next-generation multispecific and ADCs that we believe could represent significant improvements to the standard of care in multiple cancer types and other serious diseases.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Azymetric Multispecific Antibody Platform</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Azymetric multispecific antibody platform is our foundation platform, which can produce either the backbone of our ADCs or be the base of our multispecific therapeutics that can be combined with both our TriTCE technology and our ProTECT platform to develop potential best-in-class trispecifics. The FDA approval of zanidatamab in 2024 provides validation of our proprietary Azymetric technology and capabilities for design and development of novel medicines. The Azymetric platform consists of a library of proprietary amino acid substitutions that enable the transformation of monospecific antibodies into bispecific or trispecific antibodies, which gives them the ability to simultaneously bind two non-overlapping epitopes. The Azymetric platform enables the development of biotherapeutics with dual-targeting of receptors/ligands and simultaneous blockade of multiple signaling pathways, increasing tumor-specific targeting and efficacy while reducing toxicities and the potential for drug resistance. In preclinical studies, the dual targeting of Azymetric antibodies has demonstrated synergistic activity relative to the application of an equivalent dose of the corresponding monospecific antibodies. Azymetric multispecifics can also be engineered to enhance internalization of the antibody into the tumor cell and consequently increase the delivery of cytotoxins. Azymetric multispecifics retain the desirable drug-like qualities of monoclonal antibodies, including long half-life, stability and low immunogenic potential, which increases their probability of success. Azymetric multispecifics are also compatible with standard manufacturing processes with high production yields and purity.</w:t>
      </w:r>
    </w:p>
    <w:p>
      <w:pPr>
        <w:spacing w:after="0" w:line="1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Azymetric platform is the foundation for the development of trispecific and trivalent antibodies. Our complementary suite of technologies can incorporate multiple targets and mechanisms of action within a single antibody-based therapeutic. To achieve efficacy and durability in a difficult tumor microenvironment, we have developed a TriTCE strategy that integrates checkpoint inhibition (“TriTCE-CPI”) and costimulatory technologies (“TriTCE-costim”). TriTCE-CPI technology is designed to navigate suppressive tumor microenvironments and enhance the activity of TCEs through incorporation of a checkpoint pathway binder to restore and enhance T cell engagement and overcome secondary resistance to provide durable responses. TriTCE-costim technology can increase T cell fitness, activation and proliferation via tumor-dependent T cell co-stimulation. Further, TCE technologies can integrate with ProTECT, a technology built to mask an antibody arm to improve selectivity to minimize off-target, and mitigate on-target, adverse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Conjugate Platforms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drug conjugate platforms are a suite of proprietary cytotoxins (including both topoisomerase and microtubulin inhibiting toxins), stable linkers, and conjugation technologies that are compatible with and complementary to our product candidates and enable delivery of cytotoxins directly to target cells. We believe that our platforms provide multiple competitive advantages over existing ADC approaches, including optimized activity and tolerability profiles through increased drug delivery to target cells with reduced off-target effects, as well as improved pharmacokinetics and stability. Our drug conjugate platforms can be used in conjunction with our other therapeutic platforms to potentially increase safety and efficacy as compared to existing ADC platforms.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TOPO1i ADC platform is one of several proprietary Zymeworks linker-payload platforms. TOPO1i-based technologies have shown meaningful clinical benefit in a wide range of solid tumors, including hard-to-treat solid tumors, and have been validated across many targets. Our novel camptothecin ZD06519 (FD1) has been specifically designed for its application as an ADC payload. A panel of camptothecin analogs with different substituents at the C-7 and C-10 positions of the camptothecin core were prepared and tested in vitro. Selected compounds spanning a range of potency and hydrophilicity were elaborated into drug-linkers, conjugated to trastuzumab, and evaluated in vitro and in vivo. ZD06519 was selected based on its favorable properties as a free molecule and as an antibody conjugate, which include moderate free payload potency (~1 nanomolar (“nM”)), low hydrophobicity, strong bystander activity, robust plasma stability, and high-monomeric ADC content. When conjugated to different antibodies using a clinically validated MC-GGFG-based linker, ZD06519 demonstrated impressive efficacy in multiple cell-derived xenograft models and noteworthy tolerability in healthy mice, rats, and non-human primates.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EFECT Antibody Effector Function Modulation Platform</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EFECT platform consists of sets of modifications to the Fc region of antibodies that enable the selective modulation of recruited cytotoxic immune cells for diverse therapeutic applications. This allows us to rationally tailor the selective enhancement or suppression of immune effector function to optimize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 Tumor-Specific Immune Co-stimulation Platform</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ProTECT platform is a novel conditionally active antibody technology that can simultaneously increase the tolerability and efficacy for therapeutics, thereby potentially enhancing therapeutic window and clinical utility. Functional, natural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immunomodulatory heterodimers are introduced to sterically block antigen binding outside the tumor, enabling therapeutics with limited activity in normal healthy tissue, avoiding on-target, off-tumor toxicities. Once in the tumor microenvironment, specific proteases cleave and release one half of the functional block activating both the targeting antibody and the immunomodulatory function. The resulting activated multifunctional therapeutic enables immune modulation in concert with antigen binding, which enables an overall increase in the therapeutic window through selective tumor activity and enhanced potency.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Partnerships and Collaborations</w:t>
      </w:r>
    </w:p>
    <w:p>
      <w:pPr>
        <w:spacing w:after="0" w:line="2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Our novel product candidates, together with our combination of proprietary protein engineering capabilities and resulting therapeutic platform technologies, have enabled us to enter into a number of strategic partnerships, many of which were subsequently expanded in scope. Our strategic partnerships and collaborations provide us with the ability to accelerate clinical development of our product candidates in certain geographical regions and provide our strategic partners with access to components of our proprietary therapeutic platforms for their own therapeutics development. In addition, these strategic partnerships have provided us with non-dilutive funding as well as access to proprietary therapeutic assets, which increase our ability to rapidly advance our product candidates while maintaining commercial rights to our own therapeutics.</w:t>
      </w:r>
    </w:p>
    <w:p>
      <w:pPr>
        <w:spacing w:after="0" w:line="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Through collaboration agreements with Jazz and BeOne relating to our programs for zanidatamab and zanidatamab zovodotin, we have received an aggregate of $491.0 million through December 31, 2025 in the form of non-refundable upfront payments and milestone payments. In addition, through these partnerships with Jazz and BeOne with respect to zanidatamab, as of December 31, 2025, we remain eligible to receive up to $1.51 billion in potential regulatory, development and commercial milestone payments, as well as tiered royalties on potential future product sales, pending receipt of applicable regulatory approvals.Under our collaboration agreement with Jazz, we are eligible to receive tiered royalties of ten to high teens percentages on global (outside of Asia (other than Japan), Australia and New Zealand) annual net sales of Ziihera up to $2.0 billion and 20% on annual net sales above $2.0 billion. Under the collaboration agreement with BeOne, we are eligible to receive tiered royalties of mid-single to mid-double digit percentages on annual net sales of Ziihera in Asia (other than Japan), Australia and New Zealand up to $1.0 billion and 19.5% on annual net sales above $1.0 billion (with royalty rates increasing by 0.5% when cumulative amounts forgone as a result of a royalty reduction of 0.5% reaches a cap in the low double-digit millions of dollars).</w:t>
      </w:r>
    </w:p>
    <w:p>
      <w:pPr>
        <w:spacing w:after="0" w:line="20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These partnerships have provided us with a significant source of non-dilutive funding and provide for additional future direct funding by our strategic partners for our lead asset, zanidatamab. These partnerships also leverage our strategic partners’ commercial infrastructure, helping accelerate the development and expanding the potential reach of our lead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in the table below presents a summary of key aspects of our collaboration and licensing agreements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863590" cy="2708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ind w:right="760" w:firstLine="8"/>
        <w:spacing w:after="0" w:line="262" w:lineRule="auto"/>
        <w:tabs>
          <w:tab w:leader="none" w:pos="22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stage and therapeutic indication reflects the current preclinical, clinical or commercial stage of development for the most advanced program under the partnership, as applicable.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40" w:firstLine="8"/>
        <w:spacing w:after="0" w:line="260" w:lineRule="auto"/>
        <w:tabs>
          <w:tab w:leader="none" w:pos="2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Figures reflect all potential future milestone payments under the applicable agreement, including, but not limited to, the lead asset. See further discussion of each partnership below.</w:t>
      </w:r>
    </w:p>
    <w:p>
      <w:pPr>
        <w:ind w:right="180" w:firstLine="8"/>
        <w:spacing w:after="0" w:line="270" w:lineRule="auto"/>
        <w:tabs>
          <w:tab w:leader="none" w:pos="2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Tiered royalties of up to 19.5% of annual net sales in BeOne territories, increasing to up to 20% when cumulative amounts forgone as a result of a royalty reduction of 0.5% reaches a cap in the low double-digit millions of dollars.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Partnerships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Jazz</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October 2022, we entered into a license and collaboration agreement with Jazz (“Original Jazz Collaboration Agreement”; as amended in April 2023, “Amended Jazz Collaboration Agreement” and collectively with the Original Jazz Collaboration Agreement, the “Jazz Collaboration Agreement”). Under the Jazz Collaboration Agreement, Jazz is solely responsible for all development and commercialization rights for zanidatamab throughout the world, excluding existing Asia-Pacific territories (other than Japan) already governed by Zymeworks BC Inc.’s (“Zymeworks BC”) agreement with BeOne (“Territory”).</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part of our collaboration, we granted to Jazz certain exclusive and non-exclusive licenses, under our intellectual property, to research, develop, manufacture, and commercialize pharmaceutical products containing or incorporating zanidatamab or certain related antibodies excluding ADCs (such antibodies, collectively, “Licensed Antibodies,” and such pharmaceutical products, “Licensed Products”).</w:t>
      </w:r>
    </w:p>
    <w:p>
      <w:pPr>
        <w:spacing w:after="0" w:line="17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Jazz also granted us certain licenses, under Jazz’s intellectual property, to develop, commercialize, and manufacture the Licensed Antibodies and Licensed Products including to make and have made such antibodies for incorporation into zanidatamab zovodotin for development and commercialization purposes.</w:t>
      </w:r>
    </w:p>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During the Term (as defined below), Jazz and its affiliates are prohibited from performing any clinical development of, or commercialization of, any pharmaceutical product containing a bispecific antibody directed to the ECD2 and ECD4 domains of HER2 in the Territory, other than Licensed Products. During the Term, Zymeworks BC and its affiliates are prohibited from (i) performing any preclinical development (except for certain independent, internal preclinical development by Zymeworks BC or its affiliates) or clinical development of, or commercializing, any pharmaceutical product that is directed to HER2 in the Territory (each, a “Zymeworks Competing Product”), other than Licensed Products and (ii) using clinical data resulting from certain clinical trials regarding zanidatamab that were being conducted or initiated by Zymeworks BC (the “Program”) to perform any pre-clinical development or clinical development, or commercialization of, any pharmaceutical product that is directed to HER2; provided that zanidatamab zovodotin is excluded from each restriction. Zymeworks BC retains the right to grant third parties rights to apply any of Zymeworks BC’s platforms to derive or generate, without any assistance from Zymeworks BC, antibodies directed to any biological target where Zymeworks BC is not aware of the identity of any such target, and Zymeworks BC retains the right to fulfill its obligations under agreements with its existing platform partners; provided, however, that Zymeworks BC cannot generate, or grant development or commercialization licenses to, Zymeworks Competing Products in new platform-based agreements entered into after the effective date of the Original Jazz Collaboration Agreement.</w:t>
      </w:r>
    </w:p>
    <w:p>
      <w:pPr>
        <w:spacing w:after="0" w:line="190"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Jazz is required to use commercially reasonable efforts to develop and obtain regulatory approval for a Licensed Product in certain major market countries for the treatment of certain diseases. Jazz will be the holder of regulatory approvals and regulatory submissions for Licensed Products in the Territory.</w:t>
      </w:r>
    </w:p>
    <w:p>
      <w:pPr>
        <w:spacing w:after="0" w:line="14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Zymeworks BC will continue to supply zanidatamab and Licensed Product to certain clinical sites pursuant to the terms of the Jazz Collaboration Agreement.</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Zanidatamab (Ziihera) received accelerated approval from the FDA in November 2024 for the treatment of adults with previously treated, unresectable or metastatic HER2+ (IHC 3+) BTC. Jazz is conducting the confirmatory trial for Ziihera related to the accelerated approval. In July 2025, Zymeworks’ partner, Jazz, announced that the European Commission granted conditional marketing authorization of zanidatamab for the treatment of adults with unresectable locally advanced HER2+ (IHC 3+) BTC. In January 2026, the New Drug Submission for Ziihera was approved by Health Canada for the treatment of adults with previously treated, unresectable locally advanced or metastatic HER2+ (IHC 3+) BTC, as monotherapy. Ziihera’s market authorization in Canada has been issued with conditions, pending the results of trials to verify its clinical benefit. Our strategic partner Jazz expects to complete the sBLA submission for zanidatamab in the first quarter of 2026 for first-line HER2+ locally advanced or metastatic GEA under the real-time oncology review program in the United States, where zanidatamab has been granted Breakthrough Therapy Designation for patients with HER2+ GEA.</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Jazz is solely responsible for commercializing the Licensed Products in the Territory and is required to use commercially reasonable efforts to commercialize in each specified major market country each Licensed Product that obtains regulatory approval in such country. Jazz is required to conduct such commercialization at its sole cost and expense. Under the Jazz Collaboration Agreement, as of December 31, 2025 we have received (i) a non-refundable $50.0 million upfront payment following receipt of HSR Clearance and delivery of licenses and technology transfer to Jazz, (ii) a further payment of $325.0 million following Jazz’s decision to continue the collaboration after readout of the top-line clinical data from HERIZON-BTC-01, in addition to our delivery of other data, analyses and other information, and (iii) a milestone payment of $25.0 million in relation to FDA approval of Ziihera (zanidatamab-hrii) for the treatment of HER2+ BTC. As of December 31, 2025, we remain eligible to receive up to an aggregate of $500.0 million in certain regulatory milestones payments and up to an aggregate of $862.5 million in potential commercial milestone payments. We are also eligible to receive tiered royalties between 10% and 20% on annual net sales of Licensed Products in the Territory, with customary reductions in specified circumstances. Royalties are payable on a Licensed Product-by-Licensed Product and country-by-country basis until the latest of (i) ten years after the first commercial sale of such Licensed Product in such country, (ii) the expiration of the last valid licensed patent claim within certain Zymeworks BC intellectual property covering such Licensed Product in such country, and (iii) the expiration of regulatory exclusivity of such Licensed Product in such country. The term of the Amended Jazz Collaboration Agreement will continue on a Licensed Product-by-Licensed Product and country-by-country basis until the expiration of the royalty term for such Licensed Product in such country (the “Term”). The Amended Jazz Collaboration Agreement contains customary termination rights for Jazz and us, including the right for Jazz to terminate the agreement in its sole discretion with advance notice to us. We may also terminate the Amended Jazz Collaboration Agreement if Jazz or its affiliates file or initiate a patent challenge against us.</w:t>
      </w:r>
    </w:p>
    <w:p>
      <w:pPr>
        <w:spacing w:after="0" w:line="2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May 2023, we also entered into a stock and asset purchase agreement with Jazz Pharmaceuticals, Inc. (“Jazz Inc.”) (as amended, the “Transfer Agreement”) to provide for a series of steps designed to simplify, focus, and potentially expedite the clinical development and commercialization of zanidatamab in partnership with Jazz Inc. by transferring certain assets, contracts and employees associated with the clinical trials for zanidatamab to Jazz Inc. and its affiliates.</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Pursuant to the Transfer Agreement, at the closing thereunder, (i) Jazz acquired from Zymeworks Biopharmaceuticals Inc. (“ZBI”) 100% of the issued and outstanding capital stock of Zymeworks Zanidatamab Inc. (“ZZI,” a subsidiary of ZBI); (ii) Jazz engaged certain Zymeworks BC and ZZI employees associated with the development of zanidatamab, and the Company transferred to Jazz or one of its affiliates contracts with respect to the engagement of certain independent contractors of Zymeworks BC and ZBI that worked on the Program; (iii) Jazz and its affiliates acquired from Zymeworks BC and ZBI and their affiliates the Acquired Assets (as defined in the Transfer Agreement); and (iv) Jazz and its affiliates assumed certain liabilities arising following the closing under the Transfer Agreement related to the Acquired Assets and the Program, including with respect to the transferred service providers, in each case subject to the terms and conditions of the Transfer Agreement. No shares of the Company’s common stock were sold by the Company or acquired by Jazz Inc. and its affiliates in connection with such transactions under the Transfer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BeOne</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2018, we entered into agreements with BeOne whereby we granted BeOne royalty-bearing exclusive licenses for the research, development, and commercialization of zanidatamab and zanidatamab zovodotin in Asia (excluding Japan but including the People’s Republic of China, South Korea and other countries), Australia, and New Zealand (such agreement relating to zanidatamab, as amended or modified, the “Zanidatamab Agreement,” and such agreement relating to zanidatamab zovodotin, the “Zovodotin Agreement”). In September 2023, Zymeworks BC and BeOne entered into a termination agreement relating to the Zovodotin Agreement (the “Termination Agreement”).</w:t>
      </w:r>
    </w:p>
    <w:p>
      <w:pPr>
        <w:spacing w:after="0" w:line="18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For the research, development and commercialization licenses to zanidatamab and zanidatamab zovodotin, we received an upfront payment of $40.0 million. Under the Zanidatamab Agreement, as of December 31, 2025 we have received milestone payments of $51.0 million, including $28.0 million in milestone payments received from BeOne in relation to the acceptance by the Center for Drug Evaluation (“CDE”) of the National Medical Products Administration (“NMPA”) in China of the BLA for zanidatamab for second-line treatment of HER2+ BTC and subsequent approval of this BLA. As of December 31, 2025, we remain eligible to receive development and commercial milestone payments of up to $144.0 million, together with tiered royalties of up to 19.5% of annual net sales in BeOne territories, increasing to up to 20% when cumulative amounts forgone as a result of a royalty reduction of</w:t>
      </w:r>
    </w:p>
    <w:p>
      <w:pPr>
        <w:spacing w:after="0" w:line="5"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7"/>
          <w:szCs w:val="17"/>
          <w:color w:val="auto"/>
        </w:rPr>
        <w:t>0.5% reaches a cap in the low double-digit millions of dollars. In May 2025, BeOne announced that the NMPA in China granted conditional approval of zanidatamab for the treatment of patients with previously treated, unresectable or metastatic HER2+ (IHC3+) BTC. Under the Zanidatamab Agreement, Zymeworks and BeOne are collaborating on certain global clinical studies and both Zymeworks and BeOne will independently conduct other clinical studies in their own respective territories. Each of Zymeworks and BeOne are responsible for all of the development and commercialization costs in</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their own territories. Unless earlier terminated, the Zanidatamab Agreement will terminate on a licensed product-by-product and country-by-country basis upon the expiration of the royalty term in such country for such licensed product. The Zanidatamab Agreement may be terminated by BeOne upon prior written notice or by either party upon the other party’s bankruptcy or uncured material breach.</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noted above, the Zovodotin Agreement was terminated under the Termination Agreement. The Termination Agreement does not relieve us or BeOne from obligations under the Zovodotin Agreement that accrued prior to the termination and certain other provisions expressly indicated to survive the termination, including certain licenses to BeOne intellectual property with respect to zanidatamab zovodotin.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Partnerships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addition to the payments we have received through our collaboration agreements with Jazz and BeOne relating to zanidatamab and zanidatamab zovodotin, as of December 31, 2025, we have received $233.4 million in the form of non-refundable upfront and milestone payments from platform partnership and collaboration agreements. We continue to have revenue-generating strategic partnerships and collaborations with respect to our Azymetric, EFECT and drug conjugate therapeutic platforms with the following pharmaceutical companies: BMS, GSK, Daiichi Sankyo, J&amp;J, and Merck. As of December 31, 2025, we remain eligible to receive up to $0.98 billion in preclinical and development milestone payments and up to $3.08 billion in commercial milestone payments, as well as tiered royalties on potential future product sales, pending regulatory approval. It is possible, however, that our strategic partners’ programs will not advance as currently contemplated, which would negatively affect the amount of development and commercial milestone payments and royalties on potential future product sales we may receive. Importantly, these partnerships include predominantly non-target-exclusive licenses for any of our therapeutic platforms, so we maintain the ability to develop therapeutics directed to many high-value targets using our platforms.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2014, we entered into a collaboration agreement with Celgene (now BMS) to research, develop and commercialize bispecific antibodies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generated through the use of our Azymetric platform. This agreement was expanded in 2018 to increase the number of programs from eight to ten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 BMS’s research period. Under the terms of the agreement, we granted BMS a right to exercise options to worldwide, royalty-bearing, antibody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sequence pair-specific exclusive licenses to research, develop and commercialize certain licensed products. We received an upfront payment of $8.0 million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 expansion fee of $4.0 million. As of December 31, 2025, BMS had exercised two commercial license options and we have received $15.0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payments in total, but in 2023 BMS stopped development of one program. BMS’s right to exercise options on eight programs expired in 2024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conclusion of BMS’s research period. As at December 31, 2025, we remain eligible to receive up to $313.0 million for the two remaining programs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$156.5 million not including the one program for which BMS stopped development in 2023), comprised of development milestone payments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 million per program and commercial milestone payments of up to $55.0 million per program. In addition, we are eligible to receive tiered royalties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upon the global net sales of the resulting products. BMS will have exclusive worldwide commercialization rights to products derived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for those product candidates that BMS elected to exercise its commercial license option. As BMS’s research period has concluded, BMS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responsible for the research, development, manufacturing and commercialization of the products.</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June 2020, our existing collaboration agreement with BMS was amended to expand the license grant to include the use of our EFECT platform for the development of therapeutic candidates and to extend the research term. We received an upfront expansion fee of $12.0 million and all other financial terms were unchanged.</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agreement contains customary termination rights for BMS and us, including the right of BMS to terminate the agreement in its entirety or on a product-by-product basis in its sole discretion with advance notice to us. The agreement will terminate on a product-by-product and country-by-country basis upon the later of the expiration of the last-expiring patent related to the BMS licensed product, or ten years after the first commercial sale of the BMS licensed product in such a country. If BMS does not exercise its option for the commercial license, the agreement will terminate on a product-by-product basis for which the option was not exercised.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GSK</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December 2015, we entered into a collaboration and license agreement with GSK to research, develop and commercialize up to ten Fc-engineered monoclonal and bispecific antibodies generated through the use of our EFECT and Azymetric platforms.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Under the terms of the agreement, we granted GSK a worldwide, royalty-bearing antibody target-exclusive license to new intellectual property generated with the EFECT platform under this collaboration and a non-exclusive license to the Azymetric platform to research, develop and commercialize future licensed products. We are eligible to receive up to $1.1 billion, including research, development and commercial milestone payments of up to $110.0 million for each product. In addition, we are eligible to receive tiered royalties in the low single digits on net sales of products. No development or commercial milestone payments or royalties have been received as of December 31, 2025. We retained the right to develop up to four products, free of royalties, using the new intellectual property generated in this collaboration, and after a period of time, to grant licenses to such intellectual property for development of additional products by third parties. Under this agreement, we are sharing certain research and development responsibilities with GSK to generate new Fc-engineered antibodies. Each party will bear its own costs for the responsibilities assigned to it during the research period. After the conclusion of the research period, each party will be solely responsible for the further research, development, manufacturing and commercialization of its own respective products. The agreement contains customary termination rights for GSK and us, including the right for GSK to terminate the agreement in its sole discretion with advance notice to us. The agreement will terminate on the earlier of (i) the end of the research period if GSK does not elect to advance one or more products incorporating intellectual property generated under the research period for further research and development or (ii) on a product-by-product and country-by-country basis upon the latter of the product being no longer covered by a patent related to the GSK licensed product, or ten years after the first commercial sale of the GSK licensed product in such a country.</w:t>
      </w:r>
    </w:p>
    <w:p>
      <w:pPr>
        <w:spacing w:after="0" w:line="19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April 2016, we entered into a platform technology transfer and license agreement with GSK to research, develop and commercialize up to six bispecific antibodies generated through the use of our Azymetric platform. This may include bispecific antibodies incorporating new engineered Fc regions generated under the 2015 GSK agreement. Under the terms of this 2016 agreement, we granted GSK a worldwide, royalty-bearing antibody sequence pair-specific exclusive license to research, develop and commercialize licensed products. In May 2019, this agreement was expanded to provide GSK access to Zymeworks’ unique heavy-light chain pairing technology under the Azymetric platform. Under the expanded agreement, we are eligible to receive up to $1.1 billion in milestone and other payments. As of December 31, 2025, we have received an upfront technology access fee payment of $6.0 million and $16.5 million of milestones in total. As of December 31, 2025, we remain eligible to receive research milestone payments of up to $35.0 million, development milestone payments of up to $168.5 million and commercial milestone payments of up to $867.0 million. In addition, we are eligible to receive tiered royalties in the low to mid-single digits on product sales. GSK bears all responsibility and costs associated with research, development and commercialization of products generated using the Azymetric platform. The agreement contains customary termination rights for GSK and us, including the right for GSK to terminate the agreement in its sole discretion with advance notice to us. Termination provisions allow for GSK to terminate the agreement or specific antibody sequence pairs due to an incurable material breach by us, and under specific conditions, GSK shall have certain rights to continue the research, development, and commercialization of products with their license payment, milestone, and royalty obligations reduced by 50%.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Daiichi Sankyo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2016 Agreement</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September 2016, we entered into a collaboration and cross-license agreement (“Collaboration and Cross License Agreement”) with Daiichi Sankyo to research, develop and commercialize one bispecific antibody generated through the use of our Azymetric and EFECT platforms. Under this agreement, we received an upfront technology access fee payment of $2.0 million and research and commercial option related payments totaling $4.5 million. Under this agreement, we also gained non-exclusive rights to develop and commercialize up to three products (revised to up to six products pursuant to a June 2022 amendment) using Daiichi Sankyo’s proprietary immune-oncology antibodies, with royalties in the low single digits to be paid to Daiichi Sankyo on sales of such products.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2023, we entered into a termination and license agreement (the “Termination and License Agreement”) relating to the Collaboration and Cross License Agreement. Pursuant to the Termination and License Agreement, the Collaboration and Cross License Agreement is terminated and is no longer in effect, except that the termination does not relieve the parties from obligations under the Collaboration and Cross License Agreement that accrued prior to the termination or were expressly intended to survive. Among the rights to survive the termination of the Collaboration and Cross License Agreement are Zymeworks’ non-exclusive royalty-bearing rights to develop and commercialize products using Daiichi Sankyo’s proprietary immune-oncology antibodies. Under the Termination and License Agreement, we granted to Daiichi Sankyo a non-exclusive, worldwide, royalty-free right and license, with the right to sublicense, to certain intellectual property to perform additional research in accordance with the terms of the Termination and License Agreement during the term of the Termination and License Agreement, which expired in August 2025. The Termination and License Agreement has no impact on our separate license agreement with Daiichi Sankyo, which we entered into in 2018, as described below.</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2018 Agreement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May 2018, we entered into a license agreement with Daiichi Sankyo to research, develop and commercialize two bispecific antibodies generated through the use of our Azymetric and EFECT platforms. This agreement did not alter or amend the initial 2016 agreement. Under the terms of this 2018 agreement, we granted Daiichi Sankyo a worldwide, royalty-bearing, antibody sequence pair-specific, exclusive license to research, develop and commercialize certain products, and we were eligible to receive up to $484.7 million in various milestone and other payments. As of December 31, 2025, we have received an upfront technology access fee payment of $18.0 million, and $3.1 million in development milestone payments. We remain eligible to receive development milestone payments totaling up to $60.3 million and commercial milestone payments of up to $170.0 million. In addition, we are eligible to receive tiered royalties ranging from the low single digits up to 10% on product sales. Daiichi Sankyo is solely responsible for the research, development, manufacturing and commercialization of the products. The agreement contains customary termination rights for Daiichi Sankyo and us, including the right for Daiichi Sankyo to terminate the rights to our therapeutic platforms in its sole discretion with advance notice to us. The agreement will terminate, with respect to Daiichi Sankyo’s licenses, on a product-by-product basis, with the last payment obligation for the respective product.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J&amp;J</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November 2017, we entered into a collaboration and license agreement with J&amp;J to research, develop and commercialize up to six bispecific antibodies generated through our Azymetric and EFECT platforms. Under the terms of the agreement, we granted J&amp;J a worldwide, royalty-bearing, antibody sequence group-specific exclusive license to research, develop and commercialize certain products, and we were eligible to receive up to $1.45 billion in various license and milestone payments.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2025, we have received an upfront payment of $50.0 million and development milestones totaling $33.0 million, which included $8.0 million in connection with the initiation of clinical trials of two bispecific antibodies and $25.0 million related to clinical progress of pasritamig entering into a Phase 3 trial in metastatic castration-resistant prostate cancer. Pasritamig (JNJ-78278343) is a first-in-class, bispecific T-cell engager targeting human kallikrein 2 (KLK2), engineered using Zymeworks’ Azymetric platform. J&amp;J has deprioritized the development of the other bispecific antibody, and in 2023 the research program term under the agreement ended with respect to the remaining four bispecific antibodies.</w:t>
      </w:r>
    </w:p>
    <w:p>
      <w:pPr>
        <w:spacing w:after="0" w:line="183"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As a result, we remain eligible to receive up to $18.0 million in additional development milestone payments and up to $186.5 million in commercial milestone payments relating to pasritamig. We remain eligible to receive up to $43.0 million in additional development milestone payments and up to $186.5 million in commercial milestone payments with respect to the other bispecific antibody which has been deprioritized by J&amp;J.</w:t>
      </w:r>
    </w:p>
    <w:p>
      <w:pPr>
        <w:spacing w:after="0" w:line="17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addition, we are eligible to receive tiered royalties in the mid-single digits on product sales, with the royalty term being, on a product-by-product and country-by-country basis, either (i) for as long as there is Zymeworks platform patent coverage on products, or (ii) for 10 years, beginning from the first commercial sale, whichever period is longer. If there is no Zymeworks patent coverage on products, royalty rates may be potentially reduced. The Company determined that, the events and conditions resulting in payments for research, development and commercial milestones solely depend on J&amp;J’s performance. J&amp;J is solely responsible for the research, development, manufacturing and commercialization of the products. The agreement contains customary termination rights for J&amp;J and us, including the right for J&amp;J to terminate the agreement in its sole discretion with advance notice to us. The agreement will terminate, on a product-by-product basis, on the expiry of the royalty term for the product.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Collaborations - Merck</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collaborated with Merck since 2011. In July 2020, we entered into a new licensing agreement with Merck granting Merck a worldwide, royalty-bearing license to research, develop and commercialize up to three new multispecific antibodies toward Merck’s therapeutic targets in the human health field and up to three new multispecific antibodies toward Merck’s therapeutic targets in the animal health field using our Azymetric and EFECT platforms. We are eligible to receive up to $419.3 million in option exercise fees and clinical development and regulatory approval milestone payments and up to $502.5 million in commercial milestone payments, as well as tiered royalties on worldwide sales.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success will depend significantly on our ability to:</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maintain and enforce patent and other proprietary protection for our core technologies, inventions and know-how;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licenses to key third-party intellectual property owned by such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the confidentiality of our trade secrets;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upon valid, enforceable third-party patents and other rights.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seek to secure and maintain patent protection for the composition of matter, manufacturing processes and methods of use for our drug candidates and for our underlying protein engineering capabilities and therapeutic platforms including Azymetric, EFECT, ZymeCAD and ProTECT. We also utilize trade secrets, careful monitoring and limited disclosure of our proprietary information where patent protection is not appropriate. We also protect our proprietary information by ensuring that our employees, consultants, contractors and other advisors execute agreements requiring non-disclosure and assignment of inventions prior to their engagement. We intend to continue to expand our intellectual property holdings by seeking patent protection for new compositions of matter, new features and applications of our core therapeutic platforms, and innovative new therapeutic platforms, in the United States and other jurisdictions. We also intend to supplement internal innovation through in-licensing of new technologies and compositions of matter as appropriate. We intend to take advantage of any available data exclusivity, market exclusivity, patent term adjustment and patent term extensions.</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routinely monitor the status of existing and emerging intellectual property disclosed by third parties that may impact our business, and to the extent we identify any such disclosures, evaluate them and take appropriate courses of action.</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December 31, 2025, our patent portfolio includes more than 30 patent families related to our therapeutic antibody product (zanidatamab), our preclinical, clinical stage, and additional product candidates, and our therapeutic platform technologies. As of December 31, 2025, from these patent families we have more than 275 issued patents, 29 of which are U.S. patents. Additional patent families in our patent portfolio relate to other earlier stage potential product candidates or platforms that we do not consider material to our business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Therapeutic Antibody Portfolio</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therapeutic antibody patent portfolio is directed to specific compositions of matter, methods of using and compositions used in manufacturing our approved products and product candidates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Approved Product</w:t>
      </w:r>
    </w:p>
    <w:p>
      <w:pPr>
        <w:spacing w:after="0" w:line="22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Zanidatamab: </w:t>
      </w:r>
      <w:r>
        <w:rPr>
          <w:rFonts w:ascii="Times New Roman" w:cs="Times New Roman" w:eastAsia="Times New Roman" w:hAnsi="Times New Roman"/>
          <w:sz w:val="18"/>
          <w:szCs w:val="18"/>
          <w:color w:val="auto"/>
        </w:rPr>
        <w:t>As of December 31, 2025, we own U.S. and foreign patents and patent applications directed to compositions of matter of zanidatamab,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compositions used in the manufacture of zanidatamab, and methods of using zanidatamab. Issued patents and patent applications, if granted, directed to compositions of matter of zanidatamab are anticipated to expire in 2034, absent any patent term adjustments or extensions. Issued patents and patent applications, if granted, directed to compositions used in the manufacture of zanidatamab are anticipated to expire in 2034, absent any patent term adjustments or extensions. Issued patents and patent applications, if granted, directed to methods of using zanidatamab are anticipated to expire between 2034 and 2042, absent any patent term adjustments or extensions. In January 2025, an application was submitted to the USPTO for the extension of the patent term of U.S. patent number 10,000,576 directed to compositions of matter of zanidatamab. This application is currently under review by the USPTO and FDA.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Zanidatamab is also protected by our patent families directed to Azymetric Fc, as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Stage Product Candidates</w:t>
      </w: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ZW191: </w:t>
      </w:r>
      <w:r>
        <w:rPr>
          <w:rFonts w:ascii="Times New Roman" w:cs="Times New Roman" w:eastAsia="Times New Roman" w:hAnsi="Times New Roman"/>
          <w:sz w:val="18"/>
          <w:szCs w:val="18"/>
          <w:color w:val="auto"/>
        </w:rPr>
        <w:t>As of December 31, 2025, we own a U.S. patent and patent applications filed in the United States and foreign jurisdictions directed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compositions of matter of ZW191, compositions used in the manufacture of ZW191, and methods of using ZW191. If granted, these patent applications are anticipated to expire in 2043, absent any patent term adjustments or extensions. We also own U.S. provisional patent applications directed to additional methods of using ZW191. If converted to non-provisional patent applications and granted, these applications are anticipated to expire in 2046, absent any patent term adjustments or extensions. ZW191 is also protected by a patent family directed to our TOPO1i technology.</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ZW251: </w:t>
      </w:r>
      <w:r>
        <w:rPr>
          <w:rFonts w:ascii="Times New Roman" w:cs="Times New Roman" w:eastAsia="Times New Roman" w:hAnsi="Times New Roman"/>
          <w:sz w:val="18"/>
          <w:szCs w:val="18"/>
          <w:color w:val="auto"/>
        </w:rPr>
        <w:t>As of December 31, 2025, we own patent applications filed in the United States and foreign jurisdictions directed to compositions of matter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ZW251 and methods of using ZW251. If granted, these patent applications are anticipated to expire in 2043, absent any patent term adjustments or extensions. ZW251 is also protected by a patent family directed to our TOPO1i technology.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 xml:space="preserve">Lead </w:t>
      </w:r>
      <w:r>
        <w:rPr>
          <w:rFonts w:ascii="Times New Roman" w:cs="Times New Roman" w:eastAsia="Times New Roman" w:hAnsi="Times New Roman"/>
          <w:sz w:val="18"/>
          <w:szCs w:val="18"/>
          <w:i w:val="1"/>
          <w:iCs w:val="1"/>
          <w:u w:val="single" w:color="auto"/>
          <w:color w:val="auto"/>
          <w:highlight w:val="white"/>
        </w:rPr>
        <w:t>Preclinical Product Candidates</w:t>
      </w:r>
    </w:p>
    <w:p>
      <w:pPr>
        <w:spacing w:after="0" w:line="22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ZW209: </w:t>
      </w:r>
      <w:r>
        <w:rPr>
          <w:rFonts w:ascii="Times New Roman" w:cs="Times New Roman" w:eastAsia="Times New Roman" w:hAnsi="Times New Roman"/>
          <w:sz w:val="18"/>
          <w:szCs w:val="18"/>
          <w:color w:val="auto"/>
        </w:rPr>
        <w:t>As of December 31, 2025, we own patent applications filed internationally under the Patent Cooperation Treaty (“PCT”) and in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jurisdictions directed to compositions of matter of ZW209, compositions used in the manufacture of ZW209, and methods of using ZW209. If granted, these applications are anticipated to expire in 2045, absent any patent term adjustments or extensions. ZW209 is also protected by patent families relating to Azymetric Fc and Azymetric Fab.</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ZW1528: </w:t>
      </w:r>
      <w:r>
        <w:rPr>
          <w:rFonts w:ascii="Times New Roman" w:cs="Times New Roman" w:eastAsia="Times New Roman" w:hAnsi="Times New Roman"/>
          <w:sz w:val="18"/>
          <w:szCs w:val="18"/>
          <w:color w:val="auto"/>
        </w:rPr>
        <w:t>As of December 31, 2025, we own patent applications filed internationally under the PCT and in foreign jurisdictions directed to compositions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 of ZW1528, compositions used in the manufacture of ZW1528 and methods of using ZW1528. If granted, these applications are anticipated to expire in 2045, absent any patent term adjustments or extensions. ZW1528 is also protected by patent families relating to Azymetric Fc and Azymetric Fab.</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Product Candidates</w:t>
      </w:r>
    </w:p>
    <w:p>
      <w:pPr>
        <w:spacing w:after="0" w:line="22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ZW220: </w:t>
      </w:r>
      <w:r>
        <w:rPr>
          <w:rFonts w:ascii="Times New Roman" w:cs="Times New Roman" w:eastAsia="Times New Roman" w:hAnsi="Times New Roman"/>
          <w:sz w:val="18"/>
          <w:szCs w:val="18"/>
          <w:color w:val="auto"/>
        </w:rPr>
        <w:t>As of December 31, 2025, we own patent applications filed internationally under the PCT, and in the United States and foreign jurisdictions,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directed to compositions of matter of ZW220, compositions used in the manufacture of ZW220, and methods of using ZW220. If granted, these patent applications are anticipated to expire between 2043 and 2044, absent any patent term adjustments or extensions. ZW220 is also protected by a patent family directed to our TOPO1i technology.</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ZW327: </w:t>
      </w:r>
      <w:r>
        <w:rPr>
          <w:rFonts w:ascii="Times New Roman" w:cs="Times New Roman" w:eastAsia="Times New Roman" w:hAnsi="Times New Roman"/>
          <w:sz w:val="18"/>
          <w:szCs w:val="18"/>
          <w:color w:val="auto"/>
        </w:rPr>
        <w:t>As of December 31, 2025, we own U.S. provisional patent applications directed to compositions of matter of ZW327, compositions used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manufacture of ZW327, and methods of using ZW327. If converted and granted, these applications are anticipated to expire in 2046, absent any patent term adjustments or extensions. ZW327 is also protected by a patent family directed to our TOPO1i technology.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Therapeutic Platform Technology Portfolio</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therapeutic platform technology portfolio includes biological formats and variants thereof, including the Azymetric platform, our drug conjugate platforms (including our TOPO1i technology), the EFECT platform, and specific applications, manufacturing methods and assays related to the platform constructs and underlying computational chemistry.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Azymetric</w:t>
      </w:r>
    </w:p>
    <w:p>
      <w:pPr>
        <w:spacing w:after="0" w:line="22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own patents and patent applications relating to the Azymetric platform for engineering Fc and Fab constructs for the development of bispecific antibodies.</w:t>
      </w:r>
    </w:p>
    <w:p>
      <w:pPr>
        <w:spacing w:after="0" w:line="15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Azymetric Fc: </w:t>
      </w:r>
      <w:r>
        <w:rPr>
          <w:rFonts w:ascii="Times New Roman" w:cs="Times New Roman" w:eastAsia="Times New Roman" w:hAnsi="Times New Roman"/>
          <w:sz w:val="18"/>
          <w:szCs w:val="18"/>
          <w:color w:val="auto"/>
        </w:rPr>
        <w:t>As of December 31, 2025, we own U.S. and foreign patents and a U.S. patent application directed to our Azymetric Fc platform. Patents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 applications, if granted, directed to compositions of matter of engineered antibody Fc regions, methods of engineering antibody Fc regions to preferentially form heterodimers, and methods of making heterodimers comprising engineered Fc regions are expected to expire between 2031 and 2033, absent any patent term adjustments or extensions.</w:t>
      </w:r>
    </w:p>
    <w:p>
      <w:pPr>
        <w:spacing w:after="0" w:line="176"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Azymetric Fab</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of December 31, 2025, we own U.S and foreign patents and patent applications directed to our Azymetric Fab platform. Patents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patent applications, if granted, directed to compositions of matter, methods of engineering antibody Fabs to preferentially form heterodimers, and methods of making heterodimers comprising engineered Fabs are expected to expire between 2033 and 2036 absent any patent term adjustments or extensions.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Conjugate Platforms</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drug conjugate platforms are a suite of proprietary cytotoxins (including TOPO1i), stable linkers, and conjugation technologies that are compatible with and complementary to our antibody product candidates and enable delivery of cytotoxins directly to target cells.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TOPO1i Platform: </w:t>
      </w:r>
      <w:r>
        <w:rPr>
          <w:rFonts w:ascii="Times New Roman" w:cs="Times New Roman" w:eastAsia="Times New Roman" w:hAnsi="Times New Roman"/>
          <w:sz w:val="18"/>
          <w:szCs w:val="18"/>
          <w:color w:val="auto"/>
        </w:rPr>
        <w:t>As of December 31, 2025, we own patent applications filed in the United States and foreign jurisdictions directed to novel TOPO1i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compounds (including ZD06519), TOPO1i-linker compositions and antibody-TOPO1i conjugates. If granted, these patent applications are expected to expire in 2042, absent any patent term adjustments or extensions.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EFECT</w:t>
      </w:r>
    </w:p>
    <w:p>
      <w:pPr>
        <w:spacing w:after="0" w:line="22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2025, we own U.S and foreign patent applications directed to engineering Fc constructs with modulated FcγR-binding and Fc effector function, including compositions of matter and methods of making Fc constructs with altered FcγR-binding and Fc effector function, and compositions of matter and methods of making Fc constructs that lack FcγR-binding. These patent applications, if granted, are expected to expire between 2041 and 2042, absent any patent term adjustments or extensions.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ProTECT</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2025, we own patent applications filed in the United States and foreign jurisdictions and patents in foreign jurisdictions directed to compositions of matter, methods of making and methods of using conditionally active antibody constructs comprising immunomodulatory ligands and their cognate receptors derived from the immunoglobulin superfamily (such as PDL1 and PD1) fused to the antibody variable heavy and light chain region termini. These patents and, if granted, patent applications are expected to expire in 2041, absent any patent term adjustments or extensions.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Computational Chemistry</w:t>
      </w:r>
    </w:p>
    <w:p>
      <w:pPr>
        <w:spacing w:after="0" w:line="22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December 31, 2025, we own U.S and foreign patents and patent applications directed to computational and algorithmic advances incorporated into our ZymeCAD platform, including advances in general molecular modeling, conformational dynamics, and computational workflows. These patents and patent applications, if granted, are expected to expire between 2034 and 2042, absent any patent term adjustments or extensions.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Licensing and In-Licensed Intellectual Property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Daiichi Sankyo</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noted above under “</w:t>
      </w:r>
      <w:r>
        <w:rPr>
          <w:rFonts w:ascii="Times New Roman" w:cs="Times New Roman" w:eastAsia="Times New Roman" w:hAnsi="Times New Roman"/>
          <w:sz w:val="18"/>
          <w:szCs w:val="18"/>
          <w:i w:val="1"/>
          <w:iCs w:val="1"/>
          <w:color w:val="auto"/>
        </w:rPr>
        <w:t>Strategic Partnerships and Collaborations – Platform Partnerships – Daiichi Sankyo – 2016 Agreement,</w:t>
      </w:r>
      <w:r>
        <w:rPr>
          <w:rFonts w:ascii="Times New Roman" w:cs="Times New Roman" w:eastAsia="Times New Roman" w:hAnsi="Times New Roman"/>
          <w:sz w:val="18"/>
          <w:szCs w:val="18"/>
          <w:color w:val="auto"/>
        </w:rPr>
        <w:t>” in September 2016, we entered into the Collaboration and Cross License Agreement with Daiichi Sankyo under which we gained non-exclusive rights to develop and commercialize up to three products (up to six products pursuant to a June 2022 amendment) using Daiichi Sankyo’s proprietary immune-oncology antibodies. In March 2023, we entered into the Termination and License Agreement relating to the Collaboration and Cross License Agreement. Pursuant to the Termination and License Agreement, the Collaboration and Cross License Agreement is terminated and is no longer in effect, except that the termination does not relieve the parties from obligations under the Collaboration and Cross License Agreement that accrued prior to the termination or were expressly intended to survive. Among the rights to survive the termination of the Collaboration and Cross License Agreement are Zymeworks’ non-exclusive royalty-bearing rights to develop and commercialize products, such as ZW209, using Daiichi Sankyo’s proprietary immune-oncology antibodies. Under the surviving terms of the Collaboration and Cross License Agreement, pending receipt of regulatory approval, we may be required to make future low single-digit royalty payments on the net sales of such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Phanes</w:t>
      </w:r>
    </w:p>
    <w:p>
      <w:pPr>
        <w:spacing w:after="0" w:line="22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November 2021, we entered into a license agreement with Phanes Therapeutics, Inc. (“Phanes”). Phanes granted Zymeworks an exclusive, worldwide, non-transferable (except in connection with an assignment of the agreement), sublicensable, royalty-bearing license to research, develop, commercialize, and otherwise exploit certain antibody products incorporating proprietary Phanes binders in the field of oncology. In December 2023, this license</w:t>
      </w:r>
    </w:p>
    <w:p>
      <w:pPr>
        <w:ind w:right="40"/>
        <w:spacing w:after="0" w:line="282" w:lineRule="auto"/>
        <w:rPr>
          <w:sz w:val="20"/>
          <w:szCs w:val="20"/>
          <w:color w:val="auto"/>
        </w:rPr>
      </w:pPr>
      <w:r>
        <w:rPr>
          <w:rFonts w:ascii="Times New Roman" w:cs="Times New Roman" w:eastAsia="Times New Roman" w:hAnsi="Times New Roman"/>
          <w:sz w:val="18"/>
          <w:szCs w:val="18"/>
          <w:color w:val="auto"/>
        </w:rPr>
        <w:t>agreement was partially terminated only with respect to a specific set of such products. All other rights and obligations under this license agreement remain in full force and effect.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license agreement, we may be required to make future payments to Phanes upon the direct achievement of certain clinical development milestones for products, such as ZW251, that incorporate certain Phanes intellectual property. In addition, subject to receipt of regulatory approval, we may be required to make future payments to Phanes upon direct achievement of certain commercial milestones and certain sales milestones, as well as up to low single-digit royalty payments on net sales of such products.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ProBioGen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2016, we entered into a master services and master license agreement with ProBioGen AG (“ProBioGen”). ProBioGen provided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and manufacturing services and granted us a non-exclusive, worldwide, sublicensable license to research, develop, manufacture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commercialize our product candidates (which include Ziihera (zanidatamab-hrii)) using ProBioGen’s platforms, including their proprietary GlymaxX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for generating afucosylated antibodies. This license includes certain additional non-exclusive patent rights sub-licensed by ProBioGen.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Licensing terms include preclinical, clinical and commercial milestones. In connection with the first commercial sale of Ziihera, we paid to ProBioGen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€3.95 million for achievement of the first commercial sale milestone, which amount was reimbursed by Jazz. In addition, subject to achievement of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sales thresholds of Ziihera, we are required to make additional future payments to ProBioGen.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Chugai</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June 2020, we entered into a patent license agreement with Chugai Pharmaceuticals Co., Ltd (“Chugai”). Chugai granted Zymeworks a non-exclusive, worldwide, non-transferable (except in connection with an assignment of the agreement), sublicensable license under certain patents to research, develop, manufacture and commercialize certain antibody products covered by such patents. Under the license agreement, we are required to pay an immaterial annual fee for so long as there is a valid claim within the licensed patents covering certain antibody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on third-party contract manufacturing organizations to provide manufacturing, linker-toxin conjugation, and fill-finish services in order to generate all of the therapeutic antibody supply required for our clinical studies and other research and development activities. To retain focus on our expertise in developing new product candidates, we do not currently plan to develop or operate in-house manufacturing capacity. Our multispecific therapeutic antibody and ADC candidates require standard chemistry, manufacturing and control (“CMC”) processes typical of those required for monoclonal antibody manufacturing. We therefore expect to continue to be able to develop product candidates that can be manufactured in a cost-effective fashion by our network of qualified third-party contract manufacturing organizations.</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Through our contract manufacturing organizations, we currently have sufficient supply of our product candidates to carry out ongoing and planned preclinical studies. For zanidatamab, we also have sufficient current good manufacturing practices (“cGMP”)-grade supply to continue ongoing clinical trials. Our strategic partners are responsible for the commercial manufacture of zanidatamab. For our clinical stage product candidates, we have sufficient cGMP-grade supply to complete our ongoing clinical trials.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biopharmaceutical industry is characterized by rapidly advancing technologies, intense competition and a strong emphasis on proprietary products. While we believe that our technology,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or our strategic partners successfully develop and commercialize will compete with existing therapies and new therapies that may become available in the future.</w:t>
      </w:r>
    </w:p>
    <w:p>
      <w:pPr>
        <w:spacing w:after="0" w:line="2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With respect to our healthcare asset aggregation strategy, we face competition from other companies, funds and other investment vehicles seeking to aggregate royalties or provide alternative financing to biotechnology companies. These competitors may have a lower cost of capital or access to greater amounts of capital and thereby may be able to successfully acquire assets that we are also targeting for acquisitions. There is a limited number of suitable and attractive acquisition or partnering opportunities available in the market, and competition to acquire such assets may be intense.</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With respect to target discovery activities, competitors and other third parties, including academic and clinical researchers, may be able to access rare families and identify targets before we do.</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Many of the companies against which we compete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competitors. Smaller or early-stage companies may also prove to be significant competitors, particularly through collaboration arrangements with large and established companies. These competitors also compete with us in recruiting and retaining qualified scientific and management personnel, establishing clinical trial sites, recruiting patients for clinical trials, and by acquiring technologies complementary to, or necessary for, our programs.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product candidates, if approved, are likely to be their efficacy, safety, convenience and price, the effectiveness of alternative products, the level of competition and the availability of coverage, and adequate reimbursement from government and other third-party payors.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regulatory approval for their products more rapidly than we or our strategic partners may obtain approval, which could result in our competitors establishing a strong market position before we or our partnered product candidates are able to enter the market. In addition, our ability to compete may be affected in many cases by insurers or other third-party payors seeking to encourage the use of generic or biosimilar products.</w:t>
      </w:r>
    </w:p>
    <w:p>
      <w:pPr>
        <w:spacing w:after="0" w:line="18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Zanidatamab is being developed for patients with solid tumors that express HER2, including patients with tumors expressing low levels of HER2. Competing approved HER2-targeted therapies include F. Hoffmann-La Roche Ltd.’s Herceptin, Perjeta, Phesgo, and Kadcyla as well as Novartis Pharmaceuticals Corporation’s Tykerb, Puma Biotechnology, Inc.’s Nerlynx, AstraZeneca PLC / Daiichi Sankyo’s Enhertu, Seagen Inc.’s Tukysa, MacroGenics, Inc.’s Margenza, Jiangsu HengRui Medicine Co., Ltd.’s pyrotinib, Pfizer’s disitamab vedotin, Alphamab’s anbenitamab and anbenitamab repodetecan, BioNTech’s trastuzumab pamirtecan, Boehringer’s zongertinib, Bayer’s sevabertinib and various trastuzumab biosimilars, as well as other candidates in late-stage development.</w:t>
      </w:r>
    </w:p>
    <w:p>
      <w:pPr>
        <w:spacing w:after="0" w:line="21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ZW191 is being developed for patients with solid tumors that express FRα. Competing approved FRα -targeted therapies include AbbVie’s Elahere. Key FRα-targeted ADCs under development include Genmab’s Rina-S, AstraZeneca’s AZD5335, Eli Lilly’s sofetabart mipitecan (LY4170156) and AbbVie’s IMGN151 and ABBV901.</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ZW251 is being developed for patients with solid tumors that express GPC3. Competing GPC3-targeted ADCs include Lepu/Miracogen’s MRG006 and BioCity’s BC2027. Alternative approaches targeting GPC3 include cell therapies, TCEs, radioconjugates and monoclonal antibodies exemplified by AstraZeneca’s AZD5851 (C-CAR031), Legend Biotech’s LB2101, Sotio’s BOXR1030, Eureka Therapeutics’ ECT204, CARsgen’s CT011; AstraZeneca’s AZD9793 &amp; Keymed’s CM350; BMS’ RYZ801; and Roche’s codrituzumab.</w:t>
      </w:r>
    </w:p>
    <w:p>
      <w:pPr>
        <w:spacing w:after="0" w:line="139" w:lineRule="exact"/>
        <w:rPr>
          <w:sz w:val="20"/>
          <w:szCs w:val="20"/>
          <w:color w:val="auto"/>
        </w:rPr>
      </w:pPr>
    </w:p>
    <w:p>
      <w:pPr>
        <w:ind w:right="320"/>
        <w:spacing w:after="0" w:line="245" w:lineRule="exact"/>
        <w:rPr>
          <w:sz w:val="20"/>
          <w:szCs w:val="20"/>
          <w:color w:val="auto"/>
        </w:rPr>
      </w:pPr>
      <w:r>
        <w:rPr>
          <w:rFonts w:ascii="Times New Roman" w:cs="Times New Roman" w:eastAsia="Times New Roman" w:hAnsi="Times New Roman"/>
          <w:sz w:val="18"/>
          <w:szCs w:val="18"/>
          <w:color w:val="auto"/>
        </w:rPr>
        <w:t>ZW1528 is being developed for patients with respiratory inflammation, targeting IL-4R</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and IL-33 receptors. Competing development-stage therapies with a similar profile include AK139, the IL-4Ra/ST2 bispecific from Akeso Bio.</w:t>
      </w:r>
    </w:p>
    <w:p>
      <w:pPr>
        <w:spacing w:after="0" w:line="19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ZW209 is being developed for patients with solid tumors that express DLL3. Competing approved DLL3-targeted therapies include Amgen’s IMDELLTRA (tarlatamab). Key DLL3-targeted TCEs under development include Boehringer Ingelheim’s BI 764532, Merck’s gocatamig (MK-6070, formerly HPN328), Chugai/Roche’s ALPS12 (RG6524), Qilu’s QLS31904 and Zelgen’s alveltamig (ZG006). Alternative approaches targeting DLL3 include ADCs, radioconjugates and bispecific antibodies, such as Zai Labs’ zocilurtatug (ZL-1310), Roche/Innovent’s IBI3009, IDEAYA Biosciences’ IDE849, Phanes Therapeutics’ Peluntamig (PT217) and Abdera’s ABD-147.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and corresponding regulatory authorities will ultimately review our clinical results and determine whether our product candidates are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regulatory agency has made any such determination that any of our product candidates are effective for use by the general public for any indication.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Our ADC product candidates are comprised of both a drug product and a biologic product, and will therefore be subject to regulation in the United States as combination products. If marketed individually, each component would be subject to different regulatory pathways and would require approval of independent marketing applications by the FDA. A combination product, however, is assigned to an FDA center that will have primary jurisdiction</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over its regulation based on a determination of the combination product’s primary mode of action, which is the single mode of action that provides the most important therapeutic action. In the case of our ADCs, we believe that the primary mode of action is attributable to the biologic component of the product. Thus, our ADC product candidates are regulated as therapeutic biologics, with the FDA’s Center for Drug Evaluation and Research having primary jurisdiction over premarket development. Our antibody therapeutics, including MSATs, are also regulated as therapeutic biologics by the FDA’s Center for Drug Evaluation and Research.</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Biological products are subject to regulation under the Federal Food, Drug, and Cosmetic Act, the Public Health Service Act, and other federal, state, local and foreign statutes and regulations. Our product candidates must be approved by the FDA before they may be legally marketed in the United States and by the appropriate foreign regulatory agency before they may be legally marketed in foreign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Products Development Process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biologic may be marketed in the United States generally involves the following:</w:t>
      </w:r>
    </w:p>
    <w:p>
      <w:pPr>
        <w:spacing w:after="0" w:line="117" w:lineRule="exact"/>
        <w:rPr>
          <w:sz w:val="20"/>
          <w:szCs w:val="20"/>
          <w:color w:val="auto"/>
        </w:rPr>
      </w:pPr>
    </w:p>
    <w:p>
      <w:pPr>
        <w:ind w:left="580" w:right="100" w:hanging="329"/>
        <w:spacing w:after="0" w:line="282" w:lineRule="auto"/>
        <w:tabs>
          <w:tab w:leader="none" w:pos="5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sometimes referred to as preclinical, laboratory tests and preclinical animal trials and applicable requirements for the humane use of laboratory animals and formulation studies in accordance with applicable regulations, including GLP;</w:t>
      </w:r>
    </w:p>
    <w:p>
      <w:pPr>
        <w:spacing w:after="0" w:line="5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580" w:hanging="329"/>
        <w:spacing w:after="0" w:line="258" w:lineRule="auto"/>
        <w:tabs>
          <w:tab w:leader="none" w:pos="5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current good clinical practice (“cGCP”) regulations and any additional requirements for the protection of human research subjects and their health information, to establish the safety and efficacy of the proposed biological product for its intended use.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75" w:lineRule="exact"/>
        <w:rPr>
          <w:rFonts w:ascii="Times New Roman" w:cs="Times New Roman" w:eastAsia="Times New Roman" w:hAnsi="Times New Roman"/>
          <w:sz w:val="18"/>
          <w:szCs w:val="18"/>
          <w:color w:val="auto"/>
        </w:rPr>
      </w:pPr>
    </w:p>
    <w:p>
      <w:pPr>
        <w:ind w:left="580" w:right="820" w:hanging="329"/>
        <w:spacing w:after="0" w:line="282" w:lineRule="auto"/>
        <w:tabs>
          <w:tab w:leader="none" w:pos="5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marketing approval that includes substantive evidence of safety, purity, and potency from results of nonclinical testing and clinical trials;</w:t>
      </w:r>
    </w:p>
    <w:p>
      <w:pPr>
        <w:spacing w:after="0" w:line="53" w:lineRule="exact"/>
        <w:rPr>
          <w:rFonts w:ascii="Times New Roman" w:cs="Times New Roman" w:eastAsia="Times New Roman" w:hAnsi="Times New Roman"/>
          <w:sz w:val="18"/>
          <w:szCs w:val="18"/>
          <w:color w:val="auto"/>
        </w:rPr>
      </w:pPr>
    </w:p>
    <w:p>
      <w:pPr>
        <w:ind w:left="580" w:right="240" w:hanging="329"/>
        <w:spacing w:after="0" w:line="266" w:lineRule="auto"/>
        <w:tabs>
          <w:tab w:leader="none" w:pos="5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biological product is produced to assess compliance with cGMP requirements to assure that the facilities, methods and controls are adequate to preserve the biological product’s identity, strength, quality and purity;</w:t>
      </w:r>
    </w:p>
    <w:p>
      <w:pPr>
        <w:spacing w:after="0" w:line="6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study sites that generated the data in support of the BLA; and</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sequential phases that may overlap or be combined:</w:t>
      </w:r>
    </w:p>
    <w:p>
      <w:pPr>
        <w:spacing w:after="0" w:line="113" w:lineRule="exact"/>
        <w:rPr>
          <w:sz w:val="20"/>
          <w:szCs w:val="20"/>
          <w:color w:val="auto"/>
        </w:rPr>
      </w:pPr>
    </w:p>
    <w:p>
      <w:pPr>
        <w:ind w:left="660" w:right="80" w:hanging="328"/>
        <w:spacing w:after="0" w:line="268"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Phase 1. </w:t>
      </w:r>
      <w:r>
        <w:rPr>
          <w:rFonts w:ascii="Times New Roman" w:cs="Times New Roman" w:eastAsia="Times New Roman" w:hAnsi="Times New Roman"/>
          <w:sz w:val="18"/>
          <w:szCs w:val="18"/>
          <w:color w:val="auto"/>
        </w:rPr>
        <w:t>The biological product candidate is initially introduced into healthy human volunteers and tested for safety. In the case of some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severe or life-threatening diseases, especially when the product may be too inherently toxic to ethically administer to healthy volunteers, the initial human testing is often conducted in patients.</w:t>
      </w:r>
    </w:p>
    <w:p>
      <w:pPr>
        <w:spacing w:after="0" w:line="62" w:lineRule="exact"/>
        <w:rPr>
          <w:rFonts w:ascii="Times New Roman" w:cs="Times New Roman" w:eastAsia="Times New Roman" w:hAnsi="Times New Roman"/>
          <w:sz w:val="18"/>
          <w:szCs w:val="18"/>
          <w:b w:val="1"/>
          <w:bCs w:val="1"/>
          <w:i w:val="1"/>
          <w:iCs w:val="1"/>
          <w:color w:val="auto"/>
        </w:rPr>
      </w:pPr>
    </w:p>
    <w:p>
      <w:pPr>
        <w:ind w:left="660" w:right="400" w:hanging="328"/>
        <w:spacing w:after="0" w:line="268"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Phase 2. </w:t>
      </w:r>
      <w:r>
        <w:rPr>
          <w:rFonts w:ascii="Times New Roman" w:cs="Times New Roman" w:eastAsia="Times New Roman" w:hAnsi="Times New Roman"/>
          <w:sz w:val="18"/>
          <w:szCs w:val="18"/>
          <w:color w:val="auto"/>
        </w:rPr>
        <w:t>The biological product candidate is evaluated in a limited patient population to identify possible adverse effects and safety risks,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preliminarily evaluate the efficacy of the product for specific targeted diseases and to determine dosage tolerance, optimal dosage and dosing schedule.</w:t>
      </w:r>
    </w:p>
    <w:p>
      <w:pPr>
        <w:spacing w:after="0" w:line="62" w:lineRule="exact"/>
        <w:rPr>
          <w:rFonts w:ascii="Times New Roman" w:cs="Times New Roman" w:eastAsia="Times New Roman" w:hAnsi="Times New Roman"/>
          <w:sz w:val="18"/>
          <w:szCs w:val="18"/>
          <w:b w:val="1"/>
          <w:bCs w:val="1"/>
          <w:i w:val="1"/>
          <w:iCs w:val="1"/>
          <w:color w:val="auto"/>
        </w:rPr>
      </w:pPr>
    </w:p>
    <w:p>
      <w:pPr>
        <w:ind w:left="660" w:right="100" w:hanging="328"/>
        <w:spacing w:after="0" w:line="268"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Phase 3. </w:t>
      </w:r>
      <w:r>
        <w:rPr>
          <w:rFonts w:ascii="Times New Roman" w:cs="Times New Roman" w:eastAsia="Times New Roman" w:hAnsi="Times New Roman"/>
          <w:sz w:val="18"/>
          <w:szCs w:val="18"/>
          <w:color w:val="auto"/>
        </w:rPr>
        <w:t>Clinical trials are undertaken to further evaluate dosage, clinical efficacy, potency, and safety in an expanded patient population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geographically dispersed clinical study sites. These clinical trials are intended to establish the overall risk/benefit ratio of the product and provide an adequate basis for product labelling.</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reporting, monitoring and auditing of all clinical activities, clinical data, and clinical study investigators.</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 sponsor, an institutional review board (“IRB”) or independent ethics committee, the FDA or other regulatory or monitoring authorities may suspend a clinical study at any time on various grounds, including a finding that the research subjects or patients are being exposed to an unacceptable health risk, failure to conduct the clinical trial in accordance with regulatory requirements or clinical protocols, failure to demonstrate a benefit from using the investigational drug, changes in government regulations or administrative actions.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submit a summary of the results of their clinical trials after completion of a trial, unless an extension or a certification permitting delayed submission is obtained from the government.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candidate, FDA approval of a BLA must be obtained before commercial marketing of the biological product. When a BLA is submitted, the FDA conducts a preliminary review to determine whether the application is sufficiently complete to be accepted for filing. If it is not, the FDA may refuse to file the application and request additional information, in which case the application must be resubmitted with the supplemental information, and review of the application is delayed. Upon accepting the BLA for filing, the FDA will conduct an in-depth review of the BLA and may hold a public hearing where an independent advisory committee of expert advisors considers key questions regarding the product candidate. This advisory committee makes a recommendation to the FDA, which is not binding on the FDA, but is generally followed.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programs if they are intended to address an unmet medical need in the treatment of a serious or life-threatening disease or condition. In particular, the FDA may designate a product for Fast Track designation if it is intended, whether alone or in combination with one or more other drugs, for the treatment of a serious or life-threatening disease or condition, and it demonstrates the potential to address unmet medical needs for such a disease or condition. For Fast Track designated products, sponsors may have a higher number of interactions with the FDA and may be eligible for “rolling review” where review of sections of a Fast Track product’s New Drug Application or BLA is initiated before the full New Drug Application or BLA application is complete. The FDA has granted two Fast Track designations to zanidatamab for the first-line treatment of patients with HER2-overexpressing gastroesophageal adenocarcinoma in combination with standard of care chemotherapy and for previously treated or recurrent gene-amplified BTC.</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FDA also may designate a product as a Breakthrough Therapy if it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important endpoints, such as substantial treatment effects observed early in clinical development. For products that have been designated as a Breakthrough Therapy, interaction and communication between the FDA and the sponsor of the trial can help to identify the most efficient path for clinical development while minimizing the number of patients placed in ineffective control regimens. The FDA has granted Breakthrough Therapy designation for zanidatamab in HER2 gene-amplified BTC patients who have received prior systemic chemotherapy. Products designated as a Breakthrough Therapy by the FDA can also be eligible for accelerated approval. In December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certain applications for approval must include an assessment, generally based on clinical study data, of the safety and effectiveness of the subject drug in relevant pediatric populations. The FDA may waive or defer the requirement for a pediatric assessment, either at a company’s request or by the FDA’s initiative. The FDA may determine that a Risk Evaluation and Mitigation Strategy (“REMS”) is necessary to ensure that the benefits of a new product outweigh its risks. A REMS may include various elements, ranging from a medication guide or patient package insert to limitations on who may prescribe or dispense the drug or other elements to assure safe use, depending on what the FDA considers necessary for the safe use of the drug.</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cGCP requirements.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may interpret data differently than the applicant interprets the same data. If the FDA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 The FDA’s “real time” release of newly issued Complete Response Letters associated with withdrawn or abandoned applications, if applicable to any of our product candidates, can materially impact our competitive advantage and intellectual property.</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Orphan Drug Act established incentives for the development of drugs intended to treat rare diseases or conditions, which generally are diseases or conditions affecting less than 200,000 individuals in the United States at the time of the request for orphan designation. If a sponsor demonstrates that a drug is intended to treat a rare disease or condition and meets other applicable requirements, the FDA grants Orphan Drug Designation to the product for that use. The FDA has granted zanidatamab Orphan Drug Designation for the treatment of BTC and GEA.</w:t>
      </w:r>
    </w:p>
    <w:p>
      <w:pPr>
        <w:spacing w:after="0" w:line="180"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The benefits of Orphan Drug Designation include tax credits for clinical testing expenses and exemption from user fees. A drug candidate that is approved for the orphan drug designated use typically is granted seven years of orphan drug exclusivity. During that period, the FDA generally may not approve any other application for the same product for the same indication, although there are exceptions, most notably when the later product is shown to be clinically superior to the product with exclusivity. However, the FDA Reauthorization Act, which was enacted in 2017, requires, among other things, that certain orphan drugs for cancer be tested for children. The government has also increased focus on the potential misuse of the orphan drug approval process to increase the price of orphan drugs.</w:t>
      </w:r>
    </w:p>
    <w:p>
      <w:pPr>
        <w:spacing w:after="0" w:line="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 Catalyst Pharms., Inc. v. Becerra, 14 F.4th 1299 (11th Cir. 2021), the court disagreed with the FDA’s longstanding position that the orphan drug exclusivity only applies to the approved use or indication within an eligible disease, and not to all uses or indications within the entire disease or condition. In January 2023, the FDA published a notice in the Federal Register to clarify that while the agency complies with the court’s order in Catalyst, the FDA intends to continue to apply its longstanding interpretation of the regulations to matters outside of the scope of the Catalyst order.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in June 2024, the U.S. Supreme Court overruled the Chevron doctrine, which gives deference to regulatory agencies’ statutory interpretations in litigation against federal government agencies, such as the FDA, where the law is ambiguous. This Supreme Court decision may invite various stakeholders to bring lawsuits against the FDA to challenge longstanding decisions and policies, which could lead to uncertainties in the industry. Changes in the leadership of the FDA and other federal agencies under the new Presidential administration may lead to new policies and changes in the regulations that may impact our clinical development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Even if regulatory approval is granted, a marketed product is subject to continuing comprehensive requirements under federal, state and foreign laws and regulations, including requirements and restrictions regarding adverse event reporting, recordkeeping, marketing, and compliance with cGMP. Adverse events reported after approval of a drug can result in additional restrictions on the use of a marketed product or requirements for additional post-marketing studies or clinical trials.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compliance with cGMP requirements and other laws.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 Discovery of previously unknown problems or the failure to comply with the applicable regulatory requirements relating to the manufacture or promotion of an approved product may result in restrictions on the marketing of a product or withdrawal of the product from the market as well as significant administrative, civil or criminal sanctions.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2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2010 Patient Protection and Affordable Care Act (“PPACA”) includes a subtitle called the Biologics Price Competition and Innovation Act of 2009 (“BPCIA”), which created an abbreviated approval pathway for biological products that are biosimilar to or interchangeable with an FDA-licensed reference biological product.</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BPCIA,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the first interchangeable for biologic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Canadian Review and Approval Process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In Canada, our biologic product candidates and our research and development activities are primarily regulated by the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and the rules and regulations thereunder, which are enforced by Health Canada. Health Canada regulates, among other things, the research, development, testing, manufacture, packaging, storage, recordkeeping, labeling, advertising, promotion, distribution, post-approval monitoring, marketing and import and export of pharmaceutical products. Drug approval laws require licensing of manufacturing facilities, carefully controlled research and testing of products, and government review and approval of experimental results prior to giving approval to sell drug products, including biologic drug products. Regulators also typically require that rigorous and specific standards such as cGMP, GLP and cGCP are followed in the manufacture, testing and clinical development, respectively, of any drug product. The processes for obtaining regulatory approvals in Canada, along with subsequent compliance with applicable statutes and regulations, require the expenditure of substantial time and financial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steps required for drug approval in Canada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Toxicology Studies and Clinical Trials</w:t>
      </w:r>
    </w:p>
    <w:p>
      <w:pPr>
        <w:spacing w:after="0" w:line="22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Non-clinical studies are conducted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in animals to evaluate pharmacokinetics, metabolism and possible toxic effects to provide evidence of the safety of the drug candidate prior to its administration to humans in clinical studies and throughout development. Such studies are conducted in accordance with applicable laws and GLP.</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Canada, the process of conducting clinical trials with a new drug cannot begin until a Clinical Trial Application (“CTA”) is submitted and the required number of days has lapsed without objection from Health Canada. Biological drugs carry additional risks, as compared to traditional small-molecule drugs, associated with complexity and variability in manufacturing that can contribute to increased lot-to-lot variation of the final product, and with the potential for adventitious agents. Therefore, the content requirements for the quality information for biological drugs to be used in clinical trials are different from those for standard small-molecule pharmaceutical drugs (for example, the inclusion of information on manufacturing facilities is required for biological drugs). In addition, it is necessary to have more stringent controls on the release of biologic drug lots used in authorized clinical trials.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Similar regulations apply in Canada regarding clinical trials as in the United States. In Canada, Research Ethics Boards (“REBs”), instead of IRBs, are used to review and approve clinical trial plans. Human clinical trials are typically conducted in three sequential phases, as discussed above in the context of government regulation in the United States.</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cGMP requirements. Investigational drugs and active pharmaceutical ingredients imported into Canada are also subject to regulation by Health</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Canada relating to their labeling and distribution. Progress reports detailing the results of the clinical trials must generally be submitted at least annually to Health Canada and/or the applicable REBs, and more frequently if serious adverse events occur.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Drug Submission</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Upon successful completion of Phase 3 clinical trials, the company sponsoring a new drug then assembles all the preclinical and clinical data and other testing relating to the product’s pharmacology, chemistry, manufacture, and controls, and submits it to Health Canada as part of a New Drug Submission (“NDS”). The NDS is then reviewed by Health Canada for approval to market the drug.</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testing and approval process for an NDS requires substantial time, effort and financial resources, and may take several years to complete. Biologic drugs, such as our candidates, differ from standard small-molecule drugs in that applicants must include more detailed chemistry and manufacturing information. This is necessary to help ensure the purity and quality of the product, for example to help ensure that it is not contaminated by an undesired microorganism. Data obtained from preclinical and clinical testing are not always conclusive and may be susceptible to varying interpretations, which could delay, limit or prevent regulatory approval. Health Canada may not grant approval of an NDS on a timely basis, or at all.</w:t>
      </w:r>
    </w:p>
    <w:p>
      <w:pPr>
        <w:spacing w:after="0" w:line="183"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Even if Health Canada approves a product candidate, it may limit the approved indications for use of the product candidate, require that contraindications, warnings or precautions be included in the product labeling, require that post-approval studies be conducted to further assess a drug’s safety after approval, require testing and surveillance programs to monitor the product after commercialization, or impose other conditions, including distribution restrictions or other risk management mechanisms.</w:t>
      </w:r>
    </w:p>
    <w:p>
      <w:pPr>
        <w:spacing w:after="0" w:line="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Biologic products in particular are monitored post-approval by being placed on a lot-release schedule tailored to their potential risk, manufacturing, testing and inspection history as of the date of this report. With higher-risk biologics, each lot is tested before being released for sale in Canada. Moderate-risk biologics are periodically tested at the discretion of Health Canada while manufacturers of low-risk biologics usually only need to contact Health Canada regarding lots being sold or for providing certification of complete and satisfactory testing. Products are carefully scrutinized before they are placed in any level of the lot-release process, and the testing regime for a biologic may be altered at any time. In December 2022, the Minister of Health in Canada published proposed amendments to the Food and Drug Regulations, and several of the amendments relate to biologic drugs. The purpose of the amendments is to modernize the biologics regulatory regime by repealing outdated requirements and replacing them with those that reflect current safety practices. Proposed amendments include enabling Health Canada to require certain labelling statements for safety reasons on a case-by-case basis, and</w:t>
      </w:r>
    </w:p>
    <w:p>
      <w:pPr>
        <w:spacing w:after="0" w:line="1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clarifying the Minister’s authority to consider information or material obtained during on-site evaluations. Other proposed amendments include clarifying the record retention expectations for market authorization holders, and providing a general framework to minimize the potential for contamination of drugs,</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active ingredients and biological source material between processes. The proposed amendments were finalized in 2024, and the provisions relating to biologic drugs were brought into force on July 1, 2025. In June 2025, Health Canada opened a consultation for stakeholders and interested parties to submit comments on new draft biosimilar submission guidance. The consultation closed in September 2025, and the timeline for implementation or further revisions to this new guidance is unknown.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Health Canada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notification, and regulatory authority review and approval. Further, should new safety information arise, additional testing, product labeling or regulatory notification may be required.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Canadian Biosimilars and Exclusivity</w:t>
      </w:r>
    </w:p>
    <w:p>
      <w:pPr>
        <w:spacing w:after="0" w:line="22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term biosimilar is used by Health Canada to describe a biologic drug that enters the market subsequent to a version previously authorized in Canada and with demonstrated similarity to a reference biologic drug. Accordingly, a biosimilar (previously known in Canada as a subsequent entry biologic or SEB) will in all instances be a subsequent entrant onto the Canadian market.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Health Canada guidance documents, a biosimilar can rely in part on prior information regarding safety and efficacy that is deemed relevant due to the demonstration of similarity to the reference biologic drug and which influences the amount and type of original data required. Generic drugs are chemically derived products that are pharmaceutically equivalent to innovative drugs, whereas biosimilars are products of a biologic nature that are similar to innovative biologics. According to Health Canada, it is not currently possible to demonstrate that two biologic drugs are pharmaceutically equivalent, and therefore the regulatory approval process for generics and biosimilars is different: biosimilars are approved using the standard NDS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pathway with some allowances made for reduced safety and efficacy information set out in guidance documents, while generic drugs are approved using an abbreviated new drug submission pathway set out in guidance and law. In part because it continues to be set out only in guidance and not law, the pathway for receiving biosimilar approval is somewhat in flux and subject to some uncertainty.</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As discussed above, all biosimilars enter the market subsequent to a biologic drug product previously approved in Canada and to which the biosimilar is considered similar. As such, biosimilars are subject to existing laws and regulations outlined in the </w:t>
      </w:r>
      <w:r>
        <w:rPr>
          <w:rFonts w:ascii="Times New Roman" w:cs="Times New Roman" w:eastAsia="Times New Roman" w:hAnsi="Times New Roman"/>
          <w:sz w:val="18"/>
          <w:szCs w:val="18"/>
          <w:i w:val="1"/>
          <w:iCs w:val="1"/>
          <w:color w:val="auto"/>
        </w:rPr>
        <w:t>Patented Medicines (Notice of Compliance) Regulations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Food and Drug Regulations</w:t>
      </w:r>
      <w:r>
        <w:rPr>
          <w:rFonts w:ascii="Times New Roman" w:cs="Times New Roman" w:eastAsia="Times New Roman" w:hAnsi="Times New Roman"/>
          <w:sz w:val="18"/>
          <w:szCs w:val="18"/>
          <w:color w:val="auto"/>
        </w:rPr>
        <w:t>, and related guidance documents.</w:t>
      </w:r>
    </w:p>
    <w:p>
      <w:pPr>
        <w:spacing w:after="0" w:line="174"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 xml:space="preserve">Similar to the Hatch-Waxman Amendments in the United States, Canada has the </w:t>
      </w:r>
      <w:r>
        <w:rPr>
          <w:rFonts w:ascii="Times New Roman" w:cs="Times New Roman" w:eastAsia="Times New Roman" w:hAnsi="Times New Roman"/>
          <w:sz w:val="18"/>
          <w:szCs w:val="18"/>
          <w:i w:val="1"/>
          <w:iCs w:val="1"/>
          <w:color w:val="auto"/>
        </w:rPr>
        <w:t>Patented Medicines (Notice of Compliance) Regulations,</w:t>
      </w:r>
      <w:r>
        <w:rPr>
          <w:rFonts w:ascii="Times New Roman" w:cs="Times New Roman" w:eastAsia="Times New Roman" w:hAnsi="Times New Roman"/>
          <w:sz w:val="18"/>
          <w:szCs w:val="18"/>
          <w:color w:val="auto"/>
        </w:rPr>
        <w:t xml:space="preserve"> which require a company that files a drug submission that references a patented product to address any relevant patents listed on the Patent Register prior to being able to receive approval from Health Canada. The Canadian regime is similar to the U.S. regime, but a number of distinctions do exist.</w:t>
      </w:r>
    </w:p>
    <w:p>
      <w:pPr>
        <w:spacing w:after="0" w:line="17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Like the United States, Canada also has data protection in addition to patent protection, but again differences exist between the two jurisdictions. For example, Canada’s data protection applies to “innovative drugs” (i.e., a drug that contains a medicinal ingredient not previously approved in a drug by the Minister of Health and that is not a variation of a previously approved medicinal ingredient such as a salt, ester, enantiomer, solvate or polymorph) and, where it exists, lasts for eight years in most (but not all) circumstances. In general biologics can be considered innovative drugs but biosimilars are not.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22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In addition to the foregoing, provincial, state and federal U.S. and Canadian laws regarding environmental protection and hazardous substances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 and Canada</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studies and any commercial sales and distribution of our products. 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 in January 2022, the Clinical Trials Regulation (CTR) repealed the Clinical Trials Directive (EC) No. 2001/20/EC and national implementing legislation in the EU Member States. The CTR harmonizes the processes for assessment and supervision of clinical trials throughout the EU. Clinical trial sponsors must apply to start a new clinical trial via the Clinical Trials Information System (CTIS), and any trials approved under the Clinical Trials Directive that continue running need to comply with the CTR and their sponsors must have recorded information on them in CTIS. National regulators in the EU Member States and EU/EEA countries use the CTIS.</w:t>
      </w:r>
    </w:p>
    <w:p>
      <w:pPr>
        <w:spacing w:after="0" w:line="1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studies, product licensing, coverage, pricing and reimbursement vary from country to country. In all cases, the clinical studies are conducted in accordance with cGCP and the applicable regulatory requirements and the ethical principles that have their origin in the Declaration of Helsinki.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pricing and the availability of coverage and adequate reimbursement from third-party payors.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requiring pre-approval of coverage for new or innovative drug therapies before they will reimburse healthcare providers who use such therapies, and by limiting the amount of reimbursement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 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9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w:t>
      </w:r>
    </w:p>
    <w:p>
      <w:pPr>
        <w:spacing w:after="0" w:line="176"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In international markets, pricing,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 effective by third-party payors, that coverage or an adequate level of reimbursement will be available or that third-party payors’ reimbursement policies will not adversely affect our ability or our partners’ ability to sell our products profitably.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United States and some other jurisdictions are considering or have enacted a number of legislative and regulatory proposals to change the healthcare system in ways that could affect our ability to sell our future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Various industry stakeholders have initiated lawsuits against the federal government asserting that the price negotiation provisions of the Inflation Reduction Act are unconstitutional. Further, the current administration has issued executive orders focused on decreasing prescription drug prices, including directing the Secretary of HHS to establish a mechanism through which U.S.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November 2025, the Centers for Medicare &amp; Medicaid Services announced a voluntary initiative called the GENEROUS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can have a material adverse effect on our industry, ability to set adequate pricing for new drugs to recover research and development costs, ability to attract potential investors and potential buyers in the future, or the pricing of our approved product in the United States and in foreign countries. The impact of these and future legislative, executive, and administrative actions implemented by the government on us and the pharmaceutical industry as a whole is unclear.</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We expect that the PPACA, as well as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 once regulatory approval is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the United States, the research, manufacturing, distribution, sale and promotion of drug products are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If our operations are found to be in violation of any of the U.S. federal and state laws described above or any other governmental regulations that apply to us, we may be subject to penalties, including criminal and significant civil monetary penalties, damages, fines, disgorgement, imprisonment, exclusion from participation in government healthcare programs, injunctions, recall or seizure of products, total or partial suspension of production, denial or withdrawal of pre-marketing product approvals, private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brought by individual whistleblowers in the name of the government or refusal to allow us to enter into supply contracts, including government contracts, and the curtailment or restructuring of our operations, any of which could adversely affect our ability to operate our business and our results of operations. We may also be subject to additional reporting requirements and oversight if we become subject to a corporate integrity agreement or similar agreement with a governmental entity to resolve allegations that we have violated these laws. To the extent that any of our product candidates, once approved, are sold in a foreign country, we may be subject to similar foreign laws and regulations, which may include, for instance, applicable post-approval requirements, including safety surveillance, anti-fraud and abuse laws, and implementation of corporate compliance programs and reporting of payments or transfers of value to healthcare professionals.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 clinical-stage biopharmaceutical company, we do not currently possess the commercial infrastructure required to launch and market our product candidates. For zanidatamab, we have entered into a development and commercialization agreement with BeOne whereby BeOne is responsible for certain clinical development activities and all commercial activities in Asia (excluding Japan but including the People’s Republic of China, South Korea and other countries), Australia and New Zealand. For zanidatamab, under the Amended Jazz Collaboration Agreement, Jazz is responsible for all development and commercial activities with respect to the Licensed Products in the Territory. There are no other agreements granting commercialization rights to zanidatamab or any of our other product candidates.</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access the sales, marketing and distribution capacity required to market our drug candidates, we plan to selectively establish additional partnerships with biotechnology and pharmaceutical companies having established commercial capabilities in relevant indications. The timing and nature of such agreements will be determined by many factors, including market size and complexity, as well as access to pre-commercial and commercial infrastructure. In addition, as part of our revised corporate strategy, we do not currently intend to commercialize any of our product candidates on our own, though we retain the flexibility to reevaluate this intention if we believe doing so is in our and our stockholders’ best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of December 31, 2025, we had 264 full-time employees, 204 of whom were primarily engaged in research and development activities and 60 of whom hold an M.D. or Ph.D. degree. 184 of our full-time employees were based in Canada, 66 were based in the United States, and 14 were based in Singapore, Ireland and United Kingdom (the “UK”) combined.</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ability to achieve our mission is dependent upon attracting and retaining the right talent. We seek to provide what we consider to be a competitive mix of compensation and benefits for all our employees, including participation in our equity programs.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everyone belongs at Zymeworks and we are committed to providing equal opportunities for our employees. This means ensuring we have good representation in our workforce from within the communities in which we operate, conducting training to remove biases in our processes and activities, and respecting all employees’ rights, cultures, diversity, and dignity.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consider our employees to be an essential driver of our business and key to our future prospects and believe that we have a good relationship with our employees. None of our employees are represented by a labor organization or covered by a collective bargaining arrangement.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Effective October 13, 2022, we became a Delaware corporation, following receipt of necessary shareholder, stock exchange, and court approvals (the “Redomicile Transactions”). Zymeworks Inc. was incorporated under the laws of the State of Delaware in June 2022. Our principal executive offices are located at 108 Patriot Drive, Suite A, Middletown, Delaware 19709, and our telephone number is (302) 274-8744. Our predecessor, now named Zymeworks BC Inc., was originally incorporated on September 8, 2003 under the Canada Business Corporations Act under the name “Zymeworks Inc.” On October 22, 2003, our predecessor was registered as an extra-provincial company under the Company Act (British Columbia), the predecessor to the Business Corporations Act (British Columbia) (“BCBCA”). Our predecessor continued to British Columbia under the BCBCA on May 2, 2017.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Annual Report on Form 10-K, our quarterly reports on Form 10-Q, our current reports on Form 8-K, and any amendments to these reports are filed, or will be filed, as appropriate, with the SEC and the Canadian Securities Administrators (“CSA”). These reports are available free of charge on our website, www.zymeworks.com, as soon as reasonably practicable after we electronically file such reports with or furnish such reports to the SEC and the Canadian regulatory authorities. Information contained on, or accessible through, our website is not a part of this Annual Report on Form 10-K, and the inclusion of our website address in this document is an inactive textual reference.</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Additionally, our filings with the SEC may be accessed through the SEC’s website at www.sec.gov and our filings with the CSA may be accessed through the Canadian System for Electronic Document Analysis and Retrieval (“SEDAR+”) at www.sedarplus.ca.</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in addition to the other information contained in this Annual Report on Form 10-K, including our consolidated financial statements and related notes. If any of the events described in the following risk factors occurs, our business, operating results and financial condition could be seriously harmed.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 See “Cautionary Note Regarding Forward-Looking Statements.” The risks below are not the only risks facing our company. Risks and uncertainties not currently known to us or that we currently deem to be immaterial also may materially adversely affect our business, financial condition, results of operations, and/or prospects. Our Risk Factors are not guarantees that no such conditions exist as of the date of this report and should not be interpreted as an affirmative statement that such risks or conditions have not materialized, in whole or in part.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shares of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 before making an investment decision regarding shares of our common stock.</w:t>
      </w:r>
    </w:p>
    <w:p>
      <w:pPr>
        <w:spacing w:after="0" w:line="7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adoption of a royalty-driven asset aggregation strategy is unproven and may not be successful.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transactions could disrupt our business, cause dilution to our stockholders and otherwise harm our business.</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prospects depend upon successfully discovering or acquiring favorable assets and progressing the assets through preclinical and clinical development.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therapeutic platforms to build a pipeline of product candidates.</w:t>
      </w:r>
    </w:p>
    <w:p>
      <w:pPr>
        <w:spacing w:after="0" w:line="11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partnered product candidates do not meet regulatory and commercial milestones, or experience significant delays in doing so, our results of operations will be materially adversely affected.</w:t>
      </w:r>
    </w:p>
    <w:p>
      <w:pPr>
        <w:spacing w:after="0" w:line="53"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collaborative relationships with Jazz, BeOne and J&amp;J to further develop and commercialize zanidatamab and other product candidates, and if our relationships are not successful or are terminated, we may be delayed in or unable to effectively develop and/or commercialize zanidatamab and other product candidates, which could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660" w:right="360" w:hanging="328"/>
        <w:spacing w:after="0" w:line="312"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p>
    <w:p>
      <w:pPr>
        <w:spacing w:after="0" w:line="31" w:lineRule="exact"/>
        <w:rPr>
          <w:rFonts w:ascii="Times New Roman" w:cs="Times New Roman" w:eastAsia="Times New Roman" w:hAnsi="Times New Roman"/>
          <w:sz w:val="17"/>
          <w:szCs w:val="17"/>
          <w:color w:val="auto"/>
        </w:rPr>
      </w:pPr>
    </w:p>
    <w:p>
      <w:pPr>
        <w:ind w:left="660" w:right="5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clinical trials is inherently uncertain, and current and planned clinical trials may not satisfy the requirements of the FDA or comparable regulatory authorities outside the United States.</w:t>
      </w:r>
    </w:p>
    <w:p>
      <w:pPr>
        <w:spacing w:after="0" w:line="5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for product candidates are prolonged, delayed or stopped, we may be unable to successfully partner our product candidates, or obtain regulatory approval and commercialize product candidates on a timely basis, or at all, which could require us to incur additional costs and delay our receipt of any product revenue.</w:t>
      </w:r>
    </w:p>
    <w:p>
      <w:pPr>
        <w:spacing w:after="0" w:line="6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Undesirable side effects from product candidates may delay or prevent marketing approval or, if approved, require withdrawal from the market, inclusion of safety warnings, or otherwise limit sales.</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any competitors develop and market products that are more effective, safer and/or less expensive than our partnered product candidates, our ability to generate revenue will be negatively impacted.</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zanidatamab or any current or future partnered product candidate that receives regulatory approval in the future does not achieve broad market acceptance among physicians, patients, the medical community and third-party payors, revenue generated from commercialization efforts will be materially and adversely impacted.</w:t>
      </w:r>
    </w:p>
    <w:p>
      <w:pPr>
        <w:spacing w:after="0" w:line="6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healthcare regulations and reimbursement decisions by third-party payors may have an adverse effect on pricing and market acceptance.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6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product liability lawsuits are successfully brought against us or any of our strategic partners, we may incur substantial liabilities and commercialization efforts of zanidatamab or any other approved partnered products may need to be limited.</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our strategic partners or any of our third-party manufacturers encounter manufacturing difficulties, supply of product candidates for clinical trials or any approved products for patients could be delayed or prevented.</w:t>
      </w:r>
    </w:p>
    <w:p>
      <w:pPr>
        <w:spacing w:after="0" w:line="53"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anticipate that we will continue to incur losses for the foreseeable future. We have only one product approved for commercial sale, and, as of December 31, 2025, we have not received any revenue or profit from product sales, other than the receipt of royalties relating to sales of zanidatamab. We may never achieve or sustain profitability.</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manufacturers to produce our product candidates and on other third parties to provide supplies and store, monitor and transport bulk drug substance and drug product. We and our strategic partners may encounter difficulties with respect to these activities that could delay or impair our or our strategic partners’ ability to initiate or complete our clinical trials or commercialize products.</w:t>
      </w:r>
    </w:p>
    <w:p>
      <w:pPr>
        <w:spacing w:after="0" w:line="67"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strategic partners rely on third parties to monitor, support, conduct and oversee clinical trials of product candidates and, in some cases, to maintain regulatory files for those product candidates. Our partnered product candidates may not receive regulatory approval or be successfully commercialized if we or our strategic partners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56"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and trade secret protection for our product candidates and related technology, our business could be materially harmed.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protect the confidentiality of our proprietary information, the value of our technology and products could be adversely affected.</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 changes could adversely affect our business and financial condition.</w:t>
      </w:r>
    </w:p>
    <w:p>
      <w:pPr>
        <w:spacing w:after="0" w:line="11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incidents, loss of data and other disruptions could compromise sensitive information related to our business or protected health information or prevent us from accessing critical information and expose us to liability, which could adversely affect our business and our reputation.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likely to be volatile and the market price of our common stock may drop below the price paid by stockholders.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adoption of a royalty-driven asset aggregation strategy is unproven and may not be successful.</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evolving our business strategy to help enhance long-term stockholder value through thoughtful capital allocation, while continuing to pursue meaningful impact on patient outcomes through our research and development efforts. We believe that, if we can successfully implement this royalty-driven asset aggregation strategy through continued partnering as well as potential acquisitions, the anticipated royalty and milestone revenues could serve as both a longer-term funding source for our continued research and development operations and as a foundation from which to grow our self-contained royalty income over the longer term. There can be no assurance that we will be successful or will achieve the intended results.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new strategy requires revisions to multiple facets of our business, including our organizational structure, operations, personnel and tax planning. Our new strategy may also result in delays and disruptions to existing research and development efforts, increased costs, loss of key personnel and diversion of management’s attention, any of which could materially adversely affect our business.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Even if we successfully implement our new strategy, we cannot be certain that anticipated royalty and milestone revenues will be sufficient to appropriately fund and advance our research and development pipeline or enhance long-term stockholder value.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transactions could disrupt our business, cause dilution to our stockholders and otherwise harm our business.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actively evaluate various strategic transactions, and we may acquire other businesses, products, product candidates, milestone payments and royalty streams, programs or technologies as well as pursue strategic alliances, joint ventures, investments in complementary businesses, out-licensing and in-licensing agreements, divestitures or other transactions. As part of our royalty-driven asset aggregation strategy, we plan to look for opportunities to augment our development pipeline with external programs and product candidates, as well as other opportunistic investments that may bolster our royalty-driven cash flows. Suitable acquisition or in-licensing opportunities on acceptable prices, terms and conditions may be limited. These transactions could be material to our financial condition and operating results and expose us to many risks, including:</w:t>
      </w:r>
    </w:p>
    <w:p>
      <w:pPr>
        <w:spacing w:after="0" w:line="7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existing strategic partners or suppliers as a result of such a transaction;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operations, products, product candidates or programs into our existing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1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w:t>
      </w:r>
    </w:p>
    <w:p>
      <w:pPr>
        <w:spacing w:after="0" w:line="2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face intense competition from larger, better-resourced companies in acquiring or in-licensing promising assets. We also face competition from other companies, funds and investment vehicles seeking to aggregate royalties or provide alternative financing to biotechnology companies. These competitors may have a lower cost of capital or access to greater amounts of capital and thereby may be able to successfully acquire assets that we are also targeting for acquisitions. There is a limited number of suitable and attractive acquisition or partnering opportunities available in the market, and competition to acquire such assets may be intense. In order to compete successfully in the current business climate, we may have to pay higher prices for assets than may have been paid historically, which may make it more difficult for us to realize an adequate return on any acquisition. Any future acquisitions or dispositions could result in dilutive issuances of our equity securities, the incurrence of debt, contingent liabilities or amortization expenses or write-offs of goodwill, any of which could harm our financial condition or reputation. We cannot predict the number, timing or size of any future strategic alliances, joint ventures, investments, acquisitions, divestitures or other strategic transactions, or the effect that any such transactions might have on our operating results.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upon successfully discovering or acquiring favorable assets and progressing the assets through preclinical and clinical development.</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investments in internally-developed or acquired assets may not yield promising product candidates, and even if such candidates advance into clinical studies, the historical failure rate of biopharmaceutical product candidates is high due to risks relating to safety, efficacy, clinical execution, changing standards of medical care, other unpredictable variables and the other factors discussed under “</w:t>
      </w:r>
      <w:r>
        <w:rPr>
          <w:rFonts w:ascii="Times New Roman" w:cs="Times New Roman" w:eastAsia="Times New Roman" w:hAnsi="Times New Roman"/>
          <w:sz w:val="18"/>
          <w:szCs w:val="18"/>
          <w:i w:val="1"/>
          <w:iCs w:val="1"/>
          <w:color w:val="auto"/>
        </w:rPr>
        <w:t>Risks Relating to Development of Product Candidates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outcome of clinical trials is inherently uncertain, and current and planned clinical trials may not satisfy the requirements of the FDA or comparable regulatory authorities outside the United States</w:t>
      </w:r>
      <w:r>
        <w:rPr>
          <w:rFonts w:ascii="Times New Roman" w:cs="Times New Roman" w:eastAsia="Times New Roman" w:hAnsi="Times New Roman"/>
          <w:sz w:val="18"/>
          <w:szCs w:val="18"/>
          <w:color w:val="auto"/>
        </w:rPr>
        <w:t>.” Results from preclinical testing or early clinical trials of our product candidates may not predict outcomes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later-stage clinical trials by us or future strategic partners.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 and we may discontinue or reprioritize the development of any of our product candidates at any time, at our discretion.</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Before advancing any of our product candidates into later stage development either alone or with a strategic partner, we must first conduct, at our own expense, extensive preclinical tests and early clinical trials to demonstrate the safety and potential efficacy of our product candidates in humans. Preclinical and clinical testing is expensive, difficult to design and implement, can take many years to complete and is uncertain as to outcome. Additionally, the results from nonclinical testing or early clinical trials of a product candidate may not predict the results that will be obtained in subsequent human clinical trials of that product candidate. There is a high failure rate for drugs proceeding through clinical studies. For example, in September 2025,</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announced the decision to discontinue the clinical development program of ZW171 based on completion of the planned cohorts of the dose escalation portion of the Phase 1 trial of ZW171 in patients with ovarian cancer and non-small cell lung cancer. After completing the planned dose escalation cohorts and establishing a maximum tolerated dose, we determined that further dose evaluation in the trial would be unlikely to support a benefit-risk profile consistent with the desired monotherapy target product profile. In addition, management may elect to discontinue development of certain product candidates to accommodate a shift in corporate strategy, despite positive clinical results. Based on our operating results and business strategy, among other factors, we may discontinue the development of any of our product candidates under development or reprioritize our focus on other product candidates at any time and at our discretion.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therapeutic platforms and product candidates that we identify for specific indications. As a result, we may forgo or delay pursuit of opportunities with other therapeutic platforms or product candidates or for other indications that later prove to have greater commercial potential.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our therapeutic platforms to build a pipeline of product candidates.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may not be able to develop product candidates that are safe and effective. Although we expect that our therapeutic platforms will allow us to develop further product candidates, they may not prove to be successful at doing so. Even if we are successful in continuing to build our pipeline, the potential product candidates that we identify may not be suitable for clinical development, including due to being shown to have harmful side effects or other characteristics that indicate that they are unlikely to receive marketing approval and achieve market acceptance. If we do not continue to successfully develop product candidates, we will face difficulty in obtaining product revenue or in securing additional partnerships and generating additional milestone and royalty revenues in future periods, which could result in significant harm to our financial position and adversely affect our stock price.</w:t>
      </w:r>
    </w:p>
    <w:p>
      <w:pPr>
        <w:spacing w:after="0" w:line="75" w:lineRule="exact"/>
        <w:rPr>
          <w:sz w:val="20"/>
          <w:szCs w:val="20"/>
          <w:color w:val="auto"/>
        </w:rPr>
      </w:pPr>
    </w:p>
    <w:p>
      <w:pPr>
        <w:jc w:val="both"/>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including partnered product candidates, are still in preclinical or clinical development. If we or our strategic partners do not obtain regulatory approval of our product candidates, or experience significant delays in doing so, our business will be materially adversely affected.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of regulatory approval and commercialization of any approved product candidates depends on many factors, including:</w:t>
      </w:r>
    </w:p>
    <w:p>
      <w:pPr>
        <w:spacing w:after="0" w:line="158" w:lineRule="exact"/>
        <w:rPr>
          <w:sz w:val="20"/>
          <w:szCs w:val="20"/>
          <w:color w:val="auto"/>
        </w:rPr>
      </w:pPr>
    </w:p>
    <w:p>
      <w:pPr>
        <w:ind w:left="660" w:right="60" w:hanging="328"/>
        <w:spacing w:after="0" w:line="23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successfully completing clinical trials that demonstrate the pre-specified efficacy endpoints and acceptable safety profile of the product candidate in the indication for which approval is sought;</w:t>
      </w:r>
    </w:p>
    <w:p>
      <w:pPr>
        <w:spacing w:after="0" w:line="132" w:lineRule="exact"/>
        <w:rPr>
          <w:rFonts w:ascii="Arial" w:cs="Arial" w:eastAsia="Arial" w:hAnsi="Arial"/>
          <w:sz w:val="22"/>
          <w:szCs w:val="22"/>
          <w:color w:val="auto"/>
        </w:rPr>
      </w:pPr>
    </w:p>
    <w:p>
      <w:pPr>
        <w:ind w:left="660" w:right="40" w:hanging="328"/>
        <w:spacing w:after="0" w:line="23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preparation and submission to the appropriate regulatory authorities of an application for marketing approval that includes substantial evidence of safety, purity and potency from results of nonclinical testing and clinical trials;</w:t>
      </w:r>
    </w:p>
    <w:p>
      <w:pPr>
        <w:spacing w:after="0" w:line="132" w:lineRule="exact"/>
        <w:rPr>
          <w:rFonts w:ascii="Arial" w:cs="Arial" w:eastAsia="Arial" w:hAnsi="Arial"/>
          <w:sz w:val="22"/>
          <w:szCs w:val="22"/>
          <w:color w:val="auto"/>
        </w:rPr>
      </w:pPr>
    </w:p>
    <w:p>
      <w:pPr>
        <w:ind w:left="660" w:right="240" w:hanging="328"/>
        <w:spacing w:after="0" w:line="24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establishing adequate commercial manufacturing arrangements and maintaining a consistent, quality supply of product or establishing our own commercial manufacturing capabilities or reliable arrangements with third-party contract manufacturers;</w:t>
      </w:r>
    </w:p>
    <w:p>
      <w:pPr>
        <w:spacing w:after="0" w:line="126" w:lineRule="exact"/>
        <w:rPr>
          <w:rFonts w:ascii="Arial" w:cs="Arial" w:eastAsia="Arial" w:hAnsi="Arial"/>
          <w:sz w:val="22"/>
          <w:szCs w:val="22"/>
          <w:color w:val="auto"/>
        </w:rPr>
      </w:pPr>
    </w:p>
    <w:p>
      <w:pPr>
        <w:ind w:left="660" w:right="360" w:hanging="328"/>
        <w:spacing w:after="0" w:line="23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potential pre-approval audits of nonclinical sites, clinical trial sites, and third-party manufacturing sites that generated the data and product in support of the marketing application;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launching commercial sales, marketing and distribution operations.</w:t>
      </w:r>
    </w:p>
    <w:p>
      <w:pPr>
        <w:spacing w:after="0" w:line="9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Many of these factors are wholly or partially beyond our or our strategic partners’ control, including clinical advancement, the regulatory submission process and changes in the competitive landscape. If our product candidates do not achieve one or more of these factors in a timely manner, we or our strategic partners could experience significant delays or an inability to develop the product candidates, which could adversely affect our results of operations. Excluding zanidatamab, which has been licensed to our strategic partners for commercialization and further regulatory approvals, our other product candidates are in preclinical or clinical development, and neither we nor our strategic partners have submitted any marketing application, or received marketing approval, for the other product candidates in our portfolio, and such product candidates may never be able to achieve such regulatory approval. In addition, although Jazz is developing zanidatamab for regulatory approval in additional indications, such regulatory approval may never be achieved.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become subject to economic, political, regulatory and other risks associated with international operations.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Economic downturns, a volatile business environment, or large-scale unpredictable market conditions, including a prolonged government shutdown or geopolitical events, may materially and adversely impact our business, financial condition and stock</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price, including making any necessary debt or equity financing more difficult, more costly and more dilutive, and reducing opportunities for additional partnering or strategic transactions.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physical operations and personnel in North America, Europe and Asia, and some of our suppliers and collaborative and clinical trial relationships are located outside the United States. Our future results could be harmed by a variety of factors, including:</w:t>
      </w:r>
    </w:p>
    <w:p>
      <w:pPr>
        <w:spacing w:after="0" w:line="54" w:lineRule="exact"/>
        <w:rPr>
          <w:sz w:val="20"/>
          <w:szCs w:val="20"/>
          <w:color w:val="auto"/>
        </w:rPr>
      </w:pPr>
    </w:p>
    <w:p>
      <w:pPr>
        <w:ind w:left="660" w:right="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or weakness, including inflation, reduced growth, diminished credit availability, weakened consumer confidence or increased unemployment;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international geopolitical environment;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sociopolitical instability in particular non-U.S. economies and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non-U.S.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or non-U.S. customs laws and regulations, tariffs and trade barriers, including any changes that nations may impose as a result of political tensions;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and currency controls;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U.S. dollar, particularly a weakening of the U.S. dollar against other currencies;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cross-border data exchanges;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including price controls;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outside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and</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other disruptions resulting from the impact of public health epidemics on our strategic partners, third-party manufacturers, suppliers and other third parties upon which we rely.</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most significantly China, with respect to trade policies, treaties, tariffs, treatment of intellectual property, taxes, and other limitations on cross-border operations, including the provision of services and the exchange of data. The U.S. government has made and continues to make significant changes in U.S. trade policy and may continue to take actions that could negatively impact U.S. trade. For example, the President recently signed into law the National Defense Authorization Act of 2026, which includes Section 851 regarding “prohibition on contracting with certain biotechnology providers” (the “BIOSECURE Act”), which restricts federal government contracts, grants, and loans from being issued to companies that use biotechnology equipment or services from any designated “biotechnology company of concern,” as part of such companies’ performance of those agreements with the U.S. government. Once fully implemented through issuance of regulations, the BIOSECURE Act may ultimately limit certain U.S. biotechnology companies (such as ours) from using equipment or services produced or provided by Chinese biotechnology companies that meet the designation criteria of the new law, or certain affiliated entities. In addition, even if we do not seek any covered federal government contracts, grants or loans, commercial partners, government agencies, or other third parties may view our business less favorably if we contract with entities that ultimately become biotechnology companies of concern.</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another example, the U.S. Department of Justice’s Data Security Program places limitations on U.S. companies’ ability to enter into (and in some cases prohibits) certain contracts involving transfers of sensitive personal data to business partners located in China, or with other specified links to China and other designated countries. The rule further requires U.S. persons to obtain from certain foreign counterparties contractual commitments to refrain from engaging in subsequent transfers of sensitive personal data to entities located in China or with other specified links to China and other designated countries. This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new rule will impact our ability to contract not just with Chinese companies but also with foreign entities in general, potentially requiring us to extract promises related to compliance with this new rule.</w:t>
      </w:r>
    </w:p>
    <w:p>
      <w:pPr>
        <w:spacing w:after="0" w:line="17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The United States has recently enacted significant new tariffs on many countries. For example, between April 2025 and February 2026, the U.S. government imposed global “reciprocal” tariffs affecting most U.S. trading partners and between February 2025 and February 2026 the U.S. government imposed additional “fentanyl-related” tariffs targeting goods from Canada, Mexico, and China. These additional U.S. tariffs were implemented under authorities asserted in the International Emergency Economic Powers Act (“IEEPA”) and rescinded on February 24, 2026, following a Supreme Court decision invalidating the use of IEEPA to authorize these tariffs. The availability, timing, and amount of any related refunds associated with payments of these duties remain uncertain and subject to further legal, regulatory, and administrative action. Beginning February 24, 2026, the U.S. government implemented a new, global “temporary import surcharge” of 10% on many of the same products affected by the prior reciprocal tariffs, under authorities provided for in Section 122 of the Trade Act of 1974, supplementing existing non-IEEPA tariff measures. For example, additional tariffs have been recently imposed under Section 232 and Section 301 tariff measures, and additional trade-related investigations by the U.S. government are in progress and could result in the imposition of additional tariffs as well. There has been ongoing action, discussion, negotiation, commentary and litigation regarding these and potential further changes to U.S. trade policies, treaties and tariffs. These developments, or the perception that any of them could occur, have caused and may continue to cause significant volatility in global financial markets and may have a material adverse effect on global economic conditions and global trade. Additionally, these developments could weaken the U.S. dollar against other currencies, which may adversely affect our business, including as a result of increased costs for goods and services denominated in other currencies. These effects may also negatively impact our strategic partners. Any of these factors could depress economic activity, restrict our access to third-party services, and disrupt the supply chain for our product candidates. For example, the early-stage clinical supplies for our internal pipeline are currently sourced from China, and while we are actively monitoring tariffs and evaluating other locations for future clinical product requirements, our mitigation efforts may not be successful, and our business may be adversely affected. We also run a portion of our global clinical studies and utilize clinical trial sites in non-U.S. locations; we cannot predict how these non-U.S. locations may be impacted by tariffs or a broader trade war. If we or our strategic partners are unable to obtain or use services from existing providers, source supplies of product candidates or approved drugs, or export or sell approved products at competitive prices, our business, liquidity, financial condition, and/or results of operations could be materially and adversely affected. The Department of Commerce has initiated an investigation into imports of pharmaceuticals and pharmaceutical products. If a threat is determined to exist, the current U.S. Presidential administration could impose new and/or additional pharmaceutical-specific tariffs or take other actions. While we cannot predict the outcome of this investigation, if additional tariffs are imposed, it could materially increase our costs and complicate our supply chain for the manufacture and importation of our product candidates.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has been in the past and may in the future be adversely affected by public health outbreaks and pandemics.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Public health outbreaks and pandemics could cause us to experience disruptions that could significantly impact our current and planned clinical trials, preclinical research and other business activities, including operational challenges, difficulty in recruiting patients or staff, regulatory delays, supply chain disruptions and shortages, and other disruptions. Public health outbreaks, pandemics, and related disruptions could disrupt global financial markets, reduce our ability to access capital, negatively affect our liquidity, and increase financial market volatility, which could adversely impact the value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Partnerships</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collaborative relationships with Jazz, BeOne and J&amp;J to further develop and commercialize zanidatamab and other product candidates, and if our relationships are not successful or are terminated, we may be delayed in or unable to effectively develop and/or commercialize zanidatamab and other product candidates, which could have a material adverse effect on our business.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terms of our May 2023 Amended and Restated License and Collaboration Agreement with Jazz (the “Amended Jazz Collaboration Agreement”), Jazz has development and commercialization rights for zanidatamab throughout the world, excluding certain territories already covered by our agreement with BeOne. We depend on Jazz to develop and commercialize zanidatamab in the territories covered by the Amended Jazz Collaboration Agreement, and the success or commercial viability of zanidatamab is largely beyond our control. Any future financial returns to us depend on achievement of regulatory and commercialization milestones, plus a share of any revenue from sales. Therefore, our success, and any associated financial returns to us and our investors, will depend in significant part on Jazz’s performance under the Amended Jazz Collaboration Agreement. We are subject to a number of additional specific risks associated with our dependence on our collaborative relationship with Jazz, including:</w:t>
      </w:r>
    </w:p>
    <w:p>
      <w:pPr>
        <w:spacing w:after="0" w:line="81" w:lineRule="exact"/>
        <w:rPr>
          <w:sz w:val="20"/>
          <w:szCs w:val="20"/>
          <w:color w:val="auto"/>
        </w:rPr>
      </w:pPr>
    </w:p>
    <w:p>
      <w:pPr>
        <w:ind w:left="5540" w:right="3860" w:hanging="5208"/>
        <w:spacing w:after="0" w:line="970" w:lineRule="auto"/>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Jazz regarding the development and commercialization of zanidatamab;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Jazz’s ability to manufacture, directly or through third parties, commercially required quantities of zanidatamab in a timely manner or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Jazz’s compliance with ongoing post-marketing obligations, including completion of the confirmatory trial for zanidatamab;</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as to the timing, nature and extent of development plans, including clinical trials or regulatory approval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rights if we fail to meet our obligations under the agreement;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management personnel at Jazz;</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with Jazz regarding the agreement, for example, with regard to ownership of intellectual property rights or program costs and reimbursement matters;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Jazz may not perform its obligations as expected.</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November 2024, Jazz announced the FDA granted accelerated approval for Ziihera for injection for intravenous use for the treatment of adults with previously treated, unresectable or metastatic HER2+ (IHC 3+) BTC. Jazz is conducting the confirmatory trial for Ziihera related to the accelerated approval. If the confirmatory trial fails to demonstrate a clinical benefit, the FDA may remove Ziihera from the market, which would negatively impact our ability to earn milestone payments and royalties from Jazz. In addition, although Jazz is developing zanidatamab for regulatory approval in additional indications, such regulatory approval may never be achieved. If additional indications are not approved, our ability to achieve additional milestone payments and royalties on sales of zanidatamab will be materially and negatively impacted. We depend on Jazz to provide certain information to us regarding the zanidatamab program, and any delay by Jazz in fulfilling its information-sharing obligations under the Amended Jazz Collaboration Agreement could impact our understanding of the status of the zanidatamab program and result in delays or inaccuracies in our disclosures. Decisions by Jazz to emphasize other drug candidates currently in its portfolio ahead of zanidatamab or to add competitive agents to its portfolio could result in a decision to terminate the Amended Jazz Collaboration Agreement, and we may be responsible for paying any remaining costs of ongoing or future clinical trials or be delayed in or unable to effectively develop and/or commercialize zanidatamab, which could have a material adverse effect on our business.</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November 2018, we entered into a License and Collaboration Agreement with BeOne granting BeOne an exclusive license for the research, development, and commercialization of zanidatamab in Asia (excluding Japan, but including the People’s Republic of China, South Korea and other countries), Australia, and New Zealand. In November 2017, we entered into a collaboration and license agreement with J&amp;J to research, develop and commercialize up to six bispecific antibodies generated through the use of our Azymetric and EFECT platforms, and in September 2025, we recognized a $25.0 million development milestone payment from J&amp;J related to clinical progress of pasritamig entering into a Phase 3 trial in metastatic castration-resistant prostate cancer. We face similar risks with respect to our relationship with BeOne and J&amp;J as we do with Jazz and will face similar risks with any future collaboration partners.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key aspect of our strategy is to pursue partnering and other strategic collaborations that enable us to transfer certain costs and risks related to later-stage development and/or commercialization to our strategic partners. If we successfully enter into these types of transactions, we expect to be able to enhance our capital efficiency by deploying resources that may have otherwise been spent on later-stage clinical development and/or commercialization across other areas of our business; however, we may not be able to identify suitable partners or enter into agreements on terms acceptable to us. Even if we are able to secure additional partnering arrangements, there can be no assurance that these arrangements will be successful, which could materially harm our business, financial condition and results of operations. If we elect to progress product candidates internally, our capabilities for later stage drug development and/or commercialization of product candidates, if approved, is limited. We have entered into strategic partnerships with other companies that we believe can provide later stage development and potentially commercialization capabilities, including our collaboration and license agreements with Jazz, BeOne, BMS, GSK, Daiichi Sankyo, J&amp;J and Merck. Our existing strategic partnerships, and any future strategic partnerships we enter into, may pose risks, including:</w:t>
      </w:r>
    </w:p>
    <w:p>
      <w:pPr>
        <w:spacing w:after="0" w:line="86" w:lineRule="exact"/>
        <w:rPr>
          <w:sz w:val="20"/>
          <w:szCs w:val="20"/>
          <w:color w:val="auto"/>
        </w:rPr>
      </w:pPr>
    </w:p>
    <w:p>
      <w:pPr>
        <w:ind w:left="5540" w:right="1480" w:hanging="5208"/>
        <w:spacing w:after="0" w:line="970" w:lineRule="auto"/>
        <w:tabs>
          <w:tab w:leader="none" w:pos="6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have significant discretion in determining the efforts and resources that they will apply to these partnerships;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not perform their obligations as expected;</w:t>
      </w:r>
    </w:p>
    <w:p>
      <w:pPr>
        <w:spacing w:after="0" w:line="11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not pursue development and commercialization of any product candidates that achieve regulatory approval or may elect not to continue or renew development or commercialization programs based on clinical trial results, changes in the partners’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could independently develop, or develop with third parties, products that compete directly or indirectly with our product candidates if the strategic partners believe that competitive products are more likely to be successfully developed or can be commercialized under terms that are more economically attractive than our product candidates;</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strategic partners as competitive with their own product candidates or products, which may cause strategic partners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strategic partner with marketing and distribution rights to one or more of our product candidates that achieve regulatory approval may not commit sufficient resources to the marketing and distribution of such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strategic partners,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dependent on strategic partners to provide certain information to us regarding the development of product candidates, and any delay by our strategic partners to full information-sharing obligations could impact our understanding of such development, as well as result in potential delays or inaccuracies in our disclosures;</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partnerships may be terminated for the convenience of the partner and, if terminated, we could be required to raise additional capital to pursue further development or commercialization of the applicable product candidates (for example, each of our collaboration and license agreements with Jazz, BeOne, BMS, GSK, Daiichi Sankyo, J&amp;J and Merck may be terminated for convenience upon the completion of a specified notice period);</w:t>
      </w:r>
    </w:p>
    <w:p>
      <w:pPr>
        <w:spacing w:after="0" w:line="7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enter into additional licensing or collaboration agreements to partner our product candidates in territories we currently retain, and in the event we grant exclusive rights to such strategic partners, we would be precluded from potential commercialization of our product candidates within the territories in which we have a partner; and</w:t>
      </w:r>
    </w:p>
    <w:p>
      <w:pPr>
        <w:spacing w:after="0" w:line="6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not have the ability or the development capabilities to perform their obligations as expected, including as a result of the impact of a pandemic or epidemic on our strategic partners’ operations or business.</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If our strategic partnerships do not result in the successful development and commercialization of product candidates or if one of our strategic partners terminates its agreement with us, we may not receive any future research funding or milestone or royalty payments under the collaboration. If we do not receive the funding we expect under our strategic partnership agreements, our development or acquisition of our therapeutic platforms and product candidates could be delayed and we may need additional resources to develop or acquire product candidates and our therapeutic platforms.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seeking new strategic partners.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expect to collaborate with additional pharmaceutical and biotechnology companies for later-stage development and potential commercialization of our products candidates. Our ability to reach a definitive agreement for a collaboration will depend, among other things, upon our assessment of the strategic partner’s resources and expertise, the terms and conditions of the proposed collaboration and the proposed strategic partner’s evaluation of a number of factors. These factors may include the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design or results of clinical trials, the likelihood of approval by the FDA or similar regulatory authorities outside the United States, the potential market for the product candidate, the costs and complexities of manufacturing and delivering the product candidate to patients, the potential of competing products, uncertainty regarding our ownership of technology, industry and market conditions generally, and whether alternative product candidates or technologies for similar indications may be more attractive than a collaboration with us. Strategic partnerships are complex and time-consuming to negotiate and document. In addition, there have been and may continue to be a significant number of business combinations among large pharmaceutical companies that have resulted in and may in the future result in a reduced number of potential strategic partners. In addition, as part of our recently adopted strategy, our expectation is that we will seek partnerships at an earlier stage to transfer certain risks and costs of later-stage development and/or commercialization to our strategic partners. As a result of this approach, we may have difficulty successfully partnering our pre-clinical or early clinical stage product candidates, as strategic partners often require additional proof of concept data before in-licensing a product candidate. Even if strategic partners are willing to in-license our pre-clinical or early clinical stage product candidates, the economic terms of any such agreements may be less favorable than if we continued clinical development on our own and sought to partner at a later time. We may have to curtail the development of a product candidate, reduce or delay one or more of our other development programs, or increase our expenditures and undertake development or commercialization activities at our own expense if we do not enter into agreements with suitable strategic partners. In such cases, we may need to obtain additional expertise and capital, which may not be available to us on acceptable terms or at all. If we fail to enter into strategic partnerships and do not have sufficient funds or expertise to undertake the necessary development and commercialization activities, we may not be able to further develop our product candidates or bring them to market or continue to develop our therapeutic platforms, and our business may be materially and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Development of Product Candidates</w:t>
      </w:r>
    </w:p>
    <w:p>
      <w:pPr>
        <w:spacing w:after="0" w:line="225"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outcome of clinical trials is inherently uncertain, and current and planned clinical trials may not satisfy the requirements of the FDA or comparable regulatory authorities outside the United States.</w:t>
      </w:r>
    </w:p>
    <w:p>
      <w:pPr>
        <w:spacing w:after="0" w:line="15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There is an extremely high rate of attrition from the failure of product candidates proceeding through preclinical studies and clinical trials. To obtain regulatory approval for commercial sales, we or our strategic partners will be required to demonstrate with substantial evidence, through well-controlled clinical trials, that the product candidates are safe and effective for use in a diverse population. These clinical trials involve significant expense and may produce negative or inconclusive results, and we or our strategic partners may decide, or regulators may require us or our strategic partners, to conduct additional clinical or preclinical testing. For example, if the FDA does not accept the data from any clinical trials conducted outside the United States, it would likely result in the need for additional trials, which would be costly and time-consuming and delay or halt development of any future product candidates. Moreover, there can be significant variability in safety or efficacy results between different preclinical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Patients treated with a product candidate also may experience side effects or adverse events that are unrelated to the product candidate but may still impact the success of the clinical trial. The inclusion of patients with significant co-morbidities in clinical trials may result in adverse medical events, including deaths, due to underlying conditions or other therapies or medications that such patients may be using. Any of these events could prevent us or our strategic partners from obtaining regulatory approval or achieving or maintaining market acceptance and impair the ability to commercialize the product candidates. If we or our strategic partners develop a product candidate for which there are no commercially available diagnostic tests for identifying the appropriate patient population to ensure safe and effective use of such candidate, the FDA may require us or our strategic partners to develop a companion diagnostic plan in conjunction with clinical development and regulatory approval for a product candidate. Lack of a reliable commercially available companion diagnostic can introduce uncertainties in the regulatory process for our or our strategic partners’ product candidates. Success in preclinical studies or early-stage clinical trials does not guarantee that future clinical trials or registrational clinical trials will be successful, as product candidates in later-stage clinical trials may fail to demonstrate sufficient safety and efficacy to the satisfaction of the FDA and comparable regulatory authorities outside the United States, despite having progressed through preclinical studies and initial clinical trials. Product candidates that have shown promising results in early clinical trials may suffer significant setbacks in subsequent clinical trials or registrational clinical trials. Interim results of a clinical trial do not necessarily predict final results. Regulatory delays or rejections may occur for various reasons, including changes in regulatory policy.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for product candidates are prolonged, delayed or stopped, we may be unable to successfully partner our product candidates, or obtain regulatory approval and commercialize product candidates on a timely basis, or at all, which could require us to incur additional costs and delay our receipt of any product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or completion of ongoing or planned clinical trials could be substantially delayed, prevented or suspended by many factors, including:</w:t>
      </w:r>
    </w:p>
    <w:p>
      <w:pPr>
        <w:spacing w:after="0" w:line="117" w:lineRule="exact"/>
        <w:rPr>
          <w:sz w:val="20"/>
          <w:szCs w:val="20"/>
          <w:color w:val="auto"/>
        </w:rPr>
      </w:pPr>
    </w:p>
    <w:p>
      <w:pPr>
        <w:ind w:left="660" w:right="180" w:hanging="328"/>
        <w:spacing w:after="0" w:line="312" w:lineRule="auto"/>
        <w:tabs>
          <w:tab w:leader="none" w:pos="65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discussions with the FDA or other regulatory agencies, or untimely or unfavorable feedback regarding the scope or design of our clinical trials, or any delay or failure to obtain approval or agreement to commence a clinical trial in any of the countries where enrollment is planned;</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funds required for a clinical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or other regulatory objections to, a new or ongoing clinical trial;</w:t>
      </w:r>
    </w:p>
    <w:p>
      <w:pPr>
        <w:spacing w:after="0" w:line="117"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clinical trial sites, including due to a facility manufacturing any of our product candidates or any of their components being ordered by the FDA or non-U.S. health authorities to temporarily or permanently shut down due to violations of cGMP regulations or other applicable requirements, or cross-contaminations of product candidates in the manufacturing process;</w:t>
      </w:r>
    </w:p>
    <w:p>
      <w:pPr>
        <w:spacing w:after="0" w:line="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reach agreement on acceptable clinical trial agreement terms or clinical trial protocols with prospective sites or contract research organizations (“CROs”), the terms of which can be subject to extensive negotiation, may vary significantly among different sites or CROs and may need to be renegotiated in the event of changes in regulatory requirements;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or delays in recruiting and enrolling patients, or failure of patients to complete the clinical trial or be lost to follow-up;</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severe or unexpected drug-related adverse effects experienced by patients, including possible deaths, or failure to demonstrate a benefit from using a product candidate;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clinical trials by one or more clinical trial sites;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clinical investigators to follow our clinical trial protocols;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by us or our CROs;</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study sites failing to comply with the trial protocol or regulatory requirements or meet their contractual obligations to us in a timely manner, or at all, deviating from the protocol or dropping out of a study;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address any noncompliance with regulatory requirements or safety concerns that arise during the course of a clinical trial; and</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non-U.S. health authorities for violations of applicable regulatory requirements.</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Termination or delays in completing any clinical trial of our product candidates will delay our ability to generate product revenue, whether through partnering or otherwise, increase our costs, slow down product development, and jeopardize our ability to generate revenue. Even if trials are successfully completed, clinical data are often susceptible to varying interpretations and analyses, and we cannot guarantee that the FDA or non-U.S. health authorities will interpret the results as we or our strategic partners do, and more trials could be required before we or our strategic partners submit the product candidates for approval. We cannot guarantee that the FDA or non-U.S. health authorities will view any of the product candidates as having adequate safety and efficacy profiles even if favorable results are observed in these clinical trials, and we or our strategic partners may receive unexpected or unfavorable feedback from the FDA or non-U.S. health authorities regarding satisfaction of safety, purity and potency (including clinical efficacy), amongst other factors. If the results of the trials are not satisfactory to the FDA or non-U.S. health authorities for support of a marketing application, approval of the product candidates may be significantly delayed, or we or our strategic partners may be required to expend significant additional resources, which may not be available, to conduct additional trials in support of potential approval of the product candidates. Any failure or significant delay in commencing or completing clinical trials could adversely affect our or our strategic partners’ ability to obtain regulatory approval and negatively impact our expected product or royalty and milestone revenue. A BLA must include extensive preclinical and clinical data and supporting information to establish the product candidate’s safety, purity and efficacy for each desired indication. The BLA must also include significant information regarding the manufacturing controls for the product. The novel nature a product candidate may introduce uncertain, complex, expensive and lengthy challenges that could impact regulatory approval. Even if we or our strategic partners complete clinical testing and receive approval of any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regulatory filing for product candidates, the FDA or non-U.S. health authorities may approve our product candidates for a more limited indication or a narrower patient population than we originally requested. Moreover, even if regulatory approval is obtained for an indication, there is no guarantee that additional indications will be approved, which could materially limit the commercial potential of any approved product. For example, while Jazz intends to seek approval of zanidatamab in additional indications, we cannot be certain that such approvals will be obtained. If additional indications are not approved, our ability to achieve additional milestone payments and royalties on sales of zanidatamab will be materially and negatively impacted.</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strategic partners, are unable to enroll patients in clinical trials, we will be unable to complete these trials on a timely basis or at all.</w:t>
      </w:r>
    </w:p>
    <w:p>
      <w:pPr>
        <w:spacing w:after="0" w:line="15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Factors affecting enrollment in clinical trials include the size and nature of the patient population, the proximity of subjects to clinical sites, the eligibility criteria for the trial, the design of the clinical 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These factors impacting enrollment can be further complicated for trials involving product candidates for the treatment of rare diseases, which have limited pools of patients from which to draw for clinical testing. If we, or any of our strategic partners that perform clinical tests for our product candidates, are unable to enroll a sufficient number of patients to complete clinical testing, we or our strategic partners will be unable to gain marketing approval for such product candidates and our business will be harmed. Additionally, projections of addressable patient populations that may benefit from treatment with our product candidates, including our partnered product candidates, are based on estimates, which, if inaccurate, could materially impact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design or execution of clinical trials may not support regulatory approval.</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design or execution of a clinical trial can determine whether its results will support regulatory approval, and flaws in the design or execution of a clinical trial may not become apparent until the clinical trial is well advanced. In some instances, there can be significant variability in safety or efficacy results between different trials of the same product candidate due to numerous factors, including changes in trial protocols, differences in size and type of the patient populations, adherence to the dosing regimen and other trial protocols and the rate of dropout among clinical trial participants. We cannot guarantee that any clinical trials we or our strategic partners may conduct will demonstrate efficacy and safety sufficient for regulatory approval. Further, the FDA and comparable non-U.S. regulatory authorities have substantial discretion in the approval process and in determining when or whether regulatory approval will be obtained for any product candidate. Such product candidates may not be approved even if they achieve their primary endpoints in any Phase 3 clinical trials or registration trials. The FDA or other non-U.S. regulatory authorities may disagree with the trial design and our or our strategic partners’ interpretation of data from preclinical studies and clinical trials. Regulatory authorities may change requirements for the approval of a product candidate after reviewing and providing comments or advice on a protocol for a pivotal Phase 3 clinical trial.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In addition, any of these authorities may approve a product candidate for fewer or more limited indications than requested or may grant approval contingent on the performance of costly post-marketing clinical trials. The FDA or other non-U.S. regulatory authorities may not approve the labeling claims that we or our strategic partners believe would be necessary or desirable for the successful commercialization of our product candidates.</w:t>
      </w:r>
    </w:p>
    <w:p>
      <w:pPr>
        <w:spacing w:after="0" w:line="19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preliminary or top-line data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From time to time, we or our strategic partners may publish interim, preliminary or top-line data from clinical trials. Interim data from clinical trials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or top-line data previously published. As a result, interim, preliminary and top-line data should be viewed with caution until the final data is available. Adverse differences between interim, preliminary or top-line data and final data could significantly harm our or our strategic partners’ reputation and business prospects. Moreover, preliminary, interim and top-line data are subject to the risk that one or more of the clinical outcomes may materially change as more patient data become available when patients mature on study, patient enrollment continues or as other ongoing or future clinical trials with a product candidate further develop. The information we or our strategic partners choose to publicly disclose regarding a particular study or clinical trial is based on more extensive information, and you or others may not agree with what we or our strategic partners determine is the material or</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otherwise appropriate information to include in the disclosure. Any information we or our strategic partners determine not to disclose may ultimately be deemed significant with respect to future decisions, conclusions, views, activities or otherwise regarding a particular product candidate or our or our strategic partners’ business.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Fast Track and Breakthrough Therapy designations received for zanidatamab may not result in faster development, regulatory review or approval process.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FDA has granted Fast Track designations to zanidatamab for the first-line treatment of patients with HER2-overexpressing GEA in combination with standard of care chemotherapy and for previously treated or recurrent gene-amplified BTC. While the FDA granted accelerated approval for Ziihera for injection for intravenous use for the treatment of adults with previously treated, unresectable or metastatic HER2+ (IHC 3+) BTC, these Fast Track designations do not ensure that zanidatamab will experience a faster development, regulatory review or approval process compared to conventional FDA procedures or that zanidatamab will ultimately obtain regulatory approval for additional indications. The FDA may withdraw Fast Track designation if it believes that the designation is no longer supported by data from the zanidatamab clinical development program. The FDA also granted Breakthrough Therapy designation for zanidatamab for treatment of patients with previously treated HER2 gene-amplified locally advanced/unresectable or metastatic BTC. Designation as a Breakthrough Therapy is within the discretion of the FDA and the FDA may decide to rescind a Breakthrough Therapy designation if it believes that a designated product candidate no longer meets the conditions for qualification of this program. If a clinical development program is suspended, terminated, or put on clinical hold due to unexpected adverse events or other issues, including clinical supply issues, the benefits associated with the Fast Track or Breakthrough Therapy designations may not be realized by us or our strategic partners. Furthermore, Fast Track designation does not change the standards for approval, and the designation alone does not guarantee qualification for the FDA’s priority review procedures. Zanidatamab was granted Breakthrough Therapy designation from the CDE in China for treating patients with BTC who have failed prior systemic therapies. In May 2025, the NMPA in China granted conditional approval of zanidatamab for the treatment of patients with previously treated, unresectable or metastatic HER2+ BTC. As with designation by the FDA, the Breakthrough Therapy designation by the CDE is not a guarantee that zanidatamab will experience a faster development regulatory review or approval process or that it will ultimately receive regulatory approval for additional indications.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product candidates in combination with other therapies could expose us to additional risks.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or our strategic partners may evaluate product candidates in combination with one or more other therapies that have not yet been approved for marketing by the FDA, EMA or comparable regulatory authorities. We or our strategic partners will not be able to market and sell any product candidate in combination with any such unapproved therapies that do not ultimately obtain marketing approval. If the FDA, EMA or other comparable regulatory authorities do not approve or revoke their approval of these other therapies, or if issues arise with the therapies we or our strategic partners choose to evaluate in combination with any other product candidate, we or our strategic partners may be unable to obtain approval of or successfully market such product candidates. Additionally, if the third-party providers of therapies or therapies in development with which zanidatamab or other product candidates are approved for use are unable to produce sufficient quantities for clinical trials or for commercialization of product candidates, or if the cost of combination therapies is prohibitive, our or our strategic partners’ development and commercialization efforts would be impaired, which would have an adverse effect on our business, financial condition, results of operations and growth prospects.</w:t>
      </w:r>
    </w:p>
    <w:p>
      <w:pPr>
        <w:spacing w:after="0" w:line="18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could hinder their ability to hire, retain or deploy key leadership and other personnel, or otherwise prevent new or modified product candidates from being developed, approved or commercialized in a timely manner or at all, which could negatively impact our business.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clear or approve new product candidates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Government funding of other government agencies that fund research and development activities is subject to the political process, which is inherently fluid and unpredictable. In addition, the current U.S. Presidential administration has issued certain policies and Executive Orders directed towards reducing employee headcount and costs associated with U.S. administrative agencies, including the FDA, and it remains unclear the degree to which these efforts may limit or otherwise adversely affect the FDA’s ability to conduct routine activities. If funding shortages, staffing limitations or other factors hinder or prevent the FDA from conducting regular inspections, reviews or other regulatory activities, there could be a significant impact on the ability of the FDA to timely review and process our regulatory submissions, which could have a material impact on our business.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Undesirable side effects from product candidates may delay or prevent marketing approval or, if approved, require withdrawal from the market, inclusion of safety warnings, or otherwise limit sales.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Unforeseen side effects from any product candidates could arise either during clinical development or, if approved by regulatory authorities, after the approved product has been marketed. As product candidates are evaluated in clinical trials, the results of such clinical trials may show that the product candidates cause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limited patient populations or potential product liability claims. Even if we or our strategic partners believe that clinical trials and preclinical studies demonstrate the safety and efficacy of our product candidates, only the FDA and other comparable regulatory agencies may ultimately make such determination. If we, or partners or others later identify undesirable or unacceptable side effects caused by zanidatamab or other product candidates that receive marketing approval:</w:t>
      </w:r>
    </w:p>
    <w:p>
      <w:pPr>
        <w:spacing w:after="0" w:line="8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approved product to be taken off the market;</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 or impose a risk evaluation and mitigation strategy that includes restrictions and conditions on product distribution, prescribing and/or dispensing;</w:t>
      </w:r>
    </w:p>
    <w:p>
      <w:pPr>
        <w:spacing w:after="0" w:line="6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changes to the way the product is administered, additional clinical trials or revisions to the labeling of the product;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place limitations on how a product may be promoted;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strategic partners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strategic partners’ reputation may suffer.</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the achievement or maintenance of market acceptance of the affected product or could substantially increase commercialization costs and expenses, which in turn could delay or prevent us from generating revenues directly through sales or through partnering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Receipt of Product Revenue and Royalty and Milestone Revenue</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any competitors develop and market products that are more effective, safer and/or less expensive than our product candidates, our ability to generate revenue will be negatively impacted.</w:t>
      </w:r>
    </w:p>
    <w:p>
      <w:pPr>
        <w:spacing w:after="0" w:line="15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life sciences industry is highly competitive and subject to rapid and significant technological change. Competitors in the United States and internationally include major multinational pharmaceutical companies, established biotechnology companies, specialty pharmaceutical companies, universities and other research institutions. Many of these competitors have significantly greater financial, manufacturing, marketing, drug development, technical and human resources than we and potentially our strategic partners do. Large pharmaceutical companies in particular have extensive experience in clinical testing, obtaining regulatory approvals, recruiting patients and in manufacturing pharmaceutical products. These companies also have significantly greater research and marketing capabilities than we and potentially our strategic partners do and may also have products that have been approved or are in late stages of development and collaborative arrangements in our or our strategic partners’ target markets with leading companies and research institutions. Established pharmaceutical companies may also invest heavily to accelerate discovery and development of novel compounds or to in-license novel compounds that could make the product candidates that we and our strategic partners develop obsolete. As a result of these factors, competitors may succeed in obtaining patent protection or FDA approval or discovering, developing and commercializing products in our and our strategic partners’ field before we do. Specifically, there are a large number of companies developing or marketing treatments for cancer and AIID, including many major pharmaceutical and biotechnology companies. These treatments consist both of small-molecule drug products, as well as biologics that work by using various antibody therapeutic platforms to address specific targets. Smaller and other early-stage companies may also prove to be significant competitors, particularly through collaborative arrangements with large and established companies. These third parties compete with us and our strategic partners in recruiting and retaining qualified scientific and management personnel, establishing clinical trial sites and patient registration for clinical trials, as well as in acquiring technologies complementary to, or necessary for, our programs. The commercial opportunity for our product candidates could be reduced or eliminated if competitors develop and commercialize products that are safer, more effective, more convenient or less expensive than any products that we or our strategic partners may develop. Our competitors also may obtain FDA or other regulatory approval for their products more rapidly, which could result in our competitors establishing a strong market position before we or our partnered products are able to enter the market. In addition,</w:t>
      </w: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biopharmaceutical industry is characterized by rapid technological change. If we or our strategic partners fail to stay at the forefront of technological change, we and our strategic partners may be unable to compete effectively. Technological advances or products developed by our competitors may render our or our strategic partners’ technologies or product candidates obsolete, less competitive or not economical. We expect that current and future product candidates will compete with biosimilar versions of already approved products, and even if additional product candidates achieve marketing approval, they may be challenged to achieve a price premium over competitive biosimilar products and will compete for market share with them. The Biologics Price Competition and Innovation Act of 2009, which is included in the 2010 Patient Protection and Affordable Care Act (“PPACA”), authorized the FDA to approve similar versions of innovative biologics, commonly known as biosimilars. Under the PPACA, a manufacturer may submit an application for licensure of a biologic product that is “biosimilar to” or “interchangeable with” a previously approved biologic product or “reference product.” Manufacturers may not submit an application for a biosimilar to the FDA until four years following approval of the reference product, and the FDA may not approve a biosimilar product until 12 years from the date on which the reference product was approved. Even if our product candidates, if approved, are deemed to be reference products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Additionally, from time to time, there are proposals to repeal or modify the PPACA, including proposals that could significantly shorten the exclusivity period for biologics.</w:t>
      </w:r>
    </w:p>
    <w:p>
      <w:pPr>
        <w:spacing w:after="0" w:line="19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our strategic partners may be unable to obtain orphan drug exclusivity in specific indications for zanidatamab or for future product candidates. If our competitors are able to obtain orphan product exclusivity for their products in specific indications, we or our strategic partners may not be able to have competing partnered products approved in those indications by the applicable regulatory authority for a significant period of time.</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FDA granted Orphan Drug Designation to zanidatamab for the treatment of BTC and gastric cancer, including cancer of the gastroesophageal junction, the EMA granted Orphan Drug Designation to zanidatamab for the treatment of gastric cancer and BTC, and we or our strategic partners may seek Orphan Drug Designation for zanidatamab or other product candidates for additional indications in the future. Orphan Drug Designation neither shortens the development time or regulatory review time of a drug nor gives the drug any advantage in the regulatory review or approval process. Generally, if a product candidate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as defined under the FDA orphan drug regulation, for the same indication for that time period.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sufficient quantity of the product to meet the needs of patients with the rare disease or condition. The loss of Orphan Drug Designation could have a negative effect on the successful commercialization of our product candidates. Aside from the orphan drug exclusivity for zanidatamab, even if we or our strategic partners obtain orphan drug exclusivity for other product candidates that receive an Orphan Drug Designation in the future, that exclusivity may not effectively protect the product from competition because different drugs with different active moieties can be approved for the same condition. Further, in the United States, after an orphan drug is approved, the FDA can subsequently approve the “same drug” for the same condition submitted by a competitor if the FDA concludes that the later drug is clinically superior in that it is shown to be safer, more effective or makes a major contribution to patient care. If we or our strategic partners are unable to manufacture sufficient supply of a product to meet the needs of patients, the FDA can withdraw orphan exclusive marketing rights or approve another marketing application for the “same drug” product before the expiration of the exclusivity period. Further, notwithstanding the court’s decision in Catalyst Pharms., Inc. v. Becerra, 14 F.4th 1299 (11th Cir. 2021), in January 2023, the FDA published a notice in the Federal Register to clarify that while the FDA complied with the court’s order in Catalyst, the FDA intends to continue to apply its longstanding interpretation of the regulations to matters outside of the scope of the Catalyst order.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spacing w:after="0" w:line="20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our strategic partners obtain FDA approval of any of our product candidates, we or they may never obtain approval or commercialize such product candidates outside of the United States, which would negatively impact our product or royalty and milestone revenue.</w:t>
      </w:r>
    </w:p>
    <w:p>
      <w:pPr>
        <w:spacing w:after="0" w:line="15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order to market any products outside of the United States, we or our strategic partners must establish and comply with numerous and varying regulatory requirements of other countries regarding safety and efficacy. Approval procedures vary among countries and can involve additional product testing and validation and additional administrative review periods.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Seeking non-U.S. regulatory approvals could result in significant delays, difficulties and costs and may require additional preclinical studies or clinical trials, which would be costly and time consuming and potentially disincentivize us or our strategic partners from seeking such non-U.S. approvals. Regulatory requirements can vary widely from country to country and could delay or prevent the introduction of our products in those countries. If we or our strategic partners fail to comply with regulatory requirements in international markets or to obtain and maintain required approvals, our products’ target market will be reduced, and our ability to earn product or royalty and milestone revenue will be harmed.</w:t>
      </w:r>
    </w:p>
    <w:p>
      <w:pPr>
        <w:spacing w:after="0" w:line="179"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zanidatamab or any current or future partnered product candidate that receives regulatory approval in the future does not achieve broad market acceptance among physicians, patients, the medical community and third-party payors, revenue generated from commercialization efforts will be materially and adversely impacted.</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commercial success of zanidatamab or any current or future product candidate will depend upon their acceptance among physicians, patients and the medical community. The degree of market acceptance depends on a number of factors, including:</w:t>
      </w:r>
    </w:p>
    <w:p>
      <w:pPr>
        <w:spacing w:after="0" w:line="5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approved labeling;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the approved clinical indications;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clinical safety and efficacy compared to other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marketing and distribution support;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the extent of access and reimbursement from managed care plans and other third-party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and perceived effectiveness of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therapies at similar or lower cost;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product is approved for inclusion on formularies of hospitals and managed care organizations;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first-line therapy or as a second- or third-line therapy for particular diseases;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can be used effectively with other therapies to achieve higher response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of the product;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jc w:val="both"/>
        <w:ind w:right="60"/>
        <w:spacing w:after="0" w:line="312" w:lineRule="auto"/>
        <w:rPr>
          <w:sz w:val="20"/>
          <w:szCs w:val="20"/>
          <w:color w:val="auto"/>
        </w:rPr>
      </w:pPr>
      <w:r>
        <w:rPr>
          <w:rFonts w:ascii="Times New Roman" w:cs="Times New Roman" w:eastAsia="Times New Roman" w:hAnsi="Times New Roman"/>
          <w:sz w:val="17"/>
          <w:szCs w:val="17"/>
          <w:color w:val="auto"/>
        </w:rPr>
        <w:t>If zanidatamab or any current or future product candidate that is approved does not achieve an adequate level of acceptance by physicians, patients and the medical community, sales may be negatively affected and materially and adversely impact the revenues we receive whether through royalties or otherwise.</w:t>
      </w:r>
    </w:p>
    <w:p>
      <w:pPr>
        <w:spacing w:after="0" w:line="13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regulations and reimbursement decisions by third-party payors may have an adverse effect on pricing and market acceptance.</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vary widely from country to country. Many countries require approval of the sale price of a drug before it can be marketed. In most cases, the pricing review period begins after marketing or product licensing approval is granted. In some non-U.S. markets, prescription pharmaceutical pricing remains subject to continuing governmental control after initial approval is granted. As a result, a product may receive regulatory approval in a particular country, but then be subject to price regulations that delay commercial launch of the product, negatively impacting the revenues generated from sales in that country and consequently negatively affecting our revenues through royalties or otherwise. In many countries, particularly those in the EU, prescription drug pricing and reimbursement is subject to governmental control. In countries that impose price controls, pricing negotiations with governmental authorities can take considerable time after receipt of marketing approval for a product. To obtain reimbursement or pricing approval in some countries, regulators may require a clinical trial that compares the cost-effectiveness of the product candidate under review to other available therapies. Successful commercialization of any products also will depend in part on the extent to which coverage and adequate reimbursement for these products and related treatments will be available from government health administration authorities, private health insurers and other third-party payors. Obtaining coverage and reimbursement approval of a product from a government or other third-party payor is a time-consuming and costly process that</w:t>
      </w: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can require provision to the payor of supporting scientific, clinical and cost-effectiveness data for the product under review. 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with no assurance that coverage and adequate reimbursement will be obtained. There may also be significant delays in obtaining coverage and reimbursement for newly approved drugs, and coverage may be more limited than the purposes for which the drug is approved. We expect pricing pressures in connection with the sale of any approved products due to the trend toward managed healthcare, the increasing influence of health maintenance organizations and additional legislative proposals.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current U.S. Presidential administration has issued executive orders focused on decreasing prescription drug prices, including directing the Secretary of the U.S. Department of Health and Human Services (“HHS”) to establish a mechanism through which U.S.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Government agreements with pharmaceutical companies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and our ability to recognize product or royalty and milestone revenues. We cannot predict the full impact of the executive orders focused on reducing prescription drug prices or increasing domestic drug manufacturing capacity, or other measures that may be implemented related to drug pricing, drug supply chain and manufacturing in the United States. In international markets, reimbursement and healthcare payment systems vary significantly by country, and many countries have instituted price ceilings on specific products and therapies. Approved products might not be considered medically reasonable and necessary for a specific indication or cost-effective by third-party payors, an adequate level of reimbursement might not be available for such products, and third-party payors’ reimbursement policies might adversely affect any future approved products profitability.</w:t>
      </w:r>
    </w:p>
    <w:p>
      <w:pPr>
        <w:spacing w:after="0" w:line="2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we or our strategic partners will be subject to ongoing regulatory obligations and continued regulatory review, which may result in significant additional expense.</w:t>
      </w:r>
    </w:p>
    <w:p>
      <w:pPr>
        <w:spacing w:after="0" w:line="15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Any regulatory approvals that our product candidates receive may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 For example, in November 2024 the FDA granted accelerated approval for Ziihera for the treatment of adults with previously treated, unresectable or metastatic HER2+ (IHC 3+) BTC, in May 2025, the NMPA in China granted conditional approval for zanidatamab for the treatment of patients with previously treated, unresectable or metastatic HER2+ BTC, and in July 2025, the European Commission granted conditional marketing authorization of Ziihera for the treatment of adults with unresectable locally advanced or metastatic HER2+ BTC. However, continued approval for these indications is contingent upon verification and description of clinical benefits in confirmatory trials. For any approved product, we and our strategic partners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 and good clinical practice (“GCP”), for any clinical trials that we or our strategic partners conduct after approval. Later discovery of previously unknown problems with a product, including adverse events of unanticipated severity or frequency, or with third-party manufacturers or manufacturing processes, or failure to comply with regulatory requirements, may result in, among other things, restrictions on manufacturing of the product, withdrawal of the product from the market, voluntary or mandatory recalls or imposition of civil or criminal penalties. It is unclear how our industry and our clinical programs will be impacted by pending legislation and new policies and regulations implemented under the current U.S. Presidential administration and the new FDA commissioner.</w:t>
      </w:r>
    </w:p>
    <w:p>
      <w:pPr>
        <w:spacing w:after="0" w:line="191"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liability lawsuits are successfully brought against us or any of our strategic partners, we may incur substantial liabilities and commercialization efforts of zanidatamab or any other approved products may need to be limited.</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and our strategic partners face an inherent risk of product liability lawsuits related to the testing of product candidates in seriously ill patients, and face an even greater risk as a result of commercialization of any approved product candidates. Product liability claims may be brought against us or our strategic partners by participants enrolled in clinical trials, patients, health care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providers or others using, administering or selling any current or future approved products. If we cannot successfully defend ourselves against any such claims, we may incur substantial liabilities. Regardless of their merit or eventual outcome, liability claims may result in:</w:t>
      </w:r>
    </w:p>
    <w:p>
      <w:pPr>
        <w:spacing w:after="0" w:line="5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current or future approved products, product recalls or a change in the indications for which they may be 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and our strategic partners’ reputation;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placed on promotional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termination of clinical trial sites or entire trial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 and substantial monetary awards to, or costly settlement with, patients or other claimants;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approved products.</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may need to have in place increased product liability coverage as we or our strategic partners begin the commercialization of any product candidates. Insurance coverage is becoming increasingly expensive, and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operations. Patients with cancer and other diseases we or our strategic partners may target are often already in severe and advanced stages of disease and have both known and unknown significant pre-existing and potentially life-threatening health risks. During the course of treatment, patients may suffer adverse events, including death, for reasons that may be related to zanidatamab or our or our strategic partners’ product candidates. Such events could subject us to costly litigation, require us to pay substantial amounts of money to injured patients, delay, negatively impact or end the opportunity to receive or maintain regulatory approval to market zanidatamab or other product candidates, or require suspension or abandonment of commercialization efforts. Even in circumstances in which we do not believe that an adverse event is related to zanidatamab or our or our strategic partners’ product candidate, the investigation into the circumstance may be time-consuming or inconclusive, and may result in reputational harm. These investigations may interrupt sales efforts, delay regulatory approval process in other countries, or impact and limit the type of regulatory approvals zanidatamab or product candidates receive or maintain. As a result of these factors, a product liability claim, even if successfully defended, could have a material adverse effect on our business, financial condition or results of operations.</w:t>
      </w:r>
    </w:p>
    <w:p>
      <w:pPr>
        <w:spacing w:after="0" w:line="1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our strategic partners or any of our third-party manufacturers encounter manufacturing difficulties, supply of product candidates for clinical trials or any approved products for patients could be delayed or prevented.</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Manufacturing difficulties and supply chain risks may delay or prevent the availability of product candidates for our and our strategic partners’ development efforts or, following receipt of marketing approval, for commercialization of approved products. The manufacture of biological drug products is complex and requires significant expertise and capital investment, including the development of advanced manufacturing techniques, process and quality controls. Manufacturers of biologic products often encounter difficulties in production and sourcing, particularly in scaling up or out, validating the production process and assuring high reliability of the manufacturing processes (including the absence of contamination), in light of variations and supply constraints of key components. These problems include logistics and shipping, difficulties with production costs and yields, quality control, including consistency, stability, purity and efficacy of the product, product testing, operator error and availability of qualified personnel, as well as compliance with applicable federal, state and non-U.S. regulations. Prolonged uncertainty in trade relationships could result in supply chain disruptions, delayed shipments, or increased operational complexity, which could also adversely affect our business, results of operations and cash flows. While we are evaluating steps to mitigate any impacts of new or increased tariffs or other impacts resulting from changes in trade policy, our ability to do so may be limited by operational and supply chain constraints, especially in the short term. We and our third-party manufacturers are subject to federal, state and local laws and regulations governing the use, manufacture, storage, handling and disposal of medical and hazardous materials. Although we believe that our manufacturers’ procedures relating to these laws comply with legally prescribed standards, we cannot completely eliminate the risk of contamination or injury, and any related liability, resulting from medical or hazardous materials. In addition, manufacturing methods and formulation changes for product candidates advancing towards commercialization carry the risk that such product candidates may perform differently and affect the results of planned clinical trials or other future clinical trials conducted with the altered materials. While such changes are common and intended to help optimize processes and results during the development process, any of</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changes could increase costs, cause delays and impact our or our strategic partners’ ability to commence product sales, affecting our product revenue or royalty and milestone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anticipate that at least over the short-term we will continue to incur losses. We have only one product approved for commercial sale, and, as of December 31, 2025, we have not received any revenue or profit from product sales, other than the receipt of royalties relating to sales of zanidatamab. We may never achieve or sustain profitability.</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incurred significant losses since our inception. Our net losses for the years ended December 31, 2025, 2024 and 2023 were $81.1 million, $122.7 million and $118.7 million, respectively. As of December 31, 2025, our accumulated deficit was $953.2 million. Our revenue as of December 31, 2025 has been primarily revenue from the license of our proprietary therapeutic platforms for the development of product candidates by others or revenue from our strategic partners. We anticipate that at least over the short-term we will not be net income positive on a regular basis as we continue our research and development of our product candidates and implement our recently announced strategy. In addition, inflationary pressure could adversely impact our financial results. The net losses and negative cash flows incurred as of December 31, 2025, together with expected future losses, have had, and likely will continue to have, an adverse effect on our stockholders’ deficit and working capital. The amount of future net losses as well as our ability to become net income positive will depend, in part, on the rate of future growth of our expenses and our ability to generate revenue, including through the receipt of royalties from our strategic partners and the successful implementation of our recently announced strategy. Because of the numerous risks and uncertainties associated with pharmaceutical product development as well as our asset aggregation strategy, we are unable to accurately predict the timing or amount of increased expenses or when, or if, we will be able to achieve profitability. Historically, we have devoted substantially all of our financial resources and efforts to developing our proprietary therapeutic platforms, identifying potential product candidates and conducting preclinical studies and clinical trials. Zanidatamab is the only product candidate developed with our therapeutic platforms that has received regulatory approval, and we and our strategic partners are still developing other product candidates. To become and remain profitable, we and our strategic partners must succeed in developing and commercializing product candidates with significant market potential. This will require us to be successful in a range of challenging activities for which we are only in the preliminary stages, including developing and acquiring product candidates, securing partnerships and either directly or through our strategic partners advancing through later stage clinical development, regulatory approval and the manufacturing, marketing and selling of those product candidates that obtain regulatory approval. We may never succeed in these activities and may never generate revenue from product sales, royalties, milestones or otherwise that is significant enough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funding, which may not be available to us on acceptable terms, or at all, and, if not available, may require us to delay, scale back, or cease our product development programs or operations.</w:t>
      </w:r>
    </w:p>
    <w:p>
      <w:pPr>
        <w:spacing w:after="0" w:line="145"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We are focused on the development of our early-stage product candidates, acquisition of additional early-stage assets and general discovery efforts. Developing pharmaceutical products, including conducting preclinical studies and clinical trials, is expensive. We intend to evaluate various partnering, collaboration and other strategic transactions that may enable us to raise additional funding or transfer certain costs and risks related to later-stage development and/or commercialization to our strategic partners. If we successfully enter into these types of transactions, we expect to be able to enhance our capital efficiency by deploying resources that may have otherwise been spent on later-stage clinical development across other areas of our business; however, we may not be able to identify suitable partners or enter into agreements on terms acceptable to us. Even if we are able to secure additional strategic arrangements, there can be no assurance that these arrangements will be successful, which could materially harm our business, financial conditions and results of operations. For example, if we raise additional funds through borrowings, we may be obligated to repay the principal and interest of the loan from certain of our royalty payments and/or use our royalties as collateral for such borrowings, which may subject us to covenants that restrict our activities or other unfavorable terms and conditions. Our future funding requirements will depend on many factors, including:</w:t>
      </w:r>
    </w:p>
    <w:p>
      <w:pPr>
        <w:spacing w:after="0" w:line="9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other product candidates that we pursue;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 and results of research, preclinical development, and clinical trials;</w:t>
      </w:r>
    </w:p>
    <w:p>
      <w:pPr>
        <w:spacing w:after="0" w:line="117" w:lineRule="exact"/>
        <w:rPr>
          <w:rFonts w:ascii="Times New Roman" w:cs="Times New Roman" w:eastAsia="Times New Roman" w:hAnsi="Times New Roman"/>
          <w:sz w:val="18"/>
          <w:szCs w:val="18"/>
          <w:color w:val="auto"/>
        </w:rPr>
      </w:pPr>
    </w:p>
    <w:p>
      <w:pPr>
        <w:ind w:left="660" w:right="200" w:hanging="328"/>
        <w:spacing w:after="0" w:line="312" w:lineRule="auto"/>
        <w:tabs>
          <w:tab w:leader="none" w:pos="6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when needed additional management, scientific and medical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and</w:t>
      </w:r>
    </w:p>
    <w:p>
      <w:pPr>
        <w:spacing w:after="0" w:line="11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our existing strategic partnerships, and any collaboration, asset monetization, licensing, or other arrangements into which we may enter in the future, including the timing of receipt of any milestone or royalty payments under these agreements.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Until we can generate a sufficient amount of revenue to finance our cash requirements, which we may never do, we expect to finance future cash needs primarily through a combination of public and private equity offerings, debt financings, asset monetization, strategic partnerships and grant funding.</w:t>
      </w:r>
    </w:p>
    <w:p>
      <w:pPr>
        <w:spacing w:after="0" w:line="15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loan agreement impose certain restrictions on our activities, and failure by us or our subsidiaries to fulfill applicable obligations under the loan agreement may cause the repayment obligations to accelerate.</w:t>
      </w:r>
    </w:p>
    <w:p>
      <w:pPr>
        <w:spacing w:after="0" w:line="15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Pursuant to the terms of the Sale Agreement and Loan Agreement with Royalty Pharma, we and our subsidiaries are restricted from taking certain actions with respect to the Jazz Collaboration Agreement and the Zanidatamab Agreement with BeOne (collectively, the “Covered Agreements”), including (i) entering into any contracts, or amending, modifying or waiving provisions of any contracts, relating to the royalties receivable under the Covered Agreements that would undermine the Royalty Interest or reasonably be expected to result in a material adverse effect, (ii) taking actions that would, or would give the right to an applicable counterparty to, terminate a Covered Agreement or certain material in-license agreements covering Ziihera, or amending, modifying, waiving any provision, providing any consent or taking any action under any Covered Agreement that would reduce any Royalty Interest payments or reasonably be expected to result in a material adverse effect, without the prior written consent of the Subsidiary and Royalty Pharma,</w:t>
      </w:r>
    </w:p>
    <w:p>
      <w:pPr>
        <w:spacing w:after="0" w:line="2" w:lineRule="exact"/>
        <w:rPr>
          <w:sz w:val="20"/>
          <w:szCs w:val="20"/>
          <w:color w:val="auto"/>
        </w:rPr>
      </w:pPr>
    </w:p>
    <w:p>
      <w:pPr>
        <w:ind w:firstLine="8"/>
        <w:spacing w:after="0" w:line="267" w:lineRule="auto"/>
        <w:tabs>
          <w:tab w:leader="none" w:pos="3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selling, transferring, disposing of or encumbering its interests in applicable Ziihera-specific intellectual property, Ziihera, a Covered Agreement or certain material in-license agreements covering Ziihera, or entering into monetization or similar transactions with respect to Zymeworks BC’s retained royalty interests under any Covered Agreement, except, in each case, without certain assumption and other arrangements protective to Royalty Pharma’s interests, and (iv) permitting Covered Agreement counterparties to acquire more than 50% of Zymeworks BC’s retained royalty interests under any Covered Agreement without certain assumption and other arrangements protective to Royalty Pharma’s interests, in addition to being subject to other customary covenants. Additionally, under the Loan Agreement, if certain events of default occur, including the termination of a Covered Agreement or a change of control of us as well as other customary events of default, Royalty Pharma may terminate the Loan Agreement and demand immediate payment of an amount equal to the outstanding principal amount of the loan plus all applicable fees, premiums and accrued and unpaid interest thereon and exercise all rights and remedies available under or pursuant to the Loan Agreement. For additional information regarding this arrangement, see the section titled “Liquidity and Capital Resources” under Part II. Item 7. “Management’s Discussion and Analysis of Financial Condition and Results of Operations” below.</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we or our subsidiaries are unable to comply with the covenants or other obligations under the Sale Agreement and the Loan Agreement, or if an event of default were to occur and our loan becomes accelerated, we could be required to prepay the entire loan or lose control over assets or rights held by the Subsidiary and provided as collateral to Royalty Pharma. While the loan is non-recourse against us or Zymeworks BC, a failure to comply with the covenants or other obligations under the Sale Agreement and the Loan Agreement, including an event of default, could cause our business, financial condition, results of operations and reputation to be materially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substantial rights.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Raising additional funds through partnerships, collaborations, strategic alliances, or licensing arrangements with third parties, may require us to relinquish valuable rights to our technologies, product candidates, or future revenue streams, or grant licenses on terms that are not favorable to us. To the extent that we raise additional capital through the sale of equity or convertible debt securities, our stockholders’ ownership interest will be diluted, and the terms of these new securities may include liquidation or other preferences that adversely affect our stockholders’ rights as common stockholders. For example, in August 2024, we entered into the Cowen Sales Agreement with TD Cowen as sales agent to sell shares of our common stock from time to time through an “at-the-market” equity offering program, subject to a maximum aggregate dollar amount registered pursuant to a prospectus supplement. As part of the ongoing management of our operations and related funding needs, we evaluate various financing vehicles, including “at-the-market” equity offering programs, and may enter into similar “at-the-market” equity offering programs in the future, as well as other financing transactions. Debt financing, if available at all, may involve agreements that include covenants limiting or restricting our ability to take specific actions such as incurring additional debt, making capital expenditures, repurchasing our common stock, or declaring dividends. We cannot assure that we will be able to</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obtain additional funding if and when necessary. If we are unable to obtain adequate financing on a timely basis, we could be required to delay, scale back or eliminate one or more of our development programs or otherwise scale back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manufacturers to produce our product candidates and on other third parties to provide supplies and store, monitor and transport bulk drug substance and drug product. We and our strategic partners may encounter difficulties with respect to these activities that could delay or impair our or our strategic partners’ ability to initiate or complete our clinical trials or commercialize products.</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We work with multiple third-party contract manufacturers to produce sufficient quantities of materials required for the manufacture of our product candidates for preclinical testing and clinical trials, in compliance with applicable regulatory and quality standards.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 The manufacture of biopharmaceutical products is complex and requires significant expertise and capital investment, including the development of advanced manufacturing techniques and process controls. The process of manufacturing our product candidates is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third-party manufacturing facilities in which our product candidates are made, such manufacturing facilities may need to be closed for an extended period of time to investigate and remedy the contamination. All of our engineered antibodies are manufactured in accordance with cGMP by utilizing cells that are stored in a cell bank. We have one master cell bank and one working cell bank for zanidatamab and one master cell bank for each of ZW191, ZW209, ZW220 and ZW251. Should any cell bank be lost in a catastrophic event, it is possible that we could lose part of a cell bank and have our manufacturing potentially impacted by the need to replace the cell bank. 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Furthermore, 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non-U.S. standards. Pharmaceutical manufacturers and their subcontractors are required to register their facilities or products manufactured at the time of submission of the marketing application and then annually thereafter with the FDA and certain state and non-U.S. agencies. They are also subject to periodic unannounced inspections by the FDA, state and other non-U.S. authorities. Any subsequent discovery of problems with a product, or a manufacturing or laboratory facility used by us or our strategic partners, may result in restrictions on the product or on the manufacturing or laboratory facility, including marketed product recall, suspension of manufacturing, product seizure, or a voluntary withdrawal of the drug from the market. We may have little to no control regarding the occurrence of third-party manufacturer incidents. Any failure by our third-party manufacturers to comply with cGMP or failure to scale up manufacturing processes, including any failure to deliver sufficient quantities of product candidates in a timely manner, could lead to a delay in development of any of our or our strategic partners’</w:t>
      </w:r>
    </w:p>
    <w:p>
      <w:pPr>
        <w:spacing w:after="0" w:line="2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product candidates. In addition to third-party manufacturers, we rely on other third parties to store, monitor and transport bulk drug substance and drug product. If we are unable to arrange for such third-party sources, or fail to do so on commercially reasonable terms, we may not be able to successfully supply sufficient product candidate or we may be delayed in doing so. Such failure or substantial delay could materially harm our business.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strategic partners rely on third parties to monitor, support, conduct and oversee clinical trials of product candidates and, in some cases, to maintain regulatory files for those product candidates. Our product candidates may not receive regulatory approval or be successfully commercialized if we or our strategic partners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and our strategic partners rely on entities outside of our or their control, which may include academic institutions, CROs, hospitals, clinics and other third-party strategic partners, to monitor, support, conduct and oversee preclinical studies and clinical trials of our or our strategic partners’ current and future product candidates. If we or our strategic partners are unable to maintain or enter into agreements with these third parties on acceptable terms, or if any such engagement is terminated prematurely, we or our strategic partners may be unable to enroll patients on a timely basis or otherwise conduct our trials in the manner anticipated. In addition, there is no guarantee that these third parties will devote adequate time and resources to our or our strategic partners’ studies or perform as required by contract or in accordance with regulatory requirements, including maintenance of clinical trial information regarding the product candidates. These third parties, in turn, may face their own constraints in obtaining the resources and personnel needed to perform the work for which they are engaged. If these third parties fail to meet expected deadlines, fail to transfer any regulatory information in a timely manner, fail to adhere to protocols or fail to act in accordance with regulatory requirements or contractual obligations, or if they otherwise perform in a substandard manner or in a way that compromises the quality or accuracy of their activities or the data they obtain, then clinical trials of our or our strategic partners’ product candidates may be extended or delayed with additional costs incurred, or data from the clinical trials may be rejected by the FDA, EMA or other</w:t>
      </w:r>
    </w:p>
    <w:p>
      <w:pPr>
        <w:spacing w:after="0" w:line="16"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7"/>
          <w:szCs w:val="17"/>
          <w:color w:val="auto"/>
        </w:rPr>
        <w:t>regulatory agencies. Ultimately, we and our strategic partners are responsible for ensuring that each of our clinical trials is conducted in accordance with the applicable protocol, legal, regulatory and scientific standards, and reliance on third parties does not relieve us or our strategic partners of regulatory</w:t>
      </w:r>
    </w:p>
    <w:p>
      <w:pPr>
        <w:ind w:right="80"/>
        <w:spacing w:after="0" w:line="269" w:lineRule="auto"/>
        <w:rPr>
          <w:sz w:val="20"/>
          <w:szCs w:val="20"/>
          <w:color w:val="auto"/>
        </w:rPr>
      </w:pPr>
      <w:r>
        <w:rPr>
          <w:rFonts w:ascii="Times New Roman" w:cs="Times New Roman" w:eastAsia="Times New Roman" w:hAnsi="Times New Roman"/>
          <w:sz w:val="17"/>
          <w:szCs w:val="17"/>
          <w:color w:val="auto"/>
        </w:rPr>
        <w:t>responsibilities. We, our strategic partners and our CROs are required to comply with GCP regulations and guidelines enforced by the FDA, the competent authorities of the member states of the EU and comparable non-U.S. regulatory authorities for products in clinical development. Regulatory authorities enforce these GCP regulations through periodic inspections of clinical trial sponsors, principal investigators and clinical trial sites. If we, our strategic partners or any of our CROs fail to comply with applicable GCP regulations, the clinical data generated in the clinical trials may be deemed unreliable and submission of marketing applications may be delayed or the FDA may require us or our strategic partners to perform additional clinical trials before approving marketing applications. Upon inspection, the FDA could determine that any of our or our strategic partners’ clinical trials fail or have failed to comply with applicable GCP regulations. Moreover, our business may be implicated if any of our or our strategic partners’ CROs violates federal or state fraud and abuse or false claims laws and regulations or healthcare privacy and security laws. If any of our or our strategic partners’ clinical trial sites terminate for any reason, we may experience the loss of follow-up information on patients enrolled in the ongoing clinical trials unless we or our strategic partners are able to transfer the care of those patients to another qualified clinical trial site. If our or our strategic partners’ relationship with any CRO is terminated, we or our strategic partners, as applicable, may be unable to enter into arrangements with alternative CROs on commercially reasonable terms, or at all. Switching or adding CROs or other suppliers can involve substantial cost and require extensive management time and focus, and there is a natural transition period when a new CRO or supplier commences work. As a result, delays may occur, which can materially impact the ability to meet desired clinical development timelines. If we or our strategic partners are required to seek alternative supply arrangements, the resulting delays and potential inability to find a suitable replacement could materially and adversely impact our business or our product or royalty and milestone revenue.</w:t>
      </w:r>
    </w:p>
    <w:p>
      <w:pPr>
        <w:spacing w:after="0" w:line="17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various operational and administrative aspects of our business, including for certain cloud-based software platforms, which impact our financial, operational and research activities. If any of these third parties fail to provide timely, accurate and ongoing service or if the cloud-based platforms suffer outages that we are unable to mitigate, our business may be adversely affected.</w:t>
      </w:r>
    </w:p>
    <w:p>
      <w:pPr>
        <w:spacing w:after="0" w:line="17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currently rely upon third-party consultants and contractors to provide certain operational and administrative services, including external financial, legal, information technology, clinical and research consultation.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or increase their fees, or if our relationships with these providers deteriorate, we could suffer increased costs until an equivalent provider could be found, if at all, or we could develop internal capabilities, if ever. If we are unsuccessful in choosing or finding high-quality partners, if we fail to negotiate cost-effective relationships with them, or if we ineffectively manage these relationships, it could have an adverse impact on</w:t>
      </w:r>
    </w:p>
    <w:p>
      <w:pPr>
        <w:spacing w:after="0" w:line="2"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our business and financial performance. Further, our operations depend on the continuing and efficient operation of our information technology and communications systems and infrastructure, and specifically on “cloud-based” platforms. These platforms are vulnerable to damage or interruption from earthquakes, vandalism, sabotage, terrorist attacks, floods, fires, power outages, telecommunications failures, and computer viruses or other deliberate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attempts to harm the systems. The occurrence of a natural or intentional disaster, any decision to close a facility we are using without adequate notice, or an unanticipated problem at our cloud-based virtual server facility, could result in harmful interruptions in our service, resulting in adverse effects to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significantly on our ability to operate without infringing the patents and other proprietary rights of third parties.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Other entities may have or obtain patents or proprietary rights that could limit our and our strategic partners’ ability to make, use, sell, offer for sale or import our future approved products or impair our competitive position. For example, certain patents and patent applications held by third parties cover Fab and Fc region engineering methods for bispecific antibodies, and antibodies having mutations in Fab heavy and light chain regions and Fc regions to generate correctly paired bispecific antibodies. In addition, we are aware of certain third-party patents and patent applications that generally encompass topoisomerase 1 inhibitors. If our or our strategic partners’ product candidates or products are covered by any claims of these patents or patents that may issue from these applications, and if licenses for them are not available on commercially reasonable terms or at all, we or our strategic partners are unable to invalidate or render unenforceable</w:t>
      </w:r>
    </w:p>
    <w:p>
      <w:pPr>
        <w:spacing w:after="0" w:line="1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those patents, or we or our strategic partners are unable to reengineer such product candidates or products, our business could be materially harmed. There is no assurance that there are not third-party patents or patent applications of which we are aware, but which we do not believe are relevant to our business, which may, nonetheless, ultimately be found to limit our or our strategic partners’ ability to make, use, sell, offer for sale or import future approved</w:t>
      </w:r>
    </w:p>
    <w:p>
      <w:pPr>
        <w:ind w:right="60"/>
        <w:spacing w:after="0" w:line="258" w:lineRule="auto"/>
        <w:rPr>
          <w:sz w:val="20"/>
          <w:szCs w:val="20"/>
          <w:color w:val="auto"/>
        </w:rPr>
      </w:pPr>
      <w:r>
        <w:rPr>
          <w:rFonts w:ascii="Times New Roman" w:cs="Times New Roman" w:eastAsia="Times New Roman" w:hAnsi="Times New Roman"/>
          <w:sz w:val="18"/>
          <w:szCs w:val="18"/>
          <w:color w:val="auto"/>
        </w:rPr>
        <w:t>products or impair our and our strategic partners’ competitive position. Patents that we may ultimately be found to infringe could be issued to third parties. Third parties may have or obtain valid and enforceable patents or proprietary rights that could block us and our strategic partners from developing product candidates using our technology. Our failure to obtain a license to any patent covering any technology that we or our strategic partners require may materially harm our business, financial condition and results of operations. Moreover, our failure to maintain a license to any patent covering any technology that we or our strategic partners require may also materially harm our business, financial condition and results of operations. Furthermore, we</w:t>
      </w:r>
    </w:p>
    <w:p>
      <w:pPr>
        <w:spacing w:after="0" w:line="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would be exposed to a threat of litigation. In the pharmaceutical industry, significant litigation and other proceedings regarding patents, patent applications, trademarks and other intellectual property rights are commonplace. Any such lawsuits and proceedings could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or our strategic partners are infringing a third party’s patents and would order us or our strategic partners to stop the activities or stop the manufacture, use, or sale of any product covered by the patents. In that event, we or our strategic partners may not have a viable alternative to the technology protected by the patent and may need to halt work on the affected product candidate or cease commercialization of an approved product. In addition, there is a risk that a court would order us or our strategic partners to pay third-party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at issue or to license the technology from third parties. We may not be able to obtain any required licenses on commercially acceptable terms or at all. Any of these outcomes could have a material adverse effect on our business.</w:t>
      </w:r>
    </w:p>
    <w:p>
      <w:pPr>
        <w:spacing w:after="0" w:line="18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patent and trade secret protection for our product candidates and related technology, our business could be materially harmed.</w:t>
      </w:r>
    </w:p>
    <w:p>
      <w:pPr>
        <w:spacing w:after="0" w:line="15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Our strategy depends on our ability to identify and seek patent protection for our discoveries. This process is expensive and time 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owned or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w:t>
      </w:r>
    </w:p>
    <w:p>
      <w:pPr>
        <w:spacing w:after="0" w:line="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issued patents with claims that cover our current and future product candidates in the United States or in other countries. Moreover, the patent position of biopharmaceutical companies generally is highly uncertain, involves complex legal and factual questions and has been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subject of much litigation. The issuance of a patent does not ensure that it is valid or enforceable. Third parties may challenge the validity, enforceability or scope of our issued patents, and such patents may be narrowed, invalidated, circumvented, or deemed unenforceable. In addition, changes in law may introduce uncertainty in the enforceability or scope of patents owned by biotechnology companies. If our patents are narrowed, invalidated or held unenforceable, third parties may be able to commercialize our technology or products and compete directly with us and our strategic partners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not prior art of which we are aware, but which we do not believe affects the validity or enforceability of a claim in our patents and</w:t>
      </w:r>
    </w:p>
    <w:p>
      <w:pPr>
        <w:spacing w:after="0" w:line="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patent applications, which may, nonetheless, ultimately be found to affect the validity or enforceability of a claim. Additionally, recent reforms and changes at U.S. government agencies and those of non-U.S. jurisdictions could increase the uncertainties and costs surrounding the prosecution or maintenance of our patent applications, and the maintenance, enforcement, or defense of our issued patents. For example, the ability of the U.S. Patent and Trademark Office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w:t>
      </w:r>
    </w:p>
    <w:p>
      <w:pPr>
        <w:spacing w:after="0" w:line="1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enforce, or defend our issued patents.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other countries may not allow us to protect our inventions with patents to the same extent as U.S. law. Because patent applications in the United States and many other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issuance, validity, enforceability, scope and commercial value of our patents in the United States and in other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patents covering one or more of our products or product candidates could be found invalid or unenforceable if challenged.</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These challenges could be initiated in the courts or administratively in various patent offices. For example, if we were to initiate legal proceedings against a third party to enforce a patent covering one of our product candidates, the defendant could counterclaim that our patent is invalid and/or unenforceable or file an administrative action to invalidate our patent.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non-U.S. counterpart, or made a misleading statement, during prosecution. A litigant or the USPTO itself could challenge our patents on this basis even if we believe that we have conducted our patent prosecution in accordance with the duty of candor and in good faith. The</w:t>
      </w:r>
    </w:p>
    <w:p>
      <w:pPr>
        <w:spacing w:after="0" w:line="1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outcome following such a challenge is unpredictable. 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and any resulting loss of patent protection, could have a material adverse impact on one or more of our</w:t>
      </w:r>
    </w:p>
    <w:p>
      <w:pPr>
        <w:spacing w:after="0" w:line="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product candidates and our business. Enforcing our intellectual property rights against third parties may also cause such third parties to file other counterclaims against us, which could be costly to defend and could require us to pay substantial damages, cease the use, manufacture, or sale of certain products or enter into a license agreement and pay royalties (which may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 be possible on commercially reasonable terms or at all). Any efforts to enforce our intellectual property rights are also likely to be costly and may divert the efforts of our scientific and management personnel.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660" w:right="2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or our strategic partners own or have exclusively licensed;</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130" w:lineRule="exact"/>
        <w:rPr>
          <w:rFonts w:ascii="Arial" w:cs="Arial" w:eastAsia="Arial" w:hAnsi="Arial"/>
          <w:sz w:val="22"/>
          <w:szCs w:val="22"/>
          <w:color w:val="auto"/>
        </w:rPr>
      </w:pPr>
    </w:p>
    <w:p>
      <w:pPr>
        <w:ind w:left="660" w:right="840" w:hanging="328"/>
        <w:spacing w:after="0" w:line="234"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32" w:lineRule="exact"/>
        <w:rPr>
          <w:rFonts w:ascii="Arial" w:cs="Arial" w:eastAsia="Arial" w:hAnsi="Arial"/>
          <w:sz w:val="22"/>
          <w:szCs w:val="22"/>
          <w:color w:val="auto"/>
        </w:rPr>
      </w:pPr>
    </w:p>
    <w:p>
      <w:pPr>
        <w:ind w:left="660" w:right="260" w:hanging="328"/>
        <w:spacing w:after="0" w:line="246"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we may obtain patents for certain compounds many years before we or our strategic partners obtain marketing approval for products containing such compounds, and because patents have a limited life, which may begin to run prior to the commercial sale of the related product, the commercial value of our patents may be limited;</w:t>
      </w:r>
    </w:p>
    <w:p>
      <w:pPr>
        <w:spacing w:after="0" w:line="126" w:lineRule="exact"/>
        <w:rPr>
          <w:rFonts w:ascii="Arial" w:cs="Arial" w:eastAsia="Arial" w:hAnsi="Arial"/>
          <w:sz w:val="22"/>
          <w:szCs w:val="22"/>
          <w:color w:val="auto"/>
        </w:rPr>
      </w:pPr>
    </w:p>
    <w:p>
      <w:pPr>
        <w:ind w:left="660" w:right="560" w:hanging="328"/>
        <w:spacing w:after="0" w:line="234"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use the information learned from such activities to develop competitive products for sale in our major commercial markets;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130" w:lineRule="exact"/>
        <w:rPr>
          <w:rFonts w:ascii="Arial" w:cs="Arial" w:eastAsia="Arial" w:hAnsi="Arial"/>
          <w:sz w:val="22"/>
          <w:szCs w:val="22"/>
          <w:color w:val="auto"/>
        </w:rPr>
      </w:pPr>
    </w:p>
    <w:p>
      <w:pPr>
        <w:ind w:left="660" w:right="240" w:hanging="328"/>
        <w:spacing w:after="0" w:line="234"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the laws of certain countries may not protect our intellectual property rights to the same extent as U.S. law, or we may fail to apply for or obtain adequate intellectual property protection in all the jurisdictions in which we operate; and</w:t>
      </w:r>
    </w:p>
    <w:p>
      <w:pPr>
        <w:spacing w:after="0" w:line="132" w:lineRule="exact"/>
        <w:rPr>
          <w:rFonts w:ascii="Arial" w:cs="Arial" w:eastAsia="Arial" w:hAnsi="Arial"/>
          <w:sz w:val="22"/>
          <w:szCs w:val="22"/>
          <w:color w:val="auto"/>
        </w:rPr>
      </w:pPr>
    </w:p>
    <w:p>
      <w:pPr>
        <w:ind w:left="660" w:right="620" w:hanging="328"/>
        <w:spacing w:after="0" w:line="234"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have a material adverse effect on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trade secrets, which could be expensive, time consuming and unsuccessful.</w:t>
      </w:r>
    </w:p>
    <w:p>
      <w:pPr>
        <w:spacing w:after="0" w:line="22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Third parties may seek to market biosimilar versions of any approved products. Alternatively, third parties may seek approval to market their own products similar to or otherwise competitive with our product candidates. In these circumstances, we may need to defend or assert our patents, including by filing lawsuits alleging patent infringement. The outcome following legal assertions of invalidity and unenforceability is unpredictable. In any of these types of proceedings, a court or agency with jurisdiction may find our patents invalid or unenforceable. Even if we have valid and enforceable patents, these patents</w:t>
      </w:r>
    </w:p>
    <w:p>
      <w:pPr>
        <w:spacing w:after="0" w:line="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still may not provide protection against competing products or processes sufficient to achieve our and our strategic partners’ business objectives. After they have issued, our patents and any patents that we license may be challenged, narrowed, invalidated or circumvented. If our patents are invalidated or otherwise limited or will expire prior to the commercialization of our or our partnered product candidates, other companies may be better able to develop products that compete with ours, which could adversely affect our or our strategic partners’ competitive business position, and adversely affect our revenues. In addition, if the breadth or strength of protection provided by our patents and patent applications is threatened, it could dissuade companies</w:t>
      </w:r>
    </w:p>
    <w:p>
      <w:pPr>
        <w:spacing w:after="0" w:line="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from collaborating with us to license, develop or commercialize current or future product candidates. The following are examples of litigation and other adversarial proceedings or disputes that we could become a party to involving our patents or patents licensed to us:</w:t>
      </w:r>
    </w:p>
    <w:p>
      <w:pPr>
        <w:spacing w:after="0" w:line="54" w:lineRule="exact"/>
        <w:rPr>
          <w:sz w:val="20"/>
          <w:szCs w:val="20"/>
          <w:color w:val="auto"/>
        </w:rPr>
      </w:pPr>
    </w:p>
    <w:p>
      <w:pPr>
        <w:jc w:val="center"/>
        <w:ind w:left="5540" w:right="940" w:hanging="5208"/>
        <w:spacing w:after="0" w:line="970" w:lineRule="auto"/>
        <w:tabs>
          <w:tab w:leader="none" w:pos="65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strategic partners may initiate litigation or other proceedings against third parties to enforce our patent or trade secret rights;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700" w:hanging="328"/>
        <w:spacing w:after="0" w:line="234"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91" w:lineRule="exact"/>
        <w:rPr>
          <w:rFonts w:ascii="Arial" w:cs="Arial" w:eastAsia="Arial" w:hAnsi="Arial"/>
          <w:sz w:val="22"/>
          <w:szCs w:val="22"/>
          <w:color w:val="auto"/>
        </w:rPr>
      </w:pPr>
    </w:p>
    <w:p>
      <w:pPr>
        <w:ind w:left="660" w:right="58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opposition or reexamination proceedings challenging the validity or scope of our patent rights, requiring us or our strategic partners and/or licensors to participate in such proceedings to defend the validity and scope of our patents;</w:t>
      </w:r>
    </w:p>
    <w:p>
      <w:pPr>
        <w:spacing w:after="0" w:line="94" w:lineRule="exact"/>
        <w:rPr>
          <w:rFonts w:ascii="Times New Roman" w:cs="Times New Roman" w:eastAsia="Times New Roman" w:hAnsi="Times New Roman"/>
          <w:sz w:val="18"/>
          <w:szCs w:val="18"/>
          <w:color w:val="auto"/>
        </w:rPr>
      </w:pPr>
    </w:p>
    <w:p>
      <w:pPr>
        <w:ind w:left="660" w:right="480" w:hanging="328"/>
        <w:spacing w:after="0" w:line="234"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there may be a challenge or dispute regarding inventorship or ownership of patents or trade secrets currently identified as being solely or co-owned by us or by a licensor who has granted a license to us;</w:t>
      </w:r>
    </w:p>
    <w:p>
      <w:pPr>
        <w:spacing w:after="0" w:line="132" w:lineRule="exact"/>
        <w:rPr>
          <w:rFonts w:ascii="Arial" w:cs="Arial" w:eastAsia="Arial" w:hAnsi="Arial"/>
          <w:sz w:val="22"/>
          <w:szCs w:val="22"/>
          <w:color w:val="auto"/>
        </w:rPr>
      </w:pPr>
    </w:p>
    <w:p>
      <w:pPr>
        <w:ind w:left="660" w:right="120" w:hanging="328"/>
        <w:spacing w:after="0" w:line="246"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the USPTO may initiate an interference between patents or patent applications owned by or licensed to us and those of our competitors, requiring us or our strategic partners and/or licensors to participate in an interference proceeding to determine the priority of invention, which could jeopardize our patent rights; or</w:t>
      </w:r>
    </w:p>
    <w:p>
      <w:pPr>
        <w:spacing w:after="0" w:line="126" w:lineRule="exact"/>
        <w:rPr>
          <w:rFonts w:ascii="Arial" w:cs="Arial" w:eastAsia="Arial" w:hAnsi="Arial"/>
          <w:sz w:val="22"/>
          <w:szCs w:val="22"/>
          <w:color w:val="auto"/>
        </w:rPr>
      </w:pPr>
    </w:p>
    <w:p>
      <w:pPr>
        <w:ind w:left="660" w:right="180" w:hanging="328"/>
        <w:spacing w:after="0" w:line="234"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third parties may seek approval to market biosimilar versions of our future approved products prior to expiration of relevant patents owned by or licensed to us, requiring us to defend our patents, including by filing lawsuits alleging patent infringement.</w:t>
      </w:r>
    </w:p>
    <w:p>
      <w:pPr>
        <w:spacing w:after="0" w:line="20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These lawsuits and proceedings would be costly and could affect our results of operations and divert the attention of our managerial and scientific personnel. Adversaries in these proceedings may have the ability to dedicate substantially greater resources to prosecuting these legal actions than we or our licensors can. There is a risk that a court or administrative body would decide that our patents are invalid, unenforceable or not infringed or trade secrets not misappropriated by a third party’s activities, or that the scope of certain issued claims must be further limited. An adverse outcome in a litigation or proceeding involving our own patents or trade secrets could limit our ability to assert our patents or trade secrets against these or other competitors, affect our ability to receive royalties or other licensing consideration from our licensees, and may curtail or preclude our ability to exclude third parties from making, using and selling similar or competitive products. Any of these occurrences could adversely affect our competitive business position,</w:t>
      </w:r>
    </w:p>
    <w:p>
      <w:pPr>
        <w:spacing w:after="0" w:line="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business prospects and financial condition. We may not be able to prevent, alone or with our licensors or licensees,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w:t>
      </w:r>
    </w:p>
    <w:p>
      <w:pPr>
        <w:ind w:right="140"/>
        <w:spacing w:after="0" w:line="258" w:lineRule="auto"/>
        <w:rPr>
          <w:sz w:val="20"/>
          <w:szCs w:val="20"/>
          <w:color w:val="auto"/>
        </w:rPr>
      </w:pPr>
      <w:r>
        <w:rPr>
          <w:rFonts w:ascii="Times New Roman" w:cs="Times New Roman" w:eastAsia="Times New Roman" w:hAnsi="Times New Roman"/>
          <w:sz w:val="18"/>
          <w:szCs w:val="18"/>
          <w:color w:val="auto"/>
        </w:rPr>
        <w:t>other employees.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The degree of future protection for our proprietary rights is uncertain because legal means afford only limited protection and may not adequately protect our rights or permit us to gain or keep our competitive advantage. For example:</w:t>
      </w:r>
    </w:p>
    <w:p>
      <w:pPr>
        <w:spacing w:after="0" w:line="7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 platform that is similar to, or better than, ours in a way that is not covered by the claims of our patents;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our patents;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patents or pending patent applications;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 or may ultimately be found invalid or unenforceable;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or that afford meaningful trade secret protection.</w:t>
      </w:r>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or our partnered products or product candidates for an adequate amount of time.</w:t>
      </w:r>
    </w:p>
    <w:p>
      <w:pPr>
        <w:spacing w:after="0" w:line="1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expiration of a patent is generally 20 years from its earliest U.S. non-provisional filing date. Various extensions may be available, but the life of a patent, and the protection it affords, is limited. Even if patents covering our or our partnered products or product candidates are obtained, once the patent life has expired, we may be open to competition from competitive products, including biosimilars.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or our strategic partners with sufficient rights to exclude others from commercializing products similar or identical to ours. Further, judicial decisions in the United States raised questions regarding the award of patent term adjustment (“PTA”) for patents in families where related patents have issued without PTA. Thus, it cannot be said with certainty how PTA will be viewed in the future and whether patent expiration dates may be impacted.</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and similar legislation in other countries for extending the term of patents covering each of our or our partnered products or product candidates, our business may be materially harmed.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or our partnered product candidates, one or more of our U.S. patents may be eligible for limited patent term extension under the Hatch-Waxman Amendments. The Hatch-Waxman Amendments permit a patent term extension of up to five years for a patent covering an approved product as compensation for effective patent term lost during product development and the FDA regulatory review process, subject to the limitation that the total remaining patent term after approval cannot exceed 14 years. However, we may not receive an extension if we or our strategic partners fail to apply within applicable deadlines, fail to apply prior to expiration of relevant patents or otherwise fail to satisfy applicable requirements. Moreover, the length of the extension could be less than we or our strategic partners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the value of our technology and products could be adversely affected.</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and other proprietary information. For example, we treat our confidential and proprietary computational technologies, including unpatented know-how and other proprietary information, as trade secrets. We enter into confidentiality agreements with our employees, consultants, strategic partners and others upon the commencement of their relationships with us. These agreements provide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We cannot guarantee that we have entered into such agreements with each party that has or may have had access to, or houses or hosts, our trade secrets or proprietary information or that has been involved in the development of intellectual property. Further, despite such agreements, such inventions or confidential information may become disclosed or assigned to third parties. Monitoring unauthorized uses and disclosures is difficult and we do not know whether the steps we have taken to protect our proprietary technologies will be effective.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such technology or know-how or in related inventions. To the extent that an individual who is not obligated to assign rights in intellectual property to us is rightfully an inventor of intellectual property, we may need to obtain an assignment or a license to that intellectual property from that individual, that individual’s assignee, or a third party. Such assignment or license may not be available on</w:t>
      </w:r>
    </w:p>
    <w:p>
      <w:pPr>
        <w:spacing w:after="0" w:line="1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commercially reasonable terms or at all. We also seek to preserve the integrity and confidentiality of our data and trade secrets by maintaining physical security of our premises and physical and electronic security of our information technology systems and cloud storage sources, but such security measures</w:t>
      </w:r>
    </w:p>
    <w:p>
      <w:pPr>
        <w:spacing w:after="0" w:line="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may be breached, including through cyber-hacking or cyberattacks, and we may not have adequate remedies for any breach. Enforcing a claim that a party illegally disclosed or misappropriated a trade secret is difficult, expensive and time-consuming and the outcome is unpredictable. In addition, some courts inside and outside the United States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auto"/>
        </w:rPr>
        <w:t>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w:t>
      </w:r>
    </w:p>
    <w:p>
      <w:pPr>
        <w:spacing w:after="0" w:line="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disclosure of our proprietary information. As is 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Such trade secrets or other proprietary information could be awarded to a third party, and we could be required to obtain a license from such third party to commercialize our technology or products. Such license may not be available on commercially reasonable terms or at all. Even if we are successful in</w:t>
      </w:r>
    </w:p>
    <w:p>
      <w:pPr>
        <w:spacing w:after="0" w:line="1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defending against these claims, litigation could result in substantial costs and be a distraction to management. In July 2025, the FDA announced its intent to increase transparency by publicly releasing portions of Complete Response Letters (“CRLs”) issued to drug and biologic sponsors. While the FDA has stated that confidential information will be protected, it remains unclear how such disclosures will be implemented. Because CRLs often contain specific observations about study design, clinical endpoints, chemistry, manufacturing, and controls (“CMC”) data, or other proprietary information, any public release could unintentionally disclose information that competitors may use to infer proprietary aspects of our or our strategic partners’ product candidates or platform technologies. This could compromise the confidentiality of our trade secrets and know-how or facilitate third-party efforts to design around or challenge the validity, enforceability, or scope of our patents, or accelerate the development of generics and biosimilars. If we are required to modify or limit the information shared with the FDA to mitigate such risks, it could increase costs, slow our regulatory interactions, or delay product approval timelines.</w:t>
      </w:r>
    </w:p>
    <w:p>
      <w:pPr>
        <w:spacing w:after="0" w:line="18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or applications will be due to the USPTO and various non-U.S. patent offices at various points over the lifetime of our patents or applications. We have systems in place to remind us to pay these fees, and we rely on our outside patent annuity service to pay these fees when due. Additionally, the USPTO and various non-U.S.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we are not currently experiencing any claims challenging the inventorship or ownership of our patents, we may in the future be subject to claims that former employees, strategic partners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9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protection and patent prosecution for some of our or our partnered product candidates may be dependent on, and the ability to assert patents and defend them against claims of invalidity may be maintained by, third parties.</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 may be times when certain patents that relate to our or our partnered product candidates or any approved products are controlled by our licensees or licensors.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that adversely affects such coverage, our and our strategic partners’ ability to develop and commercialize any such product candidate may be adversely affected and we may not be able to prevent competitors from making, using and selling competing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can be highly uncertain and involve complex legal and factual questions for which important legal principles remain unresolved. Changes in patent laws or in the interpretations of patent laws in the United States and other countries may diminish the value of our intellectual property. We cannot predict the breadth of claims that may be allowed or found to be enforceable in our patents, in our strategic partners’ patents or in third-party patents. U.S. Supreme Court rulings have either narrowed the scope of patent protection available in certain circumstances or weakened the rights of patent owners in certain situations. In addition to increasing uncertainty with regard to our ability to obtain patents in the future, this has created uncertainty with respect to the validity, scope and value of patents, once obtained. In September 2011, the Leahy-Smith America Invents Act, also known as the America Invents Act (“AIA”), was signed into law.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files a patent application in the USPTO after March 16, 2013, but before us, could be awarded a patent covering a given invention, even if we had made the invention before it was made by the third party. This requires us to be cognizant of the time from invention to filing of a patent application. Depending on decisions by the U.S. Congress, the U.S. federal courts, the USPTO or similar authorities in non-U.S. jurisdictions, the laws and regulations governing patents could change in unpredictable ways that may weaken our and our licensors’ ability to obtain new patents or to enforce existing patents we and our licensors or strategic partners may obtain in the future. For example, the U.S. Supreme Court held in Amgen v. Sanofi (2023) that a functionally claimed genus was invalid for failing to comply with the enablement requirement of the Patent Act. As such, any of our patent rights with functional claims may be vulnerable to third-party challenges seeking to invalidate these claims for lacking enablement or adequate support in the specification.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As a result, we periodically review our patents and patent applications in light of our objectives and products to determine whether to continue prosecution and maintenance or to allow certain patents or patent applications to lapse. In addition, the laws of some countries do not protect intellectual property rights to the same extent as U.S. law.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effective or sufficient to prevent them from competing. U.S. Supreme Court cases have narrowed the scope of what is considered patentable subject matter, for example, in the areas of software and diagnostic methods involving the association between treatment outcome and biomarkers. This could impact our ability to patent certain aspects of our technology in the United States. Many companies have encountered significant problems in protecting and defending intellectual property rights in jurisdictions other than the United States. The legal systems of certain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non-U.S.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The requirements for patentability may differ in certain countries, which may make it more difficult for us to obtain sufficient claim scope to protect our products in those jurisdictions. India, certain countries in Europe and developing countries, including China, have compulsory licensing laws under which a patent owner may be compelled to grant licenses to third parties. In those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w:t>
      </w:r>
    </w:p>
    <w:p>
      <w:pPr>
        <w:ind w:right="100"/>
        <w:spacing w:after="0" w:line="253" w:lineRule="auto"/>
        <w:rPr>
          <w:sz w:val="20"/>
          <w:szCs w:val="20"/>
          <w:color w:val="auto"/>
        </w:rPr>
      </w:pPr>
      <w:r>
        <w:rPr>
          <w:rFonts w:ascii="Times New Roman" w:cs="Times New Roman" w:eastAsia="Times New Roman" w:hAnsi="Times New Roman"/>
          <w:sz w:val="18"/>
          <w:szCs w:val="18"/>
          <w:color w:val="auto"/>
        </w:rPr>
        <w:t>license. Geo-political actions could increase the uncertainties and costs surrounding the prosecution or maintenance of our patent applications or those of any current or future licensors or licensees and the maintenance, enforcement or defense of our issued patents or those of any current or future licensors or licensees. For example, in March 2025, the Chinese government issued regulations for implementation of the 2021 Anti-Foreign Sanctions Act. These regulations expand the Chinese government’s ability to seize certain assets, including intellectual property, of foreign entities in response to foreign sanctions, including those by the United States. Accordingly, our competitive position may be impaired, and our business, financial condition, results of operations and prospects may be adversely affected. In addition, the complexity and uncertainty of European patent laws have increased in recent years. In Europe, a new unitary patent system was introduced in June 2023, which will significantly impact European patents, including those granted before the introduction of this system. Under the unitary patent system, European applications have the option, upon grant of a patent, of becoming a Unitary Patent</w:t>
      </w:r>
    </w:p>
    <w:p>
      <w:pPr>
        <w:spacing w:after="0" w:line="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 xml:space="preserve">which is subject to the jurisdiction of the Unitary Patent Court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UPC</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are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connection with our internal research and development programs, which could negatively affect our ability to develop products and subject us to litigation or other actions.</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use open source software in connection with our internal research and development programs. The terms of many open source licenses have not been interpreted by U.S. or non-U.S. courts, and there is a risk that these licenses could be construed in a way that could impose unanticipated conditions or restrictions on our ability to use this software. As a result, we could be subject to lawsuits by parties claiming ownership of what we believe to be open source software, or claiming that software we developed using such open source software is a derivative work of open source software and demanding the release of portions of our source code, or otherwise seeking to enforce the terms of the applicable open source license. Litigation could be costly for us to defend, have a negative effect on our financial condition and results of operations or require us to devote additional research and development resources to change our platform and offerings. If we were to combine our proprietary software with open source software in a certain manner, we could, under certain open source licenses, be required to release the source code of our proprietary software to the public. If we inappropriately use open source software, or if the license terms for open source software that we use change, we may be required to re-engineer our platform, incur additional costs, discontinue the use</w:t>
      </w:r>
    </w:p>
    <w:p>
      <w:pPr>
        <w:spacing w:after="0" w:line="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 some or all of our platform or take other remedial actions. In addition to risks related to license requirements, usage of open source software can lead to greater risks than use of third-party commercial software, because open source licensors generally do not provide warranties or assurance of title or controls on origin of the software. Many of the risks associated with usage of open source software, such as the lack of warranties or assurances of title, cannot be eliminated, and if not properly addressed, could have an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Additional Legal and Compliance Matters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insider trading, and noncompliance with our policies and procedures.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FDA regulations, to provide accurate information to the FDA, to comply with federal and state health care fraud and abuse laws and regulations, to report financial information or data accurately or to disclose unauthorized activities to us. Employee misconduct could also involve the improper use of information obtained in the course of clinical trials, which could result in regulatory sanctions and serious harm to our reputation. We have adopted a Code of Conduct and Business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In addition, employees may become subject of allegations of gender discrimination and other misconduct that are not in compliance with our policies and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procedures, which, regardless of the ultimate outcome, may result in adverse publicity that could materially harm our brand, reputation and business.</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and current and future relationships with customers and third-party payors in the United States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18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zanidatamab and any product candidates for which we or our strategic partners obtain marketing approval. Our current and future arrangements with healthcare professionals, principal investigators, consultants, customers, third-party payors, and other entities may expose us to broadly applicable fraud and abuse and other healthcare laws and regulations, including the federal Anti-Kickback Statute and the federal False Claims Act, that may constrain the business or financial arrangements and relationships through which we conduct clinical research on product candidates. We may also be subject to transparency laws, such as the Sunshine Act, and federal and state privacy laws, as well as comparable or similar state and non-U.S. laws and regulations. Efforts to ensure that our business arrangements with third parties will comply with applicable healthcare laws and regulations may involve substantial costs. Any failure or perceived failure by us to comply with such laws, regulations, or case law may result in governmental investigations or enforcement actions, litigation, claims and other proceedings, harm our reputation, and could result in significant liability as well as exclusion from participation in government healthcare programs such as Medicare and Medicaid. If any of the physicians or other providers or entities with whom we expect to do business, including our strategic partners,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law changes could adversely affect our business and financial condition.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non-U.S. jurisdictions. Our effective tax rate could be adversely affected by several factors, many of which are outside of our control, including enactment of new income, sales, use or other tax laws, statutes, rules, regulations, or ordinances or changes or modifications in existing tax laws, statutes, rules, regulations, or ordinances, or the interpretation of the same. For example, the recently enacted U.S. federal tax legislation commonly referred to as the One Big Beautiful Bill Act (the “OBBB Act”) has made many significant changes to the U.S. tax laws. We are currently evaluating the full impact of the OBBB Act on us. Future guidance from the Internal Revenue Service and other tax authorities with respect to current tax laws may affect us, and certain aspects of current tax laws could be repealed or modified in future legislation. In addition, it is uncertain if and to what extent various states will conform to such legislation or any newly enacted federal tax legislation. Changes in corporate tax rates, the realization of net deferred tax assets relating to our operations, the taxation of non-U.S. earnings, and the deductibility of expenses under past or future reform legislation could have a material impact on the value of our deferred tax assets, could result in significant one-time charges, and could increase our future tax expense.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certain jurisdictions in which we operate to cover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that can harm our business.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§201, the U.S. Travel Act, the USA PATRIOT Act, the UK Bribery Act 2010, the Proceeds of Crime Act 2002,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currently engage third parties for clinical trials outside of the United States and we may in the future engage third parties to obtain necessary permits, licenses, patent registrations, and other regulatory approvals. We may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loss of export or import privileges, debarment, tax reassessments, litigation, reputational harm, and other consequences. Our failure, or that of our third-party manufacturers, to comply with applicable regulations could require replacing current third parties and result in supply delays, clinical holds, sanctions such as fines, injunctions, civil penalties, suspension or withdrawal of approvals, license revocations, seizures or recalls, operating restrictions, or criminal prosecutions, any of which could significantly and adversely affect supplies of our medicines and harm our business, financial condition, results of operations and growth prospects.</w:t>
      </w:r>
    </w:p>
    <w:p>
      <w:pPr>
        <w:spacing w:after="0" w:line="191" w:lineRule="exact"/>
        <w:rPr>
          <w:sz w:val="20"/>
          <w:szCs w:val="20"/>
          <w:color w:val="auto"/>
        </w:rPr>
      </w:pPr>
    </w:p>
    <w:p>
      <w:pPr>
        <w:jc w:val="both"/>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Security breaches and incidents, loss of data and other disruptions could compromise sensitive information related to our business or protected health information or prevent us from accessing critical information and expose us to liability, which could adversely affect our business and our reputation.</w:t>
      </w:r>
    </w:p>
    <w:p>
      <w:pPr>
        <w:spacing w:after="0" w:line="13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and our service providers, including CROs, collect, store and otherwise process petabytes of sensitive data, including legally protected health information, personal information, intellectual property and proprietary business information owned or controlled by ourselves or our strategic partners. We face four primary risks relative to protecting this critical information: loss of access risk, inappropriate disclosure risk, inappropriate modification risk, and the risk of being unable to adequately monitor our controls over the first three risks. Although we take measures designed to protect sensitive information from unauthorized access or disclosure, our information technology and infrastructure, and those that our CROs and other third-party service providers may use, have in the past been subject to, and may be vulnerable to, cyber-attacks, malicious code, outages, or other security incidents, including those caused by inadvertent or intentional actions by employees, contractors, business partners, or other third parties. Any such incident or other matter could compromise systems and networks used in our business and lead to operational outages, interruptions, and unauthorized access to or loss of our data (including trade secrets or other confidential information, intellectual property, proprietary business information, and personal information) or data that is maintained or otherwise processed on our behalf, or other assets, which could result in financial, legal, business and reputational harm to us. Any such event, or the perception that such an event has occurred, could result in legal claims, demands and litigation or governmental investigations or other proceedings, liability under laws and regulations, including those that protect the privacy of personal information, such as the Health Insurance Portability and Accountability Act of 1996 (“HIPAA”), and regulatory penalties and other liabilities. Despite our efforts to improve security measures, our systems or those of our third-party service providers may still be vulnerable to security breaches, incidents, outages, interruptions, compromises, or vulnerabilities. We expect to continue to incur additional expenses on such matters, whether in response to actual or perceived security breaches or incidents, compromises, outages, interruptions, vulnerabilities or otherwise. Any loss, destruction, alteration, disclosure or dissemination of, or prevention of access, damage or unauthorized access to, our data or other data that is processed or maintained on our behalf could also disrupt our operations (including our ability to conduct our analyses, pay providers, conduct research and development activities, collect, process and prepare company financial information, provide information about any future products and manage the administrative aspects of our business) and damage our reputation, any of which could adversely affect our business. HIPAA imposes certain requirements relating to the privacy, security, transmission and breach reporting of individually identifiable health information. Prosecutors increasingly are using HIPAA-related theories of liability against drug manufacturers and their agents and we could be subject to criminal penalties if we knowingly obtain individually identifiable health information from a HIPAA-covered entity in a manner that is not authorized or permitted by HIPAA. Furthermore, HIPAA regulations impose specific reporting requirements to regulators, individuals impacted by the breach, and, in some cases, the media. Issuing such notifications can be costly, time and resource intensive, and can generate significant negative publicity. In addition to HIPAA, other applicable data privacy and security obligations may require us to</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notify relevant stakeholders of any security breaches or incidents that result in the unauthorized disclosure of personal information. Such disclosures are costly, and the disclosures or the failure to comply with such requirements could lead to adverse impacts. The loss, corruption or unavailability of clinical trial data could delay our or our strategic partners’ regulatory approval efforts and significantly increase our costs to recover or reproduce the data, and we rely on third parties for the manufacture of our product candidates and to conduct clinical trials, so similar events relating to their computer systems or their collection, storage or processing of data could also have a material adverse effect on our business.</w:t>
      </w:r>
    </w:p>
    <w:p>
      <w:pPr>
        <w:spacing w:after="0" w:line="179"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obligations related to privacy and security. Our actual or perceived failure to comply with such obligations could lead to regulatory investigations or actions, litigation, fines and penalties, disruptions of our business operations, reputational harm and other adverse business consequences.</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Various U.S. state laws relating to the protection of personal information (including health and other data of patients, research subjects, and other individuals) may be more rigorous than, or impose additional requirements beyond those required by, HIPAA, and may increase our compliance obligations and costs. Many other privacy and security laws have been proposed at the federal level and in other states, certain of which impose obligations similar to the California Consumer Privacy Act (“CCPA”), which became effective in January 2020 and gives Californian consumers expanded rights to access and delete their personal information, opt out of certain personal information sharing and receive detailed information about how their personal information is used. The CCPA allows for statutory fines for noncompliance as well as a limited private right of action in connection with certain data breaches. Other privacy and security laws address specific subject matter, such as Washington’s My Health, My Data Act, which, among other things, provides for a private right of action. While exemptions to some of these laws may apply to portions of our business, these laws’ enactment and evolving interpretations may increase our compliance costs and potential liability. These or other proposed or enacted laws relating to privacy and security could similarly increase our compliance obligations and costs in the future. We may also subject to laws and regulations in non-U.S. countries covering privacy and security and the protection of health-related and other personal information. For example, the European Economic Area (“EEA”), the UK and Switzerland have stringent privacy and data protection laws that impose significant compliance obligations. The General Data Protection Regulation 2016/679 (“GDPR”) applies to the processing of personal information and imposes numerous requirements, including high standards for consent, enhanced disclosures, strengthened individual rights, data breach notifications, limitations on retention and use, and additional obligations for third-party processors. The GDPR provides for fines of up to the greater of €20.0 million or 4% of total worldwide annual turnover, as well as other administrative penalties and also permits relief and recovery under national and local laws. The UK has implemented similar legislation, referred to as the UK GDPR, with comparable fines, and has enacted the UK Data (Use and Access) Act 2025 (“DUAA”), which introduced targeted amendments and increased compliance complexity. The European Commission has renewed the UK’s adequacy decision through December 2031 after assessing the DUAA. The GDPR and laws in Switzerland and the UK generally restrict the transfer of personal information to countries outside the EEA, Switzerland, and the UK, such as the United States. We are not certified under the EU-U.S. Data Privacy Framework, and instead rely on other data transfer tools such as the EU standard contractual clauses (“EU SCCs”) and the UK addendum to the EU SCCs to transfer personal information to third countries outside the EEA and the UK, taking into consideration related obligations. To the extent we transfer personal information from other jurisdictions to the United States, we may not be able to implement or maintain an appropriate data transfer mechanism to continue such transfers. The U.S. Department of Justice also has issued rules regarding certain bulk sensitive personal data transfers. The interpretation of data transfer requirements, regulatory guidance and opinions, and other developments relating to cross-border data transfer may require us to implement additional contractual and technical safeguards for any personal information transferred out of the EEA, Switzerland, the UK, the United States, or other regions, which may increase compliance costs, lead to increased regulatory scrutiny or liability, and may require additional contractual negotiations, which may adversely impact our business, financial condition, and operating results. The EU has enacted numerous laws and regulations addressing cybersecurity, including substantial revisions to its Network and Information Security directive that EU member states are required to reflect in national law, and requirements for hosting health data will vary by jurisdiction within EEA countries and the UK, and we may be or become subject to other national healthcare regulations or regulatory requirements. The interpretation and application of consumer, health-related and privacy, data protection and security laws in the United States, the EEA, Switzerland, the UK and elsewhere are often uncertain, contradictory and in flux. Any failure or perceived failure to comply with federal, state or non-U.S. laws or regulations, contractual or other legal obligations related to privacy or security may result in claims, warnings, communications, requests or investigations from individuals, supervisory authorities or other legal or regulatory authorities in relation to our processing of personal information, and regulatory investigations or other proceedings.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and compliance procedures in a manner adverse to our business.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certain costs and inefficiencies as a result of our 2022 Redomicile Transactions.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became a Delaware corporation in October 2022 as a result of the Redomicile Transactions. In connection with the Redomicile Transactions, we agreed to use reasonable efforts to effect certain steps following the Redomicile Transactions, including the reorganization of certain subsidiaries. For business reasons, certain of these steps were not completed. While we are managing any tax and operational implications resulting from our current organizational structure, and we may pursue additional reorganizations in the future, certain tax and operational implications may persist. In addition, we incurred non-recurring costs associated with the Redomicile Transactions, and the associated reorganization of our corporate structure may result in additional and unforeseen expenses in the future. While it is expected that benefits of the Redomicile Transactions will offset these costs over time, this net benefit may not be achieved. These combined factors could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are highly dependent on key members of our senior management team, including Kenneth Galbraith, the Chair of our board of directors, President, Chief Executive Officer, and interim Chief Financial Officer, Mark Hollywood, our Chief Operating Officer, Paul A. Moore, our Chief Scientific Officer, Sabeen Mekan, our Chief Medical Officer, and other key members of our senior management, scientific and clinical teams. Although we have entered into employment agreements with our executive officers, each of them may terminate their employment with us at any time. The loss of the services of our key senior managers and employees could impede the achievement of our research, development and strategic objectives and seriously harm our ability to successfully implement our business strategy. Retention and any future recruitment of qualified scientific, technical and clinical personnel, as well as recruitment and retention of personnel with experience in successfully identifying and executing business development transactions, including in-licensing and acquisition transactions, will also be critical to our success. Intense competition for attracting key skill-sets and the impact of inflationary pressure on wages may limit our ability to attract, retain and motivate key personnel on acceptable terms. In addition, we rely on consultants and advisors, including scientific and clinical advisors, to assist us in formulating our research and development strategy, as well as helping us to identify strategic opportunities. Our consultants and advisors may be employed by employers other than us and may have commitments under consulting or advisory contracts with other entities that may limit their availability. If we are unable to continue to attract and retain high quality personnel, our ability to pursue our business strategy will be limited.</w:t>
      </w:r>
    </w:p>
    <w:p>
      <w:pPr>
        <w:spacing w:after="0" w:line="18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advance our development and partnering plans and strategies, we may need to modify our organization, and we may experience difficulty in managing such change, which could disrupt our operations.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2025, we had 264 full-time employees. As we advance our development and partnering plans and strategies in the future, we anticipate that we may need to modify our employee base. Such changes may impose significant added responsibilities on members of management, and our management may need to divert a disproportionate amount of their attention away from our day-to-day activities and devote a substantial amount of time to managing any modification of our employee base. We may not be able to effectively manage a modification of our operations, which may result in weaknesses in our infrastructure, give rise to operational errors, loss of business opportunities, loss of employees and reduced productivity amongst remaining employees. Any organizational modification could require significant capital expenditures and may divert financial resources from other projects, such as the development of existing and additional product candidates. If our management is unable to effectively manage any needed organizational modifications, our expenses may be higher than expected, our ability to generate or grow revenue could be reduced and we may not be able to implement our business strategy.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likely to be volatile and the market price of our common stock may drop below the price paid by stockholders.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Investors should consider an investment in our common stock as risky and invest only if they can withstand a significant loss and wide fluctuations in the market value of their investment. Investors may be unable to sell their common stock at or above the price they paid for such stock due to fluctuations in the market price of our common stock arising from changes in our operating performance or prospects. Factors that may cause the market price of our common stock to fluctuate include:</w:t>
      </w:r>
    </w:p>
    <w:p>
      <w:pPr>
        <w:spacing w:after="0" w:line="7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our or our strategic partners’ clinical trials and clinical trials of our competitors’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or our strategic partners’ development programs;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strategic partnerships and our ability to enter into future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and receive associated milestone and royalty payments pursuant to the terms of our strategic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or our partnered product candidates or future approved products;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or enforcement in the United States and other countries with respect to our or our partnered product candidates or our competitors’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or technologies that may emerge;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strategic partners or our competitors of significant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industry or securities analysts that cover our company or common stock, including changes in estimates or recommendations, inaccurate or unfavorable research or a decision to drop coverage;</w:t>
      </w:r>
    </w:p>
    <w:p>
      <w:pPr>
        <w:spacing w:after="0" w:line="5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fluctuations in the valuation of companies in the biotechnology industry or otherwise perceived by investors to be comparable to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instances of stockholder activism, including unsolicited takeover proposals or proxy contests;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over our or our partnered product candidates or any future approved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the perception that such sales could occur;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volume fluctuations attributable to inconsistent trading volume levels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key strategic priorities, including our recently adopted business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 in the United States or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zanidatamab or our or our partnered product candidates, if approved, to achieve commercial success;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or other disasters or crises;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customs laws and regulations, tariffs and trade barriers, or the perception that any of them could occur;</w:t>
      </w:r>
    </w:p>
    <w:p>
      <w:pPr>
        <w:spacing w:after="0" w:line="11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condition and results of operations, including the timing of receipt of any milestone or other payments under commercialization or licensing agreements;</w:t>
      </w:r>
    </w:p>
    <w:p>
      <w:pPr>
        <w:spacing w:after="0" w:line="53"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address environmental, social, and governance matters affecting our business that are a focus of certain investors, environmental activists, the media, and governmental and nongovernmental organizations;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under our share repurchase program;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be unanticipated or out of our control.</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stock market in general, and the stock of biopharmaceutical companies in particular, have experienced extreme price and volume fluctuations that have often been unrelated or disproportionate to the operating performance of the relevant companies, which has resulted in increased volatility and decreased stock prices for many companies notwithstanding the lack of a fundamental change in their underlying business models or prospects. Broad market and industry factors, including potentially worsening economic conditions and other adverse effects or developments, may negatively affect the market price of our common stock, regardless of our actual operating performance. Securities class action litigation has often been brought against companies following a decline in the market price of their securities. If we face such litigation, it could result in substantial costs and a diversion of management’s attention and resources, which could materially harm our business. The realization of any of the above risks or any of a broad range of other risks, including those described in this “Risk Factors” section, could have a material adverse effect on the market price of our common stock.</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an active market for our common stock does not continue, it may be difficult for our stockholders to sell their stock without depressing the market price for the common stock or sell their common stock at or above the prices at which they acquired their common stock or sell their common stock at the time they would like to sell. Any inactive trading market for our common stock may also impair our ability to raise capital to continue to fund our operations by selling common stock and may impair our ability to acquire other companies or technologies by using our common stock as consideration. We may fail to meet the continued listing requirements of the Nasdaq Stock Market LLC (“Nasdaq”). If Nasdaq delists our shares of common stock from trading on its exchange, we could face significant material adverse consequences, including significant impairment of liquidity of our common stock, limited availability of market quotations, limited news and analyst coverage, and a loss of confidence of our strategic partners, employees and others.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to use the net proceeds from our financing activities as well as funds received pursuant to our strategic collaborations, and its investment of these proceeds may not yield a favorable return. They may invest the proceeds in ways with which our stockholders disagree.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management team has broad discretion in the application of the proceeds we receive from our financing activities and from our strategic collaborations, and we could spend or invest the proceeds in ways with which our stockholders disagree. Accordingly, stockholders will need to rely on our management team’s judgment with respect to the use of these proceeds. The failure by management to apply these funds effectively could negatively affect our ability to operate and grow our business. We cannot specify with certainty all of the particular uses for the net proceeds received from our fundraising efforts or for funds received pursuant to our strategic collaborations and our actual expenditures will depend upon numerous factors. Until the net proceeds are used, they may be placed in investments that do not produce significant income or that may lose value.</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for the foreseeable future, and accordingly, stockholders must rely on stock appreciation for any return on their investment.</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paid any dividends on our common stock. We currently intend to retain our future earnings, if any, to fund the development and growth of our business and do not anticipate that we will declare or pay any cash dividends on our common stock in the foreseeable future. As a result, capital appreciation, if any, of our common stock will be the sole source of gain on investment in our common stock for the foreseeable future. Investors seeking cash dividends should not invest in our common stock. Any future determination to pay dividends will be at the discretion of our board of directors and will depend upon many factors, and, as a result, future dividends payable to investors are not guaranteed.</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in aggregate, could exert substantial influence over us which could delay or prevent a change in corporate control or result in the entrenchment of management or the board of directors.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principal stockholders, being our stockholders that beneficially own 5% or more of our common stock, together with their affiliates and related persons, in aggregate, owned approximately 43.8% of our outstanding common stock as of December 31, 2025. Our directors and executive officers together with their respective affiliates owned, in the aggregate, approximately 31.7% of our outstanding common stock as of December 31, 2025. Our principal stockholders, if acting together (with or without our directors and executive officers), may have the ability to exert substantial influence over the outcome of matters submitted to our stockholders for approval, including the election and removal of directors and any merger or sale of all or substantially all of our assets. In addition, our principal stockholders, if acting together (with or without our directors and executive officers), may have the ability to exert substantial influence over the management and affairs of our company. Accordingly, this concentration of ownership could harm the market price of our common stock by:</w:t>
      </w:r>
    </w:p>
    <w:p>
      <w:pPr>
        <w:spacing w:after="0" w:line="8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control;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entrenching our management or the board of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takeover, or other business combination involving us;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qualify as a smaller reporting company, and any decision on our part to comply only with certain reduced reporting and disclosure requirements applicable to such companies could make our common stock less attractive to investors.</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qualify as a “smaller reporting company,” as defined under the Exchange Act. In addition, we are a “non-accelerated filer” as defined under the Exchange Act. For as long as we continue to be a smaller reporting company or a non-accelerated filer, we may choose to take advantage of exemptions from various reporting requirements applicable to other public companies that are not smaller reporting companies or non-accelerated filers, as applicable, including an exemption from the requirement that our independent registered public accounting firm attest to the effectiveness of our internal control over financial reporting under Section 404. Opting to forego an attestation to the effectiveness of our internal control over financial reporting from our independent registered public accounting firm may have a detrimental impact on our ability to maintain the adequacy of our internal control over financial reporting, and any failure to maintain adequacy, or inability to produce accurate financial statements or other reports on a timely basis, could increase our operating costs and could materially impair our ability to operate our business. As a result of our decision to rely on certain of these disclosure exemptions, the information we provide stockholders will be different than the information that is available with respect to other public companies and some investors may find our shares of common stock less attractive, which may result in a less active trading market for our common stock and the market price of our common stock may be more volatile.</w:t>
      </w:r>
    </w:p>
    <w:p>
      <w:pPr>
        <w:spacing w:after="0" w:line="18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Sarbanes-Oxley Act of 2002, we are required to establish and maintain effective internal control over financial reporting and adequate disclosure controls and procedures. Effective internal control over financial reporting is necessary for us to provide reliable financial reports and, together with adequate disclosure controls and procedures, are designed to prevent fraud.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Undetected material weaknesses in our internal</w:t>
      </w:r>
    </w:p>
    <w:p>
      <w:pPr>
        <w:spacing w:after="0" w:line="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controls could lead to financial statement restatements and require us to incur the expense of remediation. If, during the evaluation and testing process of our internal controls, we identify one or more material weaknesses in our internal control over financial reporting, we will be unable to assert that our internal control over financial reporting is effective. We cannot assure you that there will not be material weaknesses in our internal controls over financial reporting in the future.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Furthermore, if we cannot provide reliable financial reports or prevent fraud, including as a result of remote working by our employees, our business and results of operations would likely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Exchangeable Shares are subject to additional risks.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Pursuant to the Redomicile Transactions, certain holders of common shares of our predecessor company exchanged their common shares for exchangeable shares (“Exchangeable Shares”) in the capital of our subsidiary Zymeworks ExchangeCo Ltd. (“ExchangeCo”). Exchangeable Shares are exchangeable at the option of the holder for shares of our common stock. Exchangeable Shares are subject to additional risks, including:</w:t>
      </w:r>
    </w:p>
    <w:p>
      <w:pPr>
        <w:spacing w:after="0" w:line="68" w:lineRule="exact"/>
        <w:rPr>
          <w:sz w:val="20"/>
          <w:szCs w:val="20"/>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Exchangeable Shares are not and will not be listed on any stock exchange. There is no market through which the Exchangeable Shares may be sold, and holders may not be able to sell their Exchangeable Shares.</w:t>
      </w:r>
    </w:p>
    <w:p>
      <w:pPr>
        <w:spacing w:after="0" w:line="94" w:lineRule="exact"/>
        <w:rPr>
          <w:rFonts w:ascii="Times New Roman" w:cs="Times New Roman" w:eastAsia="Times New Roman" w:hAnsi="Times New Roman"/>
          <w:sz w:val="18"/>
          <w:szCs w:val="18"/>
          <w:color w:val="auto"/>
        </w:rPr>
      </w:pPr>
    </w:p>
    <w:p>
      <w:pPr>
        <w:ind w:left="660" w:right="140" w:hanging="328"/>
        <w:spacing w:after="0" w:line="243" w:lineRule="auto"/>
        <w:tabs>
          <w:tab w:leader="none" w:pos="655"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Holders of Exchangeable Shares who request an exchange may not receive shares of our common stock until a period of time after the applicable request is received. During this period, the market price of our common stock may increase or decrease. Any such increase or decrease would affect the value of the consideration to be received by such a holder of Exchangeable Shares upon a subsequent sale of shares of our common stock received in the exchange.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560" w:hanging="328"/>
        <w:spacing w:after="0" w:line="256" w:lineRule="auto"/>
        <w:tabs>
          <w:tab w:leader="none" w:pos="655" w:val="left"/>
        </w:tabs>
        <w:numPr>
          <w:ilvl w:val="0"/>
          <w:numId w:val="38"/>
        </w:numPr>
        <w:rPr>
          <w:rFonts w:ascii="Arial" w:cs="Arial" w:eastAsia="Arial" w:hAnsi="Arial"/>
          <w:sz w:val="21"/>
          <w:szCs w:val="21"/>
          <w:color w:val="auto"/>
        </w:rPr>
      </w:pPr>
      <w:r>
        <w:rPr>
          <w:rFonts w:ascii="Times New Roman" w:cs="Times New Roman" w:eastAsia="Times New Roman" w:hAnsi="Times New Roman"/>
          <w:sz w:val="17"/>
          <w:szCs w:val="17"/>
          <w:color w:val="auto"/>
        </w:rPr>
        <w:t>Exchangeable Shares may be subject to different tax consequences under Canadian law depending on whether the Exchangeable Shares are disposed of in a redemption or an acquisition by one of our subsidiaries, and such transaction may not be within the control of the holder.</w:t>
      </w:r>
    </w:p>
    <w:p>
      <w:pPr>
        <w:spacing w:after="0" w:line="95" w:lineRule="exact"/>
        <w:rPr>
          <w:rFonts w:ascii="Arial" w:cs="Arial" w:eastAsia="Arial" w:hAnsi="Arial"/>
          <w:sz w:val="21"/>
          <w:szCs w:val="21"/>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The tax treatment of Exchangeable Shares for non-Canadian tax purposes, including U.S. federal income tax purposes, is uncertain.</w:t>
      </w:r>
    </w:p>
    <w:p>
      <w:pPr>
        <w:spacing w:after="0" w:line="19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spacing w:after="0" w:line="15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make the acquisition of Zymeworks more difficult or delay or prevent changes in control of its management. Among other things, these provisions:</w:t>
      </w:r>
    </w:p>
    <w:p>
      <w:pPr>
        <w:spacing w:after="0" w:line="94" w:lineRule="exact"/>
        <w:rPr>
          <w:sz w:val="20"/>
          <w:szCs w:val="20"/>
          <w:color w:val="auto"/>
        </w:rPr>
      </w:pPr>
    </w:p>
    <w:p>
      <w:pPr>
        <w:ind w:left="660" w:right="240" w:hanging="328"/>
        <w:spacing w:after="0" w:line="244" w:lineRule="auto"/>
        <w:tabs>
          <w:tab w:leader="none" w:pos="65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authorize our board of directors to issue shares of preferred stock and determine the price and other terms of those shares, including preferences and voting rights, without stockholder approval;</w:t>
      </w:r>
    </w:p>
    <w:p>
      <w:pPr>
        <w:spacing w:after="0" w:line="126" w:lineRule="exact"/>
        <w:rPr>
          <w:rFonts w:ascii="Arial" w:cs="Arial" w:eastAsia="Arial" w:hAnsi="Arial"/>
          <w:sz w:val="22"/>
          <w:szCs w:val="22"/>
          <w:color w:val="auto"/>
        </w:rPr>
      </w:pPr>
    </w:p>
    <w:p>
      <w:pPr>
        <w:ind w:left="660" w:right="280" w:hanging="328"/>
        <w:spacing w:after="0" w:line="239" w:lineRule="auto"/>
        <w:tabs>
          <w:tab w:leader="none" w:pos="65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permit only the board of directors to establish the number of directors and fill vacancies and newly created directorships on the board, provided that the board of directors’ ability to increase the size of the board and fill vacancies and newly created directorships will be subject to the restrictions in our amended and restated certificate of incorporation and amended and restated bylaws;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establish that members of our board of directors serve in one of three staggered terms of three years each;</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provide that our directors may only be removed by the affirmative vote of at least 66 2/3% of the voting power of the shares cast on such proposal;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permit stockholders to only take actions at a duly called annual or special meeting and not by written consent;</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not provide for cumulative voting rights in the election of directors;</w:t>
      </w:r>
    </w:p>
    <w:p>
      <w:pPr>
        <w:spacing w:after="0" w:line="130" w:lineRule="exact"/>
        <w:rPr>
          <w:rFonts w:ascii="Arial" w:cs="Arial" w:eastAsia="Arial" w:hAnsi="Arial"/>
          <w:sz w:val="22"/>
          <w:szCs w:val="22"/>
          <w:color w:val="auto"/>
        </w:rPr>
      </w:pPr>
    </w:p>
    <w:p>
      <w:pPr>
        <w:ind w:left="660" w:right="120" w:hanging="328"/>
        <w:spacing w:after="0" w:line="239" w:lineRule="auto"/>
        <w:tabs>
          <w:tab w:leader="none" w:pos="65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provide that special meetings of Zymeworks’ stockholders may be called only by the board of directors, the chairperson of the board of directors, Zymeworks’ chief executive officer, president or the secretary upon request from holders of no less than 20% of our outstanding voting stock, subject to the limitations and requirements set forth in our amended and restated bylaws;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require a super-majority vote of stockholders to amend some of the provisions described above.</w:t>
      </w:r>
    </w:p>
    <w:p>
      <w:pPr>
        <w:spacing w:after="0" w:line="19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Because we are incorporated in Delaware, we are governed by the provisions of Section 203 of the DGCL, which generally prohibits a Delaware corporation from engaging in any of a broad range of business combinations with any “interested stockholder” for a period of three years following the date</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which the stockholder became an “interested stockholder” unless certain conditions are met. These provisions, alone or together, could delay, discourage or prevent a transaction involving a change in control of Zymeworks. These provisions could also discourage proxy contests and make it more difficult for stockholders to elect directors of their choosing and to cause Zymeworks to take other corporate actions they desire, any of which, under certain circumstances, could limit the opportunity for our stockholders to receive a premium for their shares of common stock, and could also affect the price that some investors are willing to pay for our common stock.</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a state or federal court located within the State of Delaware as the exclusive forum for substantially all disputes between Zymeworks and its stockholders, and also provide that the federal district courts are the exclusive forum for resolving any complaint asserting a cause of action arising under the Securities Act, each of which could limit our stockholders’ ability to choose the judicial forum for disputes with Zymeworks or its directors, officers, stockholders or employees.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Zymeworks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does not apply to any action brought to enforce a duty or liability created by the Exchange Act and the rules and</w:t>
      </w:r>
    </w:p>
    <w:p>
      <w:pPr>
        <w:spacing w:after="0" w:line="13"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regulations thereunder. 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the federal district courts of the United States will be the sole and exclusive forum for resolving any</w:t>
      </w:r>
    </w:p>
    <w:p>
      <w:pPr>
        <w:spacing w:after="0" w:line="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complaint asserting a cause of action arising under the Securities Act. 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w:t>
      </w:r>
    </w:p>
    <w:p>
      <w:pPr>
        <w:spacing w:after="0" w:line="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compliance with the federal securities laws and the rules and regulations thereunder as a result of our exclusive forum provisions. The enforceability of similar exclusive forum provisions in other companies’ organizational documents have been challenged in legal proceedings, and, while certain courts have determined these provisions are enforceable, it is possible that a court of law could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action in other jurisdictions, which could harm our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additional shares of our common stock or that we will repurchase shares at favorable prices.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November 2025, our board of directors approved the 2025 Repurchase Program, pursuant to which we are authorized to repurchase up to $125.0 million of our common stock from time to time through open market transactions, or other means in accordance with Rule 10b5-1 and Rule 10b-18 under the Exchange Act. As of December 31, 2025, we have repurchased 431,217 shares of our common stock under the 2025 Repurchase Program. The timing, number of shares repurchased, and prices paid for any additional shares of stock repurchased under this program will depend on general business and market conditions as well as corporate and regulatory limitations, prevailing stock prices, and other considerations. Our 2025 Repurchase Program may be suspended or discontinued at any time, and does not obligate us to acquire any additional shares of common stock. Our ability to make share repurchases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As a result, there can be no guarantee around the timing of our share repurchases. Any failure to repurchase additional shares of stock, a reduction in the frequency of repurchases, or the completion of our 2025 Repurchase Program could have a negative effect on our reputation, investor confidence in us and our stock price. The existence of our 2025 Repurchase Program could cause our stock price to be higher than it otherwise would be and could potentially reduce the market liquidity for our stock. Although our 2025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Additionally, as part of our evolving business strategy, we intend to evaluate opportunities to return capital to our stockholders through additional</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potential share repurchases. However, there can be no assurance that implementation of our evolving business strategy will generate sufficient cash flows from royalties, milestones and other sources to enable such additional share repurchases and, as a result, our stockholders may not realize enhanced long-term stockholder value. Any use of our cash resources to repurchase our common stock will reduce the amount of cash we have available for investment in other parts of our business and we may not deploy our resources in a way that enhances stockholder value.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overseeing our risk management program, and cybersecurity is a critical element that has been integrated into our overall risk management program. Management is responsible for the day-to-day administration of our risk management program and our cybersecurity policies, processes, and practices.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aim to incorporate industry practices throughout our cybersecurity program. Our cybersecurity strategy focuses on implementing effective and efficient controls, technologies, and other processes to assess, identify, and manage cybersecurity risks. Our cybersecurity program is informed by applicable industry standards and is assessed regularly by independent third-party auditors.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strategy focuses on several areas:</w:t>
      </w:r>
    </w:p>
    <w:p>
      <w:pPr>
        <w:spacing w:after="0" w:line="113" w:lineRule="exact"/>
        <w:rPr>
          <w:sz w:val="20"/>
          <w:szCs w:val="20"/>
          <w:color w:val="auto"/>
        </w:rPr>
      </w:pPr>
    </w:p>
    <w:p>
      <w:pPr>
        <w:ind w:left="660" w:right="240" w:hanging="328"/>
        <w:spacing w:after="0" w:line="268"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Identification and Escalation: </w:t>
      </w:r>
      <w:r>
        <w:rPr>
          <w:rFonts w:ascii="Times New Roman" w:cs="Times New Roman" w:eastAsia="Times New Roman" w:hAnsi="Times New Roman"/>
          <w:sz w:val="18"/>
          <w:szCs w:val="18"/>
          <w:color w:val="auto"/>
        </w:rPr>
        <w:t>We have implemented a cross-functional approach to assessing, identifying and managing cybersecurity threats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incidents. Our program includes controls and procedures to identify, classify and escalate certain cybersecurity incidents to provide management visibility and obtain direction from management.</w:t>
      </w:r>
    </w:p>
    <w:p>
      <w:pPr>
        <w:spacing w:after="0" w:line="6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Technical Safeguards: </w:t>
      </w:r>
      <w:r>
        <w:rPr>
          <w:rFonts w:ascii="Times New Roman" w:cs="Times New Roman" w:eastAsia="Times New Roman" w:hAnsi="Times New Roman"/>
          <w:sz w:val="18"/>
          <w:szCs w:val="18"/>
          <w:color w:val="auto"/>
        </w:rPr>
        <w:t>We implement technical safeguards that are designed to protect our information systems from cybersecurity threats,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evaluated and improved through vulnerability assessments and cybersecurity threat intelligence, as well as outside audits.</w:t>
      </w:r>
    </w:p>
    <w:p>
      <w:pPr>
        <w:spacing w:after="0" w:line="46" w:lineRule="exact"/>
        <w:rPr>
          <w:rFonts w:ascii="Times New Roman" w:cs="Times New Roman" w:eastAsia="Times New Roman" w:hAnsi="Times New Roman"/>
          <w:sz w:val="18"/>
          <w:szCs w:val="18"/>
          <w:color w:val="auto"/>
        </w:rPr>
      </w:pPr>
    </w:p>
    <w:p>
      <w:pPr>
        <w:ind w:left="660" w:right="200" w:hanging="328"/>
        <w:spacing w:after="0" w:line="28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Incident Response and Recovery Planning: </w:t>
      </w:r>
      <w:r>
        <w:rPr>
          <w:rFonts w:ascii="Times New Roman" w:cs="Times New Roman" w:eastAsia="Times New Roman" w:hAnsi="Times New Roman"/>
          <w:sz w:val="18"/>
          <w:szCs w:val="18"/>
          <w:color w:val="auto"/>
        </w:rPr>
        <w:t>We have established and maintain an incident response plan and a business continuity and disaster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recovery plan designed to address our response to a cybersecurity incident.</w:t>
      </w:r>
    </w:p>
    <w:p>
      <w:pPr>
        <w:spacing w:after="0" w:line="10" w:lineRule="exact"/>
        <w:rPr>
          <w:rFonts w:ascii="Times New Roman" w:cs="Times New Roman" w:eastAsia="Times New Roman" w:hAnsi="Times New Roman"/>
          <w:sz w:val="18"/>
          <w:szCs w:val="18"/>
          <w:color w:val="auto"/>
        </w:rPr>
      </w:pPr>
    </w:p>
    <w:p>
      <w:pPr>
        <w:ind w:left="660" w:hanging="328"/>
        <w:spacing w:after="0" w:line="236" w:lineRule="exact"/>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Third-Party Risk Management: </w:t>
      </w:r>
      <w:r>
        <w:rPr>
          <w:rFonts w:ascii="Times New Roman" w:cs="Times New Roman" w:eastAsia="Times New Roman" w:hAnsi="Times New Roman"/>
          <w:sz w:val="18"/>
          <w:szCs w:val="18"/>
          <w:color w:val="auto"/>
        </w:rPr>
        <w:t>We use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approach to identify, assess, and oversee cybersecurity threats associated with third parties,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vendors, service providers, external system users, and other organizations whose systems could impact our business. This oversight also includes outside auditors and consultants who may access or advise on our cybersecurity systems.</w:t>
      </w:r>
    </w:p>
    <w:p>
      <w:pPr>
        <w:spacing w:after="0" w:line="86" w:lineRule="exact"/>
        <w:rPr>
          <w:rFonts w:ascii="Times New Roman" w:cs="Times New Roman" w:eastAsia="Times New Roman" w:hAnsi="Times New Roman"/>
          <w:sz w:val="18"/>
          <w:szCs w:val="18"/>
          <w:color w:val="auto"/>
        </w:rPr>
      </w:pPr>
    </w:p>
    <w:p>
      <w:pPr>
        <w:ind w:left="660" w:right="260" w:hanging="328"/>
        <w:spacing w:after="0" w:line="268"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Education and Awareness: </w:t>
      </w:r>
      <w:r>
        <w:rPr>
          <w:rFonts w:ascii="Times New Roman" w:cs="Times New Roman" w:eastAsia="Times New Roman" w:hAnsi="Times New Roman"/>
          <w:sz w:val="18"/>
          <w:szCs w:val="18"/>
          <w:color w:val="auto"/>
        </w:rPr>
        <w:t>We provide regular, mandatory training for all employees regarding cybersecurity threats as a means to equip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with tools to make employees aware of and to address cybersecurity threats, and to communicate our evolving information security policies, standards, processes, and practices.</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like any company operating in the current environment, have experienced cybersecurity incidents in the past. However, we have not experienced a cybersecurity event that was determined to be material. For additional information regarding whether any risks from cybersecurity threats are reasonably likely to materially affect our company, including our business strategy, results of operations, or financial condition, see Item 1A, “Risk Factors,” of this Annual Report on Form 10-K, including the risk factor titled “</w:t>
      </w:r>
      <w:r>
        <w:rPr>
          <w:rFonts w:ascii="Times New Roman" w:cs="Times New Roman" w:eastAsia="Times New Roman" w:hAnsi="Times New Roman"/>
          <w:sz w:val="18"/>
          <w:szCs w:val="18"/>
          <w:i w:val="1"/>
          <w:iCs w:val="1"/>
          <w:color w:val="auto"/>
        </w:rPr>
        <w:t>Security breaches and incidents, loss of data and other disruptions could compromise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sensitive information related to our business or protected health information or prevent us from accessing critical information and expose us to liability, which could adversely affect our business and our reputation.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Our board of directors, in coordination with the audit committee of our board of directors, oversees our risk management program, including the management of cybersecurity threats. Our board of directors and our audit committee receive prompt</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timely information regarding cybersecurity risks, as well as ongoing updates regarding any such risk, from senior management.</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Director of Information Technology, who has over 18 years’ experience with cybersecurity at public and private companies, in coordination with senior management, works collaboratively across our company to implement a program designed to protect our information systems from cybersecurity threats and to promptly respond to cybersecurity incidents in accordance with our incident response and recovery plans. To facilitate the success of our cybersecurity program, a cross-functional team throughout our company addresses cybersecurity threats and responds to cybersecurity incidents. Through ongoing communications with this team, the Director of Information Technology and senior management are informed about and monitor the prevention, detection, mitigation and remediation of cybersecurity threats and incidents in real time and report such threats and incidents to the Audit Committee when appropriate.</w:t>
      </w:r>
    </w:p>
    <w:p>
      <w:pPr>
        <w:spacing w:after="0" w:line="2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108 Patriot Drive, Suite A, Middletown, Delaware 19709. We maintain physical operations and personnel in Canada, the United States, Ireland and Singapore.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Vancouver offices are located in a single building containing office and laboratory space at 114 East 4th Avenue, Suite 800, Vancouver, British Columbia, Canada, V5T 1G4. The lease for our Vancouver location, which we entered into in January 2019, has an initial term expiring in February 2032, with two five-year extension options.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primary U.S. office is located in Bellevue, Washington at 777 108th Avenue NE, Suite 1700, Bellevue, Washington, 98004. This lease will expire in July 2029.</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also have an office in Redwood City, California at 555 Twin Dolphin Drive, Suite 360, Redwood City, California, 94065. The lease for this location, which we entered into in November 2023, has an expiration date in August 2027, with one five-year extension option.</w:t>
      </w:r>
    </w:p>
    <w:p>
      <w:pPr>
        <w:spacing w:after="0" w:line="162"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7"/>
          <w:szCs w:val="17"/>
          <w:color w:val="auto"/>
        </w:rPr>
        <w:t>Our Ireland office is located in Dublin at Digital Office Centre - Dublin Airport, Office 104, Balheary Demense, Balheary Road, Swords, Dublin, Ireland. The original license to occupy this space, which we entered into in December 2022, had an original expiration date in November 2023, but automatically renewed until November 2024. In December 2024, we entered into a new license to occupy this space with a term that expired in November 2025, which automatically renews for subsequent 12-month terms unless we provide two months’ prior written notice that we do not want to renew.</w:t>
      </w:r>
    </w:p>
    <w:p>
      <w:pPr>
        <w:spacing w:after="0" w:line="16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Singapore office is located at #01-08 Science Park 1, 2 Science Park Drive, Singapore, 118222. The license to occupy this space, which we entered into in March 2023, has a term that expired in April 2025, which automatically renews for subsequent six-month periods unless we provide six months’ prior written notice that we do not want to renew.</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a significant number of employees work remotely. Our executive officers and directors are located in several jurisdictions, including the United States, Canada, Ireland and the UK. Our personnel in the UK have access to a co-working space in the UK.</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immediate and currently anticipated needs. We believe that, should it be needed, additional space can be leased to accommodate any future growth.</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As of December 31, 2025, we are not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7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240"/>
        <w:spacing w:after="0" w:line="282" w:lineRule="auto"/>
        <w:rPr>
          <w:sz w:val="20"/>
          <w:szCs w:val="20"/>
          <w:color w:val="auto"/>
        </w:rPr>
      </w:pPr>
      <w:r>
        <w:rPr>
          <w:rFonts w:ascii="Times New Roman" w:cs="Times New Roman" w:eastAsia="Times New Roman" w:hAnsi="Times New Roman"/>
          <w:sz w:val="18"/>
          <w:szCs w:val="18"/>
          <w:color w:val="auto"/>
        </w:rPr>
        <w:t>Our common stock, $0.00001 par value per share, is traded on Nasdaq under the symbol “ZYME.” Prior to December 16, 2022, our common stock was traded on the NYSE under the symbol “ZYME.”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February 26, 2026, we had 72 stockholders of record holding our common stock. A substantially greater number of holders of Zymeworks’ common stock are “street name” or beneficial holders whose shares of record are held by banks, brokers, and other financial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have never paid any dividends on our common stock or any of our other securities. We currently intend to retain any future earnings to finance the growth and development of our business, and we do not anticipate that we will declare or pay any cash dividends in the foreseeable future. Any future determination to pay cash dividends will be at the discretion of our board of directors and will be dependent upon our financial condition, results of operations, capital requirements, restrictions under any future indebtedness and other factors the board of directors deems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and pursuant to Instruction 6 to Item 201(e) of Regulation S-K, we are not required to provide the stock performance graph.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previously disclosed, we did not sell securities without registration under the Securities Act during the fiscal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 2024, our board of directors authorized a stock repurchase program (“2024 Repurchase Program”), whereby we could repurchase up to $60.0 million of our outstanding common stock. As of October 31, 2024, we completed the initial $30.0 million of the 2024 Repurchase Program, consisting of the repurchase of 2,545,402 shares at an average price per share of $11.79 (exclusive of commission expense and estimated excise tax). As of November 10, 2025, we completed the remaining $30.0 million of the 2024 Repurchase Program, consisting of the repurchase of 1,856,907 shares at an average price per share of $16.15 (exclusive of commission expense and estimated excise tax).</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16, 2025, our board of directors authorized a new stock repurchase program (the “2025 Repurchase Program”), whereby we may repurchase up to $125.0 million of our outstanding common stock. As of December 31, 2025, we repurchased an aggregate of $11.2 million, consisting of 431,217 shares at an average price per share of $25.94 (exclusive of commission expense and estimated excise tax).</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2025, shares of common stock purchased under the authorizations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ind w:left="18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6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460" w:type="dxa"/>
            <w:vAlign w:val="bottom"/>
          </w:tcPr>
          <w:p>
            <w:pPr>
              <w:spacing w:after="0"/>
              <w:rPr>
                <w:sz w:val="16"/>
                <w:szCs w:val="16"/>
                <w:color w:val="auto"/>
              </w:rPr>
            </w:pPr>
          </w:p>
        </w:tc>
        <w:tc>
          <w:tcPr>
            <w:tcW w:w="16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Dollar value of shares</w:t>
            </w:r>
          </w:p>
        </w:tc>
      </w:tr>
      <w:tr>
        <w:trPr>
          <w:trHeight w:val="189"/>
        </w:trPr>
        <w:tc>
          <w:tcPr>
            <w:tcW w:w="420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200" w:type="dxa"/>
            <w:vAlign w:val="bottom"/>
          </w:tcPr>
          <w:p>
            <w:pPr>
              <w:spacing w:after="0"/>
              <w:rPr>
                <w:sz w:val="16"/>
                <w:szCs w:val="16"/>
                <w:color w:val="auto"/>
              </w:rPr>
            </w:pPr>
          </w:p>
        </w:tc>
        <w:tc>
          <w:tcPr>
            <w:tcW w:w="1400" w:type="dxa"/>
            <w:vAlign w:val="bottom"/>
            <w:gridSpan w:val="2"/>
          </w:tcPr>
          <w:p>
            <w:pPr>
              <w:jc w:val="center"/>
              <w:ind w:right="420"/>
              <w:spacing w:after="0" w:line="189" w:lineRule="exact"/>
              <w:rPr>
                <w:sz w:val="20"/>
                <w:szCs w:val="20"/>
                <w:color w:val="auto"/>
              </w:rPr>
            </w:pPr>
            <w:r>
              <w:rPr>
                <w:rFonts w:ascii="Times New Roman" w:cs="Times New Roman" w:eastAsia="Times New Roman" w:hAnsi="Times New Roman"/>
                <w:sz w:val="16"/>
                <w:szCs w:val="16"/>
                <w:b w:val="1"/>
                <w:bCs w:val="1"/>
                <w:color w:val="auto"/>
                <w:w w:val="96"/>
              </w:rPr>
              <w:t>per share</w:t>
            </w:r>
            <w:r>
              <w:rPr>
                <w:rFonts w:ascii="Times New Roman" w:cs="Times New Roman" w:eastAsia="Times New Roman" w:hAnsi="Times New Roman"/>
                <w:sz w:val="21"/>
                <w:szCs w:val="21"/>
                <w:b w:val="1"/>
                <w:bCs w:val="1"/>
                <w:color w:val="auto"/>
                <w:w w:val="96"/>
                <w:vertAlign w:val="superscript"/>
              </w:rPr>
              <w:t>(1)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460" w:type="dxa"/>
            <w:vAlign w:val="bottom"/>
          </w:tcPr>
          <w:p>
            <w:pPr>
              <w:spacing w:after="0"/>
              <w:rPr>
                <w:sz w:val="16"/>
                <w:szCs w:val="16"/>
                <w:color w:val="auto"/>
              </w:rPr>
            </w:pPr>
          </w:p>
        </w:tc>
        <w:tc>
          <w:tcPr>
            <w:tcW w:w="16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that may yet be</w:t>
            </w:r>
          </w:p>
        </w:tc>
      </w:tr>
      <w:tr>
        <w:trPr>
          <w:trHeight w:val="175"/>
        </w:trPr>
        <w:tc>
          <w:tcPr>
            <w:tcW w:w="4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460" w:type="dxa"/>
            <w:vAlign w:val="bottom"/>
          </w:tcPr>
          <w:p>
            <w:pPr>
              <w:spacing w:after="0"/>
              <w:rPr>
                <w:sz w:val="15"/>
                <w:szCs w:val="15"/>
                <w:color w:val="auto"/>
              </w:rPr>
            </w:pPr>
          </w:p>
        </w:tc>
        <w:tc>
          <w:tcPr>
            <w:tcW w:w="1620" w:type="dxa"/>
            <w:vAlign w:val="bottom"/>
          </w:tcPr>
          <w:p>
            <w:pPr>
              <w:jc w:val="center"/>
              <w:ind w:right="35"/>
              <w:spacing w:after="0" w:line="175" w:lineRule="exact"/>
              <w:rPr>
                <w:sz w:val="20"/>
                <w:szCs w:val="20"/>
                <w:color w:val="auto"/>
              </w:rPr>
            </w:pPr>
            <w:r>
              <w:rPr>
                <w:rFonts w:ascii="Times New Roman" w:cs="Times New Roman" w:eastAsia="Times New Roman" w:hAnsi="Times New Roman"/>
                <w:sz w:val="16"/>
                <w:szCs w:val="16"/>
                <w:b w:val="1"/>
                <w:bCs w:val="1"/>
                <w:color w:val="auto"/>
              </w:rPr>
              <w:t>purchased under</w:t>
            </w:r>
          </w:p>
        </w:tc>
      </w:tr>
      <w:tr>
        <w:trPr>
          <w:trHeight w:val="189"/>
        </w:trPr>
        <w:tc>
          <w:tcPr>
            <w:tcW w:w="4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460" w:type="dxa"/>
            <w:vAlign w:val="bottom"/>
          </w:tcPr>
          <w:p>
            <w:pPr>
              <w:spacing w:after="0"/>
              <w:rPr>
                <w:sz w:val="16"/>
                <w:szCs w:val="16"/>
                <w:color w:val="auto"/>
              </w:rPr>
            </w:pPr>
          </w:p>
        </w:tc>
        <w:tc>
          <w:tcPr>
            <w:tcW w:w="16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publicly announced</w:t>
            </w:r>
          </w:p>
        </w:tc>
      </w:tr>
      <w:tr>
        <w:trPr>
          <w:trHeight w:val="176"/>
        </w:trPr>
        <w:tc>
          <w:tcPr>
            <w:tcW w:w="4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20" w:type="dxa"/>
            <w:vAlign w:val="bottom"/>
          </w:tcPr>
          <w:p>
            <w:pPr>
              <w:jc w:val="center"/>
              <w:ind w:right="35"/>
              <w:spacing w:after="0" w:line="175" w:lineRule="exact"/>
              <w:rPr>
                <w:sz w:val="20"/>
                <w:szCs w:val="20"/>
                <w:color w:val="auto"/>
              </w:rPr>
            </w:pPr>
            <w:r>
              <w:rPr>
                <w:rFonts w:ascii="Times New Roman" w:cs="Times New Roman" w:eastAsia="Times New Roman" w:hAnsi="Times New Roman"/>
                <w:sz w:val="16"/>
                <w:szCs w:val="16"/>
                <w:b w:val="1"/>
                <w:bCs w:val="1"/>
                <w:color w:val="auto"/>
              </w:rPr>
              <w:t>plans or programs (in</w:t>
            </w:r>
          </w:p>
        </w:tc>
      </w:tr>
      <w:tr>
        <w:trPr>
          <w:trHeight w:val="212"/>
        </w:trPr>
        <w:tc>
          <w:tcPr>
            <w:tcW w:w="4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millions)</w:t>
            </w:r>
          </w:p>
        </w:tc>
      </w:tr>
      <w:tr>
        <w:trPr>
          <w:trHeight w:val="33"/>
        </w:trPr>
        <w:tc>
          <w:tcPr>
            <w:tcW w:w="4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6"/>
        </w:trPr>
        <w:tc>
          <w:tcPr>
            <w:tcW w:w="4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57"/>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October 1, 2025 - October 31,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410,735</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410,735</w:t>
            </w:r>
          </w:p>
        </w:tc>
        <w:tc>
          <w:tcPr>
            <w:tcW w:w="4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2025 - November 30,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478,043</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478,043</w:t>
            </w:r>
          </w:p>
        </w:tc>
        <w:tc>
          <w:tcPr>
            <w:tcW w:w="46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57"/>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December 1, 2025 - December 31, 2025</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371,013</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0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371,013</w:t>
            </w:r>
          </w:p>
        </w:tc>
        <w:tc>
          <w:tcPr>
            <w:tcW w:w="46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50"/>
        </w:trPr>
        <w:tc>
          <w:tcPr>
            <w:tcW w:w="420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1,259,791</w:t>
            </w:r>
          </w:p>
        </w:tc>
        <w:tc>
          <w:tcPr>
            <w:tcW w:w="2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1,259,791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Average price paid per share excludes commission expense and estimated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attached financial statements and notes thereto. This Annual Report on Form 10-K, including the following sections, contains forward-looking statements within the meaning of the U.S. Private Securities Litigation Reform Act of 1995 and the Exchange Act. These statements are subject to risks and uncertainties that could cause actual results and events to differ materially from those expressed or implied by such forward-looking statements. For a detailed discussion of these risks and uncertainties, see Item 1A, “Risk Factors” of this Annual Report on Form 10-K. We caution the reader not to place undue reliance on these forward-looking statements, which reflect management’s analysis only as of the date of this Annual Report on Form 10-K. We undertake no obligation to update forward-looking statements to reflect events or circumstances occurring after the date of this Annual Report on Form 10-K. The discussion regarding our financial condition and results of operations for fiscal 2024 as compared to fiscal 2023 has been omitted from this Annual Report on Form 10-K and is incorporated by reference from our Annual Report on 10-K for the fiscal year ended December 31, 2024, filed with the SEC and with the securities commissions in all provinces and territories of Canada on March 5, 2025, under the section titled “Part II, Item 7. Management’s Discussion and Analysis of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Zymeworks is a global biotechnology company managing a portfolio of licensed healthcare assets and developing a diverse pipeline of novel, multifunctional biotherapeutics to improve the standard of care for difficult-to-treat conditions, including cancer, inflammation, and autoimmune disease. We believe our asset and royalty aggregation strategy differentiates us from other biotechnology companies because it provides us with an opportunity to optimize future milestone and royalty cash flows and selectively invest in high quality assets while retaining the flexibility to return capital to stockholders.</w:t>
      </w:r>
    </w:p>
    <w:p>
      <w:pPr>
        <w:spacing w:after="0" w:line="2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commenced operations in 2003 and have since devoted substantially all of our resources to research and development activities including developing our therapeutic platforms, identifying and developing potential product candidates and undertaking preclinical studies and clinical trials. Additionally, we have supported our research and development activities with general and administrative support, as well as by raising capital, conducting business planning and protecting our intellectual property. Other than the receipt of royalties on sales of zanidatamab and regulatory milestone payments relating to the regulatory approval of zanidatamab, we have not generated any revenue related to product approvals or the sale of approved products as of December 31, 2025, and, other than the anticipated receipt of additional royalties and potential regulatory milestone payments relating to future regulatory decisions and sales of zanidatamab, we do not expect to do so until such time as we or our strategic partners’ obtain regulatory approval and commercialize one or more of our product candidates. We cannot be certain of the timing or success of approval of our product candidates.</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Since our initial public offering (“IPO”) in 2017, we have funded our operations primarily through follow-on public offerings, and private placements including the issuance of pre-funded warrants, and payments received under our license and collaboration agreements. Payments received or receivables from our license and collaboration agreements include upfront fees, milestone and royalty payments, as well as research support and reimbursement payments. Prior to our IPO, we also received financing from private equity placements and the issuance of convertible debt, which was subsequently converted into equity securities, and a credit facility. From inception to December 31, 2025, we received $1,026.3 million, net of equity issuance costs, from these sources of financing including proceeds from exercises of stock options and employee stock purchase plans. As of December 31, 2025, we had $270.6 million of cash resources consisting of cash, cash equivalents and marketable securities.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Although it is difficult to predict our funding requirements, based upon our current operating plan, we anticipate that our existing cash and cash equivalents and marketable securities as of December 31, 2025, will enable us to fund our operating expenditures and capital expenditure requirements for at least the next twelve months from the date of this Annual Report on Form 10-K is filed with the SEC.</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reported a net loss of $81.1 million for the year ended December 31, 2025, and through December 31, 2025, we had an accumulated deficit of $953.2 million. We expect to continue to incur operating losses in the near to medium term as we execute our strategic plan announced in 2025 (as discussed further in the section titled “Recent Developments” below), which emphasizes disciplined capital allocation, focused research and development investment, advancement of partnered programs, and active management of our royalty and asset portfolio. Our operating expense outlook reflects a multi-year planning framework designed to align spending with defined strategic priorities, including pipeline progression, technology platform advancement, and value-enhancing business development activities. We are prioritizing investments where we believe risk-adjusted returns are most attractive and expect operating expenses to be managed within this structured framework.</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Wholly-Owned Programs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January 2026, we announced our R&amp;D priorities for 2026 and beyond, including our intention to continue conducting Phase 1 clinical studies for ZW191 and ZW251 in 2026. Advancement of other ADC programs, including potential clinical development of ZW220, ZW327, and ZW418, will be contingent on the availability of partnerships, collaborations, and/or external funding. We also announced that beyond 2026, we expect to focus our ADVANCE research efforts on multispecific antibody and engineered-cytokine platforms, funded partially with early-stage partnerships and collaborations. INDs for multispecific programs, ZW209 and ZW1528, remain on track for submission in 2026. We anticipate that development of wholly-owned preclinical candidates from our multispecific antibody portfolio should provide for one planned IND filing per annum commencing in 2028.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Partnered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Zanidatamab</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November 2025, together with our partners Jazz and BeOne, we announced positive topline results from the Phase 3 HERIZON-GEA-01 trial supporting Ziihera as the potential HER2-targeted agent-of-choice and new standard of care in first-line HER2+ locally advanced or metastatic GEA regardless of PD-L1 status. The full results were subsequently presented at the American Society of Clinical Oncology’s Gastrointestinal Cancers Symposium in January 2026, where:</w:t>
      </w:r>
    </w:p>
    <w:p>
      <w:pPr>
        <w:spacing w:after="0" w:line="72" w:lineRule="exact"/>
        <w:rPr>
          <w:sz w:val="20"/>
          <w:szCs w:val="20"/>
          <w:color w:val="auto"/>
        </w:rPr>
      </w:pPr>
    </w:p>
    <w:p>
      <w:pPr>
        <w:ind w:left="660" w:right="14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Ziihera plus tislelizumab and chemotherapy and Ziihera plus chemotherapy showed a clinically meaningful and statistically significant prolongation of progression-free survival (PFS) with approximately 35% reduction in the risk of disease progression or death versus trastuzumab and chemotherapy;</w:t>
      </w:r>
    </w:p>
    <w:p>
      <w:pPr>
        <w:spacing w:after="0" w:line="67"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55"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Ziihera plus tislelizumab and chemotherapy demonstrated a statistically significant and clinically meaningful overall survival (OS) benefit with a median OS of more than two years (26.4 months); and</w:t>
      </w:r>
    </w:p>
    <w:p>
      <w:pPr>
        <w:spacing w:after="0" w:line="54" w:lineRule="exact"/>
        <w:rPr>
          <w:rFonts w:ascii="Arial" w:cs="Arial" w:eastAsia="Arial" w:hAnsi="Arial"/>
          <w:sz w:val="18"/>
          <w:szCs w:val="18"/>
          <w:color w:val="auto"/>
        </w:rPr>
      </w:pPr>
    </w:p>
    <w:p>
      <w:pPr>
        <w:ind w:left="660" w:right="24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first interim analysis, Ziihera plus chemotherapy showed a median OS of more than two years, with a strong trend toward statistical significance, favoring Ziihera plus chemotherapy versus trastuzumab plus chemotherapy. An additional planned OS interim analysis for Ziihera plus chemotherapy is currently expected in mid-2026.</w:t>
      </w:r>
    </w:p>
    <w:p>
      <w:pPr>
        <w:spacing w:after="0" w:line="2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Based on these data, our partner Jazz expects to complete the sBLA submission for zanidatamab in the first quarter of 2026 for the treatment of first-line HER2+ locally advanced or metastatic GEA under the real-time oncology review program in the United States where zanidatamab has been granted Breakthrough Therapy Designation for patients with HER2+ GEA. Jazz has also submitted these data for inclusion in the National Comprehensive Cancer Network Guidelines (NCCN Guidelines). Upon regulatory review, Jazz expects a potential commercial launch for zanidatamab in 1L HER2+ GEA to take place in the second half of 2026.</w:t>
      </w:r>
    </w:p>
    <w:p>
      <w:pPr>
        <w:spacing w:after="0" w:line="2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January 2026, Jazz updated enrollment guidance for EmpowHER-303 in which they expect to complete enrollment in the first half of 2027, with a top-line data readout later in 2027 or in early 2028. The EmpowHER-BC-303 study is a randomized clinical trial comparing zanidatamab plus physician’s choice of chemotherapy against trastuzumab plus physician’s choice of chemotherapy for the treatment of patients with metastatic HER+ breast cancer. Jazz is also pursuing collaborations with partners to combine zanidatamab with novel therapies. For example, the Phase 1 Beamion-BCGC1 trial (NCT06324357) in combination with Boehringer Ingelheim’s zongertinib was recently initiated to explore the combination in metastatic HER2+ breast cancer, along with other potential tumor types.</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January 2026, the New Drug Submission (“NDS”) for Ziihera was approved by Health Canada for the treatment of adults with previously treated, unresectable locally advanced or metastatic HER2-positive (IHC 3+) biliary tract cancer, as monotherapy. Ziihera’s market authorization has been issued with conditions, pending the results of trials to verify its clinical benefit. Subsequently, in February 2026 zanidatamab (Ziihera) was approved by the UK’s Medicines and Healthcare products Regulatory Agency (MHRA) for the treatment of biliary tract cancer.</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to $53.0 million already received for Ziihera (zanidatamab) in biliary tract cancer, Zymeworks is entitled to receive up to $440.0 million in milestone payments from Jazz and BeOne related to approvals of Ziihera in GEA in United States, Europe, Japan and China. Zymeworks also has the potential to receive milestone payments related to future regulatory approvals in a third indication totaling $89.0 million, collectively, from Jazz and BeOne. For Jazz this includes a $50.0 million milestone payment upon regulatory approval of zanidatamab from the FDA in a third indication and a $25.0 million milestone payment upon regulatory approval of zanidatamab from the European Commission in a third indication. For BeOne, this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includes $4.0 million payable upon first patient dosed with zanidatamab in a third registrational study in the territory and $10.0 million upon approval of zanidatamab by a regulatory authority for the third indication in the territory.</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royalty revenue from Jazz and BeOne was $1.0 million and $2.8 million in the three months and the year ended December 31, 2025, respectively, driven primarily by net product sales of Ziihera by Jazz.</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Pasritamig</w:t>
      </w:r>
    </w:p>
    <w:p>
      <w:pPr>
        <w:spacing w:after="0" w:line="22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2025, our partner J&amp;J initiated two Phase 3 trials studying pasritamig as monotherapy in late-line metastatic castration-resistant prostate cancer (mCRPC) and pasritamig in combination with docetaxel in participants with metastatic castration-resistant prostate cancer (KLK2-PASenger).</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February 2026, J&amp;J presented new clinical data on pasritamig at the 2026 American Society of Clinical Oncology Genitourinary annual meeting as follows:</w:t>
      </w:r>
    </w:p>
    <w:p>
      <w:pPr>
        <w:spacing w:after="0" w:line="54"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Poster - 171: Safety and efficacy of pasritamig (PAS) + docetaxel (DOCE) in participants with metastatic castration-resistant prostate cancer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(mcrPc): Initial results of a phase 1b study.</w:t>
      </w:r>
    </w:p>
    <w:p>
      <w:pPr>
        <w:spacing w:after="0" w:line="9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Poster - 172: Phase 1 safety, efficacy, pharmacokinetics (PK) and pharmacodynamics (PD) of pasritamig in Asian population with metastatic castration-resistant prostate cancer (mCRPC).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November 10, 2025, we completed the remaining $30.0 million of our previously approved repurchase program approved in 2024 for 1,856,907 shares of our common stock at an average price per share of $16.15 (exclusive of commission expense and estimated excise tax).</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November 2025, our board of directors authorized a new share repurchase program providing the ability to repurchase up to $125.0 million in shares of our common stock. Through February 26, 2026, we have utilized approximately $62.5 million of this approved repurchase program to acquire 2,580,415 shares of our common stock at an average price per share of $24.22 (exclusive of commission expense and estimated excise tax).</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Also in November 2025, we announced the evolution of our business strategy as a global biotechnology company managing a portfolio of licensed healthcare assets and developing a diverse pipeline of novel, multifunctional biotherapeutics to improve the standard of care for difficult-to-treat diseases, including cancer, inflammation, and autoimmune disease.</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January 2026, we announced leadership appointments and transitions to align with the evolution of our corporate strategy, including the following changes:</w:t>
      </w:r>
    </w:p>
    <w:p>
      <w:pPr>
        <w:spacing w:after="0" w:line="54"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N. Cherry appointed to our board of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Hollywood promoted to Executive Vice President and Chief Operating Officer.</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Jeffrey Smith, Executive Vice President and Chief Medical Officer, retired and Dr. Sabeen Mekan promoted to Senior Vice President and Chief Medical Officer.</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Leone Patterson, Chief Financial and Business Officer, and Daniel Dex, General Counsel, departed during the first quarter of 2026. The Company has commenced searches for a permanent Chief Financial Officer and for a General Counsel. Kenneth Galbraith has assumed the role of interim Chief Financial Officer on an interim basis.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March 2026, we entered into a $250.0 million loan arrangement with Royalty Pharma. For additional information regarding this arrangement, see the section titled “Liquidity and Capital Resources”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revenue consists of collaboration revenue, including amounts recognized relating to upfront non-refundable payments for licenses or options to obtain future licenses, research and development funding, milestone payments and royalties earned under collaboration and license agreements. We expect that collaboration revenue from our strategic partnerships will be our primary source of revenue for the foreseeable future.</w:t>
      </w:r>
    </w:p>
    <w:p>
      <w:pPr>
        <w:sectPr>
          <w:pgSz w:w="11900" w:h="16838" w:orient="portrait"/>
          <w:cols w:equalWidth="0" w:num="1">
            <w:col w:w="11160"/>
          </w:cols>
          <w:pgMar w:left="320" w:top="225" w:right="41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operating expenses consist primarily of research and development expenses and general and administrative expenses. Personnel costs, including salaries, benefits, bonuses and stock-based compensation expense, comprise a significant component of research and development and general and administrative expenses. We allocate certain indirect expenses associated with our facilities, information technology, depreciation and other overhead costs between research and development and general and administrative categories based on employee headcount and the nature of work performed by each employee.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expenses incurred in performing research and development activities such as conducting clinical trials and preclinical research studies, technical and manufacturing operations, regulatory affairs and other indirect expenses in support of advancing our product candidates and therapeutic platforms. Research and development expenses include third-party program costs, internal personnel costs and other indirect costs as follows:</w:t>
      </w:r>
    </w:p>
    <w:p>
      <w:pPr>
        <w:spacing w:after="0" w:line="112" w:lineRule="exact"/>
        <w:rPr>
          <w:sz w:val="20"/>
          <w:szCs w:val="20"/>
          <w:color w:val="auto"/>
        </w:rPr>
      </w:pPr>
    </w:p>
    <w:p>
      <w:pPr>
        <w:ind w:left="660" w:right="360" w:hanging="328"/>
        <w:spacing w:after="0" w:line="234" w:lineRule="auto"/>
        <w:tabs>
          <w:tab w:leader="none" w:pos="655"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fees paid to CROs, consultants, subcontractors and other third-party vendors for work performed for our clinical trials, preclinical studies and regulatory activities;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fees paid to third-party manufacturers to produce our product candidate supplies;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amounts paid to vendors and suppliers for laboratory supplies;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fees, milestone payments and other expenses incurred in connection with license agreements and amendments;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employee-related expenses such as salaries and benefits and stock-based compensation;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depreciation of laboratory equipment, computers and leasehold improvements;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overhead expenses such as facilities, information technology and other allocated items.</w:t>
      </w:r>
    </w:p>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is difficult to determine with certainty the duration and completion costs of our current or future clinical trials and preclinical programs of our product candidates, or if, when or to what extent we will generate revenue other than zanidatamab royalties from the commercialization and sale of any of our product candidates that obtain regulatory approval. We or our strategic partners may never succeed in achieving regulatory approval for any of our current or future product candidates. The duration, costs and timing of clinical trials and development of our product candidates will depend on a variety of factors, including the uncertainties of clinical trials and preclinical studies, uncertainties in clinical trial enrollment rates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As part of our recently announced strategy, we will continue to seek out partnerships and collaborations. If we are successful, over the next several years, we anticipate that our annual research and development expenses, excluding stock-based compensation expense, will trend lower.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jc w:val="both"/>
        <w:ind w:right="5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salaries, benefits and stock-based compensation costs for employees in our executive, finance, legal, intellectual property, business development, human resources and other support functions, as well as legal and professional fees, business insurance, facilities and information technology costs and other expenses. We anticipate over the next several years that our annual general and administrative expenses, other than stock-based compensation expense, will trend lower as we continue to pursue our strategic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primarily consists of interest income and foreign exchange gain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U.S. GAAP. The preparation of these consolidated financial statements requires us to make estimates, judgments and assumptions that are inherently uncertain that affect the amounts</w:t>
      </w:r>
    </w:p>
    <w:p>
      <w:pPr>
        <w:sectPr>
          <w:pgSz w:w="11900" w:h="16838" w:orient="portrait"/>
          <w:cols w:equalWidth="0" w:num="1">
            <w:col w:w="11200"/>
          </w:cols>
          <w:pgMar w:left="320" w:top="225"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reported in the consolidated financial statements and accompanying notes. We base our estimates on historical experience and on various other assumptions that we believe to be reasonable. We review and evaluate these estimates on an ongoing basis. These assumptions and estimates form the basis for making judgments about the carrying values of assets and liabilities and amounts that have been recorded as revenue and expenses. Actual results and experiences may differ from these estimates. The results of any material revisions would be reflected in the consolidated financial statements prospectively from the date of the change in estimate.</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a summary of our significant accounting policies, see Note 2 to the Consolidated Financial Statements in Part II, Item 8, “Financial Statements and Supplementary Data.” We consider the following accounting policies to be critical to an understanding of our financial condition and results of operations because these policies require the most subjective or complex judgments on the part of management in their application. There have been no material changes to our critical accounting policies during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revenue arrangements with partners often include multiple components – such as licenses, milestones, development activities, and drug supply – that require significant judgment to evaluate under Accounting Standards Codification (“ASC”) Topic 606. The most subjective areas involve:</w:t>
      </w:r>
    </w:p>
    <w:p>
      <w:pPr>
        <w:spacing w:after="0" w:line="7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22"/>
          <w:szCs w:val="22"/>
          <w:color w:val="auto"/>
        </w:rPr>
      </w:pPr>
      <w:r>
        <w:rPr>
          <w:rFonts w:ascii="Times New Roman" w:cs="Times New Roman" w:eastAsia="Times New Roman" w:hAnsi="Times New Roman"/>
          <w:sz w:val="18"/>
          <w:szCs w:val="18"/>
          <w:color w:val="auto"/>
        </w:rPr>
        <w:t>Determining distinct performance obligations in complex collaboration agreements;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5"/>
        </w:numPr>
        <w:rPr>
          <w:rFonts w:ascii="Arial" w:cs="Arial" w:eastAsia="Arial" w:hAnsi="Arial"/>
          <w:sz w:val="22"/>
          <w:szCs w:val="22"/>
          <w:color w:val="auto"/>
        </w:rPr>
      </w:pPr>
      <w:r>
        <w:rPr>
          <w:rFonts w:ascii="Times New Roman" w:cs="Times New Roman" w:eastAsia="Times New Roman" w:hAnsi="Times New Roman"/>
          <w:sz w:val="18"/>
          <w:szCs w:val="18"/>
          <w:color w:val="auto"/>
        </w:rPr>
        <w:t>Estimating variable consideration, including the probability of achieving development and regulatory milestones;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5"/>
        </w:numPr>
        <w:rPr>
          <w:rFonts w:ascii="Arial" w:cs="Arial" w:eastAsia="Arial" w:hAnsi="Arial"/>
          <w:sz w:val="22"/>
          <w:szCs w:val="22"/>
          <w:color w:val="auto"/>
        </w:rPr>
      </w:pPr>
      <w:r>
        <w:rPr>
          <w:rFonts w:ascii="Times New Roman" w:cs="Times New Roman" w:eastAsia="Times New Roman" w:hAnsi="Times New Roman"/>
          <w:sz w:val="18"/>
          <w:szCs w:val="18"/>
          <w:color w:val="auto"/>
        </w:rPr>
        <w:t>Assessing contract modifications, which may change performance obligations or transaction consideration.</w:t>
      </w:r>
    </w:p>
    <w:p>
      <w:pPr>
        <w:spacing w:after="0" w:line="23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These judgments affect the timing and amount of revenue recognized, and changes in assumptions (e.g., milestone probability, development timelines, or partner plans) could materially impact results. Additional detail about our revenue accounting policies is provided in Note 2 -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of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and Related Accrued Expenses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costs that we incur for our own and for our strategic partners’ research and development activities. These costs primarily consist of employee-related expenses, including salaries and benefits, expenses incurred under agreements with CROs on our behalf, costs associated with investigative sites and consultants that conduct our clinical trials, the cost of acquiring and manufacturing clinical trial materials and other allocated expenses, share-based compensation expense, and costs associated with nonclinical activities and regulatory approvals.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Clinical trial expenses represent a significant component of research and development expenses and we outsource a significant portion of these activities to third-party CROs. Third-party clinical trial expenses include investigator fees, site costs, clinical research organization costs and other trial-related vendor costs. As part of preparing the consolidated financial statements, we estimate accrued liabilities for services that have been performed by clinical research organizations or investigator sites but have not yet been invoiced to us. When making these estimates, we use operational and contractual information from third party service providers and operational data from internal personnel.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We recognize stock-based compensation expense on certain stock-based awards granted to employees and members of the board of directors based on their estimated fair values using the Black-Scholes option pricing model. The Black-Scholes option pricing model requires assumptions for various inputs to measure fair value, including expected term of the awards, underlying share price volatility, forfeiture rates, risk-free interest rate and expected dividend yields of our common stock. Management uses judgment to determine the inputs to the Black-Scholes option pricing model and changes in these assumptions could have a material impact to the fair value calculations and the amount and timing of stock-based compensation expense recognized in earnings. Further details on valuation methodologies are presented in Note 2 -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xml:space="preserve"> of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color w:val="auto"/>
        </w:rPr>
        <w:t xml:space="preserve">A summary of recent accounting pronouncements is presented in Note 3 -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of our Annual Consolidated Financial Statements for the year ended December 31, 2025 within this Annual Report on Form 10-K.</w:t>
      </w: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2025,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Change 2025 – 2024</w:t>
            </w: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research and development collaborations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29.7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relates primarily to non-recurring upfront fees, expansion payments or milestone payments from our licensing and collaboration agreements.</w:t>
      </w:r>
    </w:p>
    <w:p>
      <w:pPr>
        <w:spacing w:after="0" w:line="171" w:lineRule="exact"/>
        <w:rPr>
          <w:sz w:val="20"/>
          <w:szCs w:val="20"/>
          <w:color w:val="auto"/>
        </w:rPr>
      </w:pPr>
    </w:p>
    <w:p>
      <w:pPr>
        <w:jc w:val="both"/>
        <w:ind w:right="220"/>
        <w:spacing w:after="0" w:line="232" w:lineRule="exact"/>
        <w:rPr>
          <w:sz w:val="20"/>
          <w:szCs w:val="20"/>
          <w:color w:val="auto"/>
        </w:rPr>
      </w:pPr>
      <w:r>
        <w:rPr>
          <w:rFonts w:ascii="Times New Roman" w:cs="Times New Roman" w:eastAsia="Times New Roman" w:hAnsi="Times New Roman"/>
          <w:sz w:val="18"/>
          <w:szCs w:val="18"/>
          <w:color w:val="auto"/>
        </w:rPr>
        <w:t>Total revenue increased by $29.7 million in 2025 compared to 2024, due to higher revenue recognized across multiple partnered programs. The increase was driven mainly by achievement of significant clinical and regulatory milestones and exercise of an option under our collaborations with J&amp;J, BeOne, GSK, Daiichi Sankyo, and BMS, which collectively contributed the majority of the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growth.</w:t>
      </w:r>
    </w:p>
    <w:p>
      <w:pPr>
        <w:spacing w:after="0" w:line="76" w:lineRule="exact"/>
        <w:rPr>
          <w:sz w:val="20"/>
          <w:szCs w:val="20"/>
          <w:color w:val="auto"/>
        </w:rPr>
      </w:pPr>
    </w:p>
    <w:p>
      <w:pPr>
        <w:spacing w:after="0" w:line="231" w:lineRule="exact"/>
        <w:rPr>
          <w:sz w:val="20"/>
          <w:szCs w:val="20"/>
          <w:color w:val="auto"/>
        </w:rPr>
      </w:pPr>
      <w:r>
        <w:rPr>
          <w:rFonts w:ascii="Times New Roman" w:cs="Times New Roman" w:eastAsia="Times New Roman" w:hAnsi="Times New Roman"/>
          <w:sz w:val="18"/>
          <w:szCs w:val="18"/>
          <w:color w:val="auto"/>
        </w:rPr>
        <w:t>This growth was partially offset by a decline in development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support and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supply revenue from Jazz, reflecting the transition of responsibility for certain zanidatamab clinical activities to Jazz under our amended agreements. As Jazz continues to assume these activities, we expect development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support revenue from Jazz to continue decreasing, while royalty revenue from Jazz and BeOne is expected to grow over time as commercial sales of Ziihera increase.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 2025 – 2024</w:t>
            </w: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Third-party research and development program</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Zanidatamab</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(115)%</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Zanidatamab zovodotin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ZW171</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ZW191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ZW220</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ZW251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preclinical and research programs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departmental research and development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unallocated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60"/>
        <w:spacing w:after="0" w:line="236" w:lineRule="exact"/>
        <w:rPr>
          <w:sz w:val="20"/>
          <w:szCs w:val="20"/>
          <w:color w:val="auto"/>
        </w:rPr>
      </w:pPr>
      <w:r>
        <w:rPr>
          <w:rFonts w:ascii="Times New Roman" w:cs="Times New Roman" w:eastAsia="Times New Roman" w:hAnsi="Times New Roman"/>
          <w:sz w:val="18"/>
          <w:szCs w:val="18"/>
          <w:color w:val="auto"/>
        </w:rPr>
        <w:t>Research and development expense increased by $2.4 million in 2025 compared to 2024. The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change primarily reflects a shift in program mix as lower spending on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and discontinued programs was offset by higher investment in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studies and preclinical pipeline activities.</w:t>
      </w:r>
    </w:p>
    <w:p>
      <w:pPr>
        <w:spacing w:after="0" w:line="19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R&amp;D costs for zanidatamab declined following reduced clinical support provided to Jazz after BLA approval in 2024 and a change in estimate related to historical clinical trial accruals for studies transferred to Jazz, which were finalized upon receipt of CRO confirmations. Expenses for zanidatamab zovodotin also decreased as the program was discontinued. Spending for ZW220 decreased as a majority of preclinical development activities were completed and we paused further development of this program.</w:t>
      </w:r>
    </w:p>
    <w:p>
      <w:pPr>
        <w:spacing w:after="0" w:line="13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These decreases were partially offset by increased investment in our earlier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programs and research platform.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20"/>
        <w:spacing w:after="0" w:line="222" w:lineRule="exact"/>
        <w:rPr>
          <w:sz w:val="20"/>
          <w:szCs w:val="20"/>
          <w:color w:val="auto"/>
        </w:rPr>
      </w:pPr>
      <w:r>
        <w:rPr>
          <w:rFonts w:ascii="Times New Roman" w:cs="Times New Roman" w:eastAsia="Times New Roman" w:hAnsi="Times New Roman"/>
          <w:sz w:val="18"/>
          <w:szCs w:val="18"/>
          <w:color w:val="auto"/>
        </w:rPr>
        <w:t>R&amp;D expenses increased for ZW251, ZW191, and ZW171 (through the date of discontinuation), reflecting clinical trial progress, clinical drug supply costs, and study start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activities. Other preclinical and research program expenses increased primarily due to 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enabling toxicology and GMP manufacturing activities for ZW209 and ZW1528. These programs are included within “Other preclinical and research programs” in the table above.</w:t>
      </w:r>
    </w:p>
    <w:p>
      <w:pPr>
        <w:spacing w:after="0" w:line="185" w:lineRule="exact"/>
        <w:rPr>
          <w:sz w:val="20"/>
          <w:szCs w:val="20"/>
          <w:color w:val="auto"/>
        </w:rPr>
      </w:pPr>
    </w:p>
    <w:p>
      <w:pPr>
        <w:jc w:val="both"/>
        <w:ind w:right="300"/>
        <w:spacing w:after="0" w:line="231" w:lineRule="exact"/>
        <w:rPr>
          <w:sz w:val="20"/>
          <w:szCs w:val="20"/>
          <w:color w:val="auto"/>
        </w:rPr>
      </w:pPr>
      <w:r>
        <w:rPr>
          <w:rFonts w:ascii="Times New Roman" w:cs="Times New Roman" w:eastAsia="Times New Roman" w:hAnsi="Times New Roman"/>
          <w:sz w:val="18"/>
          <w:szCs w:val="18"/>
          <w:color w:val="auto"/>
        </w:rPr>
        <w:t>Unallocated departmental expenses also increased year over year.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rose primarily due to higher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values in 2025 resulting from an increase in our stock price. Other unallocated expenses increased due to the absence of a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benefit related to the reversal of a contingent liability provision recognized in 2024 after the discontinuation of the zanidatamab zovodotin program, as well as higher consulting and rent costs.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Following the May 2023 transfer of development responsibility for zanidatamab to Jazz, we expect R&amp;D expenses associated with this program to remain lower than prior periods. We will continue to incur costs for activities for which we retain responsibility under the Amended Jazz Collaboration Agreement, and we expect to recognize reimbursements from Jazz for these activities as revenue from research and collaborations.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Change 2025 – 2024</w:t>
            </w: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1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4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consulting and business insurance</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consistent year-over-year at $61.5 million in both 2025 and 2024, as increases in certain components were offset by decreases in others.</w:t>
      </w:r>
    </w:p>
    <w:p>
      <w:pPr>
        <w:spacing w:after="0" w:line="121" w:lineRule="exact"/>
        <w:rPr>
          <w:sz w:val="20"/>
          <w:szCs w:val="20"/>
          <w:color w:val="auto"/>
        </w:rPr>
      </w:pPr>
    </w:p>
    <w:p>
      <w:pPr>
        <w:ind w:right="20"/>
        <w:spacing w:after="0" w:line="236" w:lineRule="exact"/>
        <w:rPr>
          <w:sz w:val="20"/>
          <w:szCs w:val="20"/>
          <w:color w:val="auto"/>
        </w:rPr>
      </w:pPr>
      <w:r>
        <w:rPr>
          <w:rFonts w:ascii="Times New Roman" w:cs="Times New Roman" w:eastAsia="Times New Roman" w:hAnsi="Times New Roman"/>
          <w:sz w:val="18"/>
          <w:szCs w:val="18"/>
          <w:color w:val="auto"/>
        </w:rPr>
        <w:t>The largest driver of the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increases was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which increased primarily due to higher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values in 2025 resulting from an increase in our stock price. We also incurred higher amortization expense related to additional information technology systems implemented.</w:t>
      </w:r>
    </w:p>
    <w:p>
      <w:pPr>
        <w:spacing w:after="0" w:line="225" w:lineRule="exact"/>
        <w:rPr>
          <w:sz w:val="20"/>
          <w:szCs w:val="20"/>
          <w:color w:val="auto"/>
        </w:rPr>
      </w:pPr>
    </w:p>
    <w:p>
      <w:pPr>
        <w:ind w:right="560"/>
        <w:spacing w:after="0" w:line="232" w:lineRule="exact"/>
        <w:rPr>
          <w:sz w:val="20"/>
          <w:szCs w:val="20"/>
          <w:color w:val="auto"/>
        </w:rPr>
      </w:pPr>
      <w:r>
        <w:rPr>
          <w:rFonts w:ascii="Times New Roman" w:cs="Times New Roman" w:eastAsia="Times New Roman" w:hAnsi="Times New Roman"/>
          <w:sz w:val="18"/>
          <w:szCs w:val="18"/>
          <w:color w:val="auto"/>
        </w:rPr>
        <w:t>These increases were offset by lower salaries and benefits due to reduced headcount, reduced consulting fees and a reduction of other general and administrative expenses, including a decrease in rent expense following the termination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Seattle facility lease in 2024, a decrease in depreciation and amortization expenses, and lower software subscription costs and other information technology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on Acquired In-Process Research and Development (IPR&amp;D)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 2025 – 2024</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2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on acquired IPR&amp;D</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(17.3)</w:t>
            </w:r>
          </w:p>
        </w:tc>
        <w:tc>
          <w:tcPr>
            <w:tcW w:w="1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recorded an impairment charge of $17.3 million as a result of our decision to discontinue the zanidatamab zovodotin clinical development program which utilized the technology represented by acquired IPR&amp;D assets.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6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Change 2025 – 2024</w:t>
            </w: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0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(7.7)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income, net decreased by $7.7 million in 2025 compared to 2024. Other income, net for 2025 included $13.4 million of interest income and $0.6 million of foreign exchange loss. Other income, net for 2024 included $19.9 million of interest income and $0.8 million of foreign exchange gains, partially offset by other miscellaneous charges. The year-over-year decrease in interest income was primarily due to a reduction in cash, cash equivalents and marketable securities during the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6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 2025 – 2024</w:t>
            </w: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16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4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7"/>
              </w:rPr>
              <w:t>5.0</w:t>
            </w: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 recovery</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55"/>
              <w:spacing w:after="0"/>
              <w:rPr>
                <w:sz w:val="20"/>
                <w:szCs w:val="20"/>
                <w:color w:val="auto"/>
              </w:rPr>
            </w:pPr>
            <w:r>
              <w:rPr>
                <w:rFonts w:ascii="Times New Roman" w:cs="Times New Roman" w:eastAsia="Times New Roman" w:hAnsi="Times New Roman"/>
                <w:sz w:val="18"/>
                <w:szCs w:val="18"/>
                <w:color w:val="auto"/>
                <w:w w:val="97"/>
              </w:rPr>
              <w:t>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55"/>
              <w:spacing w:after="0"/>
              <w:rPr>
                <w:sz w:val="20"/>
                <w:szCs w:val="20"/>
                <w:color w:val="auto"/>
              </w:rPr>
            </w:pPr>
            <w:r>
              <w:rPr>
                <w:rFonts w:ascii="Times New Roman" w:cs="Times New Roman" w:eastAsia="Times New Roman" w:hAnsi="Times New Roman"/>
                <w:sz w:val="18"/>
                <w:szCs w:val="18"/>
                <w:color w:val="auto"/>
                <w:w w:val="98"/>
              </w:rPr>
              <w:t>(0.2)</w:t>
            </w:r>
          </w:p>
        </w:tc>
        <w:tc>
          <w:tcPr>
            <w:tcW w:w="7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7"/>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7"/>
              </w:rPr>
              <w:t>4.7</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Income tax expense decreased by $4.7 million in 2025 compared to 2024, primarily due to a decrease in U.S. taxes under the Subpart F income rules partially offset by an increase in deferred income tax expense due to changes in net deferred tax assets and liabilities and the valuation allowance in respect of these.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4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Since our IPO in 2017, we have funded our operations primarily through follow-on public offerings and private placements (including the issuance of pre-funded warrants), loans, as well as from upfront fees, milestone payments, and research support payments generated from our strategic collaborations and licensing agreements. As part of our recently announced asset and royalty aggregation strategy, we anticipate that funds used in operations will increasingly be derived from royalty and milestone payments that we receive through our strategic collaboration and licensing agreements. We also evaluate other sources of capital to finance our operations, including through debt financings, asset monetization, strategic partnerships, grant funding, and public and private equity offerings.</w:t>
      </w:r>
    </w:p>
    <w:p>
      <w:pPr>
        <w:spacing w:after="0" w:line="213"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In August 2024, we entered into a sales agreement (the “Cowen Sales Agreement”) with TD Securities (USA) LLC. (“TD Cowen”) to sell shares of our common stock subject to a maximum aggregate dollar amount registered pursuant to an applicable prospectus supplement, from time to time, through an “at-the-market” equity offering program under which TD Cowen acts as our sales agent. Sales of shares of common stock through TD Cowen, if any, will be made by any method permitted by law deemed to be an “at-the-market” offering as defined in Rule 415(a)(4) under the Securities Act. As of the date of this report, no shares of our common stock have been sold under the Cowen Sales Agreement. As part of the ongoing management of our operations and related funding needs, we evaluate various financing vehicles, including “at-the-market” equity offering programs, and may enter into similar “at-the-</w:t>
      </w:r>
    </w:p>
    <w:p>
      <w:pPr>
        <w:spacing w:after="0" w:line="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market” equity offering programs in the future, as well as other financing transactions depending on our capital needs and the then-available terms of any such financings.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December 2023, we completed a private placement pursuant to which we sold 5,086,521 pre-funded warrants at a price of $9.8299 per pre-funded warrant. We received gross proceeds of $50.0 million, and net proceeds were $49.9 million, after expenses. Each pre-funded warrant is exercisable for one share of common stock at an exercise price of $0.0001 per share, subject to adjustments as provided under the terms of the pre-funded warrants. In June 2025, these pre-funded warrants were fully exercised on a net exercise basis resulting in the issuance of 5,086,480 shares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Pharma Loan Arrangement</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March 2, 2026, Zymeworks BC entered into the Sale Agreement with the Subsidiary, pursuant to which Zymeworks BC sold to the Subsidiary 30% of future royalty payments (not to exceed 120% of the maximum amount payable by the Subsidiary</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under the Loan Agreement (excluding indemnification and other similar obligations) related to Ziihera (zanidatamab-hrii) receivable under the Covered Agreements at a purchase price of $250.0 million. Under the Sale Agreement, Zymeworks BC is restricted from taking certain actions with respect to the Covered Agreements, including (i) entering into any contracts, or amending, modifying or waiving provisions of any contracts, relating to the royalties receivable under the Covered Agreements that would undermine the Royalty Interest or reasonably be expected to result in a material adverse effect, (ii) taking actions that would, or would give the right to an applicable counterparty to, terminate a Covered Agreement or certain material in-license agreements covering Ziihera, or amending, modifying, waiving any provision, providing any consent or taking any action under any Covered Agreement that would reduce any Royalty Interest payments or reasonably be expected to result in a material adverse effect, without the prior written consent of the Subsidiary and Royalty Pharma, (iii) selling, transferring, disposing of or encumbering its interests in applicable Ziihera-specific intellectual property, Ziihera, a Covered Agreement or certain material in-license agreements covering Ziihera, or entering into monetization or similar transactions with respect to Zymeworks BC’s retained royalty interests under any Covered Agreement, except, in each case, without certain assumption and other arrangements protective to Royalty Pharma’s interests, and (iv) permitting Covered Agreement counterparties to acquire more than 50% of Zymeworks BC’s retained royalty interests under any Covered Agreement without certain assumption and other arrangements protective to Royalty Pharma’s interests, in addition to being subject to other customary covenants.</w:t>
      </w:r>
    </w:p>
    <w:p>
      <w:pPr>
        <w:spacing w:after="0" w:line="18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Sale Agreement also includes customary indemnification obligations by us and Zymeworks BC in favor of the Subsidiary and Royalty Pharma. The obligations of the parties under the Sale Agreement terminate automatically upon the payment in full of the Loan and the other obligations under the Loan Agreement.</w:t>
      </w:r>
    </w:p>
    <w:p>
      <w:pPr>
        <w:spacing w:after="0" w:line="177"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Following the sale and transfer of the Royalty Interest, the Subsidiary entered into the Loan Agreement with Royalty Pharma as administrative agent and lender (in the capacity as lender under the Loan Agreement, the “Lender” and together with such other lenders party to the Loan Agreement from time to time the “Lenders”), pursuant to which the Lenders made a term loan to the Subsidiary in an aggregate principal amount of $250.0 million, that bears interest at a fixed rate and matures on December 31, 2042. Under the terms of the Loan Agreement, the amount payable to the Lenders no later than the Maturity Date is approximately $481.3 million, provided that if the Loan is repaid in full on or before December 31, 2033, the amount payable to the Lenders is $412.5 million, in each case inclusive of all applicable interest, yield protection premiums, early redemption fees, exit fees and other amounts payable under the Loan Agreement (excluding indemnification and similar obligations). Any amount borrowed and repaid by Subsidiary may not be reborrowed.</w:t>
      </w:r>
    </w:p>
    <w:p>
      <w:pPr>
        <w:spacing w:after="0" w:line="18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will retain 70% of royalties on Ziihera annual net sales, with full royalty rights reverting to us once the Loan and other amounts payable under the Loan Agreement to Royalty Pharma have been repaid in full. All earned regulatory and commercial milestone payments under the Covered Agreements will be retained by us.</w:t>
      </w:r>
    </w:p>
    <w:p>
      <w:pPr>
        <w:spacing w:after="0" w:line="17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Under our collaboration agreement with Jazz, we are eligible to receive tiered royalties of ten to high teens percentages on global (outside of Asia (other than Japan), Australia and New Zealand) annual net sales of Ziihera up to $2.0 billion and 20% on annual net sales above $2.0 billion. Under the collaboration agreement with BeOne, we are eligible to receive tiered royalties of mid-single to mid-double digit percentages on annual net sales of Ziihera in Asia (other than Japan), Australia and New Zealand up to $1.0 billion and 19.5% on annual net sales above $1.0 billion (with royalty rates increasing by 0.5% when cumulative amounts forgone as a result of a royalty reduction of 0.5% reaches a cap in the low double-digit millions of dollars).</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In connection with entering into the Loan Agreement, (i) the Subsidiary entered into a security agreement with Royalty Pharma, whereby the Subsidiary granted a security interest in all of its assets (the “Collateral”) in favor of Royalty Pharma, and (ii) Zymeworks BC and Zymeworks GP entered into a pledge and security agreement with Royalty Pharma, whereby Zymeworks BC and Zymeworks GP pledged their respective equity interests in the Subsidiary, with Zymeworks BC also pledging its equity in Zymeworks GP. If certain events of default occur, including the termination of the Jazz Agreement or the BeOne Agreement and a change of control of the Company, as well as other customary events of default, the administrative agent may terminate the Loan Agreement and demand immediate payment of an amount equal to the outstanding principal amount of the Loan plus all applicable fees, premiums and accrued and unpaid interest thereon and exercise all rights and remedies available under or pursuant to the Loan Agreement. The Loan Agreement includes certain customary affirmative and negative covenants applicable to the Subsidiary, including restrictions on the incurrence of additional indebtedness, creation of liens, asset transfers, mergers, dividends and certain transactions with affiliates. In addition, the Subsidiary is subject to covenants designed to limit its activities primarily to holding and administering its rights and obligations under certain transaction agreements including the Loan Agreement and the Sale Agreement, and the Subsidiary may not amend or terminate the Sale Agreement without the Lenders’ consent.</w:t>
      </w:r>
    </w:p>
    <w:p>
      <w:pPr>
        <w:spacing w:after="0" w:line="217"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The Loan Agreement also contains other customary terms and conditions, including representations and warranties, as well as indemnification obligations in favor of Royalty Pharma. The payment obligations under the Loan Agreement are limited to the Subsidiary, and the Lenders have no recourse under the Loan Agreement against the Company or Zymeworks BC or any assets other than the Collateral and Zymeworks BC’s equity interest in Zymeworks GP and the Subsidiary, and Zymeworks GP’s equity interests in the Subsidiary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intend to use the net cash received from this arrangement to support our ongoing stock repurchase program and fund potential strategic acquisitions, as well as for working capital and other general corporate purposes.</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December 31, 2025, we had $270.6 million of cash, cash equivalents, and marketable securities, comprised of $41.2 million in cash and cash equivalents and $229.4 million in marketable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summary of our cash flows for the years ended December 31, 2025, 2024 and 2023:</w:t>
      </w:r>
    </w:p>
    <w:p>
      <w:pPr>
        <w:spacing w:after="0" w:line="43"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6"/>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455"/>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84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2025, cash used in operating activities was $33.0 million as opposed to $110.1 million cash used in operating activities in 2024. The reduction in net cash used in operating activities was primarily due to milestone revenues received during 2025 and positive changes in working capital accounts compared to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 2025 included $41.7 million used for our repurchase programs, partially offset by net proceeds of $16.9 million from stock option exercises, $5.0 million from a private placement, and $1.4 million from the issuance of shares of common stock under our employee stock purchase plan. Net cash used in financing activities in 2024 included $30.1 million used for our repurchase program, partially offset by net proceeds of $8.9 million from stock option exercises and $0.9 million from the issuance of shares of common stock under our employee stock purchase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in 2025 was primarily related to redemptions, net of purchases, of investments in marketable securities of $29.0 million partially offset by cash outflows of $2.4 million for the acquisition of property and equipment in our office and laboratory spaces in Canada and the United States and software implementation. Net cash provided by investing activities in 2024 was primarily related to redemptions, net of purchases, of investments in marketable securities of $41.8 million partially offset by cash outflows of $3.1 million for the acquisition of property and equipment in our office and laboratory spaces in Canada and the United States and software implementation.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Our revenue through December 31, 2025 has been primarily revenue from the license of our proprietary therapeutic platforms for the development of product candidates. We anticipate that at least over the short-term we will not be net income positive on a regular basis as we continue our research and development of our product candidates and implement our recently announced strategy. In addition, inflationary pressure could adversely impact our financial results. Our funding requirements in the short-term and long-term will consist of the operational, capital, and manufacturing expenditures, a portion of which contain contractual or other obligations including future minimum lease payments under non-cancelable operating leases as presented in Note 14 -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other commitments and contingencies as presented in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annual consolidated financial statements. Because of the inherent risks and uncertainties associated with the development of our product candidates and the successful implementation of our recently announced strategy, it is difficult to predict the amounts of capital outflows and operating expenditures associated with our current and anticipated clinical trials and preclinical studies.</w:t>
      </w: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Although it is difficult to predict our funding requirements, based on our current operating plan, we anticipate that our existing cash and cash equivalents and marketable securities will enable us to fund our operating expenses and capital expenditure requirements for at least the next twelve months from the date this Annual Report on Form 10-K is filed with the SEC. This anticipated runway excludes the impact of any regulatory milestone payments we are entitled to receive in connection with additional regulatory approvals for zanidatamab, as well as the proceeds from our recently announced loan arrangement with Royalty Pharma. We have based our cash runway estimates on assumptions and plans which may change and which could impact the magnitude and/or timing of operating expenses, capital expenditures and our cash runway. The successful development of our product candidates and the achievement of milestones by our strategic partners is uncertain. In addition, as part of our recently announced strategy, we intend to evaluate and potentially consummate various acquisitions and other strategic transactions, the magnitude and timing of which are uncertain. As a result of the foregoing, it is difficult to predict the actual funds we will require to fund our planned operations. See Item 1A, “Risk Factors – Risks Relating to Our Business,” “Risk Factors – Risks Relating to Development of our Product Candidates,” and “Risk Factors –Risks Related to Our Financial Position and Need for Additional Capital.”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on August 1, 2024, our board of directors authorized the 2024 Repurchase Program, under which we were authorized to repurchase up to</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$60.0 million of our common stock. As of November 10, 2025, we completed the entire $60.0 million of the 2024 Repurchase Program. On November 16, 2025, our board of directors authorized the 2025 Repurchase Program, whereby we were authorized to repurchase up to $125.0 million of our outstanding common stock. As of December 31, 2025, we repurchased 431,217 shares of our common stock under the 2025 Repurchase Program. As of February 26, 2026, we have repurchased 2,580,415 shares of our common stock under the 2025 Repurchase Program, and there is $62.5 million of remaining capacity under the 2025 Repurchase Program. The shares may be repurchased from time to time in open market transactions, or other means in accordance with Rule 10b5-1 of the Exchange Act and Rule 10b-18 of the Exchange Act. The timing, number of shares repurchased, and prices paid for any additional shares of the stock repurchased under this program will depend on general business and market conditions as well as corporate and regulatory limitations, prevailing stock prices, and other considerations. The 2025 Repurchase Program may be suspended or discontinued at any time and does not obligate us to acquire any additional shares of common stock.</w:t>
      </w:r>
    </w:p>
    <w:p>
      <w:pPr>
        <w:spacing w:after="0" w:line="19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long-term business plans. Accordingly, our future funding requirements will depend on many factors, including but not limited to:</w:t>
      </w:r>
    </w:p>
    <w:p>
      <w:pPr>
        <w:spacing w:after="0" w:line="54"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other product candidates that we pursue;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 and results of research, preclinical development, and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and frequency of any strategic transactions we engage in to build out our pipeline or enhance our royalty aggregation strategy;</w:t>
      </w:r>
    </w:p>
    <w:p>
      <w:pPr>
        <w:spacing w:after="0" w:line="117" w:lineRule="exact"/>
        <w:rPr>
          <w:rFonts w:ascii="Times New Roman" w:cs="Times New Roman" w:eastAsia="Times New Roman" w:hAnsi="Times New Roman"/>
          <w:sz w:val="18"/>
          <w:szCs w:val="18"/>
          <w:color w:val="auto"/>
        </w:rPr>
      </w:pPr>
    </w:p>
    <w:p>
      <w:pPr>
        <w:ind w:left="660" w:right="200" w:hanging="328"/>
        <w:spacing w:after="0" w:line="312" w:lineRule="auto"/>
        <w:tabs>
          <w:tab w:leader="none" w:pos="65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when needed additional management, scientific and medical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and</w:t>
      </w:r>
    </w:p>
    <w:p>
      <w:pPr>
        <w:spacing w:after="0" w:line="11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our existing strategic partnerships, and any collaboration, asset monetization, licensing, or other arrangements into which we may enter in the future, including the timing of receipt of any milestone or royalty payments under these agreements.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adequate funds are not available at favorable terms, we may be required to reduce operating expenses, delay or reduce the scope of our product development and strategic transactions, obtain funds through arrangements with others that may require us to relinquish rights to certain of our technologies or products that we would otherwise seek to develop or commercialize, either alone or with our strategic partners,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 deterioration in the equity or credit markets may make any necessary debt or equity financing more difficult, more costly and more dilutive.</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view our operations and manage our business in one segment, which is the Management of a portfolio of licensed healthcare assets and development of novel multifunctional biotherapeutics.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authorized share capital consists of 1,000,000,000 shares of stock, consisting of 900,000,000 shares of common stock, par value $0.00001 per share, and 100,000,000 shares of preferred stock, par value 0.00001 per share. As of February 26, 2026, 73,749,607 shares of common stock were issued and outstanding. In addition, as of February 26, 2026, we had 4,348,106 shares of common stock issuable pursuant to 4,348,106 exercisable outstanding stock options, 4,745,976 shares of common stock issuable pursuant to 4,745,976 outstanding options that were not exercisable at that date, and 2,269,795 shares of common stock issuable upon vesting of outstanding time-based restricted stock units and performance stock units.</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Plan of Arrangement (as defined in Note 1 - </w:t>
      </w:r>
      <w:r>
        <w:rPr>
          <w:rFonts w:ascii="Times New Roman" w:cs="Times New Roman" w:eastAsia="Times New Roman" w:hAnsi="Times New Roman"/>
          <w:sz w:val="18"/>
          <w:szCs w:val="18"/>
          <w:i w:val="1"/>
          <w:iCs w:val="1"/>
          <w:color w:val="auto"/>
        </w:rPr>
        <w:t>Nature of Operations</w:t>
      </w:r>
      <w:r>
        <w:rPr>
          <w:rFonts w:ascii="Times New Roman" w:cs="Times New Roman" w:eastAsia="Times New Roman" w:hAnsi="Times New Roman"/>
          <w:sz w:val="18"/>
          <w:szCs w:val="18"/>
          <w:color w:val="auto"/>
        </w:rPr>
        <w:t xml:space="preserve"> of our annual consolidated financial statements as of and for the year ended December 31, 2025 within this Annual Report on Form 10-K), we issued to Computershare Trust Company of Canada, a trust company existing under the laws of Canada (the “Share Trustee”), one share of our preferred stock, par value $0.00001 per share, which has certain variable voting rights in proportion to the number of Exchangeable Shares outstanding, enabling the Share Trustee to exercise voting rights for the benefit of the holders of Exchangeable Shares. In connection with the consummation of the Plan of Arrangement, 1,424,533 Exchangeable Shares were issued to former Zymeworks BC shareholders. We will issue shares of our common stock as consideration when a holder of Exchangeable Shares calls for Exchangeable Shares to be retracted by ExchangeCo, when ExchangeCo redeems Exchangeable Shares from the holder, or when Zymeworks CallCo ULC (“CallCo”) purchases Exchangeable Shares from the holder of Exchangeable Shares under CallCo’s overriding call rights. Unless redeemed earlier in accordance with their terms, any Exchangeable Shares that remain outstanding on the seventh anniversary of the effectiveness of our Redomicile Transactions will be redeemed on such seventh anniversary, subject to any extension approved by the directors of ExchangeCo. For additional information and the meaning of defined terms referenced in this paragraph, please see Note 1 - </w:t>
      </w:r>
      <w:r>
        <w:rPr>
          <w:rFonts w:ascii="Times New Roman" w:cs="Times New Roman" w:eastAsia="Times New Roman" w:hAnsi="Times New Roman"/>
          <w:sz w:val="18"/>
          <w:szCs w:val="18"/>
          <w:i w:val="1"/>
          <w:iCs w:val="1"/>
          <w:color w:val="auto"/>
        </w:rPr>
        <w:t>Nature of Operations</w:t>
      </w:r>
      <w:r>
        <w:rPr>
          <w:rFonts w:ascii="Times New Roman" w:cs="Times New Roman" w:eastAsia="Times New Roman" w:hAnsi="Times New Roman"/>
          <w:sz w:val="18"/>
          <w:szCs w:val="18"/>
          <w:color w:val="auto"/>
        </w:rPr>
        <w:t xml:space="preserve"> and Note 10b - </w:t>
      </w:r>
      <w:r>
        <w:rPr>
          <w:rFonts w:ascii="Times New Roman" w:cs="Times New Roman" w:eastAsia="Times New Roman" w:hAnsi="Times New Roman"/>
          <w:sz w:val="18"/>
          <w:szCs w:val="18"/>
          <w:i w:val="1"/>
          <w:iCs w:val="1"/>
          <w:color w:val="auto"/>
        </w:rPr>
        <w:t>Authorized Share Capital and Preferred Stock</w:t>
      </w:r>
      <w:r>
        <w:rPr>
          <w:rFonts w:ascii="Times New Roman" w:cs="Times New Roman" w:eastAsia="Times New Roman" w:hAnsi="Times New Roman"/>
          <w:sz w:val="18"/>
          <w:szCs w:val="18"/>
          <w:color w:val="auto"/>
        </w:rPr>
        <w:t xml:space="preserve"> of our consolidated financial statements as of and for the year ended December 31, 2025, within this Annual Report on Form 10-K.</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February 26, 2026, 873,649 Exchangeable Shares have been exchanged on a one-to-one basis for 873,649 shares of our common stock and 550,884 Exchangeable Shares are held by former Zymeworks BC shareholders and are exchangeable on a one-to-one basis, subject to adjustment, for up to 550,884 shares of our common stock.</w:t>
      </w:r>
    </w:p>
    <w:p>
      <w:pPr>
        <w:spacing w:after="0" w:line="2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and pursuant to Item 305 of Regulation S-K, we are not required to provide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Zymeworks Inc.</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9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85)</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980" w:type="dxa"/>
            <w:vAlign w:val="bottom"/>
            <w:gridSpan w:val="7"/>
            <w:vMerge w:val="continue"/>
          </w:tcPr>
          <w:p>
            <w:pPr>
              <w:spacing w:after="0"/>
              <w:rPr>
                <w:sz w:val="14"/>
                <w:szCs w:val="14"/>
                <w:color w:val="auto"/>
              </w:rPr>
            </w:pPr>
          </w:p>
        </w:tc>
        <w:tc>
          <w:tcPr>
            <w:tcW w:w="12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at December 31, 2025 and 2024</w:t>
            </w:r>
          </w:p>
        </w:tc>
        <w:tc>
          <w:tcPr>
            <w:tcW w:w="4340" w:type="dxa"/>
            <w:vAlign w:val="bottom"/>
            <w:gridSpan w:val="4"/>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Loss and Comprehensive Loss for the years ended December 31, 2025, 2024 and 2023</w:t>
            </w:r>
          </w:p>
        </w:tc>
        <w:tc>
          <w:tcPr>
            <w:tcW w:w="700" w:type="dxa"/>
            <w:vAlign w:val="bottom"/>
            <w:gridSpan w:val="2"/>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2025, 2024 and 2023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1520" w:type="dxa"/>
            <w:vAlign w:val="bottom"/>
            <w:tcBorders>
              <w:top w:val="single" w:sz="8" w:color="0000FF"/>
            </w:tcBorders>
            <w:gridSpan w:val="2"/>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5560" w:type="dxa"/>
            <w:vAlign w:val="bottom"/>
            <w:gridSpan w:val="6"/>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225" w:right="1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REPORT OF INDEPENDENT REGISTERED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Zymeworks Inc.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60"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Zymeworks Inc. (the Company) as of December 31, 2025 and 2024, the related consolidated statements of loss and comprehensive loss, changes in stockholders’ equity, and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2025, in conformity with U.S. generally accepted accounting principles.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from drug supply for ongoing studies from Jazz Pharmaceuticals Ireland Limited (Jazz)</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discussed in Note 11 to the consolidated financial statements, the Company recognized revenue from Jazz related to drug supply for ongoing studies of $6,548 thousand for the year ended December 31, 2025. As discussed in Note 2, amounts receivable by the Company for the provision of drugs to clinical trials on behalf of the customer are recognized in revenue at a point in time when title to drugs has transferred to the customer, which generally occurs upon shipment or delivery, depending on contractual terms.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identified the sufficiency of audit evidence relating to revenue recognition from drug supply for ongoing studies with Jazz as a critical audit matter. Subjective auditor judgment was required to evaluate the sufficiency of audit evidence obtained related to the Company’s revenue from drug supply for ongoing studies because of the involvement of clinical research support organizations in tracking and fulfilment of the drugs provided across multiple locations.</w:t>
      </w:r>
    </w:p>
    <w:p>
      <w:pPr>
        <w:spacing w:after="0" w:line="110"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implementation of internal controls over the Company’s revenue recognition process. We obtained a confirmation from the customer of the total invoices billed by the Company related to goods and services, including drug supply for ongoing studies, for the year ended December 31, 2025 and agreed the amount confirmed for drug supply for ongoing studies to the Company’s records of the quantity and amount of drugs invoiced to the customer. We assessed the recorded revenue by selecting a sample of revenue transactions and comparing the amounts recognized for consistency with relevant underlying proof of delivery. We evaluated the sufficiency of audit evidence obtained over revenue by assessing the results of the procedures performed, including the appropriateness of the nature and extent of such evidence.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(Expressed in thousands of U.S. dollars except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66,103</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marketable securities (note 5)</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187,640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159,673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55,815</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18,860</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248,767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300,451</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marketable securities (note 5)</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41,787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98,428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prepaids and other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 (note 13)</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 (note 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17,650</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(note 14)</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 (note 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 (note 6)</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12,016</w:t>
            </w:r>
          </w:p>
        </w:tc>
        <w:tc>
          <w:tcPr>
            <w:tcW w:w="0" w:type="dxa"/>
            <w:vAlign w:val="bottom"/>
          </w:tcPr>
          <w:p>
            <w:pPr>
              <w:spacing w:after="0"/>
              <w:rPr>
                <w:sz w:val="1"/>
                <w:szCs w:val="1"/>
                <w:color w:val="auto"/>
              </w:rPr>
            </w:pPr>
          </w:p>
        </w:tc>
      </w:tr>
      <w:tr>
        <w:trPr>
          <w:trHeight w:val="234"/>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346,527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463,091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liabilities (note 9)</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59,838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payable (note 13)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operating lease liability (note 14)</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 and other consideration (note 11)</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25,588</w:t>
            </w:r>
          </w:p>
        </w:tc>
        <w:tc>
          <w:tcPr>
            <w:tcW w:w="0" w:type="dxa"/>
            <w:vAlign w:val="bottom"/>
          </w:tcPr>
          <w:p>
            <w:pPr>
              <w:spacing w:after="0"/>
              <w:rPr>
                <w:sz w:val="1"/>
                <w:szCs w:val="1"/>
                <w:color w:val="auto"/>
              </w:rPr>
            </w:pPr>
          </w:p>
        </w:tc>
      </w:tr>
      <w:tr>
        <w:trPr>
          <w:trHeight w:val="207"/>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88,294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portion of operating lease liability (note 14)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15,738</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(note 11)</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14,607</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(note 9)</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liability (note 13)</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78,026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124,323</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shares, $0.00001 par value; 900,000,000 authorized shares of common stock at December 31, 2025 and</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1,105,176</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1,015,618</w:t>
            </w:r>
          </w:p>
        </w:tc>
        <w:tc>
          <w:tcPr>
            <w:tcW w:w="0" w:type="dxa"/>
            <w:vAlign w:val="bottom"/>
          </w:tcPr>
          <w:p>
            <w:pPr>
              <w:spacing w:after="0"/>
              <w:rPr>
                <w:sz w:val="1"/>
                <w:szCs w:val="1"/>
                <w:color w:val="auto"/>
              </w:rPr>
            </w:pPr>
          </w:p>
        </w:tc>
      </w:tr>
      <w:tr>
        <w:trPr>
          <w:trHeight w:val="162"/>
        </w:trPr>
        <w:tc>
          <w:tcPr>
            <w:tcW w:w="844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6"/>
                <w:szCs w:val="16"/>
                <w:color w:val="auto"/>
              </w:rPr>
              <w:t>December 31, 2024 (74,638,413 and 68,964,319 shares issued and outstanding at December 31, 2025 and 2024,</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respectively (note 10b).</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4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Preferred shares, $0.00001 par value; 100,000,000 authorized shares of preferred stock, out of which, one share of preferred</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tcPr>
          <w:p>
            <w:pPr>
              <w:ind w:left="460"/>
              <w:spacing w:after="0" w:line="162" w:lineRule="exact"/>
              <w:rPr>
                <w:sz w:val="20"/>
                <w:szCs w:val="20"/>
                <w:color w:val="auto"/>
              </w:rPr>
            </w:pPr>
            <w:r>
              <w:rPr>
                <w:rFonts w:ascii="Times New Roman" w:cs="Times New Roman" w:eastAsia="Times New Roman" w:hAnsi="Times New Roman"/>
                <w:sz w:val="16"/>
                <w:szCs w:val="16"/>
                <w:color w:val="auto"/>
              </w:rPr>
              <w:t>stock is a share of Special Voting Preferred Stock and outstanding as of December 31, 2025 and December 31, 2024 (note</w:t>
            </w:r>
          </w:p>
        </w:tc>
        <w:tc>
          <w:tcPr>
            <w:tcW w:w="30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10b).</w:t>
            </w:r>
          </w:p>
        </w:tc>
        <w:tc>
          <w:tcPr>
            <w:tcW w:w="3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4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Exchangeable shares, no par value, 553,184 issued and outstanding shares at December 31, 2025 (December 31, 2024:</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7,938</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570,637) (note 10b).</w:t>
            </w: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152,249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(6,952)</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(953,160)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(830,335)</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268,501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338,768</w:t>
            </w:r>
          </w:p>
        </w:tc>
        <w:tc>
          <w:tcPr>
            <w:tcW w:w="0" w:type="dxa"/>
            <w:vAlign w:val="bottom"/>
          </w:tcPr>
          <w:p>
            <w:pPr>
              <w:spacing w:after="0"/>
              <w:rPr>
                <w:sz w:val="1"/>
                <w:szCs w:val="1"/>
                <w:color w:val="auto"/>
              </w:rPr>
            </w:pPr>
          </w:p>
        </w:tc>
      </w:tr>
      <w:tr>
        <w:trPr>
          <w:trHeight w:val="207"/>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346,527</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463,091</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transactions (note 10a and 10d)</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6"/>
          <w:szCs w:val="16"/>
          <w:color w:val="auto"/>
        </w:rPr>
        <w:t>Research collaboration and licensing agreements (note 11)</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0341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0341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Subsequent event (note 17)</w:t>
      </w:r>
    </w:p>
    <w:p>
      <w:pPr>
        <w:spacing w:after="0" w:line="2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25" w:right="5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(Expressed 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collaborations (note 11)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76,012</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143,619</w:t>
            </w:r>
          </w:p>
        </w:tc>
      </w:tr>
      <w:tr>
        <w:trPr>
          <w:trHeight w:val="229"/>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w:t>
            </w: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on IPR&amp;D (note 6)</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214,065</w:t>
            </w: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(138,053)</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19,705</w:t>
            </w:r>
          </w:p>
        </w:tc>
      </w:tr>
      <w:tr>
        <w:trPr>
          <w:trHeight w:val="230"/>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 (note 12)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18,811</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(119,242)</w:t>
            </w: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recovery (note 13)</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(118,674)</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income (loss) on available for sale securities, net of tax of nil (note 5)</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(note 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70"/>
        </w:trPr>
        <w:tc>
          <w:tcPr>
            <w:tcW w:w="6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stock outstanding (note 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75,404,897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75,846,681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68,863,010</w:t>
            </w:r>
          </w:p>
        </w:tc>
      </w:tr>
      <w:tr>
        <w:trPr>
          <w:trHeight w:val="230"/>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75,413,396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75,878,738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68,863,010</w:t>
            </w:r>
          </w:p>
        </w:tc>
      </w:tr>
    </w:tbl>
    <w:p>
      <w:pPr>
        <w:spacing w:after="0" w:line="200" w:lineRule="exact"/>
        <w:rPr>
          <w:sz w:val="20"/>
          <w:szCs w:val="20"/>
          <w:color w:val="auto"/>
        </w:rPr>
      </w:pPr>
    </w:p>
    <w:p>
      <w:pPr>
        <w:spacing w:after="0" w:line="33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225" w:right="7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 (Note 1) (Expressed in thousands of U.S. dollars except share data)</w:t>
      </w:r>
    </w:p>
    <w:p>
      <w:pPr>
        <w:sectPr>
          <w:pgSz w:w="11900" w:h="16838" w:orient="portrait"/>
          <w:cols w:equalWidth="0" w:num="1">
            <w:col w:w="10840"/>
          </w:cols>
          <w:pgMar w:left="320" w:top="225"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p>
      <w:pPr>
        <w:spacing w:after="0" w:line="40" w:lineRule="exact"/>
        <w:rPr>
          <w:sz w:val="20"/>
          <w:szCs w:val="20"/>
          <w:color w:val="auto"/>
        </w:rPr>
      </w:pPr>
    </w:p>
    <w:p>
      <w:pPr>
        <w:ind w:left="180" w:hanging="161"/>
        <w:spacing w:after="0" w:line="262" w:lineRule="auto"/>
        <w:rPr>
          <w:sz w:val="20"/>
          <w:szCs w:val="20"/>
          <w:color w:val="auto"/>
        </w:rPr>
      </w:pPr>
      <w:r>
        <w:rPr>
          <w:rFonts w:ascii="Times New Roman" w:cs="Times New Roman" w:eastAsia="Times New Roman" w:hAnsi="Times New Roman"/>
          <w:sz w:val="13"/>
          <w:szCs w:val="13"/>
          <w:color w:val="auto"/>
        </w:rPr>
        <w:t>Issuance of common stock on exercise of stock options (note 10e)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Exchangeable shares</w:t>
            </w:r>
          </w:p>
        </w:tc>
        <w:tc>
          <w:tcPr>
            <w:tcW w:w="1460" w:type="dxa"/>
            <w:vAlign w:val="bottom"/>
            <w:gridSpan w:val="3"/>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920" w:type="dxa"/>
            <w:vAlign w:val="bottom"/>
            <w:gridSpan w:val="3"/>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820" w:type="dxa"/>
            <w:vAlign w:val="bottom"/>
            <w:gridSpan w:val="2"/>
            <w:vMerge w:val="restart"/>
          </w:tcPr>
          <w:p>
            <w:pPr>
              <w:jc w:val="center"/>
              <w:ind w:right="10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760" w:type="dxa"/>
            <w:vAlign w:val="bottom"/>
            <w:vMerge w:val="restart"/>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6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8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62"/>
        </w:trPr>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1,424,533</w:t>
            </w:r>
          </w:p>
        </w:tc>
        <w:tc>
          <w:tcPr>
            <w:tcW w:w="8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20,442</w:t>
            </w:r>
          </w:p>
        </w:tc>
        <w:tc>
          <w:tcPr>
            <w:tcW w:w="8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63,059,501</w:t>
            </w:r>
          </w:p>
        </w:tc>
        <w:tc>
          <w:tcPr>
            <w:tcW w:w="8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886,322</w:t>
            </w:r>
          </w:p>
        </w:tc>
        <w:tc>
          <w:tcPr>
            <w:tcW w:w="80" w:type="dxa"/>
            <w:vAlign w:val="bottom"/>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   (558,763)</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(6,659)</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151,614</w:t>
            </w:r>
          </w:p>
        </w:tc>
        <w:tc>
          <w:tcPr>
            <w:tcW w:w="8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492,956</w:t>
            </w:r>
          </w:p>
        </w:tc>
        <w:tc>
          <w:tcPr>
            <w:tcW w:w="0" w:type="dxa"/>
            <w:vAlign w:val="bottom"/>
          </w:tcPr>
          <w:p>
            <w:pPr>
              <w:spacing w:after="0"/>
              <w:rPr>
                <w:sz w:val="1"/>
                <w:szCs w:val="1"/>
                <w:color w:val="auto"/>
              </w:rPr>
            </w:pPr>
          </w:p>
        </w:tc>
      </w:tr>
      <w:tr>
        <w:trPr>
          <w:trHeight w:val="346"/>
        </w:trPr>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641,129</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6,958</w:t>
            </w:r>
          </w:p>
        </w:tc>
        <w:tc>
          <w:tcPr>
            <w:tcW w:w="80" w:type="dxa"/>
            <w:vAlign w:val="bottom"/>
          </w:tcPr>
          <w:p>
            <w:pPr>
              <w:spacing w:after="0"/>
              <w:rPr>
                <w:sz w:val="24"/>
                <w:szCs w:val="2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(1,736)</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-332105</wp:posOffset>
            </wp:positionV>
            <wp:extent cx="6875145"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75145" cy="1200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00" w:space="280"/>
            <w:col w:w="7460"/>
          </w:cols>
          <w:pgMar w:left="320" w:top="225" w:right="73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through employee stock purchase</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9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 (note 10f)</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111,911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w:t>
            </w:r>
          </w:p>
        </w:tc>
      </w:tr>
      <w:tr>
        <w:trPr>
          <w:trHeight w:val="122"/>
        </w:trPr>
        <w:tc>
          <w:tcPr>
            <w:tcW w:w="3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81"/>
        </w:trPr>
        <w:tc>
          <w:tcPr>
            <w:tcW w:w="3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("RSUs") (note 10e)</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0"/>
        </w:trPr>
        <w:tc>
          <w:tcPr>
            <w:tcW w:w="33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9"/>
              </w:rPr>
              <w:t>Issuance of common stock upon exercise of pre-funded warrants</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8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(note 10d)</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2,079,193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63,775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(63,775)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retracted exchangeable shares</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(773,314)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(11,097)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773,314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7"/>
        </w:trPr>
        <w:tc>
          <w:tcPr>
            <w:tcW w:w="33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common stock in connection with At-The-Market</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8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("ATM") sale (note 10a)</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3,350,000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26,233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26,233</w:t>
            </w: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Private placement (note 10a and 10d)</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49,862</w:t>
            </w:r>
          </w:p>
        </w:tc>
      </w:tr>
      <w:tr>
        <w:trPr>
          <w:trHeight w:val="18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8,196</w:t>
            </w: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(118,674)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(118,674)</w:t>
            </w:r>
          </w:p>
        </w:tc>
      </w:tr>
      <w:tr>
        <w:trPr>
          <w:trHeight w:val="18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63"/>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651,219</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9,345</w:t>
            </w:r>
          </w:p>
        </w:tc>
        <w:tc>
          <w:tcPr>
            <w:tcW w:w="8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70,115,997</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997,227</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(677,437)</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(6,603)</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142,274</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464,806</w:t>
            </w:r>
          </w:p>
        </w:tc>
      </w:tr>
      <w:tr>
        <w:trPr>
          <w:trHeight w:val="18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on exercise stock options (note 10e)</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959,906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9,182</w:t>
            </w:r>
          </w:p>
        </w:tc>
      </w:tr>
      <w:tr>
        <w:trPr>
          <w:trHeight w:val="122"/>
        </w:trPr>
        <w:tc>
          <w:tcPr>
            <w:tcW w:w="3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common stock through employee stock purchase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81"/>
        </w:trPr>
        <w:tc>
          <w:tcPr>
            <w:tcW w:w="3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 (note 10f)</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w:t>
            </w:r>
          </w:p>
        </w:tc>
      </w:tr>
      <w:tr>
        <w:trPr>
          <w:trHeight w:val="18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RSUs (note 10e)</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retracted exchangeable shares</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16,716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16,716</w:t>
            </w: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and retirement of common stock (10c)</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(2,545,402)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(30,051)</w:t>
            </w:r>
          </w:p>
        </w:tc>
      </w:tr>
      <w:tr>
        <w:trPr>
          <w:trHeight w:val="18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Excise tax on repurchase of common stock</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(122,695)</w:t>
            </w:r>
          </w:p>
        </w:tc>
      </w:tr>
      <w:tr>
        <w:trPr>
          <w:trHeight w:val="18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r>
      <w:tr>
        <w:trPr>
          <w:trHeight w:val="163"/>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570,637</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8,188</w:t>
            </w:r>
          </w:p>
        </w:tc>
        <w:tc>
          <w:tcPr>
            <w:tcW w:w="8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68,964,319</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1,015,618</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(830,335)</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(6,952)</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152,249</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338,768</w:t>
            </w:r>
          </w:p>
        </w:tc>
      </w:tr>
      <w:tr>
        <w:trPr>
          <w:trHeight w:val="127"/>
        </w:trPr>
        <w:tc>
          <w:tcPr>
            <w:tcW w:w="33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common stock on exercise of stock options (note</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89"/>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10e)</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1,742,689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27,308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17,747</w:t>
            </w:r>
          </w:p>
        </w:tc>
      </w:tr>
      <w:tr>
        <w:trPr>
          <w:trHeight w:val="121"/>
        </w:trPr>
        <w:tc>
          <w:tcPr>
            <w:tcW w:w="3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common stock through employee share purchase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81"/>
        </w:trPr>
        <w:tc>
          <w:tcPr>
            <w:tcW w:w="3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 (note 10f)</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139,976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1,881</w:t>
            </w:r>
          </w:p>
        </w:tc>
      </w:tr>
      <w:tr>
        <w:trPr>
          <w:trHeight w:val="18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RSUs (note 10e)</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560,620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2"/>
        </w:trPr>
        <w:tc>
          <w:tcPr>
            <w:tcW w:w="3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Issuance of common stock upon exercise of pre-funded warrants</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81"/>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 10d)</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5,086,480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retracted exchangeable shares</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Private placement for issuance of common stock (note 10a)</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4,988</w:t>
            </w:r>
          </w:p>
        </w:tc>
      </w:tr>
      <w:tr>
        <w:trPr>
          <w:trHeight w:val="18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27,069</w:t>
            </w: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and retirement of common stock (10c)</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(2,288,124)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(41,695)</w:t>
            </w:r>
          </w:p>
        </w:tc>
      </w:tr>
      <w:tr>
        <w:trPr>
          <w:trHeight w:val="18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(81,130)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(81,130)</w:t>
            </w: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w:t>
            </w:r>
          </w:p>
        </w:tc>
      </w:tr>
      <w:tr>
        <w:trPr>
          <w:trHeight w:val="200"/>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2025</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553,184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74,638,413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1,105,176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(953,160)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268,501</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36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225" w:right="7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(Expressed in thousands of U.S. dollars)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(81,130)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(122,695)</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(118,674)</w:t>
            </w:r>
          </w:p>
        </w:tc>
      </w:tr>
      <w:tr>
        <w:trPr>
          <w:trHeight w:val="21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Items not involving cash:</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5"/>
        </w:trPr>
        <w:tc>
          <w:tcPr>
            <w:tcW w:w="6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Depreciation of property and equipment (note 7)</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7,462</w:t>
            </w:r>
          </w:p>
        </w:tc>
      </w:tr>
      <w:tr>
        <w:trPr>
          <w:trHeight w:val="210"/>
        </w:trPr>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Amortization of intangible assets (note 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r>
      <w:tr>
        <w:trPr>
          <w:trHeight w:val="195"/>
        </w:trPr>
        <w:tc>
          <w:tcPr>
            <w:tcW w:w="6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Stock-based compensation (note 10e)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8,102</w:t>
            </w:r>
          </w:p>
        </w:tc>
      </w:tr>
      <w:tr>
        <w:trPr>
          <w:trHeight w:val="210"/>
        </w:trPr>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Amortization and impairment of operating lease right-of-use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7,141</w:t>
            </w:r>
          </w:p>
        </w:tc>
      </w:tr>
      <w:tr>
        <w:trPr>
          <w:trHeight w:val="195"/>
        </w:trPr>
        <w:tc>
          <w:tcPr>
            <w:tcW w:w="6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Impairment of acquired IPR&amp;D (note 6)</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Deferred income tax expense (recovery) (note 13)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r>
      <w:tr>
        <w:trPr>
          <w:trHeight w:val="195"/>
        </w:trPr>
        <w:tc>
          <w:tcPr>
            <w:tcW w:w="6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Change in fair value of contingent consideration liability (note 15)</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r>
      <w:tr>
        <w:trPr>
          <w:trHeight w:val="210"/>
        </w:trPr>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Change in fair value of investments in equity instruments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r>
      <w:tr>
        <w:trPr>
          <w:trHeight w:val="195"/>
        </w:trPr>
        <w:tc>
          <w:tcPr>
            <w:tcW w:w="6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Unrealized foreign exchange loss (gain)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non-cash operating working capital:</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5"/>
        </w:trPr>
        <w:tc>
          <w:tcPr>
            <w:tcW w:w="6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13,922</w:t>
            </w:r>
          </w:p>
        </w:tc>
      </w:tr>
      <w:tr>
        <w:trPr>
          <w:trHeight w:val="210"/>
        </w:trPr>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w:t>
            </w:r>
          </w:p>
        </w:tc>
      </w:tr>
      <w:tr>
        <w:trPr>
          <w:trHeight w:val="195"/>
        </w:trPr>
        <w:tc>
          <w:tcPr>
            <w:tcW w:w="6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(44,789)</w:t>
            </w:r>
          </w:p>
        </w:tc>
      </w:tr>
      <w:tr>
        <w:trPr>
          <w:trHeight w:val="210"/>
        </w:trPr>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r>
      <w:tr>
        <w:trPr>
          <w:trHeight w:val="195"/>
        </w:trPr>
        <w:tc>
          <w:tcPr>
            <w:tcW w:w="6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revenue and other consideration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3,699</w:t>
            </w:r>
          </w:p>
        </w:tc>
      </w:tr>
      <w:tr>
        <w:trPr>
          <w:trHeight w:val="210"/>
        </w:trPr>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Income taxes payable</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r>
      <w:tr>
        <w:trPr>
          <w:trHeight w:val="18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(33,005)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(110,058)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(118,324)</w:t>
            </w:r>
          </w:p>
        </w:tc>
      </w:tr>
      <w:tr>
        <w:trPr>
          <w:trHeight w:val="18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39"/>
        </w:trPr>
        <w:tc>
          <w:tcPr>
            <w:tcW w:w="67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Proceeds from issuance of common stock under at-the-market program and from public offerings, net of issuance</w:t>
            </w:r>
          </w:p>
        </w:tc>
        <w:tc>
          <w:tcPr>
            <w:tcW w:w="260" w:type="dxa"/>
            <w:vAlign w:val="bottom"/>
          </w:tcPr>
          <w:p>
            <w:pPr>
              <w:spacing w:after="0"/>
              <w:rPr>
                <w:sz w:val="12"/>
                <w:szCs w:val="12"/>
                <w:color w:val="auto"/>
              </w:rPr>
            </w:pPr>
          </w:p>
        </w:tc>
        <w:tc>
          <w:tcPr>
            <w:tcW w:w="96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4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26,233</w:t>
            </w:r>
          </w:p>
        </w:tc>
      </w:tr>
      <w:tr>
        <w:trPr>
          <w:trHeight w:val="193"/>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(notes 10a)</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8"/>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Private placement (note 10a)</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49,862</w:t>
            </w:r>
          </w:p>
        </w:tc>
      </w:tr>
      <w:tr>
        <w:trPr>
          <w:trHeight w:val="195"/>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on exercise of stock options (note 10e)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5,006</w:t>
            </w:r>
          </w:p>
        </w:tc>
      </w:tr>
      <w:tr>
        <w:trPr>
          <w:trHeight w:val="21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through employee stock purchase plan (note 10f)</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r>
      <w:tr>
        <w:trPr>
          <w:trHeight w:val="195"/>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common stock for retirement (note 10c)</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financing fees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9"/>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 provided by financing activities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(18,559)</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(20,438)</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81,868</w:t>
            </w: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5"/>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(283,743)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(553,249)</w:t>
            </w:r>
          </w:p>
        </w:tc>
      </w:tr>
      <w:tr>
        <w:trPr>
          <w:trHeight w:val="21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marketable securities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350,073</w:t>
            </w:r>
          </w:p>
        </w:tc>
      </w:tr>
      <w:tr>
        <w:trPr>
          <w:trHeight w:val="195"/>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w:t>
            </w:r>
          </w:p>
        </w:tc>
      </w:tr>
      <w:tr>
        <w:trPr>
          <w:trHeight w:val="21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intangible assets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r>
      <w:tr>
        <w:trPr>
          <w:trHeight w:val="19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 (used in) investing activities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26,663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38,756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(207,253)</w:t>
            </w:r>
          </w:p>
        </w:tc>
      </w:tr>
      <w:tr>
        <w:trPr>
          <w:trHeight w:val="20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r>
      <w:tr>
        <w:trPr>
          <w:trHeight w:val="189"/>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(91,454)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(243,355)</w:t>
            </w: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157,557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400,912</w:t>
            </w:r>
          </w:p>
        </w:tc>
      </w:tr>
      <w:tr>
        <w:trPr>
          <w:trHeight w:val="19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year</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66,103</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157,557</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8"/>
        </w:trPr>
        <w:tc>
          <w:tcPr>
            <w:tcW w:w="6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19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Supplemental cash flow information:</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cash paid during the year for income taxes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96"/>
        </w:trPr>
        <w:tc>
          <w:tcPr>
            <w:tcW w:w="676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Supplemental disclosure of non-cash investing and finance items: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Leased assets obtained in exchange for operating lease liabilities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r>
      <w:tr>
        <w:trPr>
          <w:trHeight w:val="195"/>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upon exercise of pre-funded warrants (note 10d)</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common stock not settled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of property and equipment and intangible assets in accounts payable and accrued liabilities</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bl>
    <w:p>
      <w:pPr>
        <w:spacing w:after="0" w:line="19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225" w:right="10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(Expressed in thousands of U.S. dollars except share and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7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Zymeworks Inc. together with its subsidiaries (collectively the “Company” or “Zymeworks”) is a global biotechnology company managing a portfolio of licensed healthcare assets and developing a diverse pipeline of novel, multifunctional biotherapeutics to improve the standard of care for difficult-to-treat diseases, including cancer, inflammation, and autoimmune disease. Zymeworks BC Inc. (“Zymeworks BC”), (previously known as “Zymeworks Inc.”) was incorporated on September 8, 2003 under the laws of the Canada Business Corporations Act. On October 22, 2003, the Company was registered as an extra-provincial company under the Company Act (British Columbia). On May 2, 2017, the Company continued under the Business Corporations Act (British Columbia).</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research and development activities, including developing its therapeutic platforms and identifying and developing potential product candidates by undertaking preclinical studies and clinical trials. The Company supports these activities through general and administrative support, as well as by raising capital, conducting business planning and protecting its intellectual property.</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October 13, 2022, the Company completed an internal reorganization transaction resulting in a Delaware incorporated entity becoming the listed company (the “Redomicile Transactions”). Prior to the Redomicile Transactions, the shares of Zymeworks BC Inc. (formerly known as Zymeworks Inc.) were publicly listed.</w:t>
      </w:r>
    </w:p>
    <w:p>
      <w:pPr>
        <w:spacing w:after="0" w:line="16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To effect the Redomicile Transactions, the Company conducted a share exchange, pursuant to which holders of the Company’s common shares exchanged their common shares in the Company for shares of common stock of Zymeworks Inc. (formerly known as Zymeworks Delaware Inc.) or, at their election with respect to all or a portion of their common shares in the Company and subject to applicable eligibility criteria and an overall cap, exchangeable shares (the “Exchangeable Shares”) in the capital of a newly formed indirect subsidiary of Zymeworks Inc. A special meeting of Company security holders was held on October 7, 2022 to approve the Redomicile Transactions. The Redomicile Transactions were governed by a transaction agreement dated July 14, 2022, as restated and amended on August 18, 2022 (the “Restated and Amended Transaction Agreement”), by and among the Company and its direct or indirect subsidiaries Zymeworks Inc., Zymeworks CallCo ULC (“CallCo”) and Zymeworks ExchangeCo Ltd., (“ExchangeCo”) including a plan of arrangement included as Exhibit A to the Restated and Amended Transaction Agreement (the “Plan of Arrangement”).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generally accepted accounting principles in the United States of America (“U.S. GAAP”). The consolidated financial statements include the accounts of Zymeworks Inc. and its wholly owned subsidiaries, Zymeworks BC Inc., Zymeworks Biopharmaceuticals Inc., Zymeworks Pharmaceuticals Limited (Ireland), Zymeworks Lifesciences Pte. Ltd. (Singapore), Zymeworks CallCo ULC, Zymeworks ExchangeCo Ltd., Zymeworks Management Inc. (including this entity's branch in the United Kingdom) and Zymeworks Zanidatamab Inc. (refer to note 11). All inter-company accounts and transactions have been eliminated on consolidation.</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All amounts expressed in the consolidated financial statements of the Company and the accompanying notes thereto are expressed in thousands of U.S. dollars, except for share and per share data and where otherwise indicated. References to “$” are to U.S. dollars and references to “C$” are to Canadian dollars. Certain prior year amounts have been reclassified for consistency with the current period presentation. These reclassifications had no effect on the reported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 is the U.S. dollar. Transactions denominated in foreign currencies are remeasured at the approximate exchange rate prevailing on the date of the transaction. At period end, monetary assets and liabilities denominated in foreign currencies are remeasured into U.S. dollars using exchange rates in effect at the balance sheet date. Resulting foreign exchange gains and losses are reflected in the Consolidated Statements of (Loss) Income and Comprehensive (Loss) Income.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the Company to make estimates and judgments in certain circumstances that affect the reported amounts of assets, liabilities, revenue and expenses, and related disclosure of contingent assets and liabilities. On an ongoing basis, the Company evaluates its estimates, most notably those related to revenue recognition including estimated timing of completion of performance obligations required to meet revenue recognition criteria, accrual of expenses including clinical and preclinical study expense accruals, stock-based compensation, valuation allowance for deferred taxes, measurement of contingent consideration liabilities, and other contingencies. Management bases its estimates on historical experience and on various other assumptions that it believes to be reasonable under the circumstances. Actual results could differ from these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applies to all contracts with customers, except for contracts that are within the scope of other standards, such as leases, insurance, collaboration arrangements and financial instruments. In accordance with ASC 606, the Company recognizes revenue when the Company’s customer obtains control of promised goods or services, in an amount that reflects the consideration which the Company expects to receive in exchange for those goods or services.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applied ASC 606 to all revenue arrangements to date. For collaborative arrangements that fall within the scope of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Arrangements </w:t>
      </w:r>
      <w:r>
        <w:rPr>
          <w:rFonts w:ascii="Times New Roman" w:cs="Times New Roman" w:eastAsia="Times New Roman" w:hAnsi="Times New Roman"/>
          <w:sz w:val="18"/>
          <w:szCs w:val="18"/>
          <w:color w:val="auto"/>
        </w:rPr>
        <w:t>(“ASC 808”), the Company applies the revenue recognition model under ASC 606 to part or all of the arrangements, when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For collaboration arrangements within the scope of ASC 808 that contain multiple elements, the Company determines which elements of the arrangement are within the scope of ASC 808 and which elements are within the scope of ASC 606, which may require application of judgment.</w:t>
      </w:r>
    </w:p>
    <w:p>
      <w:pPr>
        <w:spacing w:after="0" w:line="1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identify the contract(s) with a customer; (ii) identify the performance obligations including whether they are distinct; (iii) determine the transaction price, including uncertainties related to variable consideration; (iv) allocate the transaction price to the performance obligations based on the stand-alone selling prices; and (v) recognize revenue when or as the Company satisfies each performance obligation and when collectability is probable.</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only applies the five-step model to contracts when it is probable that the Company will collect the consideration that it is entitled to in exchange for the goods and services transferred to the customer. At contract inception, the Company assesses the goods or services promised within each contract that falls under the scope of Topic 606, to identify distinct performance obligations. The Company then recognizes as revenue the amount of the transaction price that is allocated to the respective performance obligation when or as the performance obligation is satisfied.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entered into a number of collaboration and licensing agreements. Promised deliverables within these agreements may include: (i) grants of licenses, or options to obtain licenses, to the Company’s intellectual property, (ii) research and development services, (iii) drug product manufacturing, and (iv) participation on joint research and/or development committees. The terms of these agreements typically include one or more of the following types of payments to the Company:</w:t>
      </w:r>
    </w:p>
    <w:p>
      <w:pPr>
        <w:spacing w:after="0" w:line="7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non-refundable, upfront license and platform technology access fees;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and regulatory milestone payments;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support, development and other payments;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and commercial milestone payments.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the expectation at contract inception is such that the period between payment by the licensee and the completion of related performance obligations will be one year or less, the Company assumes that the contract does not have a significant financing component.</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When applying the revenue recognition criteria of ASC 606 to license and collaboration agreements, the Company may be required to apply significant judgment when evaluating whether contractual obligations represent distinct performance obligations including understanding the nature and significance of the contractual obligations and their standalone selling prices, determining when performance obligations have been met, assessing the recognition and future reversal of variable consideration, and determining and applying appropriate methods of measuring progress for performance obligations satisfied over time. The accounting for the modification to existing contracts with customers arising from licensing and collaboration arrangements requires management to apply significant judgment when evaluating whether the modification to financial terms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is related to distinct performance obligations remaining in the amended collaboration agreement. These judgments are discussed in more detail in the following paragraphs for each type of payment received by the Company under the terms of the license and collaborations agreements.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Non-refundable, upfront license and platform technology access fees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 license to the Company’s intellectual property is determined to be distinct from the other performance obligations identified in the arrangement, the Company recognizes revenue from non-refundable, upfront fees allocated to the license when the license is transferred to the licensee and the licensee is able to use and benefit from the license. For licenses that are not distinct from other promises, the Company uses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related revenue recognition accordingly.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regulatory milestone payments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inception of each arrangement that includes research, development or regulatory milestone payments, the Company evaluates whether the milestones are considered probable of being reached and estimates the amount to be included in the transaction price using the most likely amount method. When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collaboration and other revenues and earnings in the period of adjustment. The probability of successfully achieving the criteria for the milestone payments is highly uncertain. Consequently, there is a significant risk that the Company may not earn all of the milestone payments from each of its strategic partners.</w:t>
      </w:r>
    </w:p>
    <w:p>
      <w:pPr>
        <w:spacing w:after="0" w:line="1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Research and development milestones in the Company’s collaboration agreements may include some, but not necessarily all, of the following types of events:</w:t>
      </w:r>
    </w:p>
    <w:p>
      <w:pPr>
        <w:spacing w:after="0" w:line="54" w:lineRule="exact"/>
        <w:rPr>
          <w:sz w:val="20"/>
          <w:szCs w:val="20"/>
          <w:color w:val="auto"/>
        </w:rPr>
      </w:pPr>
    </w:p>
    <w:p>
      <w:pPr>
        <w:ind w:left="820" w:hanging="245"/>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research and development work leading to selection of product candidates;</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Phase 1, Phase 2 and Phase 3 clinical trials; and</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certain other technical, scientific or development criteria.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milestone payments may include the following types of events:</w:t>
      </w:r>
    </w:p>
    <w:p>
      <w:pPr>
        <w:spacing w:after="0" w:line="117" w:lineRule="exact"/>
        <w:rPr>
          <w:sz w:val="20"/>
          <w:szCs w:val="20"/>
          <w:color w:val="auto"/>
        </w:rPr>
      </w:pPr>
    </w:p>
    <w:p>
      <w:pPr>
        <w:ind w:left="900" w:right="380" w:hanging="325"/>
        <w:spacing w:after="0" w:line="282" w:lineRule="auto"/>
        <w:tabs>
          <w:tab w:leader="none" w:pos="8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regulatory applications for marketing approval in the United States, Europe or Japan, including Investigational New Drug (“IND”) applications and Biologics License Application (“BLA”); and</w:t>
      </w:r>
    </w:p>
    <w:p>
      <w:pPr>
        <w:spacing w:after="0" w:line="5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approval in major markets, such as the United States, Europe, Japan or China.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support, development and other payments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Payments by the licensees in exchange for research and development activities performed by the Company on behalf of the licensee are recognized as revenue upon performance of such activities at rates consistent with prevailing market rates. Payments for research and development supplies provided are recognized as revenue upon delivery of the supplies.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of clinical trial drugs and comparator drugs</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Amounts receivable by the Company for the provision of drugs to licensee or to clinical trials on behalf of licensee are recognized in revenue at a point in time when title to drugs has transferred to the licensee, which generally occurs upon shipment or delivery, depending on contractual terms.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 and commercial milestone payments</w:t>
      </w:r>
    </w:p>
    <w:p>
      <w:pPr>
        <w:spacing w:after="0" w:line="11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commercial milestone payments based on pre-specified level of sales, the Company recognizes revenue at the later of (i) when the related sales occur, or (ii) when the performance obligation to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which some or all of the royalty has been allocated has been satisfied (or partially satisfied). Achievement of these royalties and commercial milestones may solely depend upon performance of the licensee. The Company started recognizing royalty income during the year ended December 31, 2024. The Company's commercial partner is obligated to report its net product sales and resulting royalty due to the Company within 60 days from the end of each quarter. The Company accrues royalty revenue based on historic product sales, royalty receipts and other relevant information as available and recognizes any adjustment when it receives royalty reports from its commercial partner in the subsequent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Contract assets are mainly comprised of accrued revenue for which one of more performance obligations has been completed but not yet billed, which includes amounts billed and currently due from customers.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Contract liabilities are mainly comprised of deferred revenues. Amounts received prior to satisfying all revenue recognition criteria are recorded as deferred revenue in the Company’s consolidated financial statements. Amounts not expected to be recognized as revenue within the next twelve months of the consolidated balance sheet date are classified as long-term deferred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Modifications of contracts with customers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accounts for a modification to a contract with a customer as a separate contract if both the scope of the contract increases because of the addition of promised goods or services that are distinct, and the price of the contract increases by an amount of consideration that reflects the Company’s stand-alone selling price of the additional promised goods or services. A modification that does not meet this criteria is accounted for as an adjustment to the existing contract, either prospectively or through a cumulative catch-up adjustment. The Company accounts for a contract modification prospectively if the remaining goods or services are distinct from the goods or services transferred before the modification, but the consideration for those goods or services does not reflect their stand-alone selling prices. Any changes in the transaction price that arise as a result of a contract modification that are not allocated to remaining goods or services are recognized as a cumulative catch-up adjustment.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at the date of acquisition to be cash equivalents. Cash equivalents include guaranteed investment certificates (“GICs”) acquired from financial institutions and money market funds which are recorded at cost plus accrued interest, which approximates their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investments include high credit quality investment grade debt securities which comprise investments in U.S. Treasury notes and corporate debt securities. The Company classifies all of its investment grade debt securities as available-for-sale (note 5). Marketable securities also include GICs with original maturities of greater than 90 days. These investments are recorded at cost plus accrued interest, which approximates their fair value.</w:t>
      </w:r>
    </w:p>
    <w:p>
      <w:pPr>
        <w:spacing w:after="0" w:line="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Unrealized fair value gains and losses for investments classified as available-for-sale are recorded through other comprehensive income (loss) in stockholders' equity. When the fair value of an available-for-sale security falls below the amortized cost basis it is evaluated to determine if any of the decline in value is attributable to credit loss. Decreases in fair value attributable to credit loss are recorded directly to the consolidated statement of (loss) income with a corresponding allowance for credit losses, limited to the amount that the fair value is below the amortized cost basis. If the credit quality subsequently improves the allowance is reversed up to a maximum of the previously recorded credit losses. When the Company intends to sell an impaired available-for-sale security, or if it is more likely than not that the Company will be required to sell the security prior to recovering the amortized cost basis, the entire fair value adjustment will immediately be recognized in the consolidated statement of (loss) income with no corresponding allowance for credit losses. Realized gains and losses and credit losses, if any, on available-for-sale securities are included in interest income (expense), based on the specific identification method. Available-for-sale securities are also adjusted for amortization of premiums and accretion of discounts to maturity, with such amortization and accretion included within interest income.</w:t>
      </w:r>
    </w:p>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Marketable securities with remaining maturities of less than one year from the balance sheet date are classified as short-term investments and greater than one year from the balance sheet date are classified as long-term investments.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Expected Credit Losses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Accounts receivable are recorded at invoiced amounts, net of any allowance for expected credit losses. The allowance for expected credit losses is the Company’s best estimate of the amount of probable credit losses in existing accounts receivable.</w:t>
      </w:r>
    </w:p>
    <w:p>
      <w:pPr>
        <w:spacing w:after="0" w:line="16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evaluates the collectability of accounts receivable on a regular basis based upon various factors including the financial condition and payment history of customers, an overall review of collections experience on other accounts and economic factors or events expected to affect future collections experience. Expected credit losses on our accounts receivable were immaterial as at December 31, 2025 and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08"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Company evaluates financial assets and liabilities subject to fair value measurements on a recurring basis to determine the appropriate level of classification each reporting period. This determination requires the Company to make subjective judgments as to the significance of inputs used in determining fair value and where such inputs lie within the fair value hierarchy.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and other items at fair value.</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 determine fair value, the Company uses a fair value hierarchy that prioritizes the inputs, assumptions and valuation techniques used to measure fair value. The three levels of the fair value hierarchy are as follows:</w:t>
      </w:r>
    </w:p>
    <w:p>
      <w:pPr>
        <w:spacing w:after="0" w:line="54" w:lineRule="exact"/>
        <w:rPr>
          <w:sz w:val="20"/>
          <w:szCs w:val="20"/>
          <w:color w:val="auto"/>
        </w:rPr>
      </w:pPr>
    </w:p>
    <w:p>
      <w:pPr>
        <w:ind w:left="900" w:hanging="244"/>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unadjusted quoted market prices for identical instruments available in active markets.</w:t>
      </w:r>
    </w:p>
    <w:p>
      <w:pPr>
        <w:spacing w:after="0" w:line="117"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89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Level 1 prices, such as prices for a similar asset or liability that are observable either directly or indirectly. If the asset or liability has a contractual term, the input must be observable for substantially the full term. An example includes quoted market prices for similar assets or liabilities in active markets.</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89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and will reflect management’s assessment about market assumptions that would be used to price the asset or liability.</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54"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short-term and long-term investments in marketable and other securities, accounts receivable, accounts payable and accrued liabilities, contingent consideration, finance and operating lease obligations, and other long-term liabilities.</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and accrued liabilities approximate their fair values due to the near-term maturities of these financial instruments. All marketable securities are classified as available-for-sale and are recorded at fair value.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0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short-term and long-term marketable securities and accounts receivable. Cash and cash equivalents and investments in marketable securities are invested in accordance with the Company’s cash investment policy with the primary objective being the preservation of capital and maintenance of liquidity. The cash investment policy includes guidelines on the quality of financial instruments and defines allowable investments that the Company believes minimizes the exposure to concentration of credit risk. The Company limits its exposure to credit loss by placing its cash and cash equivalents and investments with high credit quality financial institutions.</w:t>
      </w:r>
    </w:p>
    <w:p>
      <w:pPr>
        <w:spacing w:after="0" w:line="66"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At December 31, 2025, the maximum exposure to credit risk for accounts receivable was $4,638, 37% of which was from Jazz Pharmaceuticals Ireland Limited or Jazz Pharmaceuticals, Inc. (subsidiaries of Jazz Pharmaceuticals plc, collectively referred to as “Jazz”) (December 31, 2024: $55,815, 95% of which was from Jazz Pharmaceuticals Ireland Limited) and all accounts receivable are due within the next 12 months. As at December 31, 2025 and December 31, 2024, the Company has recognized nominal amounts of provision for expected credit losses in relation to accounts receivable.</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Liquidity risk is the risk that the Company will encounter difficulty in meeting the obligations associated with its financial liabilities that are settled by delivering cash or another financial asset. The Company’s short-term cash requirements are primarily to settle its financial liabilities, which consist primarily of accounts payable and accrued liabilities falling due within 45 days and current portion of lease obligations falling due within the next 12 months, with medium term requirements to invest in property and equipment and research and development. The Company’s principal sources of liquidity to settle its financial liabilities are cash, cash equivalents, short-term and long-term investments, collection of accounts receivable relating to research collaboration and license agreements and additional public and private equity offerings as required. The Company believes that these principal sources of liquidity are sufficient to fund its operations for at least the next 12 months.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incurs certain operating expenses in currencies other than the U.S. dollar and accordingly is subject to foreign exchange risk due to fluctuations in exchange rates. The Company does not use derivative instruments to hedge exposure to foreign exchange risk and therefore assumes the risk of future gains or losses in its consolidated statements of (loss) income. At December 31, 2025, the Company’s net monetary assets denominated in Canadian dollars were $4,337 (C$5,946) (December 31, 2024: $3,464 (C$4,982) net monetary liabilities).</w:t>
      </w:r>
    </w:p>
    <w:p>
      <w:pPr>
        <w:spacing w:after="0" w:line="7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operating results and financial position of the Company are reported in U.S. dollars in the Company’s consolidated financial statements. The fluctuation of the U.S. dollar relative to the Canadian dollar and other foreign currencies will have an impact on the reported balances for net assets, net loss and stockholders’ equity in the Company’s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its business in one segment, which is the Management of a portfolio of licensed healthcare assets and development of next-generation multifunctional biotherapeutics. Operating segments are defined as components of an enterprise about which separate discrete information is available for the chief operating decision maker (“CODM”), in deciding how to allocate resources and assessing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Upon retirement or sale, the cost of assets disposed of and the related accumulated depreciation are removed from the accounts and any resulting gain or loss is recognized in earnings. Repairs and maintenance costs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depreciation using the straight-line method over the estimated useful lives of the property and equipment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gridSpan w:val="2"/>
          </w:tcPr>
          <w:p>
            <w:pPr>
              <w:ind w:left="30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4080" w:type="dxa"/>
            <w:vAlign w:val="bottom"/>
          </w:tcPr>
          <w:p>
            <w:pPr>
              <w:jc w:val="right"/>
              <w:ind w:right="1813"/>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3"/>
        </w:trPr>
        <w:tc>
          <w:tcPr>
            <w:tcW w:w="6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180" w:type="dxa"/>
            <w:vAlign w:val="bottom"/>
            <w:shd w:val="clear" w:color="auto" w:fill="CCEEFF"/>
          </w:tcPr>
          <w:p>
            <w:pPr>
              <w:spacing w:after="0"/>
              <w:rPr>
                <w:sz w:val="19"/>
                <w:szCs w:val="19"/>
                <w:color w:val="auto"/>
              </w:rPr>
            </w:pP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the lease term or useful life</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acquired or disposed of during the year are depreciated proportionately for the period they are in use.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contains a lease at inception. Right-of-use (“ROU”) assets represent the Company's right to use an underlying asset for the lease term and lease liabilities represent the Company's obligation to make lease payments arising from that lease. For leases with a term greater than 12 months, ROU assets and liabilities are recognized at the lease commencement date based on the estimated present value of lease payments over the lease term. The lease term includes the option to extend the lease when it is reasonably certain the Company will exercise that option. When available, the Company uses the rate implicit in the lease to discount lease payments to present value. In the case the implicit rate is not available, the Company uses its incremental borrowing rate based on information available at the lease commencement date, to determine the present value of lease payments.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Intellectual Property Costs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Costs incurred to acquire patents and to prosecute and maintain intellectual property rights are expensed as incurred to general and administrative expense due to the uncertainty surrounding the drug development process and the uncertainty of future benefits. Patents and intellectual property acquired from third parties are capitalized and amortized over the remaining life of the patent, if related to approved products or if there are alternative future uses for the underlying technology. No patent or intellectual property costs have been capitalized to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 and Credits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Government grants are recognized where there is reasonable assurance that the grant will be received and all associated conditions will be complied with. Reimbursements of eligible research and development expenditures pursuant to government assistance programs are recorded as reductions of research and development costs when the related costs have been incurred and there is reasonable assurance regarding collection of the claim.</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Grant claims not settled by the balance sheet date are recorded as receivables, provided their receipt is probable. The determination of the amount of the claim, and hence the receivable amount, requires management to make calculations based on its interpretation of eligible expenditures in accordance with the terms of the programs. The reimbursement claims submitted by the Company are subject to review by the relevant government agencies. The Company has used its best judgment and understanding of the related program agreements in determining the receivable amount.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participates in SR&amp;ED and Research Tax Credit Programs, two federal tax incentive programs that encourage Canadian and U.S. businesses to conduct research and development in Canada and in United States, respectively. The benefits of investment tax credits for scientific research and development expenditures are recognized in the year the qualifying expenditure is made provided there is reasonable assurance of recoverability. The refundable portion of investment tax credits are recorded as reductions to research and development expenditures.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costs that the Company incurs for its own and for the Company’s strategic partners’ research and development activities. These costs primarily consist of expenses incurred under agreements with contract research organizations on the Company’s behalf, investigative sites and consultants that conduct the Company’s clinical trials, the cost of acquiring and manufacturing clinical trial materials and other allocated expenses, the cost of acquired research patents and intellectual property that do not meet the requirements for capitalization, employee related expenses, including salaries and benefits, stock-based compensation expense, and costs associated with nonclinical activities and regulatory approvals.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Expense Accruals</w:t>
      </w:r>
    </w:p>
    <w:p>
      <w:pPr>
        <w:spacing w:after="0" w:line="17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Clinical trial expenses represent a significant component of research and development expenses and the Company outsources a significant portion of these activities to third party contract research organizations. Third-party clinical trial expenses include investigator fees, site costs, clinical research organization costs and other trial-related vendor costs. As part of preparing the consolidated financial statements, the Company estimates accrued liabilities for services that have been performed by clinical research organizations or investigator sites but have not yet been invoiced to the Company. When making these estimates, the Company uses operational and contractual information from third party service providers and operational data from internal personnel. For the year ended December 31, 2025, the Company recorded a change in estimate of $6,676 related to historical zanidatamab clinical trial accruals associated with studies that were transferred to Jazz (note 11). These clinical trial accruals reflected management's estimate of costs incurred prior to the Zymeworks BC collaboration agreement with Jazz. As the underlying studies were substantially completed by 2025 and clinical research organizations (“CRO”) confirmations were obtained in the fourth quarter of 2025, the Company determined that these accrual amounts are no longer expected to be invoiced. This adjustment resulted in a reduction of research and development expenses for the year.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an asset and liability method. Deferred tax assets and liabilities are determined based on the difference between the financial statement and tax basis of assets and liabilities using enacted tax rates in effect for the year in which the differences are expected to reverse. The measurement of deferred tax assets is reduced, if necessary, by the extent of a valuation allowance. The recognition of uncertain tax positions is evaluated based on whether it is considered more likely than not that the position taken, or expected to be taken, on a tax return will be sustained upon examination through</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litigation or appeal. For those positions that meet the recognition criteria, they are measured as the largest amount that is more than 50% likely to be realized upon ultimate settlement.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recognizes stock-based compensation expense on equity and liability classified stock-based awards granted to employees, directors, and certain consultants. The Company measures the cost of such awards based on the fair value of the award, net of estimated forfeitures, and recognizes stock-based compensation expense in the consolidated statements of (loss) income and comprehensive (loss) income on a straight-line basis over the requisite service period. The requisite service period generally equals the vesting period of the awards. The fair values of stock option awards are estimated using the Black-Scholes option pricing model which uses various inputs including estimated fair value of the Company’s underlying common stock at the grant date, expected term, estimated volatility, risk-free interest rate and expected dividend yields of the Company’s common stock. The Company applies an estimated forfeiture rate derived from historical employee termination behavior. If the actual number of forfeitures differs from those estimated by management, adjustments to compensation expense may be required in future periods. The fair value of restricted stock units (“RSU”) is measured using the per share fair value of the Company’s common stock on the dates of grant.</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Equity classified awards are measured using their grant date fair value. Liability classified awards are initially measured using their grant date fair value and are subsequently remeasured at fair value at each balance sheet date until exercised or cancelled, with changes in fair value recognized as compensation cost (ASC 718 awards) or other (expense) income (ASC 815 awards) for the period, while fair value changes below the grant date fair value of the original awards are recorded in additional paid-in capital.</w:t>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Under ASC 718 </w:t>
      </w:r>
      <w:r>
        <w:rPr>
          <w:rFonts w:ascii="Times New Roman" w:cs="Times New Roman" w:eastAsia="Times New Roman" w:hAnsi="Times New Roman"/>
          <w:sz w:val="18"/>
          <w:szCs w:val="18"/>
          <w:i w:val="1"/>
          <w:iCs w:val="1"/>
          <w:color w:val="auto"/>
        </w:rPr>
        <w:t>Compensation—Stock Options</w:t>
      </w:r>
      <w:r>
        <w:rPr>
          <w:rFonts w:ascii="Times New Roman" w:cs="Times New Roman" w:eastAsia="Times New Roman" w:hAnsi="Times New Roman"/>
          <w:sz w:val="18"/>
          <w:szCs w:val="18"/>
          <w:color w:val="auto"/>
        </w:rPr>
        <w:t xml:space="preserve"> (“ASC 718”), warrants or stock options with exercise price which is not denominated in: (a) the currency of a market in which a substantial portion of the Company’s equity securities trades, (b) the currency in which the individual’s pay is denominated, or (c) the Company’s functional currency, are required to be classified as liabilities. For awards accounted for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any warrant or option that provides for an exercise price which is not denominated in the Company’s functional currency is required to be classified as a liability.</w:t>
      </w:r>
    </w:p>
    <w:p>
      <w:pPr>
        <w:spacing w:after="0" w:line="1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has an employee stock purchase plan which is considered compensatory. Accordingly, the Company recognizes compensation expense on these awards based on their estimated grant date fair value using the Black-Scholes option pricing model. The Company recognizes compensation expense in the consolidated statements of loss and comprehensive loss on a straight-line basis over the requisite service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part of its stock repurchase programs, the Company adopted an accounting policy whereby the par value of each share is deducted from common stock and the remainder of the repurchase price is debited to accumulated deficit.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Goodwill</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fair value of total purchase consideration is allocated to the fair values of identifiable tangible and intangible assets acquired and liabilities assumed, with the remaining amount being classified as goodwill. All assets, liabilities and contingent liabilities acquired or assumed in a business combination are recorded at their fair values at the date of acquisition. If the Company’s interest in the fair value of the acquiree’s net identifiable assets exceeds the cost of the acquisition, the excess is recognized in earnings or loss immediately. Transaction costs that are incurred in connection with a business combination, other than costs associated with the issuance of debt or equity securities, are expensed as incurred.</w:t>
      </w:r>
    </w:p>
    <w:p>
      <w:pPr>
        <w:spacing w:after="0" w:line="18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Goodwill is evaluated for impairment on an annual basis or more frequently if an indicator of impairment is present (note 6). As part of the impairment evaluation, the Company may elect to perform an assessment of qualitative factors. If this qualitative assessment indicates that it is more likely than not that the fair value of the reporting unit that includes the goodwill is less than its carrying value, then a quantitative impairment test would be prepared to compare the fair value to the carrying value and record an impairment charge if the carrying value exceeds the fair value.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(IPR&amp;D) and Definite-lived Intangible Assets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Acquired IPR&amp;D represents the fair value assigned to research and development assets that have not reached technological feasibility. IPR&amp;D is classified as an indefinite-lived intangible asset and is not amortized. IPR&amp;D becomes definite-lived upon the completion or abandonment of the associated research and development efforts. All research and development costs incurred subsequent to the acquisition of IPR&amp;D are expensed as incurred. Indefinite-lived intangible assets are reviewed for impairment on an annual basis or more frequently if an indicator of impairment is present. The Company may first perform a qualitative assessment to determine whether it is necessary to perform the quantitative impairment test.</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Definite-lived intangible assets include computer software and a research license and are amortized on a basis which reflects the pattern in which the economic benefits are consumed. Amortization begins when the assets are put into use. If there is an event indicating that the carrying value of a definite-lived intangible asset may be impaired, then the Company will perform an impairment test. When an impairment test is performed, if the carrying value exceeds the recoverable value, based on the sum of undiscounted future cash flows, then such asset is written down to its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amortization using the straight-line method over the estimated useful lives of the definite-lived intangible assets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gridSpan w:val="2"/>
          </w:tcPr>
          <w:p>
            <w:pPr>
              <w:ind w:left="30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4080" w:type="dxa"/>
            <w:vAlign w:val="bottom"/>
          </w:tcPr>
          <w:p>
            <w:pPr>
              <w:jc w:val="right"/>
              <w:ind w:right="1816"/>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3"/>
        </w:trPr>
        <w:tc>
          <w:tcPr>
            <w:tcW w:w="6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CEEFF"/>
          </w:tcPr>
          <w:p>
            <w:pPr>
              <w:spacing w:after="0"/>
              <w:rPr>
                <w:sz w:val="19"/>
                <w:szCs w:val="19"/>
                <w:color w:val="auto"/>
              </w:rPr>
            </w:pP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Licensing agreements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licensing term or useful life</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Basic net income (loss) per share attributable to common stockholders is computed by dividing the net income (loss) attributable to common stockholders by the weighted average number of shares of common stock outstanding for the year, including the treatment of Exchangeable Shares and pre-funded warrants. Diluted net income (loss) per share attributable to common stockholders is computed by adjusting net income (loss) attributable to common stockholders to reallocate undistributed earnings based on the potential impact of dilutive securities, including outstanding stock options and warrants. Diluted net income (loss) per share attributable to common stockholders is computed by dividing the diluted net income (loss) attributable to common stockholders by the weighted-average number of shares of common stock outstanding for the year, including potential dilutive shares of common stock assuming the dilutive effect of outstanding instruments. The treasury stock method is used to determine the dilutive effect of the Company’s stock option grants and warrants.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requires an adjustment to the numerator for any income or loss related to liability classified warrants and stock options, if dilutive, if they are presumed to be share settled.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adopted</w:t>
      </w:r>
    </w:p>
    <w:p>
      <w:pPr>
        <w:spacing w:after="0" w:line="268"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amendments require disclosure of specific categories in the rate reconciliation and provide additional information for reconciling items that meet a quantitative threshold and further disaggregation of income taxes paid for individually significant jurisdictions. The ASU is effective for fiscal years beginning after December 15, 2024, with early adoption permitted. The standard is to be applied on a prospective basis, with the option for retrospective application. The Company has adopted this accounting pronouncement on the accompanying financial statements prospectively to the current annual period. Prior period disclosures have not been adjusted to reflect the new disclosure requirements. See note 13 Income Taxes in the accompanying notes to the consolidated financial statements for further detail.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68"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In November 2024, the FASB issued ASU 2024-03, Income Statement Reporting – Comprehensive Income – Expense Disaggregation Disclosures (Subtopic 220-40), Disaggregation of Income Statement Expenses. The standard update improves the disclosures about a public business entity’s expenses by requiring more detailed information about the types of expenses (including purchases of inventory, employee compensation, depreciation and amortization) included within income statement expense captions.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adoption of the standard update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per share for the years ended December 31, 2025, 2024 and 2023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(118,674)</w:t>
            </w:r>
          </w:p>
        </w:tc>
      </w:tr>
      <w:tr>
        <w:trPr>
          <w:trHeight w:val="229"/>
        </w:trPr>
        <w:tc>
          <w:tcPr>
            <w:tcW w:w="7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Adjustment for change in fair value of liability classified stock options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(118,674)</w:t>
            </w:r>
          </w:p>
        </w:tc>
      </w:tr>
      <w:tr>
        <w:trPr>
          <w:trHeight w:val="270"/>
        </w:trPr>
        <w:tc>
          <w:tcPr>
            <w:tcW w:w="7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stock outstanding: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75,404,897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75,846,681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68,863,010</w:t>
            </w:r>
          </w:p>
        </w:tc>
      </w:tr>
      <w:tr>
        <w:trPr>
          <w:trHeight w:val="229"/>
        </w:trPr>
        <w:tc>
          <w:tcPr>
            <w:tcW w:w="7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Adjustment for dilutive effect of liability classified stock options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75,413,396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75,878,738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68,863,010</w:t>
            </w:r>
          </w:p>
        </w:tc>
      </w:tr>
      <w:tr>
        <w:trPr>
          <w:trHeight w:val="270"/>
        </w:trPr>
        <w:tc>
          <w:tcPr>
            <w:tcW w:w="7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7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bl>
    <w:p>
      <w:pPr>
        <w:spacing w:after="0" w:line="292"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Weighted average number of shares of common stock used in the basic and diluted earnings per share calculations include Exchangeable Shares and the pre-funded warrants issued in connection with the Company’s offerings and private placements as the warrants were exercisable at any time for nominal cash consideration. The Company’s potentially dilutive securities, which include stock options and RSUs, have been excluded from the computation of diluted net loss per share for the years ended December 31, 2025, 2024 and 2023 as the effect would be antidilutive.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Cash, Cash Equivalents and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as of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Unrealized Gain</w:t>
            </w:r>
          </w:p>
        </w:tc>
        <w:tc>
          <w:tcPr>
            <w:tcW w:w="260" w:type="dxa"/>
            <w:vAlign w:val="bottom"/>
          </w:tcPr>
          <w:p>
            <w:pPr>
              <w:spacing w:after="0"/>
              <w:rPr>
                <w:sz w:val="13"/>
                <w:szCs w:val="13"/>
                <w:color w:val="auto"/>
              </w:rPr>
            </w:pPr>
          </w:p>
        </w:tc>
        <w:tc>
          <w:tcPr>
            <w:tcW w:w="11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maturity of one year or less: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Guaranteed investment certificates (“GICs”) and mutual funds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notes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maturity of one to three years: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41,787</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41,787</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229,427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1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as of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260" w:type="dxa"/>
            <w:vAlign w:val="bottom"/>
          </w:tcPr>
          <w:p>
            <w:pPr>
              <w:spacing w:after="0"/>
              <w:rPr>
                <w:sz w:val="13"/>
                <w:szCs w:val="13"/>
                <w:color w:val="auto"/>
              </w:rPr>
            </w:pPr>
          </w:p>
        </w:tc>
        <w:tc>
          <w:tcPr>
            <w:tcW w:w="11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maturity of one year or less: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GICs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notes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50,935</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159,673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maturity of one to three years: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65,308</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maturity of three to four years: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98,428</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258,101</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 unrealized losses on the Company’s available-for-sale securities as of December 31, 2025 and 2024 were not material and were caused by fluctuations in market values and interest rates as a result of the economic environment. The Company concluded that an allowance for credit losses was unnecessary as of December 31, 2025 and 2024 because the decline in the market value was attributable to changes in market conditions and not credit quality, and that it is neither management’s intention to sell nor is it more likely than not that the Company will be required to sell these investments prior to recovery of their cost basis or recovery of fair value. There was no material realized gain or loss on available-for-sale securities in the periods presented.</w:t>
      </w:r>
    </w:p>
    <w:p>
      <w:pPr>
        <w:spacing w:after="0" w:line="7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that are measured at fair value on a recurring basis, and indicate the fair value hierarchy of the valuation techniques used to determine such fair value: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5"/>
        </w:trPr>
        <w:tc>
          <w:tcPr>
            <w:tcW w:w="2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95"/>
        </w:trPr>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34,620</w:t>
            </w: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32,189</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16,398</w:t>
            </w:r>
          </w:p>
        </w:tc>
      </w:tr>
      <w:tr>
        <w:trPr>
          <w:trHeight w:val="22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GICs</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w:t>
            </w:r>
          </w:p>
        </w:tc>
      </w:tr>
      <w:tr>
        <w:trPr>
          <w:trHeight w:val="223"/>
        </w:trPr>
        <w:tc>
          <w:tcPr>
            <w:tcW w:w="28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41,157</w:t>
            </w:r>
          </w:p>
        </w:tc>
        <w:tc>
          <w:tcPr>
            <w:tcW w:w="1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66,103</w:t>
            </w:r>
          </w:p>
        </w:tc>
      </w:tr>
      <w:tr>
        <w:trPr>
          <w:trHeight w:val="236"/>
        </w:trPr>
        <w:tc>
          <w:tcPr>
            <w:tcW w:w="2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GICs and mutual funds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37,166</w:t>
            </w:r>
          </w:p>
        </w:tc>
      </w:tr>
      <w:tr>
        <w:trPr>
          <w:trHeight w:val="229"/>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notes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86,553</w:t>
            </w:r>
          </w:p>
        </w:tc>
      </w:tr>
      <w:tr>
        <w:trPr>
          <w:trHeight w:val="230"/>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166,208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134,382</w:t>
            </w:r>
          </w:p>
        </w:tc>
      </w:tr>
      <w:tr>
        <w:trPr>
          <w:trHeight w:val="223"/>
        </w:trPr>
        <w:tc>
          <w:tcPr>
            <w:tcW w:w="28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166,208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229,427</w:t>
            </w:r>
          </w:p>
        </w:tc>
        <w:tc>
          <w:tcPr>
            <w:tcW w:w="1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134,382</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258,101</w:t>
            </w:r>
          </w:p>
        </w:tc>
      </w:tr>
      <w:tr>
        <w:trPr>
          <w:trHeight w:val="237"/>
        </w:trPr>
        <w:tc>
          <w:tcPr>
            <w:tcW w:w="28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r>
      <w:tr>
        <w:trPr>
          <w:trHeight w:val="223"/>
        </w:trPr>
        <w:tc>
          <w:tcPr>
            <w:tcW w:w="28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166,208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270,584</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134,382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324,204</w:t>
            </w:r>
          </w:p>
        </w:tc>
      </w:tr>
      <w:tr>
        <w:trPr>
          <w:trHeight w:val="20"/>
        </w:trPr>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IPR&amp;D and Goodwill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Acquired IPR&amp;D</w:t>
      </w:r>
    </w:p>
    <w:p>
      <w:pPr>
        <w:spacing w:after="0" w:line="2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In-process research and development assets (“IPR&amp;D”) acquired in the 2016 Kairos Therapeutics Inc. (“Kairos”) business combination were classified as indefinite-lived intangible assets and were not amortized until their classification as definite-lived assets. During the year ended December 31, 2024, the Company determined that the fair value of IPR&amp;D, which was estimated using an income approach, was less than its carrying value. Accordingly, the Company recorded an impairment charge of $17,287. The impairment was a result of the Company's decision to discontinue the zanidatamab zovodotin clinical development program which utilized the acquired technology represented by the IPR&amp;D assets. As of July 1, 2024, the Company classified the remaining assets as definite-lived and commenced amortization, which was fully amortized as of December 31,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 of IPR&amp;D, net of impairment: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0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IPR&amp;D</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during the period</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during the period</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impairment test of goodwill as of December 31, 2025 and concluded that no impairment existed. As part of the evaluation of the recoverability of goodwill, the Company identified only one reporting unit to which the total carrying amount of goodwill has been assigned. As at December 31, 2025, the Company performed a qualitative assessment for its annual impairment test of goodwill after concluding that it was not more likely than not that the fair value of the reporting unit was less than its carrying value. Consequently, a quantitative impairment test was not required.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35,480</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(17,830)</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on property and equipment for the years ended December 31, 2025, 2024 and 2023 was $3,669, $4,188 and $7,462,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licenses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10,670</w:t>
            </w:r>
          </w:p>
        </w:tc>
      </w:tr>
      <w:tr>
        <w:trPr>
          <w:trHeight w:val="223"/>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(21,030)</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on intangible assets for the years ended December 31, 2025, 2024 and 2023 was $4,056, $4,496 and $2,702,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amortization expense on capitalized intangible assets is estimated to be as follows for the next five years: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Liabilities</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 consisted of the following:</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43,114</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tax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related accruals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liability classified stock options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legal, professional fees and 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from in-licensing agreements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liability (note 14)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21" w:lineRule="exact"/>
        <w:rPr>
          <w:sz w:val="20"/>
          <w:szCs w:val="20"/>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Offerings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Private Placement</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10, 2025, the Company entered into a stock purchase agreement (the “Stock Purchase Agreement”) for a private placement with Mr. Gregory A. Ciongoli following his appointment as a director of the Company. Pursuant to the Stock Purchase Agreement, Mr. Ciongoli agreed to purchase 415,000 shares of common stock, $0.00001 par value per share, of the Company for an aggregate purchase price of $4,988.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Private Placement</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December 28, 2023, the Company completed a private placement pursuant to which the Company sold 5,086,521 pre-funded warrants to purchase 5,086,521 shares of common stock at $9.8299 per pre-funded warrant. The Company received gross proceeds of $50,000 and net proceeds were $49,862, after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ATM financing</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June 16, 2023, the Company sold 3,350,000 shares of common stock pursuant to the Company's at-the-market sale program, at $8.12 per common share. Net proceeds were $26,233 after underwriting commissions and offering expenses.</w:t>
      </w:r>
    </w:p>
    <w:p>
      <w:pPr>
        <w:spacing w:after="0" w:line="270" w:lineRule="exact"/>
        <w:rPr>
          <w:sz w:val="20"/>
          <w:szCs w:val="20"/>
          <w:color w:val="auto"/>
        </w:rPr>
      </w:pPr>
    </w:p>
    <w:p>
      <w:pPr>
        <w:ind w:left="500" w:hanging="492"/>
        <w:spacing w:after="0"/>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Share Capital and Preferred Stock</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Company’s authorized share capital consists of 1,000,000,000 shares of stock, consisting of (i) 900,000,000 shares of common stock, par value $0.00001 per share, and (ii) 100,000,000 shares of preferred stock, par value $0.00001 per share.</w:t>
      </w:r>
    </w:p>
    <w:p>
      <w:pPr>
        <w:spacing w:after="0" w:line="16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connection with the Plan of Arrangement, the Company issued to Computershare Trust Company of Canada, a trust company existing under the laws of Canada (the “Share Trustee”), one share of the Company’s preferred stock, par value $0.00001 per share, which has certain variable voting rights in proportion to the number of Exchangeable Shares outstanding (the “Special Voting Preferred Stock”), enabling the Share Trustee to exercise voting rights for the benefit of the Exchangeable Shareholders.</w:t>
      </w:r>
    </w:p>
    <w:p>
      <w:pPr>
        <w:spacing w:after="0" w:line="1"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8"/>
          <w:szCs w:val="18"/>
          <w:color w:val="auto"/>
        </w:rPr>
        <w:t>Immediately prior to the completion of the Redomicile Transactions, there were 61,699,387 Zymeworks BC common shares issued and outstanding. In connection with the consummation of the Plan of Arrangement, 60,274,854 shares of Common Stock and 1,424,533 Exchangeable Shares were issued to former Zymeworks BC shareholders. As of December 31, 2025, there were 553,184 Exchangeable Shares held by former Zymeworks BC shareholders (December 31, 2024: 570,637). The Company will issue shares of its common stock as consideration when a holder of Exchangeable Shares calls for Exchangeable Shares to be retracted by ExchangeCo, when ExchangeCo redeems Exchangeable Shares from the holder, or when CallCo purchases Exchangeable Shares from the Exchangeable Shareholder under CallCo’s overriding call rights. These Exchangeable Shares and the Special Voting Preferred Stock, when taken together, are similar in substance to the Company’s common stock and are treated as such in calculation of basic net (loss) income per share.</w:t>
      </w:r>
    </w:p>
    <w:p>
      <w:pPr>
        <w:spacing w:after="0" w:line="310" w:lineRule="exact"/>
        <w:rPr>
          <w:sz w:val="20"/>
          <w:szCs w:val="20"/>
          <w:color w:val="auto"/>
        </w:rPr>
      </w:pPr>
    </w:p>
    <w:p>
      <w:pPr>
        <w:ind w:left="480" w:hanging="472"/>
        <w:spacing w:after="0"/>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Repurchase Programs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Repurchase Program</w:t>
      </w:r>
    </w:p>
    <w:p>
      <w:pPr>
        <w:spacing w:after="0" w:line="106" w:lineRule="exact"/>
        <w:rPr>
          <w:sz w:val="20"/>
          <w:szCs w:val="20"/>
          <w:color w:val="auto"/>
        </w:rPr>
      </w:pPr>
    </w:p>
    <w:p>
      <w:pPr>
        <w:ind w:right="720"/>
        <w:spacing w:after="0" w:line="250" w:lineRule="auto"/>
        <w:rPr>
          <w:sz w:val="20"/>
          <w:szCs w:val="20"/>
          <w:color w:val="auto"/>
        </w:rPr>
      </w:pPr>
      <w:r>
        <w:rPr>
          <w:rFonts w:ascii="Times New Roman" w:cs="Times New Roman" w:eastAsia="Times New Roman" w:hAnsi="Times New Roman"/>
          <w:sz w:val="18"/>
          <w:szCs w:val="18"/>
          <w:color w:val="auto"/>
        </w:rPr>
        <w:t>On August 1, 2024, the board of directors of the Company authorized a stock repurchase program (the “2024 Repurchase Program”), whereby the Company may repurchase up to $60,000 of the Company’s outstanding common stock, par value $0.00001 per share.</w:t>
      </w:r>
    </w:p>
    <w:p>
      <w:pPr>
        <w:spacing w:after="0" w:line="55" w:lineRule="exact"/>
        <w:rPr>
          <w:sz w:val="20"/>
          <w:szCs w:val="20"/>
          <w:color w:val="auto"/>
        </w:rPr>
      </w:pPr>
    </w:p>
    <w:p>
      <w:pPr>
        <w:ind w:right="400"/>
        <w:spacing w:after="0" w:line="236"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2,545,402 shares of its common stock for a cost of $30,000, and incurred commission expense of $51, under the 2024 Repurchase Program, which have been recorded against accumulated deficit. The Company’s share repurchases in excess of issuances are subject to a 1% excise tax enacted by the Inflation Reduction Act of $152. During the year ended December 31, 2024, the Company retired all 2,545,402 shares repurchased. These shares were returned to the status of authorized and unissued shares.</w:t>
      </w:r>
    </w:p>
    <w:p>
      <w:pPr>
        <w:spacing w:after="0" w:line="6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2025, the Company completed the 2024 Repurchase Program by repurchasing 1,856,907 shares of its common stock for a cost of $29,997 and incurred commission expense of $37, which have been recorded against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accumulated deficit. Excise tax was estimated as nil. The Company retired all 1,856,907 shares repurchased. These shares were returned to the status of authorized and unissued shares.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2024 Repurchase Program activity: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3"/>
                <w:szCs w:val="13"/>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value of shares</w:t>
            </w:r>
          </w:p>
        </w:tc>
      </w:tr>
      <w:tr>
        <w:trPr>
          <w:trHeight w:val="196"/>
        </w:trPr>
        <w:tc>
          <w:tcPr>
            <w:tcW w:w="4780" w:type="dxa"/>
            <w:vAlign w:val="bottom"/>
          </w:tcPr>
          <w:p>
            <w:pPr>
              <w:spacing w:after="0"/>
              <w:rPr>
                <w:sz w:val="17"/>
                <w:szCs w:val="17"/>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Pr>
          <w:p>
            <w:pPr>
              <w:spacing w:after="0"/>
              <w:rPr>
                <w:sz w:val="17"/>
                <w:szCs w:val="17"/>
                <w:color w:val="auto"/>
              </w:rPr>
            </w:pPr>
          </w:p>
        </w:tc>
        <w:tc>
          <w:tcPr>
            <w:tcW w:w="14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202"/>
        </w:trPr>
        <w:tc>
          <w:tcPr>
            <w:tcW w:w="47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2,545,402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1,856,907</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29,997</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Repurchase Program</w:t>
      </w:r>
    </w:p>
    <w:p>
      <w:pPr>
        <w:spacing w:after="0" w:line="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November 16, 2025, the board of directors of the Company authorized a new stock repurchase program (the “2025 Repurchase Program”), whereby the Company may repurchase up to $125,000 of the Company’s outstanding common stock, par value $0.00001 per share.</w:t>
      </w:r>
    </w:p>
    <w:p>
      <w:pPr>
        <w:spacing w:after="0" w:line="41"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431,217 shares of its common stock for a cost of $11,188, incurred an obligation to purchase common stock for a cost of $464 which had not been settled by December 31, 2025, and incurred commission expense of $9, under the 2025 Repurchase Program, which have been recorded against accumulated deficit. Excise tax was estimated as nil. The Company retired all 431,217 shares repurchased. These shares were returned to the status of authorized and unissued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2025 Repurchase Program activity: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3"/>
                <w:szCs w:val="13"/>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value of shares</w:t>
            </w:r>
          </w:p>
        </w:tc>
      </w:tr>
      <w:tr>
        <w:trPr>
          <w:trHeight w:val="195"/>
        </w:trPr>
        <w:tc>
          <w:tcPr>
            <w:tcW w:w="47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Pr>
          <w:p>
            <w:pPr>
              <w:spacing w:after="0"/>
              <w:rPr>
                <w:sz w:val="16"/>
                <w:szCs w:val="16"/>
                <w:color w:val="auto"/>
              </w:rPr>
            </w:pP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201"/>
        </w:trPr>
        <w:tc>
          <w:tcPr>
            <w:tcW w:w="47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431,217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25.94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11,188</w:t>
            </w:r>
          </w:p>
        </w:tc>
      </w:tr>
    </w:tbl>
    <w:p>
      <w:pPr>
        <w:spacing w:after="0" w:line="292" w:lineRule="exact"/>
        <w:rPr>
          <w:sz w:val="20"/>
          <w:szCs w:val="20"/>
          <w:color w:val="auto"/>
        </w:rPr>
      </w:pPr>
    </w:p>
    <w:p>
      <w:pPr>
        <w:ind w:left="500" w:hanging="492"/>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Common Share Warrants</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public offerings completed on June 24, 2019, January 27, 2020, January 31, 2022 and private placement completed on December 28, 2023 (note 10a), the Company issued a total of 13,668,482 pre-funded warrants which granted holders of warrants the right to purchase up to 13,668,482 common shares or shares of the Company, at an exercise price of $0.0001 per share.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pre-funded warrants are exercisable by the holders at any time on or after the original issue date. The pre-funded warrants do not expire unless they are exercised or settled in accordance with the pre-funded warrant agreement. As the pre-funded warrants meet the condition for equity classification, proceeds from issuance of the pre-funded warrants, net of any transaction costs, are recorded in additional paid-in capital. Upon exercise of the pre-funded warrants, the historical costs recorded in additional paid-in capital along with exercise price collected from holders will be recorded in common shares. As the amounts required to exercise the warrants are nominal, these instruments are considered in the calculation of basic net (loss) income per share.</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August 23, 2022, October 25, 2022, October 27, 2022 and October 19, 2023, a total of 8,581,961 pre-funded warrants were exercised in exchange for issuance of 8,581,868 common shares.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June 26, 2025, 5,086,521 pre-funded warrants were exercised in full in exchange for 5,086,480 shares of common stock by EcoR1, which is a related party due to its beneficial ownership of the Company’s outstanding shares of common stock, and as of December 31, 2025 there were no pre-funded warrants outstanding (December 31, 2024: 5,086,521).</w:t>
      </w:r>
    </w:p>
    <w:p>
      <w:pPr>
        <w:spacing w:after="0" w:line="284" w:lineRule="exact"/>
        <w:rPr>
          <w:sz w:val="20"/>
          <w:szCs w:val="20"/>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1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connection with Redomicile Transactions in 2022, Zymeworks BC. assigned to the Company, and the Company assumed, all of Zymeworks BC’s rights and obligations under each of the stock-based compensation plans, as described below, and such plans became the Company’s stock-based compensation plans, with each outstanding award assumed by the Company and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deemed exchanged for equivalent awards of the Company, except that the security issuable upon exercise or settlement, as applicable, will be shares of common stock of the Company rather than common shares of Zymeworks BC.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Original Stock Option Plan</w:t>
      </w:r>
    </w:p>
    <w:p>
      <w:pPr>
        <w:spacing w:after="0" w:line="10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On July 14, 2006, the shareholders of the Company approved an employee stock option plan (the “Original Plan”). The total number of options outstanding is not to exceed 20% of the issued common shares of the Company. Options granted under the Original Plan are exercisable at various dates over their 10-year life. The exercise prices of the Company’s stock options under the Original Plan are denominated in Canadian dollars. Upon the effectiveness of the Company’s New Plan described below, no further options were issuable under the Original Plan. However, all outstanding options granted under the Original Plan remain outstanding, subject to the terms of the Original Plan and the applicable grant documents, until such outstanding options are exercised or they terminate or expire by their terms.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Plan and Inducement Plan</w:t>
      </w:r>
    </w:p>
    <w:p>
      <w:pPr>
        <w:spacing w:after="0" w:line="106"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On April 10, 2017, the Company’s shareholders approved a new stock option plan, which became effective immediately prior to the consummation of the Company’s initial public offering (“IPO”). This plan allows for the grant of options, and also permitted the Company to grant incentive stock options (“ISOs”), within the meaning of Section 422 of the Internal Revenue Code, to its employees, until the shares reserved for issuance of ISOs were depleted. On June 7, 2018, the Company’s shareholders approved an amendment and restatement of this plan (this plan, as amended and restated, the “New Plan”), which includes an article that allows the Company to grant restricted shares, RSU and other share-based awards, in addition to stock options. As of December 31, 2025, 5,023,809 shares of common stock were available for future award grants under the New Plan (December 31, 2024: 5,196,630 shares of common stock).</w:t>
      </w:r>
    </w:p>
    <w:p>
      <w:pPr>
        <w:spacing w:after="0" w:line="18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On January 5, 2022, the board of directors approved the Zymeworks Inc. Inducement Stock Option and Equity Compensation Plan (the “Inducement Plan”) and reserved 750,000 of the Company’s common shares for issuance pursuant to equity awards granted thereunder. On July 19, 2024, the board of directors approved an amendment and restatement of the Inducement Plan, which increased the number of shares of the Company’s common stock available for future issuance pursuant to equity awards granted under the Inducement Plan by 700,000 shares. As a result of this increase, a total of 1,450,000 shares will have been available for issuance pursuant to equity awards granted under the Inducement Plan since the inception of the Inducement Plan in January 2022. As of December 31, 2025, 390,000 shares of common stock were available for future award grants under this plan (December 31, 2024: 390,000).</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under the New Plan: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37"/>
        </w:trPr>
        <w:tc>
          <w:tcPr>
            <w:tcW w:w="8440" w:type="dxa"/>
            <w:vAlign w:val="bottom"/>
          </w:tcPr>
          <w:p>
            <w:pPr>
              <w:spacing w:after="0"/>
              <w:rPr>
                <w:sz w:val="11"/>
                <w:szCs w:val="11"/>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8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29"/>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957,750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 and settled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(210,189)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1,293,970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3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1,398,697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 and settled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(560,620)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(184,463)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1,947,584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was $7,512 of unamortized RSU expense that will be recognized over a weighted average period of 1.52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options granted in Canadian dollars under the Original Plan and the New Plan: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360" w:type="dxa"/>
            <w:vAlign w:val="bottom"/>
            <w:gridSpan w:val="2"/>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1,489,478</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(224,042)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(123,699)</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1,082,835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(444,397)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(37,619)</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572,112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Exercisable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553,766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34"/>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570,277</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options granted in U.S. dollars under the New Plan and the Inducement Plan: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6,069,242</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(735,864)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(1,137,794)</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7,331,084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2,467,225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(1,298,292)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(619,746)</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7,816,277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109,157</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Exercisable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3,763,060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53,695</w:t>
            </w:r>
          </w:p>
        </w:tc>
        <w:tc>
          <w:tcPr>
            <w:tcW w:w="0" w:type="dxa"/>
            <w:vAlign w:val="bottom"/>
          </w:tcPr>
          <w:p>
            <w:pPr>
              <w:spacing w:after="0"/>
              <w:rPr>
                <w:sz w:val="1"/>
                <w:szCs w:val="1"/>
                <w:color w:val="auto"/>
              </w:rPr>
            </w:pPr>
          </w:p>
        </w:tc>
      </w:tr>
      <w:tr>
        <w:trPr>
          <w:trHeight w:val="234"/>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7,078,461</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99,302</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received cash proceeds of $16,904 (2024: $8,857 and 2023: $5,006) from stock options exercised.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options outstanding at December 31, 2025 expire at various dates from November 9, 2026 to December 9, 2035.</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and related information of the Company’s stock options granted in Canadian dollars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7020" w:type="dxa"/>
            <w:vAlign w:val="bottom"/>
          </w:tcPr>
          <w:p>
            <w:pPr>
              <w:spacing w:after="0"/>
              <w:rPr>
                <w:sz w:val="12"/>
                <w:szCs w:val="12"/>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8"/>
        </w:trPr>
        <w:tc>
          <w:tcPr>
            <w:tcW w:w="702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28"/>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2024</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forfeited and cancelled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and related information of the Company’s stock options granted in U.S. dollars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4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60"/>
        </w:trPr>
        <w:tc>
          <w:tcPr>
            <w:tcW w:w="8440" w:type="dxa"/>
            <w:vAlign w:val="bottom"/>
          </w:tcPr>
          <w:p>
            <w:pPr>
              <w:spacing w:after="0"/>
              <w:rPr>
                <w:sz w:val="13"/>
                <w:szCs w:val="13"/>
                <w:color w:val="auto"/>
              </w:rPr>
            </w:pPr>
          </w:p>
        </w:tc>
        <w:tc>
          <w:tcPr>
            <w:tcW w:w="14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196"/>
        </w:trPr>
        <w:tc>
          <w:tcPr>
            <w:tcW w:w="844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29"/>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2024</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4,147,288</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29"/>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2,467,225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(2,086,563)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30"/>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forfeited and cancelled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(474,733)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4,053,217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bl>
    <w:p>
      <w:pPr>
        <w:spacing w:after="0" w:line="279"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8"/>
          <w:szCs w:val="18"/>
          <w:color w:val="auto"/>
        </w:rPr>
        <w:t>The estimated fair values of options granted to officers, directors, employees and consultants are amortized over the relevant vesting periods. Stock-based compensation expense for equity classified instruments, as well as the financial statement impact of the amortization and periodic revaluation of liability classified instruments (note 2), are recorded in research and development expense and general and administration expense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3"/>
        </w:trPr>
        <w:tc>
          <w:tcPr>
            <w:tcW w:w="7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r>
    </w:tbl>
    <w:p>
      <w:pPr>
        <w:spacing w:after="0" w:line="184"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Amounts for equity classified instruments above include stock-based compensation expense relating to RSUs of $10,727 for the year ended December 31, 2025 (2024: $5,813 and 2023: $3,369).</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stock-based compensation expense of $27,069 was recorded in additional paid-in capital and $887 was recorded in the liability classified stock options and ESPP liability accounts (2024: $16,716 in additional paid-in capital and recovery of $211 in liability classified stock options and ESPP liability accounts, 2023: $8,196 in additional paid-in capital and recovery of $630 in liability classified stock options and ESPP liability accounts).</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estimated fair value of stock options granted under the New Plan was determined using the Black-Scholes option pricing model with the following weighted-average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average life of options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 years</w:t>
            </w:r>
          </w:p>
        </w:tc>
        <w:tc>
          <w:tcPr>
            <w:tcW w:w="100" w:type="dxa"/>
            <w:vAlign w:val="bottom"/>
          </w:tcPr>
          <w:p>
            <w:pPr>
              <w:spacing w:after="0"/>
              <w:rPr>
                <w:sz w:val="20"/>
                <w:szCs w:val="20"/>
                <w:color w:val="auto"/>
              </w:rPr>
            </w:pPr>
          </w:p>
        </w:tc>
        <w:tc>
          <w:tcPr>
            <w:tcW w:w="15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6.00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 years</w:t>
            </w:r>
          </w:p>
        </w:tc>
      </w:tr>
    </w:tbl>
    <w:p>
      <w:pPr>
        <w:spacing w:after="0" w:line="285"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Volatility is a measure of the amount by which a financial variable such as a share price has fluctuated (historical volatility)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fluctuate (expected volatility) during a period. The Company has calculated the expected volatility using the volatility of its own stock.</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This rate is from the Government of Canada and U.S. Federal Reserve marketable bonds for the month prior to each option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 having a term that most closely resembles the expected life of the option.</w:t>
      </w:r>
    </w:p>
    <w:p>
      <w:pPr>
        <w:spacing w:after="0" w:line="158"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This is the period of time that the options granted are expected to remain unexercised. Options granted have a maximum term of 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The Company uses the simplified method to calculate the average expected term, which represents the average of the vesting period and the contractual term.</w:t>
      </w:r>
    </w:p>
    <w:p>
      <w:pPr>
        <w:spacing w:after="0" w:line="175"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color w:val="auto"/>
        </w:rPr>
        <w:t>The weighted-average Black-Scholes option pricing assumptions for liability classified stock options outstanding at December 31, 2025 and 2024 are as follows:</w:t>
      </w: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15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45.8 %</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average option term</w:t>
            </w:r>
          </w:p>
        </w:tc>
        <w:tc>
          <w:tcPr>
            <w:tcW w:w="15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0.90 years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 years</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liability classified stock options outstanding</w:t>
            </w: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64,402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272,330</w:t>
            </w:r>
          </w:p>
        </w:tc>
      </w:tr>
    </w:tbl>
    <w:p>
      <w:pPr>
        <w:spacing w:after="0" w:line="34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years ended December 31, 2025, 2024 and 2023 was $14,152, $2,242 and $758 respectively. At December 31, 2025, the unamortized compensation expense related to unvested options was $13,051. The remaining unamortized compensation expense as of December 31, 2025 will be recognized over a weighted-average period of 1.8 years.</w:t>
      </w:r>
    </w:p>
    <w:p>
      <w:pPr>
        <w:spacing w:after="0" w:line="284" w:lineRule="exact"/>
        <w:rPr>
          <w:sz w:val="20"/>
          <w:szCs w:val="20"/>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Plan (“ESPP”)</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ESPP, as amended, allows eligible employees to acquire common shares at a discounted purchase price of the lesser of (i) 85% of the market price of a common share on the first day of the applicable purchase period and (ii) 85% of the market price of a common share on the purchase date. The ESPP qualifies as an “employee stock purchase plan” within the meaning of Section 423 of the Code for employees who are U.S. taxpayers.</w:t>
      </w:r>
    </w:p>
    <w:p>
      <w:pPr>
        <w:spacing w:after="0" w:line="17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As this plan is considered compensatory, the Company recognizes compensation expense on these awards based on their estimated grant date fair value using the Black-Scholes option pricing model. The Company recognizes compensation expense in the consolidated statements of (loss) income and comprehensive (loss) income on a straight-line basis over the requisite service period. For the year ended December 31, 2025, the Company recorded compensation expense of $498 (2024: $370, 2023: $387) in research and development expense and general and administrative expense accounts. As of December 31, 2025, the total amount contributed by ESPP participants and not yet settled is $670 (December 31, 2024: $577).</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Research, Collaboration and Licensing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from the Company’s strategic partnerships is summarized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Jazz:</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Milestone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Development support payments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52,619</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Drug supply for ongoing studies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25,662</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note for amendment of program</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drug supply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BeOne Medicines Ltd. (previously known as BeiGene, Ltd.) (“BeOne”):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Milestone revenue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Drug supply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Development support payments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Johnson &amp; Johnson Innovative Medicine (previously known as Janssen Biotech, Inc.) (“J&amp;J”):</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
        </w:trPr>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Milestone revenue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GlaxoSmithKline Intellectual Property Development Ltd. (“GSK”):</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Milestone revenue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Bristol-Myers Squibb (“BMS”):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 exercise fee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Daiichi Sankyo, Co., Ltd. (“Daiichi Sankyo”):</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Milestone revenue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Merck Sharp &amp; Dohme LLC (“Merck”)</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period extension fee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support and other payments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23"/>
        </w:trPr>
        <w:tc>
          <w:tcPr>
            <w:tcW w:w="70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105,965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76,012</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at December 31, 2025, contract assets from research, collaboration and licensing agreements were $2.8 million, which is presented within accounts receivable (December 31, 2024: $0.1 million which is presented within accounts receivable) and contract liabilities were $17.0 million (December 31, 2024: $40.2 million). As at December 31, 2025 and 2024, $2.4 million and $25.6 million respectively, of the contract liabilities is classified as short term. Contract liabilities relate to deferred revenue from the BeOne and Jazz agreements described below.</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Jazz Collaboration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Original Jazz Collaboration Agreement:</w:t>
      </w:r>
    </w:p>
    <w:p>
      <w:pPr>
        <w:spacing w:after="0" w:line="2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October 18, 2022, the Zymeworks BC entered into a License and Collaboration Agreement (the "Jazz Collaboration Agreement") with Jazz Pharmaceuticals Ireland Limited ("Jazz"), under which Jazz will have development and commercialization rights of zanidatamab throughout the world, but excluding the People’s Republic of China, Australia, New Zealand, Kazakhstan, Kyrgyzstan, Tajikistan, Turkmenistan, Uzbekistan, Hong Kong, Taiwan, Macau, Mongolia, South Korea, Brunei Darussalam, Cambodia, Indonesia, Papua New Guinea, Lao People’s Democratic Republic, Malaysia, Myanmar, Philippines, Singapore, Thailand, Timor-Leste, and Vietnam.</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Jazz Collaboration Agreement, the Company received a $50.0 million upfront payment upon delivery of licenses and technology transfer to Jazz as well as the receipt of United States Hart-Scott Rodino Antitrust Improvements Act of 1976 (“HSR”) Clearance (“Initial Technology Transfer”). A further payment of $325.0 million was received following Jazz's decision to continue the collaboration after readout of the top-line clinical data from HERIZON-BTC-01 (“BTC Data Transfer”). The Company considered the fair value of performance obligations based on the Company’s best estimate of their relative stand-alone selling prices, and allocated $375.0 million of the transaction price to the Company’s performance obligations in relation to the delivery of licenses, the Initial Technology Transfer and BTC Data Transfer under the Jazz Collaboration Agreement.</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Development and commercial licenses, the Initial Technology and BTC Data Transfers were considered to be a single performance obligation. The consideration of $50.0 million allocated to this performance obligation was recognized as revenue in November 2022, upon delivery of these performance obligations and receipt of the HSR Clearance. Remaining consideration of $325.0 million was recognized as revenue upon completion of BTC Data Transfer to Jazz and Jazz’s decision to continue the Jazz Collaboration agreement, in December 2022.</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Deliverables of development work performed by the Company, continuing technology transfer, participation in the Joint Steering Committee (“JSC”), and transfer of first BLA together were considered to be a single performance obligation and the consideration allocated to this performance obligation will be recognized as revenue over time as these activities are completed.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Remaining deliverables of Manufacturing Technology Transfer, Development Drug Supply, Commercial Drug Supply were considered individually distinct and the revenue related to these deliveries are to be recognized upon completion of future deliveries to Jazz.</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Jazz Collaboration Agreement:</w:t>
      </w:r>
    </w:p>
    <w:p>
      <w:pPr>
        <w:spacing w:after="0" w:line="21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On April 25, 2023, Zymeworks BC, a subsidiary of the Company, Zymeworks Biopharmaceuticals Inc. (“ZBI”), a subsidiary of Zymeworks BC, Zymeworks Zanidatamab Inc. (“ZZI”), a subsidiary of ZBI formed in December 2022 focused on the Company’s development program for zanidatamab, and Jazz Pharmaceuticals, Inc. (“Jazz Inc.”), entered into a Stock and Asset Purchase Agreement (the “Transfer Agreement”). Under the Transfer Agreement, (i) Jazz Inc. acquired from ZBI 100% of the issued and outstanding capital stock of ZZI, (ii) Jazz Inc. engaged certain Zymeworks BC and ZZI employees associated with the development of zanidatamab, and (iii) Zymeworks BC and ZBI transferred to Jazz Inc. or one of its affiliates contracts with respect to the engagement of certain independent contractors of Zymeworks BC and ZBI that work on the Program (as defined below). In addition, Jazz Inc. acquired from Zymeworks BC and ZBI certain contracts related to the Program, organizational documents and other records of ZZI, certain regulatory filings related to the Program, certain other books, records and other files, documents and information related to the Program, and certain employment records of service providers to be employed by Jazz Inc. and its affiliates following the Closing (as defined below). Subject to the terms and conditions of the Transfer Agreement, Jazz Inc. assumed certain liabilities that arise following the Closing related to the acquired assets and the Program, including with respect to transferred service providers.</w:t>
      </w:r>
    </w:p>
    <w:p>
      <w:pPr>
        <w:spacing w:after="0" w:line="19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Zymeworks BC and Jazz Pharmaceuticals Ireland Limited (an affiliate of Jazz Inc.) (a subsidiary of Jazz Pharmaceuticals plc, collectively referred to as “Jazz”) amended and restated the license and collaboration agreement dated October 18, 2022 by and between Zymeworks BC and Jazz (the “Original Jazz Collaboration Agreement”) (as amended the “Amended Jazz Collaboration Agreement”) to reflect the transfer of responsibility for the Program. Under the Amended Jazz Collaboration Agreement, the financial terms of the Original Jazz Collaboration Agreement, as previously disclosed, was unchanged, except that the costs of the Program (including ongoing costs related to the transferred service providers) incurred following the Closing was directly borne by Jazz instead of being incurred by Zymeworks BC and charged back to Jazz for reimbursement, though Zymeworks BC will remain eligible for reimbursement of certain costs for activities where Zymeworks BC maintains responsibility under the Amended Jazz Collaboration Agreement. As part of the amendments to the Amended Collaboration Agreement, the Company agreed to provide a credit note to Jazz of $20.1 million, which has been recognized as a reduction to</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revenue for the year ended December 31, 2023. “Program” refers to (i) ongoing clinical trials in certain sites in South Korea that are the responsibility of Zymeworks BC under the Original Jazz Collaboration Agreement and (ii) clinical trials for zanidatamab, other than the studies referenced in (i), initiated by Zymeworks BC in the Territory (as defined in the Original Jazz Collaboration Agreement) prior to the execution of the Original Jazz Collaboration Agreement.</w:t>
      </w:r>
    </w:p>
    <w:p>
      <w:pPr>
        <w:spacing w:after="0" w:line="181"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The consummation of the transactions contemplated by the Transfer Agreement, including the execution of the Amended Jazz Collaboration Agreement, occurred in May 2023 (the “Closing”). In connection with the Closing, the parties entered into a transition services agreement pursuant to which Zymeworks BC and ZBI provide to Jazz Inc. and Jazz Inc. provides to Zymeworks BC and ZBI certain services to support the transfer of the acquired assets and the Program on a transitional basis.</w:t>
      </w:r>
    </w:p>
    <w:p>
      <w:pPr>
        <w:spacing w:after="0" w:line="18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In November 2024, the Company recognized milestone revenue of $25.0 million from Jazz in relation to the FDA approval of Ziihera (zanidatamab-hrii) for the treatment of HER2+ BTC. As at December 31, 2025, the Company is eligible to receive up to $500.0 million in certain regulatory milestone payments and up to $862.5 million in potential commercial milestone payments. The Company is eligible to receive tiered royalties between 10% and 20% on Jazz’s annual net sales, with customary reductions in specified circumstances. No commercial milestone payments have been recognized to date.</w:t>
      </w:r>
    </w:p>
    <w:p>
      <w:pPr>
        <w:spacing w:after="0" w:line="18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at December 31, 2025, contract liabilities under the Amended Jazz Collaboration Agreement include $2.4 million received in relation to drug supply provided to Jazz.</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Agreements with BeOne, Ltd. (“BeOne”)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26, 2018, the Company entered into three concurrent agreements with BeOne whereby the Company granted BeOne royalty-bearing exclusive licenses for the research, development and commercialization of its bispecific therapeutic candidates, zanidatamab (formerly known as “ZW25”) (as amended on March 29, 2021 and August 10, 2021 and as otherwise modified, collectively “Zanidatamab Agreement”) and zanidatamab zovodotin (formerly known as “ZW49”) (as amended on May 25, 2020 and June 2, 2021, collectively “Zanidatamab Zovodotin Agreement”) in Asia (excluding Japan but including the People’s Republic of China, South Korea and other countries), Australia and New Zealand. In addition, the Company also granted BeOne a worldwide, royalty-bearing, antibody sequence pair-specific license to research, develop and commercialize globally three bispecific antibodies generated through the use of the Company’s Azymetric and EFECT platforms, which agreement expired in November 2023.</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these agreements, the Company received an upfront payment of $60.0 million for the totality of the rights described. The Company considered the fair value of performance obligations based on the Company’s best estimate of their relative stand-alone selling prices, and allocated $40.0 million of the transaction price to the license and collaboration agreements for zanidatamab and zanidatamab zovodotin and $20.0 million to the Company’s performance obligations under the research and licensing agreement for Azymetric and EFECT platforms.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Original License and Collaboration Agreements for Zanidatamab and Zanidatamab Zovodotin</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relation to the Zanidatamab Agreement, the Company identified the following promised goods and services at the inception of the BeOne agreement that are material: development and commercial licenses, initial transfer of the Company’s technologies and relevant know-how, continuing technology transfer, participation in the Joint Steering Committee (“JSC”) and other sub-committees, manufacturing technology transfer, provision of development supply, provision of commercial supply, and transfer of future rights related to the development and commercial license. The Company concluded that the licenses and initial technology transfer are distinct together and the continuing technology transfer and the Company’s participation to the JSC and other sub-committees’ activities are also distinct together. Remaining deliverables were individually determined to be distinct.</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Development and commercial licenses as well as initial transfer of technologies and relevant know-how were considered to be a single performance obligation. The consideration of $7.1 million allocated to this performance obligation was recognized as revenue over a two-month period during which the delivery of the license and transfer of the relevant technology occurred. Deliverables of continuing technology transfer and participation in the JSC and other sub-committees together were considered to be a single performance obligation and the consideration allocated to this performance obligation will be recognized as revenue over time as these activities are completed. Remaining deliverables are considered individually distinct and the revenue will be recognized as delivery or transfer of future rights to BeOne occurs.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March 2020, BeOne dosed the first patient in a two-arm Phase 1b/2 trial evaluating zanidatamab in combination with chemotherapy as a first-line treatment for patients with metastatic HER2+ breast cancer and in combination with chemotherapy and BeOne’s PD-1-targeted antibody tislelizumab as a first-line treatment for patients with metastatic HER2+ GEA. The Company recognized revenue of $5.0 million in relation to this milestone. In November 2020, BeOne dosed the first patient 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South Korea in the pivotal HERIZON-BTC-01 study. The Company recognized revenue of $10.0 million in relation to this milestone. In December 2021, BeOne dosed the first patient in South Korea in the pivotal HERIZON-GEA-01 study and the Company recognized revenue of $8.0 million in relation to this milestone.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relation to the Zanidatamab Zovodotin Agreement, the Company identified the following promised goods and services at the inception of the BeOne agreement that are material: development and commercial licenses, initial transfer of the Company’s technologies and relevant know-how, continuing technology transfer, participation in the JSC and other sub-committees, manufacturing technology transfer, provision of development supply, provision of commercial supply, and transfer of future rights related to the development and commercial license. The Company concluded that the licenses and initial technology transfer together were distinct together and the continuing technology transfer and the Company’s participation to the JSC and other sub-committees’ activities were also distinct together. Manufacturing technology transfer, provision of development supply and provision of commercial supply were individually determined to be distinct.</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Development and commercial licenses as well as initial transfer of technologies and relevant know-how were considered to be a single performance obligation while continuing technology transfer and participation in the JSC and other sub-committees together were considered as a single performance obligation. Remaining deliverables were considered individually distinct.</w:t>
      </w:r>
    </w:p>
    <w:p>
      <w:pPr>
        <w:spacing w:after="0" w:line="16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i w:val="1"/>
          <w:iCs w:val="1"/>
          <w:color w:val="auto"/>
        </w:rPr>
        <w:t>Termination of BeOne License and Collaboration Agreement Regarding Zanidatamab Zovodotin and Amendment of BeOne License and Collaboration Agreement Regarding Zanidatamab:</w:t>
      </w:r>
    </w:p>
    <w:p>
      <w:pPr>
        <w:spacing w:after="0" w:line="5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September 18, 2023, Zymeworks BC and BeOne entered into a Termination Agreement (the “Termination Agreement”) relating to the Zanidatamab Zovodotin Agreement. The Termination Agreement does not terminate the Zanidatamab Agreement (as defined below).</w:t>
      </w:r>
    </w:p>
    <w:p>
      <w:pPr>
        <w:spacing w:after="0" w:line="68" w:lineRule="exact"/>
        <w:rPr>
          <w:sz w:val="20"/>
          <w:szCs w:val="20"/>
          <w:color w:val="auto"/>
        </w:rPr>
      </w:pPr>
    </w:p>
    <w:p>
      <w:pPr>
        <w:jc w:val="both"/>
        <w:ind w:right="420"/>
        <w:spacing w:after="0" w:line="250" w:lineRule="auto"/>
        <w:rPr>
          <w:sz w:val="20"/>
          <w:szCs w:val="20"/>
          <w:color w:val="auto"/>
        </w:rPr>
      </w:pPr>
      <w:r>
        <w:rPr>
          <w:rFonts w:ascii="Times New Roman" w:cs="Times New Roman" w:eastAsia="Times New Roman" w:hAnsi="Times New Roman"/>
          <w:sz w:val="18"/>
          <w:szCs w:val="18"/>
          <w:color w:val="auto"/>
        </w:rPr>
        <w:t>Pursuant to the Termination Agreement, the Zanidatamab Zovodotin Agreement is terminated, effective as of September 18, 2023, and is no longer in effect, except that the termination does not relieve the parties from obligations under the Zanidatamab Zovodotin Agreement that accrued prior to the termination and certain other provisions expressly indicated to survive the termination, including certain licenses to BeOne intellectual property with respect to zanidatamab zovodotin.</w:t>
      </w:r>
    </w:p>
    <w:p>
      <w:pPr>
        <w:spacing w:after="0" w:line="177"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Under the Zanidatamab Zovodotin Agreement, no performance obligations were completed by the Company as the initial transfer of technologies and relevant know-how was not going to start until the earlier of completion of the Company’s Phase-1 clinical studies for zanidatamab zovodotin or completion of dose escalation studies. Accordingly, no revenue was recognized from the Zanidatamab Zovodotin Agreement to date.</w:t>
      </w:r>
    </w:p>
    <w:p>
      <w:pPr>
        <w:spacing w:after="0" w:line="6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connection with the entry into the Termination Agreement, on September 18, 2023, Zymeworks BC and BeOne also entered into the Third Amendment to License and Collaboration Agreement (the “Amendment”) relating to the Zanidatamab Agreement. Pursuant to the Amendment, Zymeworks BC is eligible to receive development and commercial milestone payments of up to $144.0 million, together with tiered royalties up to 19.5% of annual net sales in BeOne territories increasing up to 20% when cumulative amounts forgone as a result of a royalty reduction of 0.5% reaches a cap in the low double-digit millions of dollars. Pursuant to the Amendment, the remaining provisions of the Zanidatamab Agreement remain unchanged.</w:t>
      </w:r>
    </w:p>
    <w:p>
      <w:pPr>
        <w:spacing w:after="0" w:line="87"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The Termination Agreement and the Amendment did not have any financial impact on the Company's financial statements, other than allocation of consideration and performance obligations under the Zanidatamab Zovodotin Agreement to Zanidatamab Agreement. As of December 31, 2025, $14.6 million of the upfront fees is recorded as long-term deferred revenue on the Company’s consolidated balance sheet (December 31, 2024: $18.3 million as deferred revenue in current liabilities and $14.6 million as deferred revenue in long-term deferred revenue). Amounts not expected to be recognized as revenue within the next twelve months of the consolidated balance sheet date are classified as long-term deferred revenue.</w:t>
      </w:r>
    </w:p>
    <w:p>
      <w:pPr>
        <w:spacing w:after="0" w:line="11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In June 2024, the Company recognized $8.0 million of milestone revenue from BeOne in relation to the acceptance by the CDE of the NMPA in China of the BLA for zanidatamab for second-line treatment of HER2+ BTC. In May 2025, the Company recognized $20.0 million in non-refundable milestone revenue from BeOne upon approval of the BLA for zanidatamab for second-line treatment of HER2+ BTC by the NMPA in China. The Company also recognized $18.3 million of deferred revenue in relation to achievement of this milestone.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Research and License Agreement with Merck</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July 2020, the Company entered into a new licensing agreement with Merck granting Merck a worldwide, royalty-bearing license to research, develop and commercialize up to three new multispecific antibodies toward Merck’s therapeutic targets in the human health field and up to three new multispecific antibodies toward Merck’s therapeutic targets in the animal health field using the Company’s Azymetric and EFECT platforms. The Company is eligible to receive up to $419.3 million in option exercise fees and clinical development and regulatory approval milestone payments and up to $502.5 million in commercial milestone payments, as well as tiered royalties on worldwide sales.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Licensing and Collaboration Agreement with Celgene Corporation &amp; Celgene Alpine Investment Co. LLC (formerly “Celgene” and now a Bristol-Myers Squibb company, “BMS”)</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December 23, 2014, the Company entered into an agreement with Celgene (now “BMS”) to research, develop and commercialize bispecific antibodies generated through the use of the Company’s Azymetric platform. The Company will apply its Azymetric platform in combination with BMS’s proprietary targets to create novel bispecific antibodies for which BMS has an option to develop and commercialize a certain number of products (“Commercial License Option”).</w:t>
      </w:r>
    </w:p>
    <w:p>
      <w:pPr>
        <w:spacing w:after="0" w:line="112"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Upon the execution of the Agreement, the Company received an upfront payment of $8.0 million. This agreement was expanded in 2018 to increase the number of programs from eight to ten and to extend BMS’s research period and the Company received an expansion fee of $4.0 million. In June 2020, the Company’s existing collaboration agreement with BMS was amended to expand the license grant to include the use of the Company’s EFECT platform for the development of therapeutic candidates and to extend the research term. The amendment included an upfront expansion fee of $12.0 million paid to the Company and all other financial terms were unchanged. The Company’s performance obligations in relation to the upfront fee were met on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Accordingly, the upfront payment was recognized as revenue during the year ended December 31, 2020. As of December 31, 2025, BMS had</w:t>
      </w:r>
    </w:p>
    <w:p>
      <w:pPr>
        <w:spacing w:after="0" w:line="237" w:lineRule="auto"/>
        <w:rPr>
          <w:sz w:val="20"/>
          <w:szCs w:val="20"/>
          <w:color w:val="auto"/>
        </w:rPr>
      </w:pPr>
      <w:r>
        <w:rPr>
          <w:rFonts w:ascii="Times New Roman" w:cs="Times New Roman" w:eastAsia="Times New Roman" w:hAnsi="Times New Roman"/>
          <w:sz w:val="18"/>
          <w:szCs w:val="18"/>
          <w:color w:val="auto"/>
        </w:rPr>
        <w:t>exercised two commercial license options and the Company received $15.0 million of option payments in total, but in 2023 BMS stopped development of</w:t>
      </w:r>
    </w:p>
    <w:p>
      <w:pPr>
        <w:spacing w:after="0" w:line="234" w:lineRule="auto"/>
        <w:rPr>
          <w:sz w:val="20"/>
          <w:szCs w:val="20"/>
          <w:color w:val="auto"/>
        </w:rPr>
      </w:pPr>
      <w:r>
        <w:rPr>
          <w:rFonts w:ascii="Times New Roman" w:cs="Times New Roman" w:eastAsia="Times New Roman" w:hAnsi="Times New Roman"/>
          <w:sz w:val="18"/>
          <w:szCs w:val="18"/>
          <w:color w:val="auto"/>
        </w:rPr>
        <w:t>one of these programs. BMS’s right to exercise options on eight programs expired in 2024 after the conclusion of BMS’s research period. As at</w:t>
      </w:r>
    </w:p>
    <w:p>
      <w:pPr>
        <w:spacing w:after="0" w:line="235" w:lineRule="auto"/>
        <w:rPr>
          <w:sz w:val="20"/>
          <w:szCs w:val="20"/>
          <w:color w:val="auto"/>
        </w:rPr>
      </w:pPr>
      <w:r>
        <w:rPr>
          <w:rFonts w:ascii="Times New Roman" w:cs="Times New Roman" w:eastAsia="Times New Roman" w:hAnsi="Times New Roman"/>
          <w:sz w:val="18"/>
          <w:szCs w:val="18"/>
          <w:color w:val="auto"/>
        </w:rPr>
        <w:t>December 31, 2025, the Company remains eligible to receive up to $313.0 million for the two remaining programs (or $156.5 million not including the one</w:t>
      </w:r>
    </w:p>
    <w:p>
      <w:pPr>
        <w:spacing w:after="0" w:line="235" w:lineRule="auto"/>
        <w:rPr>
          <w:sz w:val="20"/>
          <w:szCs w:val="20"/>
          <w:color w:val="auto"/>
        </w:rPr>
      </w:pPr>
      <w:r>
        <w:rPr>
          <w:rFonts w:ascii="Times New Roman" w:cs="Times New Roman" w:eastAsia="Times New Roman" w:hAnsi="Times New Roman"/>
          <w:sz w:val="18"/>
          <w:szCs w:val="18"/>
          <w:color w:val="auto"/>
        </w:rPr>
        <w:t>program for which BMS stopped development in 2023), comprised of development milestone payments of up to $101.5 million per program, and</w:t>
      </w:r>
    </w:p>
    <w:p>
      <w:pPr>
        <w:spacing w:after="0" w:line="235" w:lineRule="auto"/>
        <w:rPr>
          <w:sz w:val="20"/>
          <w:szCs w:val="20"/>
          <w:color w:val="auto"/>
        </w:rPr>
      </w:pPr>
      <w:r>
        <w:rPr>
          <w:rFonts w:ascii="Times New Roman" w:cs="Times New Roman" w:eastAsia="Times New Roman" w:hAnsi="Times New Roman"/>
          <w:sz w:val="18"/>
          <w:szCs w:val="18"/>
          <w:color w:val="auto"/>
        </w:rPr>
        <w:t>commercial milestone payments of up to $55.0 million per program. In addition, the Company is eligible to receive tiered royalties calculated upon the</w:t>
      </w:r>
    </w:p>
    <w:p>
      <w:pPr>
        <w:spacing w:after="0" w:line="235" w:lineRule="auto"/>
        <w:rPr>
          <w:sz w:val="20"/>
          <w:szCs w:val="20"/>
          <w:color w:val="auto"/>
        </w:rPr>
      </w:pPr>
      <w:r>
        <w:rPr>
          <w:rFonts w:ascii="Times New Roman" w:cs="Times New Roman" w:eastAsia="Times New Roman" w:hAnsi="Times New Roman"/>
          <w:sz w:val="18"/>
          <w:szCs w:val="18"/>
          <w:color w:val="auto"/>
        </w:rPr>
        <w:t>global net sales of the resulting products. BMS will have exclusive worldwide commercialization rights to products derived from the agreement for those</w:t>
      </w:r>
    </w:p>
    <w:p>
      <w:pPr>
        <w:spacing w:after="0" w:line="234" w:lineRule="auto"/>
        <w:rPr>
          <w:sz w:val="20"/>
          <w:szCs w:val="20"/>
          <w:color w:val="auto"/>
        </w:rPr>
      </w:pPr>
      <w:r>
        <w:rPr>
          <w:rFonts w:ascii="Times New Roman" w:cs="Times New Roman" w:eastAsia="Times New Roman" w:hAnsi="Times New Roman"/>
          <w:sz w:val="18"/>
          <w:szCs w:val="18"/>
          <w:color w:val="auto"/>
        </w:rPr>
        <w:t>product candidates that BMS elected to exercise its commercial license option. As BMS’s research period has concluded, BMS is solely responsible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development, manufacturing and commercialization of the products.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Collaboration and License Agreement with GlaxoSmithKline Intellectual Property Development Ltd. (“GSK”)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1, 2015, the Company entered into a collaboration and license agreement with GSK for the research, development, and commercialization of up to ten Fc-engineered monoclonal and bispecific antibodies generated through the use of the Company’s EFECT and Azymetric platforms. The Company and GSK will collaborate to further develop the Company’s EFECT platform through the design, engineering, and testing of novel engineered Fc domains tailored to induce specific antibody-mediated immune responses.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the conclusion of the research collaboration, both GSK and the Company will have the right to develop and commercialize monoclonal and bispecific antibody candidates that incorporate the Company’s optimized immune-modulating Fc domains.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terms of the agreement, GSK will have the right to develop a minimum of four products across multiple disease areas, and the Company will be eligible to receive up to $1.1 billion, including research, development, and commercial milestones of up to $110.0 million for each product. In addition, the Company is eligible to receive tiered sales royalties in the low single digits on net sales of products. Under this agreement, the Company is sharing certain research and development responsibilities with GSK to generate new Fc-engineered antibodies. Each party will bear its own costs for the responsibilities assigned to it during the research period. Furthermore, the Company will have the right to develop up to four products, free of royalties, using the new intellectual property arising from the collaboration and after a period of time, to grant licenses to such</w:t>
      </w:r>
    </w:p>
    <w:p>
      <w:pPr>
        <w:spacing w:after="0" w:line="5"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7"/>
          <w:szCs w:val="17"/>
          <w:color w:val="auto"/>
        </w:rPr>
        <w:t>intellectual property for development of additional products by third parties without any royalty or milestone payment to GSK. The Company determined that, the events and conditions resulting in payments for research, development and commercial milestones solely depend on GSK’s performance.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development or commercial milestone payments or royalties have been received to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Platform Technology Transfer and License Agreement with GSK</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April 21, 2016, the Company entered into a platform technology transfer and license agreement with GSK for the research, development, and commercialization of up to six bispecific antibodies enabled using the Company’s Azymetric platform. Each of the two agreements with GSK were negotiated independently and the deliverables covered by the respective contracts utilize different therapeutic platforms and are unrelated to one another. Accordingly, the Platform Technology and License Agreement with GSK has been accounted for as a new arrangement. In May 2019, this agreement was expanded to provide GSK access to the Company’s unique heavy-light chain pairing technology under the Azymetric platform. This may include bispecific antibodies incorporating new engineered Fc regions generated under the 2015 GSK agreement.</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eligible to receive up to $1.1 billion in milestone and other payments. From contract inception to December 31, 2025, the Company has received an upfront technology access fee payment of $6.0 million. In July 2024, the Company recognized $2.5 million of milestone revenue from GSK in relation to the sequence pair nomination by GSK under the 2016 agreement between the Company and GSK. Furthermore, in January 2025, the Company recognized $14.0 million of milestone revenue associated with a clinical milestone. As of December 31, 2025, the Company is also eligible to receive research milestone payments of up to $35.0 million, development milestone payments of up to $168.5 million and commercial milestone payments of up to $867.0 million. In addition, the Company is entitled to receive tiered royalties in the low to mid-single digits on product sales. The Company determined that, the events and conditions resulting in payments for research, development and commercial milestones solely depend on GSK’s performance.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commercial milestone payments or royalties have been received to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Collaboration Agreement with Daiichi Sankyo, Co., Ltd. (“Daiichi Sankyo”)</w:t>
      </w:r>
    </w:p>
    <w:p>
      <w:pPr>
        <w:spacing w:after="0" w:line="12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On September 26, 2016, the Company and Daiichi Sankyo entered into a collaboration and cross license agreement which was amended on September 25, 2018, July 2, 2021, and June 6, 2022 (collectively, the “2016 Daiichi Collaboration Agreement”) for the research, development, and commercialization of one bispecific antibody enabled using the Company’s Azymetric and EFECT platforms. Additionally, the Company was able to license immuno-oncology antibodies from Daiichi Sankyo, with the right to research, develop and commercialize multiple products globally in exchange for royalties on product sales. Under the agreement, Daiichi Sankyo had the option to develop and commercialize a single bispecific immuno-oncology therapeutic.</w:t>
      </w:r>
    </w:p>
    <w:p>
      <w:pPr>
        <w:spacing w:after="0" w:line="1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From contract inception to the termination of 2016 Daiichi Collaboration agreement as defined below, the Company has received an upfront technology access fee payment of $2.0 million and research and commercial option related payments totaling $4.5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the 2016 Daiichi Sankyo Collaboration Agreement</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March 2023, Zymeworks BC and Daiichi Sankyo terminated the 2016 Daiichi Collaboration Agreement and is no longer in effect, except that the termination does not relieve the parties from obligations under the 2016 Daiichi Collaboration Agreement that have accrued prior to the termination or provisions of the 2016 Daiichi Collaboration Agreement expressly indicated in the 2016 Daiichi Collaboration Agreement or the Termination and License Agreement to survive the termination. The termination of the 2016 Daiichi Collaboration Agreement did not have any financial impact during the year ended December 31,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Licensing Agreement with Daiichi Sankyo</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May 2018, the Company entered into a second license agreement with Daiichi Sankyo to research, develop and commercialize two bispecific antibodies generated through the use of the Company’s Azymetric and EFECT platforms. Under the terms of the agreement, the Company granted Daiichi Sankyo a worldwide, royalty-bearing, antibody sequence pair-specific, exclusive license to research, develop and commercialize certain products. Under the agreement, Daiichi Sankyo will be solely responsible for the research, development, manufacturing and commercialization of the products.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terms of the agreement, the Company was eligible to receive up to $484.7 million in various milestone and other payments. At inception, the Company received an upfront technology access fee payment of $18.0 million. In March 2025, the Company recognized $3.1 million of milestone revenue from Daiichi Sankyo following the first patient dosed in a clinical trial related to the 2018 license agreement between the Company and Daiichi Sankyo. As of December 31, 2025, the Company remains eligible to receive development milestone payments totaling up to $60.3 million and commercial milestone payments of up to $170.0 million. In addition, the Company is eligible to receive tiered royalties ranging from the low single digits up to 10% on product sales, with the royalty term being, on a product-by-product and country-by-country basis, either (i) for as long as there is Zymeworks platform patent coverage on products, or (ii) for 10 years beginning from the first commercial sale, whichever period is longer. If there is no Zymeworks patent coverage on products, royalty rates may be reduced.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development or commercial milestone payments or royalties have been received to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Janssen Biotech, Inc. (“Janssen”)</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November 13, 2017, the Company entered into a collaboration and license agreement with Janssen to research, develop and commercialize up to six bispecific antibodies generated through the use of the Company’s Azymetric and EFECT platforms. Under the terms of the agreement, the Company granted Janssen a worldwide, royalty-bearing, antibody group-specific</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exclusive license to research, develop and commercialize certain products. Janssen also has the option to develop two additional bispecific antibodies under this agreement subject to a future option payment. Under the agreement, Janssen will be solely responsible for the research, development, manufacturing and commercialization of the products.</w:t>
      </w:r>
    </w:p>
    <w:p>
      <w:pPr>
        <w:spacing w:after="0" w:line="3"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8"/>
          <w:szCs w:val="18"/>
          <w:color w:val="auto"/>
        </w:rPr>
        <w:t>The Company was originally eligible to receive up to $1.45 billion in various license and milestone payments. From contract inception to December 31, 2025, the Company has received an upfront payment of $50.0 million and development milestones totaling $33.0 million which included $8.0 million in connection with the initiation of clinical trials of two bispecific antibodies and $25.0 million related to clinical progress of pasritamig entering into a Phase 3 trial in metastatic castration-resistant prostate cancer. Pasritamig is a first-in-class, bispecific T-cell engager targeting human kallikrein 2 (KLK2), engineered using Zymeworks’ Azymetric platform. Janssen has deprioritized the development of one of those two bispecific antibodies, and in 2023 the research program term under the agreement ended with respect to the remaining four bispecific antibodies. As a result, the Company remains eligible to receive development milestone payments of up to $61.0 million and commercial milestone payments of up to $373.0 million ($18.0 million and</w:t>
      </w:r>
    </w:p>
    <w:p>
      <w:pPr>
        <w:spacing w:after="0" w:line="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$186.5 million, respectively, not including the bispecific antibody that Janssen has deprioritized). In addition, the Company is eligible to receive tiered royalties in the mid-single digits on product sales, with the royalty term being, on a product-by-product and country-by-country basis, either (i) for as long as there is Zymeworks platform patent coverage on products, or (ii) for 10 years, beginning from the first commercial sale, whichever period is longer. If there is no Zymeworks patent coverage on products, royalty rates may be potentially reduced. Janssen has the right, prior to the first dosing of a patient in a Phase 3 clinical trial for a product, to buy down the royalty relating to such product by one percentage point with a payment of $10.0 million. The Company determined that, the events and conditions resulting in payments for research, development and commercial milestones solely depend on Janssen’s performance.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commercial milestone payments or royalties have been received to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License Agreement with LEO Pharma A/S (“LEO”)</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On October 23, 2018, the Company entered into a research and license agreement with LEO. The Company granted LEO a worldwide, royalty-bearing, antibody sequence pair-specific exclusive license to research, develop and commercialize two bispecific antibodies, generated through the use of the Company’s Azymetric and EFECT platforms, for dermatologic indications. The Company will retain rights to develop antibodies resulting from this collaboration in all other therapeutic areas. The Company and LEO are jointly responsible for certain research activities, with the Company’s cost to be fully reimbursed by LEO. Each party is solely responsible for the development, manufacturing, and commercialization of their own products.</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this agreement, the Company received an upfront payment of $5.0 million. No development or commercial milestone payments or royalties have been received to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LEO Research and License Agreement</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27, 2023, Zymeworks BC received written notice from LEO Pharma A/S (“LEO”), stating that LEO elected to terminate, in its entirety, the Research and License Agreement. In accordance with the terms of the Research and License Agreement, the termination of such agreement was effective on January 25, 2024. The termination of the LEO Research and License Agreement did not have any financial impact during the year ended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Income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provision for income taxes was as follows: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(62,945)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(79,754)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 expense is comprised of the following:</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provision:</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provision:</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6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68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7"/>
              </w:rPr>
              <w:t>(189)</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 recovery</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260" w:type="dxa"/>
            <w:vAlign w:val="bottom"/>
            <w:tcBorders>
              <w:bottom w:val="single" w:sz="8" w:color="auto"/>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Current income tax expense for the years ended December 31, 2025, 2024 and 2023 arose from the operations of the Company and its wholly owned subsidiaries in Canada, in the United States, in Ireland and in Singapore, as well as withholding taxes paid by the Company abroad in 2025, 2024 and 2023.</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statutory U.S. federal income tax rate to income before income taxes after the adoption of ASU 2023-09 is as follows: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2980" w:type="dxa"/>
            <w:vAlign w:val="bottom"/>
            <w:gridSpan w:val="3"/>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1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190"/>
        </w:trPr>
        <w:tc>
          <w:tcPr>
            <w:tcW w:w="71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2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7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&amp; local income tax, net of federal income tax effect </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Tax rate differential</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Provincial tax rate differential</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29"/>
        </w:trPr>
        <w:tc>
          <w:tcPr>
            <w:tcW w:w="7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Effect of cross-border laws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SR&amp;ED Tax Credits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7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Enactment of new tax laws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laws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Base Company Income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7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left="180" w:hanging="172"/>
        <w:spacing w:after="0"/>
        <w:tabs>
          <w:tab w:leader="none" w:pos="180" w:val="left"/>
        </w:tabs>
        <w:numPr>
          <w:ilvl w:val="0"/>
          <w:numId w:val="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State taxes in New York, New Jersey, and Texas made up the majority of the tax effect in this category for the year ended December, 31 2025.</w:t>
      </w:r>
    </w:p>
    <w:p>
      <w:pPr>
        <w:spacing w:after="0" w:line="1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statutory U.S. federal income tax rate to income before income taxes for years prior to the adoption of ASU 2023-09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taxes at United States statutory income tax rate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Difference between domestic and foreign tax rate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prior year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48,724</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(78,668)</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recognition and measurement of tax positions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due to SR&amp;ED and research credits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48"/>
        </w:trPr>
        <w:tc>
          <w:tcPr>
            <w:tcW w:w="7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225" w:right="6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8"/>
          <w:szCs w:val="18"/>
          <w:color w:val="auto"/>
        </w:rPr>
        <w:t>Deferred income tax assets and liabilities result from the temporary differences between the amounts of assets and liabilities recognized for financial statement and income tax purposes. The significant components of the deferred income tax assets and liabilities are as follows: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16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6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4"/>
        </w:trPr>
        <w:tc>
          <w:tcPr>
            <w:tcW w:w="20" w:type="dxa"/>
            <w:vAlign w:val="bottom"/>
            <w:shd w:val="clear" w:color="auto" w:fill="CCEEFF"/>
          </w:tcPr>
          <w:p>
            <w:pPr>
              <w:spacing w:after="0"/>
              <w:rPr>
                <w:sz w:val="15"/>
                <w:szCs w:val="15"/>
                <w:color w:val="auto"/>
              </w:rPr>
            </w:pPr>
          </w:p>
        </w:tc>
        <w:tc>
          <w:tcPr>
            <w:tcW w:w="7940" w:type="dxa"/>
            <w:vAlign w:val="bottom"/>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Non-capital losses carried forward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199,946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177,660</w:t>
            </w:r>
          </w:p>
        </w:tc>
      </w:tr>
      <w:tr>
        <w:trPr>
          <w:trHeight w:val="230"/>
        </w:trPr>
        <w:tc>
          <w:tcPr>
            <w:tcW w:w="2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w:t>
            </w:r>
          </w:p>
        </w:tc>
      </w:tr>
      <w:tr>
        <w:trPr>
          <w:trHeight w:val="229"/>
        </w:trPr>
        <w:tc>
          <w:tcPr>
            <w:tcW w:w="20" w:type="dxa"/>
            <w:vAlign w:val="bottom"/>
          </w:tcPr>
          <w:p>
            <w:pPr>
              <w:spacing w:after="0"/>
              <w:rPr>
                <w:sz w:val="19"/>
                <w:szCs w:val="19"/>
                <w:color w:val="auto"/>
              </w:rPr>
            </w:pP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29"/>
        </w:trPr>
        <w:tc>
          <w:tcPr>
            <w:tcW w:w="2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20" w:type="dxa"/>
            <w:vAlign w:val="bottom"/>
          </w:tcPr>
          <w:p>
            <w:pPr>
              <w:spacing w:after="0"/>
              <w:rPr>
                <w:sz w:val="19"/>
                <w:szCs w:val="19"/>
                <w:color w:val="auto"/>
              </w:rPr>
            </w:pP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29"/>
        </w:trPr>
        <w:tc>
          <w:tcPr>
            <w:tcW w:w="2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deductions and credits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50,415</w:t>
            </w:r>
          </w:p>
        </w:tc>
      </w:tr>
      <w:tr>
        <w:trPr>
          <w:trHeight w:val="229"/>
        </w:trPr>
        <w:tc>
          <w:tcPr>
            <w:tcW w:w="20" w:type="dxa"/>
            <w:vAlign w:val="bottom"/>
          </w:tcPr>
          <w:p>
            <w:pPr>
              <w:spacing w:after="0"/>
              <w:rPr>
                <w:sz w:val="19"/>
                <w:szCs w:val="19"/>
                <w:color w:val="auto"/>
              </w:rPr>
            </w:pP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w:t>
            </w:r>
          </w:p>
        </w:tc>
      </w:tr>
      <w:tr>
        <w:trPr>
          <w:trHeight w:val="230"/>
        </w:trPr>
        <w:tc>
          <w:tcPr>
            <w:tcW w:w="2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r>
      <w:tr>
        <w:trPr>
          <w:trHeight w:val="229"/>
        </w:trPr>
        <w:tc>
          <w:tcPr>
            <w:tcW w:w="20" w:type="dxa"/>
            <w:vAlign w:val="bottom"/>
            <w:tcBorders>
              <w:bottom w:val="single" w:sz="8" w:color="CCEEFF"/>
            </w:tcBorders>
          </w:tcPr>
          <w:p>
            <w:pPr>
              <w:spacing w:after="0"/>
              <w:rPr>
                <w:sz w:val="19"/>
                <w:szCs w:val="19"/>
                <w:color w:val="auto"/>
              </w:rPr>
            </w:pPr>
          </w:p>
        </w:tc>
        <w:tc>
          <w:tcPr>
            <w:tcW w:w="79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258,248</w:t>
            </w:r>
          </w:p>
        </w:tc>
      </w:tr>
      <w:tr>
        <w:trPr>
          <w:trHeight w:val="189"/>
        </w:trPr>
        <w:tc>
          <w:tcPr>
            <w:tcW w:w="20" w:type="dxa"/>
            <w:vAlign w:val="bottom"/>
          </w:tcPr>
          <w:p>
            <w:pPr>
              <w:spacing w:after="0"/>
              <w:rPr>
                <w:sz w:val="16"/>
                <w:szCs w:val="16"/>
                <w:color w:val="auto"/>
              </w:rPr>
            </w:pPr>
          </w:p>
        </w:tc>
        <w:tc>
          <w:tcPr>
            <w:tcW w:w="79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20" w:type="dxa"/>
            <w:vAlign w:val="bottom"/>
          </w:tcPr>
          <w:p>
            <w:pPr>
              <w:spacing w:after="0"/>
              <w:rPr>
                <w:sz w:val="19"/>
                <w:szCs w:val="19"/>
                <w:color w:val="auto"/>
              </w:rPr>
            </w:pP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r>
      <w:tr>
        <w:trPr>
          <w:trHeight w:val="229"/>
        </w:trPr>
        <w:tc>
          <w:tcPr>
            <w:tcW w:w="2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basis difference in foreign subsidiary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r>
      <w:tr>
        <w:trPr>
          <w:trHeight w:val="230"/>
        </w:trPr>
        <w:tc>
          <w:tcPr>
            <w:tcW w:w="20" w:type="dxa"/>
            <w:vAlign w:val="bottom"/>
          </w:tcPr>
          <w:p>
            <w:pPr>
              <w:spacing w:after="0"/>
              <w:rPr>
                <w:sz w:val="19"/>
                <w:szCs w:val="19"/>
                <w:color w:val="auto"/>
              </w:rPr>
            </w:pP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229"/>
        </w:trPr>
        <w:tc>
          <w:tcPr>
            <w:tcW w:w="2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r>
      <w:tr>
        <w:trPr>
          <w:trHeight w:val="229"/>
        </w:trPr>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248,842</w:t>
            </w:r>
          </w:p>
        </w:tc>
      </w:tr>
      <w:tr>
        <w:trPr>
          <w:trHeight w:val="230"/>
        </w:trPr>
        <w:tc>
          <w:tcPr>
            <w:tcW w:w="20" w:type="dxa"/>
            <w:vAlign w:val="bottom"/>
            <w:tcBorders>
              <w:bottom w:val="single" w:sz="8" w:color="CCEEFF"/>
            </w:tcBorders>
          </w:tcPr>
          <w:p>
            <w:pPr>
              <w:spacing w:after="0"/>
              <w:rPr>
                <w:sz w:val="19"/>
                <w:szCs w:val="19"/>
                <w:color w:val="auto"/>
              </w:rPr>
            </w:pPr>
          </w:p>
        </w:tc>
        <w:tc>
          <w:tcPr>
            <w:tcW w:w="79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(249,218)</w:t>
            </w:r>
          </w:p>
        </w:tc>
      </w:tr>
      <w:tr>
        <w:trPr>
          <w:trHeight w:val="223"/>
        </w:trPr>
        <w:tc>
          <w:tcPr>
            <w:tcW w:w="2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3"/>
        </w:trPr>
        <w:tc>
          <w:tcPr>
            <w:tcW w:w="20" w:type="dxa"/>
            <w:vAlign w:val="bottom"/>
          </w:tcPr>
          <w:p>
            <w:pPr>
              <w:spacing w:after="0"/>
              <w:rPr>
                <w:sz w:val="19"/>
                <w:szCs w:val="19"/>
                <w:color w:val="auto"/>
              </w:rPr>
            </w:pP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r>
      <w:tr>
        <w:trPr>
          <w:trHeight w:val="230"/>
        </w:trPr>
        <w:tc>
          <w:tcPr>
            <w:tcW w:w="2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r>
      <w:tr>
        <w:trPr>
          <w:trHeight w:val="223"/>
        </w:trPr>
        <w:tc>
          <w:tcPr>
            <w:tcW w:w="20" w:type="dxa"/>
            <w:vAlign w:val="bottom"/>
          </w:tcPr>
          <w:p>
            <w:pPr>
              <w:spacing w:after="0"/>
              <w:rPr>
                <w:sz w:val="19"/>
                <w:szCs w:val="19"/>
                <w:color w:val="auto"/>
              </w:rPr>
            </w:pP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(liabilities)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evaluating the ability to realize the net deferred tax assets, all available positive and negative evidence was considered, including the Company's past operating results and the forecast of future market growth, forecasted earnings, future taxable income, and prudent and feasible tax planning strategies. The change in the valuation allowance from December 31, 2024 to December 31, 2025 primarily relates to loss carryforward attributes sustained in the current reporting period that are not more-likely-than-not to be realized.</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has net operating losses carried forward for tax purposes in Canada, which are available to reduce taxable income of future years of approximately $737.0 million (December 31, 2024: $658.0 million) expiring commencing 2035 through 2045.</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December 31, 2025, the Company also has unclaimed tax deductions for scientific research and experimental development expenditures of approximately $121.0 million (December 31, 2024: $108.6 million) available to reduce taxable income of future years in Canada, with no expiry. At December 31, 2025, the Company has approximately $28.0 million (December 31, 2024: $25.0 million) of investment tax credits available to offset Canadian federal and provincial taxes payable expiring commencing in 2039 through 2045, and has approximately $1.1 million (December 31, 2024: $0.9 million) of research tax credits available to offset U.S. federal taxes payable expiring commencing in 2042 through 2045.</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total unrecognized tax benefits for the years ended December 31, 2025, 2024, and 2023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3"/>
        </w:trPr>
        <w:tc>
          <w:tcPr>
            <w:tcW w:w="6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8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related to prior year tax positions</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to tax positions in prior periods</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to current period tax positions</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due to settlements with taxing authorities</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decreases due to statute of limitations lapse</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82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at December 31, 2025, 2024 and 2023 are potential benefits of nil that, if recognized, would affect the effective tax rate on income from continuing operations. Recognition of these potential benefits would result in a deferred tax asset in the form of net operating loss carry-forward, which would be subject to a valuation allowance based on conditions existing at the reporting date.</w:t>
      </w:r>
    </w:p>
    <w:p>
      <w:pPr>
        <w:spacing w:after="0" w:line="17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expense and penalties related to unrecognized tax benefits within the provision for income tax expense on the consolidated statements of loss and comprehensive loss.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currently files income tax returns in Canada, the United States, the United Kingdom, Ireland and Singapore, the jurisdictions in which the Company believes that it is subject to tax. Further, while the statute of limitations in each jurisdiction where an income tax return has been filed generally limits the examination period, as a result of loss carry-forwards, the limitation period for examination generally does not expire until several years after the loss carry-forwards are utilized. Other than routine audits by tax authorities for tax credits and tax refunds that the Company has claimed, management is not aware of any other material income tax examination currently in progress by any taxing jurisdiction. Tax years ranging from 2006 to 2025 remain subject to Canadian income tax examinations. Tax years ranging from 2022 to 2025 remain subject to U.S. income tax examinations. Tax years ranging from 2022 to 2025 remain subject to United Kingdom income tax examinations. Tax years 2023 to 2025 remains subject to Ireland and Singapore income tax examinations.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of cash income taxes paid by the Company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Ireland</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30"/>
        </w:trPr>
        <w:tc>
          <w:tcPr>
            <w:tcW w:w="6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 other foreign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 of amounts refunded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1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The lease for the Company’s office and laboratory spaces in Vancouver, British Columbia, which was entered into in January 2019, has an initial term expiring in February 2032, with two five-year extension options. In addition, the Company leases office spaces in Bellevue, Washington and in Redwood City, California with lease terms expiring between August 2027 and July 2029. None of the optional extension periods have been included in the determination of the right-of-use assets or the lease liabilities for operating leases as the Company did not consider it reasonably certain that the Company would exercise any such options.</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leases office equipment under capital lease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sheet classification of the Company’s lease liabilities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2,740</w:t>
            </w: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portion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14,796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15,738</w:t>
            </w:r>
          </w:p>
        </w:tc>
      </w:tr>
      <w:tr>
        <w:trPr>
          <w:trHeight w:val="223"/>
        </w:trPr>
        <w:tc>
          <w:tcPr>
            <w:tcW w:w="79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18,267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18,478</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included in other current liabilities</w:t>
            </w:r>
          </w:p>
        </w:tc>
        <w:tc>
          <w:tcPr>
            <w:tcW w:w="2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portion included in other long-term liabilities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9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18,534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13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5.2 years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years</w:t>
            </w: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 in U.S. dollars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 in Canadian dollars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for fixed lease payments for the year ended December 31, 2025 was</w:t>
      </w:r>
    </w:p>
    <w:p>
      <w:pPr>
        <w:spacing w:after="0" w:line="16"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color w:val="auto"/>
        </w:rPr>
        <w:t>$4,270 (2024: $4,152) and was included in net cash used in operating activities in the consolidated statement of cash flows. In addition, on April 4, 2024, the Company terminated its long-term facility lease in Seattle, pursuant to which the Company paid $6,075 as a termination fee.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maturities of the Company’s operating lease liabilities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6"/>
        </w:trPr>
        <w:tc>
          <w:tcPr>
            <w:tcW w:w="99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29"/>
        </w:trPr>
        <w:tc>
          <w:tcPr>
            <w:tcW w:w="9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Within 1 year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r>
      <w:tr>
        <w:trPr>
          <w:trHeight w:val="230"/>
        </w:trPr>
        <w:tc>
          <w:tcPr>
            <w:tcW w:w="9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 to 2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r>
      <w:tr>
        <w:trPr>
          <w:trHeight w:val="229"/>
        </w:trPr>
        <w:tc>
          <w:tcPr>
            <w:tcW w:w="9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 to 3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r>
      <w:tr>
        <w:trPr>
          <w:trHeight w:val="230"/>
        </w:trPr>
        <w:tc>
          <w:tcPr>
            <w:tcW w:w="9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 to 4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r>
      <w:tr>
        <w:trPr>
          <w:trHeight w:val="230"/>
        </w:trPr>
        <w:tc>
          <w:tcPr>
            <w:tcW w:w="9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 to 5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r>
      <w:tr>
        <w:trPr>
          <w:trHeight w:val="230"/>
        </w:trPr>
        <w:tc>
          <w:tcPr>
            <w:tcW w:w="9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r>
      <w:tr>
        <w:trPr>
          <w:trHeight w:val="223"/>
        </w:trPr>
        <w:tc>
          <w:tcPr>
            <w:tcW w:w="9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22,964</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9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18,267</w:t>
            </w:r>
          </w:p>
        </w:tc>
      </w:tr>
      <w:tr>
        <w:trPr>
          <w:trHeight w:val="21"/>
        </w:trPr>
        <w:tc>
          <w:tcPr>
            <w:tcW w:w="9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components of the operating leases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expenses: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expense</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3,355</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w:t>
            </w: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Variable lease expense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29"/>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Termination of long-term facility lease in Seattle, net</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5,612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recognized $316 of impairment losses on its right-of-use assets (2024: nil and 2023: nil).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entered into research collaboration agreements with strategic partners in the ordinary course of operations that may include contractual milestone payments related to the achievement of pre-specified research, development, regulatory and commercialization events and indemnification provisions, which are common in such agreements. Pursuant to the agreements, the Company is obligated to make research and development and regulatory milestone payments upon the occurrence of certain events and royalty payments based on net sales. The maximum amount of potential future indemnification is unlimited, however, the Company currently holds commercial and product liability insurance that limits the Company’s liability and may enable it to recover a portion of any future amounts paid. Historically, the Company has not made any indemnification payments under such agreements and believes that the fair value of these indemnification obligations is minimal. Accordingly, the Company has not recognized any liabilities relating to indemnification obligations for any period presented in the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Company’s 2016 Kairos acquisition, the Company may be required to make future payments of up to an</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aggregate of C$8,500, consisting of (i) a C$2,500 payment when the first patient is dosed in the first Phase 2 trial and (ii) a C$6,000 payment when the first patient is dosed in the first Phase 3 trial, to CDRD Ventures Inc. (“CVI”) upon the direct achievement of certain development milestones for products incorporating certain Kairos intellectual property (such as zanidatamab zovodotin or other product candidates using our ZymeLink technology). In addition, CVI is eligible to receive low single-digit royalty payments from the Company on the net sales of such products. For out-licensed products and technologies incorporating certain Kairos intellectual property, the Company may also be required to pay CVI a mid-single digit percentage of certain future revenue. As of December 31, 2025, the contingent consideration had an estimated fair value of nil, (December 31, 2024: nil) (note 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liability for contingent consideration:</w:t>
      </w:r>
    </w:p>
    <w:p>
      <w:pPr>
        <w:spacing w:after="0" w:line="251"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4"/>
          <w:szCs w:val="14"/>
          <w:b w:val="1"/>
          <w:bCs w:val="1"/>
          <w:color w:val="auto"/>
        </w:rPr>
        <w:t>Increase</w:t>
      </w:r>
    </w:p>
    <w:p>
      <w:pPr>
        <w:ind w:left="7340"/>
        <w:spacing w:after="0" w:line="221" w:lineRule="auto"/>
        <w:rPr>
          <w:sz w:val="20"/>
          <w:szCs w:val="20"/>
          <w:color w:val="auto"/>
        </w:rPr>
      </w:pPr>
      <w:r>
        <w:rPr>
          <w:rFonts w:ascii="Times New Roman" w:cs="Times New Roman" w:eastAsia="Times New Roman" w:hAnsi="Times New Roman"/>
          <w:sz w:val="14"/>
          <w:szCs w:val="14"/>
          <w:b w:val="1"/>
          <w:bCs w:val="1"/>
          <w:color w:val="auto"/>
        </w:rPr>
        <w:t>(decrease) in</w:t>
      </w:r>
    </w:p>
    <w:p>
      <w:pPr>
        <w:ind w:left="7360"/>
        <w:spacing w:after="0" w:line="221" w:lineRule="auto"/>
        <w:rPr>
          <w:sz w:val="20"/>
          <w:szCs w:val="20"/>
          <w:color w:val="auto"/>
        </w:rPr>
      </w:pPr>
      <w:r>
        <w:rPr>
          <w:rFonts w:ascii="Times New Roman" w:cs="Times New Roman" w:eastAsia="Times New Roman" w:hAnsi="Times New Roman"/>
          <w:sz w:val="14"/>
          <w:szCs w:val="14"/>
          <w:b w:val="1"/>
          <w:bCs w:val="1"/>
          <w:color w:val="auto"/>
        </w:rPr>
        <w:t>fair value of</w:t>
      </w:r>
    </w:p>
    <w:tbl>
      <w:tblPr>
        <w:tblLayout w:type="fixed"/>
        <w:tblInd w:w="0" w:type="dxa"/>
        <w:tblCellMar>
          <w:top w:w="0" w:type="dxa"/>
          <w:left w:w="0" w:type="dxa"/>
          <w:bottom w:w="0" w:type="dxa"/>
          <w:right w:w="0" w:type="dxa"/>
        </w:tblCellMar>
      </w:tblPr>
      <w:tr>
        <w:trPr>
          <w:trHeight w:val="129"/>
        </w:trPr>
        <w:tc>
          <w:tcPr>
            <w:tcW w:w="5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Liability at</w:t>
            </w:r>
          </w:p>
        </w:tc>
        <w:tc>
          <w:tcPr>
            <w:tcW w:w="14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liability for</w:t>
            </w:r>
          </w:p>
        </w:tc>
        <w:tc>
          <w:tcPr>
            <w:tcW w:w="14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Amounts paid or</w:t>
            </w:r>
          </w:p>
        </w:tc>
        <w:tc>
          <w:tcPr>
            <w:tcW w:w="140" w:type="dxa"/>
            <w:vAlign w:val="bottom"/>
          </w:tcPr>
          <w:p>
            <w:pPr>
              <w:spacing w:after="0"/>
              <w:rPr>
                <w:sz w:val="11"/>
                <w:szCs w:val="11"/>
                <w:color w:val="auto"/>
              </w:rPr>
            </w:pPr>
          </w:p>
        </w:tc>
        <w:tc>
          <w:tcPr>
            <w:tcW w:w="11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Liability at end</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the beginning</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transferred to</w:t>
            </w: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the period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payables</w:t>
            </w:r>
          </w:p>
        </w:tc>
        <w:tc>
          <w:tcPr>
            <w:tcW w:w="14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of the period</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20"/>
                <w:szCs w:val="20"/>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related to matters arising in the ordinary course of business. The Company does not believe it is currently subject to any material matters where there is at least a reasonable possibility that a material loss may be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Business Segments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operates and manages its business in a single reportable segment, which is the Management of a portfolio of licensed healthcare assets and development of novel multifunctional biotherapeutics (the “biotherapeutics segment”).</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biotherapeutics segment revenue consists of collaboration revenue, including amounts recognized relating to upfront non-refundable payments for licenses or options to obtain future licenses, research and development funding, milestone payments and royalties earned under collaboration and license agreements and is managed on a consolidated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biotherapeutics segment are the same as those described in the summary of significant accounting policies.</w:t>
      </w:r>
    </w:p>
    <w:p>
      <w:pPr>
        <w:spacing w:after="0" w:line="17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is the Chair of the Board of Directors and Chief Executive Officer. The CODM assesses performance for the biotherapeutics segment and decides how to allocate resources based on the results of our strategic planning, with segment (loss) income being used to monitor performance against the budgeted costs of that strategy. The measure of segment assets is reported on the balance sheet as total consolidated assets.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net income for the Company's biotherapeutics segment are shown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6"/>
        </w:trPr>
        <w:tc>
          <w:tcPr>
            <w:tcW w:w="7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research and development collaborations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76,012</w:t>
            </w:r>
          </w:p>
        </w:tc>
      </w:tr>
      <w:tr>
        <w:trPr>
          <w:trHeight w:val="270"/>
        </w:trPr>
        <w:tc>
          <w:tcPr>
            <w:tcW w:w="7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Zanidatamab</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44,751</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ZW171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ZW191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ZW220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ZW251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Zanidatamab zovodotin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 for other preclinical and research programs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benefits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49,931</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research and development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general and administrative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40,823</w:t>
            </w:r>
          </w:p>
        </w:tc>
      </w:tr>
      <w:tr>
        <w:trPr>
          <w:trHeight w:val="270"/>
        </w:trPr>
        <w:tc>
          <w:tcPr>
            <w:tcW w:w="70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195,169</w:t>
            </w:r>
          </w:p>
        </w:tc>
      </w:tr>
      <w:tr>
        <w:trPr>
          <w:trHeight w:val="270"/>
        </w:trPr>
        <w:tc>
          <w:tcPr>
            <w:tcW w:w="7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loss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(119,157)</w:t>
            </w:r>
          </w:p>
        </w:tc>
      </w:tr>
      <w:tr>
        <w:trPr>
          <w:trHeight w:val="270"/>
        </w:trPr>
        <w:tc>
          <w:tcPr>
            <w:tcW w:w="7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19,705</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recovery,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70"/>
        </w:trPr>
        <w:tc>
          <w:tcPr>
            <w:tcW w:w="70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24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On March 2, 2026, Zymeworks BC entered into a sale agreement (the “Sale Agreement”) with Zymeworks Royalty Limited Partnership (the “Subsidiary”) a special purpose entity newly formed by Zymeworks BC and by its general partner Zymeworks General Partner ULC (“Zymeworks GP”). Under the Sale Agreement, Zymeworks BC sold to the Subsidiary a 30% interest in future royalties from the license agreements with Jazz Pharmaceuticals Ireland Limited (“Jazz”) and BeOne Medicines Ltd. (“BeOne”) relating to Ziihera (zanidatamab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hrii), not to exceed 120% of the maximum amount payable (excluding indemnification and other similar obligations) by the Subsidiary under the Loan Agreement (defined below) (such 30% interest, the “Transferred Royalty Interest”).</w:t>
      </w:r>
    </w:p>
    <w:p>
      <w:pPr>
        <w:spacing w:after="0" w:line="189" w:lineRule="exact"/>
        <w:rPr>
          <w:sz w:val="20"/>
          <w:szCs w:val="20"/>
          <w:color w:val="auto"/>
        </w:rPr>
      </w:pPr>
    </w:p>
    <w:p>
      <w:pPr>
        <w:ind w:right="40"/>
        <w:spacing w:after="0" w:line="206" w:lineRule="exact"/>
        <w:rPr>
          <w:sz w:val="20"/>
          <w:szCs w:val="20"/>
          <w:color w:val="auto"/>
        </w:rPr>
      </w:pPr>
      <w:r>
        <w:rPr>
          <w:rFonts w:ascii="Times New Roman" w:cs="Times New Roman" w:eastAsia="Times New Roman" w:hAnsi="Times New Roman"/>
          <w:sz w:val="18"/>
          <w:szCs w:val="18"/>
          <w:color w:val="auto"/>
        </w:rPr>
        <w:t>Following the transfer, the Subsidiary entered into a loan agreement (the “Loan Agreement”) with Royalty Pharma Development Funding, LLC (“Royalty Pharma”), acting as administrative agent and lender, pursuant to which the Subsidiary borrowed $250.0 million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recourse, secured term loan (the “Loan”). The loan bears fixed interest and matures on December 31, 2042. Under the terms of the Loan Agreement, the amount payable to Royalty Pharma no later than the Maturity Date is approximately $481.3 million, provided that if the Loan is repaid in full on or before December 31, 2033, the amount payable to the Lenders is $412.5 million, in each case inclusive of all applicable interest, yield protection premiums, early redemption fees, exit fees and other amounts payable under the Loan Agreement (excluding indemnification and similar obligations). Amounts repaid may not be reborrowed.</w:t>
      </w:r>
    </w:p>
    <w:p>
      <w:pPr>
        <w:spacing w:after="0" w:line="145" w:lineRule="exact"/>
        <w:rPr>
          <w:sz w:val="20"/>
          <w:szCs w:val="20"/>
          <w:color w:val="auto"/>
        </w:rPr>
      </w:pPr>
    </w:p>
    <w:p>
      <w:pPr>
        <w:ind w:right="780"/>
        <w:spacing w:after="0" w:line="239" w:lineRule="exact"/>
        <w:rPr>
          <w:sz w:val="20"/>
          <w:szCs w:val="20"/>
          <w:color w:val="auto"/>
        </w:rPr>
      </w:pPr>
      <w:r>
        <w:rPr>
          <w:rFonts w:ascii="Times New Roman" w:cs="Times New Roman" w:eastAsia="Times New Roman" w:hAnsi="Times New Roman"/>
          <w:sz w:val="18"/>
          <w:szCs w:val="18"/>
          <w:color w:val="auto"/>
        </w:rPr>
        <w:t>The Loan Agreement is fully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recourse to Zymeworks BC and Zymeworks Inc. and is secured solely by the Subsidiary’s assets, including the Transferred Royalty Interest, related rights under the Sale Agreement, and the deposit account used to receive royalty payments.</w:t>
      </w:r>
    </w:p>
    <w:p>
      <w:pPr>
        <w:spacing w:after="0" w:line="186"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The Sale Agreement and Loan Agreement contain customary covenants and restrictions, including certain transfers, additional indebtedness, and related matters. In the event of certain defaults, such as termination of either Covered Agreement, specified breaches, or a change of control of the Company, Royalty Pharma may declare all outstanding principal, accrued interest, and applicable fees immediately due and enforce its rights against the collateral securing the loan.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our management, with the participation of our Chief Executive Officer and interim Chief Financial Officer, evaluated the design and operating effectiveness of our disclosure controls and procedures as defined in Rules 13a-15(e) and 15d-15(e) under the Exchange Act. Our disclosure controls and procedures are designed to ensure that information required to be disclosed in the reports that the Company files or submits under the Exchange Act is recorded, processed, summarized and reported within the time periods specified in the SEC’s rules and forms. Any such information is accumulated and communicated to the Company’s management, including its principal executive and principal financial officers, as appropriate, to allow timely decisions regarding required disclosure.</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evaluation of our disclosure controls and procedures as of December 31, 2025, our Chief Executive Officer and interim Chief Financial Officer concluded that, as of such date, our disclosure controls and procedures were, in design and operation,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interim Chief Financial Officer, is responsible for establishing and maintaining adequate internal control over our financial reporting, as defined in Rule 13a-15(f) and Rule 15d-15(f) of the Exchange Act.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our internal control over financial reporting as at December 31, 2025. In making its assessment, management used the criteria set forth in the internal control – integrated framework issued by the Committee of Sponsoring Organizations of the Treadway Commission (2013 COSO framework) to evaluate the effectiveness of our internal control over financial reporting. Based on this evaluation, management has concluded that our internal control over financial reporting was effective as of December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our internal control over financial reporting. For so long as we are not classified as an “accelerated filer” or “large accelerated filer” pursuant to SEC rules, we will continue to be exempt from the auditor attestation requirements of Section 404(b) of Sarbanes-Oxley.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2025 that have materially affected, or are reasonably likely to materially affect, our internal control over financial reporting.</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of the Exchange Act, adopted or terminated a “Rule 10b5-1 trading arrangement” or any “non-Rule 10b5-1 trading arrangement,” each as defined in Item 408 of Regulation S-K.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3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the members of our board of directors as of February 28, 2026.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4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191"/>
        </w:trPr>
        <w:tc>
          <w:tcPr>
            <w:tcW w:w="312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Kenneth Galbraith</w:t>
            </w:r>
          </w:p>
        </w:tc>
        <w:tc>
          <w:tcPr>
            <w:tcW w:w="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top w:val="single" w:sz="8" w:color="CCEEFF"/>
            </w:tcBorders>
            <w:shd w:val="clear" w:color="auto" w:fill="CCEEFF"/>
          </w:tcPr>
          <w:p>
            <w:pPr>
              <w:spacing w:after="0"/>
              <w:rPr>
                <w:sz w:val="16"/>
                <w:szCs w:val="16"/>
                <w:color w:val="auto"/>
              </w:rPr>
            </w:pPr>
          </w:p>
        </w:tc>
        <w:tc>
          <w:tcPr>
            <w:tcW w:w="654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w w:val="99"/>
              </w:rPr>
              <w:t>Chief Executive Officer, President, interim Chief Financial Officer and Chair of the Board</w:t>
            </w:r>
          </w:p>
        </w:tc>
      </w:tr>
      <w:tr>
        <w:trPr>
          <w:trHeight w:val="241"/>
        </w:trPr>
        <w:tc>
          <w:tcPr>
            <w:tcW w:w="3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Directors</w:t>
            </w:r>
          </w:p>
        </w:tc>
      </w:tr>
      <w:tr>
        <w:trPr>
          <w:trHeight w:val="257"/>
        </w:trPr>
        <w:tc>
          <w:tcPr>
            <w:tcW w:w="32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Carlos Campoy</w:t>
            </w:r>
            <w:r>
              <w:rPr>
                <w:rFonts w:ascii="Times New Roman" w:cs="Times New Roman" w:eastAsia="Times New Roman" w:hAnsi="Times New Roman"/>
                <w:sz w:val="23"/>
                <w:szCs w:val="23"/>
                <w:color w:val="auto"/>
                <w:vertAlign w:val="superscript"/>
              </w:rPr>
              <w:t>(1)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22"/>
                <w:szCs w:val="22"/>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Alessandra Cesano</w:t>
            </w:r>
            <w:r>
              <w:rPr>
                <w:rFonts w:ascii="Times New Roman" w:cs="Times New Roman" w:eastAsia="Times New Roman" w:hAnsi="Times New Roman"/>
                <w:sz w:val="23"/>
                <w:szCs w:val="23"/>
                <w:color w:val="auto"/>
                <w:vertAlign w:val="superscript"/>
              </w:rPr>
              <w:t>(2)</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shd w:val="clear" w:color="auto" w:fill="CCEEFF"/>
          </w:tcPr>
          <w:p>
            <w:pPr>
              <w:spacing w:after="0"/>
              <w:rPr>
                <w:sz w:val="22"/>
                <w:szCs w:val="22"/>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Brian N. Cherry</w:t>
            </w:r>
            <w:r>
              <w:rPr>
                <w:rFonts w:ascii="Times New Roman" w:cs="Times New Roman" w:eastAsia="Times New Roman" w:hAnsi="Times New Roman"/>
                <w:sz w:val="23"/>
                <w:szCs w:val="23"/>
                <w:color w:val="auto"/>
                <w:vertAlign w:val="superscript"/>
              </w:rPr>
              <w:t>(4)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2"/>
                <w:szCs w:val="22"/>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6"/>
        </w:trPr>
        <w:tc>
          <w:tcPr>
            <w:tcW w:w="32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Gregory A. Ciongoli</w:t>
            </w:r>
            <w:r>
              <w:rPr>
                <w:rFonts w:ascii="Times New Roman" w:cs="Times New Roman" w:eastAsia="Times New Roman" w:hAnsi="Times New Roman"/>
                <w:sz w:val="23"/>
                <w:szCs w:val="23"/>
                <w:color w:val="auto"/>
                <w:vertAlign w:val="superscript"/>
              </w:rPr>
              <w:t>(1)(2)</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22"/>
                <w:szCs w:val="22"/>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Robert E. Landry</w:t>
            </w:r>
            <w:r>
              <w:rPr>
                <w:rFonts w:ascii="Times New Roman" w:cs="Times New Roman" w:eastAsia="Times New Roman" w:hAnsi="Times New Roman"/>
                <w:sz w:val="23"/>
                <w:szCs w:val="23"/>
                <w:color w:val="auto"/>
                <w:vertAlign w:val="superscript"/>
              </w:rPr>
              <w:t>(1)(3)</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2"/>
                <w:szCs w:val="22"/>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Susan Mahony</w:t>
            </w:r>
            <w:r>
              <w:rPr>
                <w:rFonts w:ascii="Times New Roman" w:cs="Times New Roman" w:eastAsia="Times New Roman" w:hAnsi="Times New Roman"/>
                <w:sz w:val="23"/>
                <w:szCs w:val="23"/>
                <w:color w:val="auto"/>
                <w:vertAlign w:val="superscript"/>
              </w:rPr>
              <w:t>(3)</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22"/>
                <w:szCs w:val="22"/>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Kelvin Neu</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0"/>
                <w:szCs w:val="20"/>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56"/>
        </w:trPr>
        <w:tc>
          <w:tcPr>
            <w:tcW w:w="32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Oleg Nodelman</w:t>
            </w:r>
            <w:r>
              <w:rPr>
                <w:rFonts w:ascii="Times New Roman" w:cs="Times New Roman" w:eastAsia="Times New Roman" w:hAnsi="Times New Roman"/>
                <w:sz w:val="23"/>
                <w:szCs w:val="23"/>
                <w:color w:val="auto"/>
                <w:vertAlign w:val="superscript"/>
              </w:rPr>
              <w:t>(2)(3)</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22"/>
                <w:szCs w:val="22"/>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23" w:lineRule="exact"/>
        <w:rPr>
          <w:sz w:val="20"/>
          <w:szCs w:val="20"/>
          <w:color w:val="auto"/>
        </w:rPr>
      </w:pPr>
    </w:p>
    <w:p>
      <w:pPr>
        <w:ind w:left="240" w:hanging="232"/>
        <w:spacing w:after="0"/>
        <w:tabs>
          <w:tab w:leader="none" w:pos="2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1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8" w:lineRule="exact"/>
        <w:rPr>
          <w:rFonts w:ascii="Times New Roman" w:cs="Times New Roman" w:eastAsia="Times New Roman" w:hAnsi="Times New Roman"/>
          <w:sz w:val="16"/>
          <w:szCs w:val="16"/>
          <w:color w:val="auto"/>
        </w:rPr>
      </w:pPr>
    </w:p>
    <w:p>
      <w:pPr>
        <w:ind w:right="80" w:firstLine="8"/>
        <w:spacing w:after="0" w:line="270" w:lineRule="auto"/>
        <w:tabs>
          <w:tab w:leader="none" w:pos="22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Cherry has been appointed as a member of the Company’s audit committee, effective immediately following the filing of this Annual Report on Form 10-K with the Securities and Exchange Commission.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the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Kenneth Galbraith</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Mr. Galbraith is 63 years old and has served as our Chief Executive Officer and Chair of our board of directors since January 2022. In addition, Mr. Galbraith has served as our President since June 2023 and previously served as our President from January 2022 to August 2022. Mr. Galbraith has served as our interim Chief Financial Officer since January 2026 and previously served as our interim Chief Financial Officer from April 2024 to September 2024. Mr. Galbraith was a Managing Director at Five Corners Capital, Inc., which he founded in 2013, from February 2021 until January 2022. He served as Executive in Residence at Syncona Investment Management Limited (“SIML,” a subsidiary of Syncona Limited, a company that builds a portfolio of life sciences businesses), from April 2021 until January 2022. He has served as an advisor to SIML since May 2023 and as a director of SIML since November 2024, including as Chair since February 2025. He served as Chief Executive Officer of Liminal BioSciences Inc. (formerly Prometic Life Sciences Inc.), a publicly held company, from April 2019 to November 2020, continuing as an advisor to that company from November 2020 to February 2021. He also served as Chief Executive Officer of Fairhaven Pharmaceuticals Inc. from June 2017 to April 2019. Mr. Galbraith has served as a director of several publicly held companies, including MacroGenics, Inc. from July 2008 until January 2022, Profound Medical Corp. from January 2017 to May 2023, and Celator Pharmaceuticals, Inc. from July 2008 to October 2013. He has also served as a director of several privately held companies. Previously, he joined Ventures West Capital in 2007 and founded Five Corners Capital Inc. in 2013 to manage the continued operations of the Ventures West Investment Funds. Mr. Galbraith has over 35 years of experience serving as an executive, director, investor and adviser to companies in the biotechnology, medical device, pharmaceutical and healthcare sectors. Mr. Galbraith received his B.Comm. from the University of British Columbia.</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on Mr. Galbraith’s depth of experience in the biotechnology industry, ranging from executive officer to director roles, the board of directors believes Mr. Galbraith has the appropriate set of skills to serve as a member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Carlos Campoy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Campoy is 61 years old and has served as a member of our board of directors since June 2023. Mr. Campoy also serves as a member of the board of directors of Hunter Industries Inc. Mr. Campoy served as Chief Financial Officer of CytomX Therapeutics, Inc. from March 2020 through September 2022. Prior to CytomX Therapeutics, Mr. Campoy served as the Chief Financial Officer of Alder BioPharmaceuticals, Inc., a public biopharmaceutical company acquired in October 2019 by Lundbeck A/S, from December 2018 to November 2019. During his time at Alder BioPharmaceuticals, Mr. Campoy led the finance organization and readied the company for commercial launch of its lead program, eptinezumab. Prior to Alder BioPharmaceuticals, Mr. Campoy was a partner at Think Forwards, a boutique financial consulting firm, from September 2017 to December 2018. Prior to his position at Think Forwards, Mr. Campoy held the role of vice president of finance at Allergan plc from July 2014 to November 2016. Prior to joining Allergan, Mr. Campoy held senior financial leadership positions at Eli Lilly and Company from 1996 to 2014, including Chief Financial Officer of Eli Lilly Japan K.K. Mr. Campoy is NACD Directorship Certified and holds a Certified Management Accountant (CMA) designation. Mr. Campoy received his M.B.A. in Finance and Decision Information Systems from Indiana University and his B.S. in Management from Faculdade de Ciências Contábeis e de Administração de Empresas de Tupã (FACCAT), in São Paulo, Brazil.</w:t>
      </w:r>
    </w:p>
    <w:p>
      <w:pPr>
        <w:spacing w:after="0" w:line="1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Mr. Campoy is qualified to serve on our board of directors because of his extensive strategic and financial leadership experience in the pharmaceutical and biotechnology sectors.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Alessandra Cesano</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Dr. Cesano is 65 years old and has served as a member of our board of directors since February 2024. Dr. Cesano has served as an advisor to General Catalyst, a venture capital investment firm, since February 2025. Dr. Cesano served as the Chief Medical Officer of ESSA Pharma Inc., a pharmaceutical company developing therapies for the treatment of prostate cancer, from July 2019 to May 2025. Previously, Dr. Cesano was the Chief Medical Officer of NanoString Technologies, Inc., a biotechnology company that develops translational research tools, from July 2015 to July 2019, where she focused on development of translational and diagnostic multiplexed assays for the characterization and measurement of mechanisms of immune response and resistance. Prior to NanoString, Dr. Cesano was Chief Medical Officer at Cleave Biosciences, Inc., a biopharmaceutical company focusing on protein therapies for the treatment of cancer and neurodegenerative diseases, and before that she served as Chief Medical Officer and Chief Operations Officer at Nodality, Inc., where she built and led the Research &amp; Development group, while providing the overall clinical vision for the organization. Dr. Cesano has also held various management positions at Amgen Inc., Biogen Inc. (formerly Biogen Idec) and SmithKline Beecham Pharmaceuticals, where she helped to advance various oncology drugs through late-stage development and FDA approvals. She currently serves as associate editor for the Biomarker section of the Journal for ImmunoTherapy of Cancer and co-chair of the Society for Immunotherapy of Cancer (SITC) regulatory committee. She has been an author on more than 140 publications. Dr. Cesano has served as a director at Puma Biotechnology, Inc. since July 2022 and as a director of Summit Therapeutics Inc. since November 2022. Dr. Cesano received an M.D. summa cum laude, a board certification in oncology and a Ph.D. in Tumor Immunology from the University of Turin, Italy.</w:t>
      </w:r>
    </w:p>
    <w:p>
      <w:pPr>
        <w:spacing w:after="0" w:line="19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Dr. Cesano is qualified to serve on our board of directors because of her extensive experience in biotechnology research and development and oncology.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Brian N. Cherry</w:t>
      </w:r>
    </w:p>
    <w:p>
      <w:pPr>
        <w:spacing w:after="0" w:line="24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Mr. Cherry is 51 years old and has served as a member of our board of directors since January 2026. Mr. Cherry has spent more than 25 years investing in and helping build businesses across a wide range of industries including healthcare, industrials, business services, financial services and consumer products. He has led buyout and growth equity investments in companies totaling over $25 billion in enterprise value. Since 2024, Mr. Cherry has served as the Founder and Principal of Flyway Holdings, a family office investment platform. Previously, Mr. Cherry was a Managing Partner at Oak Hill Capital, a private equity firm, from 2014 until 2024. His board experience includes positions with more than ten private companies and philanthropic organizations, including the U.S. Air Force Academy Foundation, and the Undergraduate Financial Aid Leadership Council at the University of Pennsylvania. Mr. Cherry earned his BA from Princeton University and his MBA from The Wharton School at the University of Pennsylvania.</w:t>
      </w:r>
    </w:p>
    <w:p>
      <w:pPr>
        <w:spacing w:after="0" w:line="18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Mr. Cherry is qualified to serve on our board of directors because of his extensive investment and leadership experience.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Gregory A. Ciongoli</w:t>
      </w:r>
    </w:p>
    <w:p>
      <w:pPr>
        <w:spacing w:after="0" w:line="22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Mr. Ciongoli is 50 years old and has served as a member of our board of directors since August 2025. Mr. Ciongoli is currently the Founder and Managing partner at Adiumentum Capital Management, a Boston-based investment firm, and has served in that role since March 2024. Mr. Ciongoli has also served on the board of directors of Atara Biotherapeutics since September 2024, including as board chair since September 2025. Mr. Ciongoli served as a Public Group Investing Partner at the Baupost Group from 2007 to 2024. Mr. Ciongoli has served on the board of directors of Pelotero Corp. since March 2020, 33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Team since September 2022, and Wavebreak Therapeutics since August 2017, and served as a board observer at Viasat Inc. from October 2018 to May 2023. In addition, Mr. Ciongoli previously served as a board observer at Idenix Pharmaceuticals, Intarcia Therapeutics, Keryx Biopharmaceuticals, Orexigen Therapeutics and Translate Bio. Earlier in his career, Mr. Ciongoli held the position of Director in the Event-Driven Equity Group at Sowood Capital Management from 2005 to 2007 and worked as an Investment Analyst at Vinik Asset Management from 2003 to 2005 and at Thomas H. Lee Partners from 1999 to 2001. Mr. Ciongoli began his career as a Financial Analyst in the Healthcare Investment Banking Group at Goldman, Sachs &amp; Co. from 1997 to 1999. Mr. Ciongoli also serves as the Chair of the Advisory Board for the James Madison Program in American Ideals and Institutions at Princeton University, and is actively involved in a number of local not-for-profit organizations. Mr. Ciongoli earned a Master in Business Administration degree from Harvard Business School in June 2003 and earned his Bachelor of Arts degree from the Woodrow Wilson School of Public and International Affairs at Princeton University in 1997.</w:t>
      </w:r>
    </w:p>
    <w:p>
      <w:pPr>
        <w:spacing w:after="0" w:line="19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Mr. Ciongoli is qualified to serve on our board of Directors because of his extensive strategic leadership experience in the pharmaceutical sector.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Robert E. Landry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Mr. Landry is 62 years old and has served as a member of our board of directors since August 2025. Mr. Landry served as the Executive Vice President and Chief Financial Officer at Regeneron Pharmaceuticals, Inc., from September 2013 to January 2024. Prior to his time at Regeneron, Mr. Landry served from January 1988 to August 2013 as the Senior Vice President, Treasurer, Senior Vice President, Finance, and in other various corporate roles at Pfizer (formerly Wyeth). Mr. Landry started his career at Coopers &amp; Lybrand, now PricewaterhouseCoopers LLP. Mr. Landry also currently serves on the board of directors of Cytokinetics, Inc., a late-stage biopharmaceutical company. Mr. Landry is a Certified Public Accountant in New York (inactive) and attended the University of Notre Dame, where he earned a B.B.A. in accounting in 1986.</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Mr. Landry is qualified to serve on our board of directors because of his extensive financial and leadership experience, in addition to his knowledge of our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Susan Mahony</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Dr. Mahony is 61 years old and has served as a member of our board of directors since June 2019 and as Lead Independent Director of our board of directors since December 2023. Dr. Mahony is an executive with over 30 years of experience in pharmaceutical and life sciences companies. Dr. Mahony served as Senior Vice President of Eli Lilly and Company and President of Lilly Oncology from February 2011 until August 2018. She joined Lilly in 2000, holding senior leadership positions in product development, marketing, human resources, and general management. Prior to joining Lilly, Dr. Mahony served in sales and marketing roles in Europe for over a decade for Schering-Plough, Amgen, and Bristol-Myers Squibb. Dr. Mahony has served on the board of directors of Assembly Biosciences, Inc. since December 2017, on the board of directors of Axsome Therapeutics, Inc. since October 2023, and on the board of directors of Catalent, Inc. since February 2025. She previously served on the board of directors of Horizon Therapeutics Public Limited Company from August 2019 to October 2023 (acquired by Amgen Inc.) and on the board of directors of Vifor Pharma from May 2019 until August 2022 (acquired by CSL Limited). Dr. Mahony received a B.Sc. and a Ph.D. from Aston University and an M.B.A. from London Business School. Dr. Mahony is NACD Directorship Certified.</w:t>
      </w:r>
    </w:p>
    <w:p>
      <w:pPr>
        <w:spacing w:after="0" w:line="194"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Based on Dr. Mahony’s extensive experience in management at public pharmaceutical companies, together with her experience serving on the board of directors of public and private companies, our board of directors concluded that she should serve as a director due to our business focus and strategy.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Kelvin Neu</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Dr. Neu is 52 years old and has served as a member of our board of directors since March 2020. Dr. Neu is Founder and Chief of Herringbone, a life sciences innovation practice established in February 2022. Dr. Neu is also Co-Founder and Director of QDX Pte. Ltd., and QDX Technologies Pte. Ltd. (which work in the area of computational drug discovery) and XBI</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Biosciences LLC (a therapeutics development company). Previously, Dr. Neu was a Partner at Baker Bros. Advisors LP, a registered investment adviser, where he worked from 2004 until 2021. Dr. Neu previously served on the board of directors of IGM Biosciences from 2019 to 2021, Prelude Therapeutics from 2016 to 2021, Idera Pharmaceuticals, Aquinox Pharmaceuticals and XOMA Corporation. Dr. Neu holds an M.D. from the Harvard Medical School-MIT Health Sciences and Technology program, and spent three years in the Immunology Ph.D. program at Stanford University as a Howard Hughes Medical Institute Fellow. Dr. Neu holds an A.B. (summa cum laude) from Princeton University, where he was awarded the Khoury Prize for graduating first in his department of Molecular Biology.</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Dr. Neu is qualified to serve on our board of directors because of his extensive investment and leadership experience, knowledge of our industry, and educational background in biology and biotechnology.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Oleg Nodelman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Nodelman is 49 years old and has served as a member of our board of directors since February 2025. Since October 2013, Mr. Nodelman has served as the Founder and Portfolio Manager of EcoR1 Capital LLC, a biotech-focused investment advisory firm established in 2013, and one of our principal stockholders. Previously, Mr. Nodelman served as a Portfolio Manager at BVF Partners from 2001 to 2012. Mr. Nodelman earned a B.S.F.S. in Science and Technology from Georgetown University, School of Foreign Service in 1999. Mr. Nodelman has served on the board of Galapagos NV since October 2024, AnaptysBio since April 2021, and Aktis Oncology since March 2021. He previously served on the board of directors of Prothena Corporation plc from December 2019 to December 2024, Nuvation Bio Inc. from February 2021 to December 2023 and Panacea Acquisition Corp. II from April 2020 to February 2021. On December 13, 2024, the Enforcement Committee of the Autorité des Marchés Financiers (“AMF”), the entity that regulates the French financial markets, fined Mr. Nodelman and EcoR1 Capital LLC (the “Fund”) €3.0 million and €7.0 million, respectively, for violations of applicable market abuse regulations and failures to comply with reporting obligations for holders that exceed or fall below ownership of five percent of an issuer’s equity capital that is listed on Euronext Paris. Mr. Nodelman and the Fund disagree with the AMF’s ruling and, in February 2025, submitted an appeal, which they intend to vigorously pursue.</w:t>
      </w:r>
    </w:p>
    <w:p>
      <w:pPr>
        <w:spacing w:after="0" w:line="1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Mr. Nodelman is qualified to serve on our board of directors because of his extensive investment and leadership experience, in addition to his knowledge of our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as of February 28, 2026</w:t>
      </w:r>
      <w:r>
        <w:rPr>
          <w:rFonts w:ascii="Times New Roman" w:cs="Times New Roman" w:eastAsia="Times New Roman" w:hAnsi="Times New Roman"/>
          <w:sz w:val="21"/>
          <w:szCs w:val="21"/>
          <w:color w:val="auto"/>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98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191"/>
        </w:trPr>
        <w:tc>
          <w:tcPr>
            <w:tcW w:w="320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Kenneth Galbraith</w:t>
            </w:r>
          </w:p>
        </w:tc>
        <w:tc>
          <w:tcPr>
            <w:tcW w:w="2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Borders>
              <w:top w:val="single" w:sz="8" w:color="CCEEFF"/>
            </w:tcBorders>
            <w:shd w:val="clear" w:color="auto" w:fill="CCEEFF"/>
          </w:tcPr>
          <w:p>
            <w:pPr>
              <w:spacing w:after="0"/>
              <w:rPr>
                <w:sz w:val="16"/>
                <w:szCs w:val="16"/>
                <w:color w:val="auto"/>
              </w:rPr>
            </w:pPr>
          </w:p>
        </w:tc>
        <w:tc>
          <w:tcPr>
            <w:tcW w:w="59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President, interim Chief Financial Officer and Chair of</w:t>
            </w:r>
          </w:p>
        </w:tc>
      </w:tr>
      <w:tr>
        <w:trPr>
          <w:trHeight w:val="241"/>
        </w:trPr>
        <w:tc>
          <w:tcPr>
            <w:tcW w:w="3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r>
      <w:tr>
        <w:trPr>
          <w:trHeight w:val="234"/>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A. Moore, Ph.D.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2"/>
        </w:trPr>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37"/>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Hollywood</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tcBorders>
              <w:bottom w:val="single" w:sz="8" w:color="CCEEFF"/>
            </w:tcBorders>
            <w:shd w:val="clear" w:color="auto" w:fill="CCEEFF"/>
          </w:tcPr>
          <w:p>
            <w:pPr>
              <w:spacing w:after="0"/>
              <w:rPr>
                <w:sz w:val="20"/>
                <w:szCs w:val="20"/>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234"/>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Sabeen Mekan, M.D.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Medical Officer</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the directors or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biographical information for our executive officers, other than Mr. Galbraith, whose biographical information is included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Paul A. Moore</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Dr. Moore joined Zymeworks in July 2022 and serves as our Chief Scientific Officer. Dr. Moore has more than 25 years of US-based experience in biologics drug discovery and development in biotechnology research. His career efforts have led to the discovery and development of a range of FDA-approved and clinical-stage biologics for patients with difficult-to-treat cancers and autoimmune conditions. Prior to joining Zymeworks, Dr. Moore served as Vice President, Cell Biology, and Immunology at MacroGenics from April 2008 to July 2022, leading a team of approximately 50 researchers engaged in the discovery, preclinical validation and clinical development of antibody-based therapeutics, including bispecific antibodies and antibody drug conjugates. Among the portfolio supported by Dr. Moore were FDA-approved Margenza (margetuximab-cmkb) for treatment of HER2+ breast cancer, Zynyz (retifanlimab-dlwr) for treatment of Merkel cell carcinoma and Tzield (teplizumab-mzwv) to delay onset of type I diabetes. Prior to joining MacroGenics, Dr. Moore was Director of Cell Biology at Celera from May 2005 to April 2008, where he oversaw research leveraging proteomic-based discoveries to validate novel cancer targets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suitable for antibody-based therapeutics. Dr. Moore began his industrial career at Human Genome Sciences (HGS), holding several titles within research culminating in Director of Lead Product Development, where he managed various genomic-based target discovery programs including efforts that led to the discovery, development, approval, and commercialization of Benlysta (belimumab) for the treatment of systemic lupus erythematosus. Dr. Moore has an extensive research record co-authoring over 75 peer-reviewed manuscripts and is a named co-inventor on over 50 issued US patents. Dr. Moore holds a Ph.D. in Molecular Genetics from the University of Glasgow, performed post-doctoral work at the Roche Institute of Molecular Biology in Nutley, New Jersey, and also holds a degree in Biotechnology from the University of Strathclyde.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 Hollywood</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Hollywood joined Zymeworks in March 2019 as Senior Vice President, Technical and Manufacturing Operations, was promoted to Executive Vice President and Head of Technical and Manufacturing Operations in January 2023, and became our Executive Vice President and Chief Operating Officer in January 2026. Mr. Hollywood has over 25 years of experience in the biopharmaceutical industry, most recently as Vice President and Head of ZymoGenetics (a Bristol-Myers Squibb company), where he oversaw biologics development, manufacturing, quality, and supply chain operations. He joined ZymoGenetics in 2010 and led technical operations for a portfolio of clinical and commercial products, and was responsible for building and managing a multi-host drug substance manufacturing facility. Mr. Hollywood has a wealth of experience in operations management, having held positions of increasing responsibility in process science, manufacturing, quality, and regulatory compliance at organizations including Amgen, Dendreon and Centeon (a Rhone-Poulenc Rorer and Hoescht company). Mr. Hollywood has a Bachelor of Science degree in Biological Sciences from Western Illinois University.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Sabeen Mekan</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Dr. Mekan joined Zymeworks in April 2025 as Senior Vice President of Clinical Development. Dr. Mekan was promoted to Senior Vice President and Chief Medical Officer in February 2026. Dr. Mekan previously served as Executive Director, Global Development Lead for the lung and gastrointestinal cancer franchises with Gilead Sciences based in the U.S. Prior to Gilead, she was the Senior Medical Director, Oncology R&amp;D at Daiichi Sankyo U.S. responsible as global clinical development lead for two antibody-drug conjugates. She began her pharmaceutical career as a Medical Director with Bristol-Myers Squibb with a focus on immune-oncology. Before joining the pharmaceutical industry, she served as an Assistant Professor at Hofstra North Shore LIJ School of Medicine and Attending Hematologist/Oncologist at North Shore Long Island Jewish Hospital in New York City. Dr. Mekan completed her residency in Internal Medicine at the University of Cincinnati, OH, and a fellowship in Hematology and Oncology at the Staten Island University Hospital of Northshore-LIJ Health System (now Northwell Health). She is board-certified in Internal Medicine, Oncology and Hematology and has authored numerous publications.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Ethics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that set forth expectations for directors, director independence standards, board committee structure and functions, and other policies for our governance. It also has adopted a Code of Business Conduct and Ethics (the “Code of Conduct”) that applies to members of our board of directors, our executive officers and all of our employees. Several standing committees (audit, compensation, and nominating and corporate governance) assist our board of directors in carrying out its responsibilities. Each standing committee operates under a written charter adopted by our board of directors. The full text of our Code of Conduct is posted on our website at </w:t>
      </w:r>
      <w:r>
        <w:rPr>
          <w:rFonts w:ascii="Times New Roman" w:cs="Times New Roman" w:eastAsia="Times New Roman" w:hAnsi="Times New Roman"/>
          <w:sz w:val="18"/>
          <w:szCs w:val="18"/>
          <w:i w:val="1"/>
          <w:iCs w:val="1"/>
          <w:color w:val="auto"/>
        </w:rPr>
        <w:t>www.zymeworks.com</w:t>
      </w:r>
      <w:r>
        <w:rPr>
          <w:rFonts w:ascii="Times New Roman" w:cs="Times New Roman" w:eastAsia="Times New Roman" w:hAnsi="Times New Roman"/>
          <w:sz w:val="18"/>
          <w:szCs w:val="18"/>
          <w:color w:val="auto"/>
        </w:rPr>
        <w:t>. We intend to satisfy the disclosure requirement under Item 5.05 of Form 8-K regarding amendments to, or waiver from, a provision of the Code of Conduct by posting such information on the website address and location specified above. Paper copies of the Code of Conduct, as well as our governing documents (including our certificate of incorporation and bylaws) may be obtained upon request by writing to: Corporate Secretary, Zymeworks Inc., 108 Patriot Drive, Suite A, Middletown, Delaware 19709.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audit committee currently consists of Mr. Campoy, Mr. Ciongoli and Mr. Landry. Mr. Campoy serves as the chair of our audit committee. Our board of directors has determined that each of Mr. Campoy and Mr. Landry is an “audit committee financial expert” as that term is defined in the rules and regulations established by the SEC, and possesses financial sophistication, as defined under the rules of the Nasdaq Global Select Market. The members of our audit committee are “independent” for audit committee purposes, as that term is defined in the rules of the SEC and the applicable Nasdaq rules, and have sufficient knowledge in financial and auditing matters to serve on the audit committee.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purposes of our audit committee are to:</w:t>
      </w:r>
    </w:p>
    <w:p>
      <w:pPr>
        <w:spacing w:after="0" w:line="117"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Times New Roman" w:cs="Times New Roman" w:eastAsia="Times New Roman" w:hAnsi="Times New Roman"/>
          <w:sz w:val="18"/>
          <w:szCs w:val="18"/>
          <w:color w:val="auto"/>
        </w:rPr>
        <w:t>assist our board of directors in its oversight of:</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59"/>
        </w:numPr>
        <w:rPr>
          <w:rFonts w:ascii="Arial" w:cs="Arial" w:eastAsia="Arial" w:hAnsi="Arial"/>
          <w:sz w:val="18"/>
          <w:szCs w:val="18"/>
          <w:color w:val="auto"/>
        </w:rPr>
      </w:pPr>
      <w:r>
        <w:rPr>
          <w:rFonts w:ascii="Times New Roman" w:cs="Times New Roman" w:eastAsia="Times New Roman" w:hAnsi="Times New Roman"/>
          <w:sz w:val="18"/>
          <w:szCs w:val="18"/>
          <w:color w:val="auto"/>
        </w:rPr>
        <w:t>the quality, audit and integrity of our financial statements and related information;</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59"/>
        </w:numPr>
        <w:rPr>
          <w:rFonts w:ascii="Arial" w:cs="Arial" w:eastAsia="Arial" w:hAnsi="Arial"/>
          <w:sz w:val="18"/>
          <w:szCs w:val="18"/>
          <w:color w:val="auto"/>
        </w:rPr>
      </w:pPr>
      <w:r>
        <w:rPr>
          <w:rFonts w:ascii="Times New Roman" w:cs="Times New Roman" w:eastAsia="Times New Roman" w:hAnsi="Times New Roman"/>
          <w:sz w:val="18"/>
          <w:szCs w:val="18"/>
          <w:color w:val="auto"/>
        </w:rPr>
        <w:t>the independence, qualifications, appointment and performance of our external auditor;</w:t>
      </w:r>
    </w:p>
    <w:p>
      <w:pPr>
        <w:spacing w:after="0" w:line="116" w:lineRule="exact"/>
        <w:rPr>
          <w:rFonts w:ascii="Arial" w:cs="Arial" w:eastAsia="Arial" w:hAnsi="Arial"/>
          <w:sz w:val="18"/>
          <w:szCs w:val="18"/>
          <w:color w:val="auto"/>
        </w:rPr>
      </w:pPr>
    </w:p>
    <w:p>
      <w:pPr>
        <w:ind w:left="1300" w:right="500" w:hanging="320"/>
        <w:spacing w:after="0" w:line="281" w:lineRule="auto"/>
        <w:tabs>
          <w:tab w:leader="none" w:pos="1296" w:val="left"/>
        </w:tabs>
        <w:numPr>
          <w:ilvl w:val="1"/>
          <w:numId w:val="59"/>
        </w:numPr>
        <w:rPr>
          <w:rFonts w:ascii="Arial" w:cs="Arial" w:eastAsia="Arial" w:hAnsi="Arial"/>
          <w:sz w:val="18"/>
          <w:szCs w:val="18"/>
          <w:color w:val="auto"/>
        </w:rPr>
      </w:pPr>
      <w:r>
        <w:rPr>
          <w:rFonts w:ascii="Times New Roman" w:cs="Times New Roman" w:eastAsia="Times New Roman" w:hAnsi="Times New Roman"/>
          <w:sz w:val="18"/>
          <w:szCs w:val="18"/>
          <w:color w:val="auto"/>
        </w:rPr>
        <w:t>our disclosure controls and procedures, internal control over financial reporting, and management’s responsibility for assessing and reporting on the effectiveness of such controls;</w:t>
      </w:r>
    </w:p>
    <w:p>
      <w:pPr>
        <w:spacing w:after="0" w:line="54" w:lineRule="exact"/>
        <w:rPr>
          <w:rFonts w:ascii="Arial" w:cs="Arial" w:eastAsia="Arial" w:hAnsi="Arial"/>
          <w:sz w:val="18"/>
          <w:szCs w:val="18"/>
          <w:color w:val="auto"/>
        </w:rPr>
      </w:pPr>
    </w:p>
    <w:p>
      <w:pPr>
        <w:ind w:left="1300" w:hanging="320"/>
        <w:spacing w:after="0"/>
        <w:tabs>
          <w:tab w:leader="none" w:pos="1300" w:val="left"/>
        </w:tabs>
        <w:numPr>
          <w:ilvl w:val="1"/>
          <w:numId w:val="59"/>
        </w:numPr>
        <w:rPr>
          <w:rFonts w:ascii="Arial" w:cs="Arial" w:eastAsia="Arial" w:hAnsi="Arial"/>
          <w:sz w:val="18"/>
          <w:szCs w:val="18"/>
          <w:color w:val="auto"/>
        </w:rPr>
      </w:pPr>
      <w:r>
        <w:rPr>
          <w:rFonts w:ascii="Times New Roman" w:cs="Times New Roman" w:eastAsia="Times New Roman" w:hAnsi="Times New Roman"/>
          <w:sz w:val="18"/>
          <w:szCs w:val="18"/>
          <w:color w:val="auto"/>
        </w:rPr>
        <w:t>the organization and performance of any applicable internal audit function, if any;</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59"/>
        </w:numPr>
        <w:rPr>
          <w:rFonts w:ascii="Arial" w:cs="Arial" w:eastAsia="Arial" w:hAnsi="Arial"/>
          <w:sz w:val="18"/>
          <w:szCs w:val="18"/>
          <w:color w:val="auto"/>
        </w:rPr>
      </w:pPr>
      <w:r>
        <w:rPr>
          <w:rFonts w:ascii="Times New Roman" w:cs="Times New Roman" w:eastAsia="Times New Roman" w:hAnsi="Times New Roman"/>
          <w:sz w:val="18"/>
          <w:szCs w:val="18"/>
          <w:color w:val="auto"/>
        </w:rPr>
        <w:t>our compliance with applicable legal and regulatory requirements; and</w:t>
      </w:r>
    </w:p>
    <w:p>
      <w:pPr>
        <w:spacing w:after="0" w:line="116" w:lineRule="exact"/>
        <w:rPr>
          <w:rFonts w:ascii="Arial" w:cs="Arial" w:eastAsia="Arial" w:hAnsi="Arial"/>
          <w:sz w:val="18"/>
          <w:szCs w:val="18"/>
          <w:color w:val="auto"/>
        </w:rPr>
      </w:pPr>
    </w:p>
    <w:p>
      <w:pPr>
        <w:ind w:left="1300" w:right="120" w:hanging="320"/>
        <w:spacing w:after="0" w:line="281" w:lineRule="auto"/>
        <w:tabs>
          <w:tab w:leader="none" w:pos="1296" w:val="left"/>
        </w:tabs>
        <w:numPr>
          <w:ilvl w:val="1"/>
          <w:numId w:val="59"/>
        </w:numPr>
        <w:rPr>
          <w:rFonts w:ascii="Arial" w:cs="Arial" w:eastAsia="Arial" w:hAnsi="Arial"/>
          <w:sz w:val="18"/>
          <w:szCs w:val="18"/>
          <w:color w:val="auto"/>
        </w:rPr>
      </w:pPr>
      <w:r>
        <w:rPr>
          <w:rFonts w:ascii="Times New Roman" w:cs="Times New Roman" w:eastAsia="Times New Roman" w:hAnsi="Times New Roman"/>
          <w:sz w:val="18"/>
          <w:szCs w:val="18"/>
          <w:color w:val="auto"/>
        </w:rPr>
        <w:t>our enterprise risk management processes, including risks and exposures associated with cybersecurity, information security and privacy matters;</w:t>
      </w:r>
    </w:p>
    <w:p>
      <w:pPr>
        <w:spacing w:after="0" w:line="54" w:lineRule="exact"/>
        <w:rPr>
          <w:rFonts w:ascii="Arial" w:cs="Arial" w:eastAsia="Arial" w:hAnsi="Arial"/>
          <w:sz w:val="18"/>
          <w:szCs w:val="18"/>
          <w:color w:val="auto"/>
        </w:rPr>
      </w:pPr>
    </w:p>
    <w:p>
      <w:pPr>
        <w:ind w:left="660" w:right="2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and discuss with management, the adequacy and effectiveness of the Company’s cybersecurity, information and technology security, and data protection programs, procedures and policies;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compliance with our Code of Conduct;</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and monitor related party transactions involving directors, executive officers or beneficial owners of more than 5% of any class of our voting securities;</w:t>
      </w:r>
    </w:p>
    <w:p>
      <w:pPr>
        <w:spacing w:after="0" w:line="5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Company’s counsel, on a regular basis, any reports of whistleblowing, including all reports made to the Company’s anonymous and confidential helpline pursuant to our Whistleblower Policy; and</w:t>
      </w:r>
    </w:p>
    <w:p>
      <w:pPr>
        <w:spacing w:after="0" w:line="53"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audit committee report required by SEC rules to be included in our proxy statement for the annual meeting of stockholders, and perform other duties and responsibilities as are enumerated in or consistent with the audit committee’s charter.</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established a written charter setting forth the purpose, composition, authority and responsibility of our audit committee, consistent with the rules of Nasdaq and the SEC, a current copy of which is available on our website at </w:t>
      </w:r>
      <w:r>
        <w:rPr>
          <w:rFonts w:ascii="Times New Roman" w:cs="Times New Roman" w:eastAsia="Times New Roman" w:hAnsi="Times New Roman"/>
          <w:sz w:val="18"/>
          <w:szCs w:val="18"/>
          <w:i w:val="1"/>
          <w:iCs w:val="1"/>
          <w:color w:val="auto"/>
        </w:rPr>
        <w:t>www.zymeworks.com</w:t>
      </w:r>
      <w:r>
        <w:rPr>
          <w:rFonts w:ascii="Times New Roman" w:cs="Times New Roman" w:eastAsia="Times New Roman" w:hAnsi="Times New Roman"/>
          <w:sz w:val="18"/>
          <w:szCs w:val="18"/>
          <w:color w:val="auto"/>
        </w:rPr>
        <w:t>. Our audit committee has access to all of our books, records, facilities and personnel and may request any information about us as it may deem appropriate. It also has the authority in its sole discretion and at our expense to retain and set the compensation of outside legal, accounting or other advisors as necessary to assist in the performance of its duties and responsibilities. Both our independent auditors and internal financial personnel regularly meet privately with the audit committee and have unrestricted access to this committee.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held five meetings during the year ended December 31, 2025</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we believe that during the fiscal year ended December 31, 2025, all directors, executive officers and greater than 10% stockholders complied with all Section 16(a) filing requirements applicable to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that governs the purchase, sale, and other dispositions of our securities by directors, officers, employees, and other personnel that we determine should be subject to our Insider Trading Policy (such as certain contractors and consultants) and that is reasonably designed to promote compliance with insider trading laws, rules and regulations, and applicable stock exchange listing requirements. A copy of our Insider Trading Policy is filed as Exhibit 19.1 to this Annual Report on Form 10-K for the fiscal year ended December 31, 2025. In addition, with regard to our company’s trading in its own securities, it is our policy to comply with the federal securities laws and the applicable exchange listing requirements.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Executive Compensation Practices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This section describes our executive compensation philosophy and how we implemented it through our 2025 compensation program for our named executive officers. The named executive officers for 2025 are:</w:t>
      </w:r>
    </w:p>
    <w:p>
      <w:pPr>
        <w:spacing w:after="0" w:line="54"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Times New Roman" w:cs="Times New Roman" w:eastAsia="Times New Roman" w:hAnsi="Times New Roman"/>
          <w:sz w:val="18"/>
          <w:szCs w:val="18"/>
          <w:color w:val="auto"/>
        </w:rPr>
        <w:t>Kenneth Galbraith, our Chief Executive Officer, President, Chair of the Board of Directors and interim Chief Financial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Times New Roman" w:cs="Times New Roman" w:eastAsia="Times New Roman" w:hAnsi="Times New Roman"/>
          <w:sz w:val="18"/>
          <w:szCs w:val="18"/>
          <w:color w:val="auto"/>
        </w:rPr>
        <w:t>Paul A. Moore, Ph.D., our Chief Scientific Officer;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Smith, M.D., our former Executive Vice President and Chief Medical Officer.</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discussion contains forward-looking statements that are based on our current plans, considerations, expectations and projections regarding future compensation programs. Actual compensation programs adopted in the future may differ materially from the various planned programs summarized in this discussion.</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paragraphs that follow, we provide an overview and analysis of our compensation program and policies, the material compensation decisions we have made under those programs and policies, and the material factors that we considered in making those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Advisory Vote on Executive Compensation</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At our 2025 annual general meeting, we conducted an advisory vote on named executive officer compensation. At that meeting, 94.06% of the votes cast on the advisory vote proposal were supportive of our named executive officer compensation program as disclosed in our 2025 proxy statement. Our next advisory vote on named executive officer compensation will be held at our 2026 annual general meeting.</w:t>
      </w:r>
    </w:p>
    <w:p>
      <w:pPr>
        <w:spacing w:after="0" w:line="17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compensation committee reviewed the advisory vote results in the context of our overall compensation philosophy and programs, and based on the level of support, determined that no significant changes to our compensation policies and programs were necessary to address the results of the stockholder advisory vote. The compensation committee will continue to consider the results from future stockholder advisory votes on named executive officer compensation and other relevant market developments affecting named executive officer compensation to determine whether any subsequent changes to our named executive officer compensation programs and policies would be warranted to reflect any stockholder concerns reflected in those advisory votes or to address market developments. We frequently engage in stockholder outreach and discuss a wide range of topics, including discussions regarding compensation-related matters. We take our say-on-pay vote results seriously and will continue to consider the feedback we receive from stockholders and use such feedback to inform the compensation committee’s deliberations and decisions with respect to our executive compensation practices.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Compensation Program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Philosophy</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goal of our compensation program is to attract, retain and motivate our employees and executives, including our named executive officers. The compensation committee is responsible for setting our executive compensation and reviewing and approving, or recommending to the board of directors for approval, the Company’s annual corporate performance objectives applicable to executive and other Company bonus programs. In considering executive compensation, the compensation committee strives to ensure that our total compensation is competitive within the industry in which we operate and supports our overall strategy and corporate objectives. The combination of base salary, annual incentives and long-term incentives that we provide our executives is designed to accomplish this.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Objectives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objectives of our executive compensation program are to:</w:t>
      </w:r>
    </w:p>
    <w:p>
      <w:pPr>
        <w:spacing w:after="0" w:line="11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Times New Roman" w:cs="Times New Roman" w:eastAsia="Times New Roman" w:hAnsi="Times New Roman"/>
          <w:sz w:val="18"/>
          <w:szCs w:val="18"/>
          <w:color w:val="auto"/>
        </w:rPr>
        <w:t>attract and retain highly qualified executive officers who have a history of proven success;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Times New Roman" w:cs="Times New Roman" w:eastAsia="Times New Roman" w:hAnsi="Times New Roman"/>
          <w:sz w:val="18"/>
          <w:szCs w:val="18"/>
          <w:color w:val="auto"/>
        </w:rPr>
        <w:t>align the interests of executive officers with our stockholders’ interests and with the execution of our business strategy;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Times New Roman" w:cs="Times New Roman" w:eastAsia="Times New Roman" w:hAnsi="Times New Roman"/>
          <w:sz w:val="18"/>
          <w:szCs w:val="18"/>
          <w:color w:val="auto"/>
        </w:rPr>
        <w:t>motivate and reward our executive officers through competitive pay practices and an appropriate mix of short- and long-term incentives;</w:t>
      </w:r>
    </w:p>
    <w:p>
      <w:pPr>
        <w:spacing w:after="0" w:line="116" w:lineRule="exact"/>
        <w:rPr>
          <w:rFonts w:ascii="Arial" w:cs="Arial" w:eastAsia="Arial" w:hAnsi="Arial"/>
          <w:sz w:val="18"/>
          <w:szCs w:val="18"/>
          <w:color w:val="auto"/>
        </w:rPr>
      </w:pPr>
    </w:p>
    <w:p>
      <w:pPr>
        <w:ind w:left="660" w:right="340" w:hanging="328"/>
        <w:spacing w:after="0" w:line="281" w:lineRule="auto"/>
        <w:tabs>
          <w:tab w:leader="none" w:pos="655" w:val="left"/>
        </w:tabs>
        <w:numPr>
          <w:ilvl w:val="0"/>
          <w:numId w:val="62"/>
        </w:numPr>
        <w:rPr>
          <w:rFonts w:ascii="Arial" w:cs="Arial" w:eastAsia="Arial" w:hAnsi="Arial"/>
          <w:sz w:val="18"/>
          <w:szCs w:val="18"/>
          <w:color w:val="auto"/>
        </w:rPr>
      </w:pPr>
      <w:r>
        <w:rPr>
          <w:rFonts w:ascii="Times New Roman" w:cs="Times New Roman" w:eastAsia="Times New Roman" w:hAnsi="Times New Roman"/>
          <w:sz w:val="18"/>
          <w:szCs w:val="18"/>
          <w:color w:val="auto"/>
        </w:rPr>
        <w:t>evaluate and reward executive performance on the basis of achievement of corporate goals and key financial measurements which we believe closely correlate to long-term stockholder value; and</w:t>
      </w:r>
    </w:p>
    <w:p>
      <w:pPr>
        <w:spacing w:after="0" w:line="54" w:lineRule="exact"/>
        <w:rPr>
          <w:rFonts w:ascii="Arial" w:cs="Arial" w:eastAsia="Arial" w:hAnsi="Arial"/>
          <w:sz w:val="18"/>
          <w:szCs w:val="18"/>
          <w:color w:val="auto"/>
        </w:rPr>
      </w:pPr>
    </w:p>
    <w:p>
      <w:pPr>
        <w:ind w:left="660" w:right="440" w:hanging="328"/>
        <w:spacing w:after="0" w:line="281" w:lineRule="auto"/>
        <w:tabs>
          <w:tab w:leader="none" w:pos="655" w:val="left"/>
        </w:tabs>
        <w:numPr>
          <w:ilvl w:val="0"/>
          <w:numId w:val="62"/>
        </w:numPr>
        <w:rPr>
          <w:rFonts w:ascii="Arial" w:cs="Arial" w:eastAsia="Arial" w:hAnsi="Arial"/>
          <w:sz w:val="18"/>
          <w:szCs w:val="18"/>
          <w:color w:val="auto"/>
        </w:rPr>
      </w:pPr>
      <w:r>
        <w:rPr>
          <w:rFonts w:ascii="Times New Roman" w:cs="Times New Roman" w:eastAsia="Times New Roman" w:hAnsi="Times New Roman"/>
          <w:sz w:val="18"/>
          <w:szCs w:val="18"/>
          <w:color w:val="auto"/>
        </w:rPr>
        <w:t>tie compensation awards directly to corporate goals and key financial measurements with evaluations based on achieving and overachieving predetermined objectives.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the compensation committee’s work included the following:</w:t>
      </w:r>
    </w:p>
    <w:p>
      <w:pPr>
        <w:spacing w:after="0" w:line="117" w:lineRule="exact"/>
        <w:rPr>
          <w:sz w:val="20"/>
          <w:szCs w:val="20"/>
          <w:color w:val="auto"/>
        </w:rPr>
      </w:pPr>
    </w:p>
    <w:p>
      <w:pPr>
        <w:ind w:left="660" w:right="120" w:hanging="328"/>
        <w:spacing w:after="0" w:line="288" w:lineRule="auto"/>
        <w:tabs>
          <w:tab w:leader="none" w:pos="655" w:val="left"/>
        </w:tabs>
        <w:numPr>
          <w:ilvl w:val="0"/>
          <w:numId w:val="63"/>
        </w:numPr>
        <w:rPr>
          <w:rFonts w:ascii="Arial" w:cs="Arial" w:eastAsia="Arial" w:hAnsi="Arial"/>
          <w:sz w:val="17"/>
          <w:szCs w:val="17"/>
          <w:color w:val="auto"/>
        </w:rPr>
      </w:pPr>
      <w:r>
        <w:rPr>
          <w:rFonts w:ascii="Times New Roman" w:cs="Times New Roman" w:eastAsia="Times New Roman" w:hAnsi="Times New Roman"/>
          <w:sz w:val="17"/>
          <w:szCs w:val="17"/>
          <w:color w:val="auto"/>
        </w:rPr>
        <w:t>Competitive Compensation Review – The compensation committee reviewed compensation practices and policies with respect to our executives against Zymeworks’ peer group of companies (as further described below), in order to allow us to place our compensation practices for these positions in a market context. This reference exercise included a review of base salary, total cash compensation and total direct compensation.</w:t>
      </w:r>
    </w:p>
    <w:p>
      <w:pPr>
        <w:spacing w:after="0" w:line="51" w:lineRule="exact"/>
        <w:rPr>
          <w:rFonts w:ascii="Arial" w:cs="Arial" w:eastAsia="Arial" w:hAnsi="Arial"/>
          <w:sz w:val="17"/>
          <w:szCs w:val="17"/>
          <w:color w:val="auto"/>
        </w:rPr>
      </w:pPr>
    </w:p>
    <w:p>
      <w:pPr>
        <w:ind w:left="660" w:right="100" w:hanging="328"/>
        <w:spacing w:after="0" w:line="265" w:lineRule="auto"/>
        <w:tabs>
          <w:tab w:leader="none" w:pos="655" w:val="left"/>
        </w:tabs>
        <w:numPr>
          <w:ilvl w:val="0"/>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Executive Compensation – The compensation committee reviewed the corporate goals and objectives applicable to the compensation of the Company’s executives and evaluated the executives’ performance in light of those goals and objectives. Based on this review and evaluation, the compensation committee approved the 2025 compensation for the Company’s executives, including each of the named executive officers.</w:t>
      </w:r>
    </w:p>
    <w:p>
      <w:pPr>
        <w:spacing w:after="0" w:line="69"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Short- and Long-Term Incentive Plans – The compensation committee administers the Company’s incentive compensation plans and equity-based plans with respect to the Company’s executives, including the named executive officers.</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Succession Planning – The compensation committee reviewed the succession plan for the Chief Executive Officer and other executive officers.</w:t>
      </w:r>
    </w:p>
    <w:p>
      <w:pPr>
        <w:spacing w:after="0" w:line="22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reaching its decisions, the compensation committee may consider input from management and other factors that the compensation committee considers appropriate. Decisions made by the compensation committee are the responsibility of the compensation committee and may reflect factors and considerations other than the information and/or recommendations provided by management.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Compensation Consultant</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2025, the compensation committee retained the Talent Solutions practice at Aon plc, as an independent consultant to the compensation committee to conduct competitive reviews and assessments of Zymeworks’ executive compensation program and recommend go-forward strategies. The compensation committee made the decision to retain Aon in its sole discretion and was directly responsible for the appointment, compensation and oversight of Aon’s work. The compensation committee is involved in and approves the adoption of the following procedures during Aon’s assessments:</w:t>
      </w:r>
    </w:p>
    <w:p>
      <w:pPr>
        <w:spacing w:after="0" w:line="72"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Times New Roman" w:cs="Times New Roman" w:eastAsia="Times New Roman" w:hAnsi="Times New Roman"/>
          <w:sz w:val="18"/>
          <w:szCs w:val="18"/>
          <w:color w:val="auto"/>
        </w:rPr>
        <w:t>establishing the public company peer group used in the executive compensation assessment;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detailed assessment of Zymeworks’ executive compensation program versus the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Times New Roman" w:cs="Times New Roman" w:eastAsia="Times New Roman" w:hAnsi="Times New Roman"/>
          <w:sz w:val="18"/>
          <w:szCs w:val="18"/>
          <w:color w:val="auto"/>
        </w:rPr>
        <w:t>reviewing and approving executive pay mix;</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Times New Roman" w:cs="Times New Roman" w:eastAsia="Times New Roman" w:hAnsi="Times New Roman"/>
          <w:sz w:val="18"/>
          <w:szCs w:val="18"/>
          <w:color w:val="auto"/>
        </w:rPr>
        <w:t>reviewing the assessment of Zymeworks’ board of directors compensation program versus the market;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Times New Roman" w:cs="Times New Roman" w:eastAsia="Times New Roman" w:hAnsi="Times New Roman"/>
          <w:sz w:val="18"/>
          <w:szCs w:val="18"/>
          <w:color w:val="auto"/>
        </w:rPr>
        <w:t>reviewing and approving the non-executive equity compensation program.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utilizes these strategies when contemplating future executive compensation matters.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2025, Aon was retained to review the salaries, bonuses and equity plan levels and participation of executive employees, as well as equity plan levels and participation of employees below the executive level. Zymeworks’ management did not make or recommend such engagements and all such other services were approved by the compensation committee. Except as discussed below, Aon did not perform other services to the Company other than as a compensation consultant. The compensation committee determined Aon to be independent after evaluating the factors required under the applicable listing standard.</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Aon’s services related to determining or recommending the amount or form of executive and non-employee director compensation, management has engaged Aon to perform unrelated broad-based compensation services and risk brokerage services (which included global risk in Canada and the United States). In 2025, fees paid to Aon for these unrelated</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broad-based compensation and risk brokerage services did not exceed $120,000 in the aggregate. The compensation committee was informed about these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Companies and Use of Market Data</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compare our executive compensation program to those of a group of peer companies (North American biotechnology companies of a similar size and stage of development). The first step in the process is that the compensation committee, with the support of Aon and management, reviews trends in biotechnology compensation practices and reviews and approves the list of peer companies used for benchmarking. As part of its analysis in 2024 related to 2025 compensation, Aon collected and analyzed compensation information from a comparative group of biotechnology companies, or peer group, approved by the compensation committee. The compensation committee evaluates the criteria used in establishing the peer group at least annually. The compensation committee seeks input from management in addition to Aon to ensure the peer group is consistent with our current business objectives and strategy.</w:t>
      </w:r>
    </w:p>
    <w:p>
      <w:pPr>
        <w:spacing w:after="0" w:line="18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list of peer companies is approved based on various factors including industry classification, market capitalization, headcount and stage of development. In September 2024, with assistance from Aon, the compensation committee approved a peer group consisting of publicly traded, pre-commercial biopharmaceutical companies:</w:t>
      </w:r>
    </w:p>
    <w:p>
      <w:pPr>
        <w:spacing w:after="0" w:line="68" w:lineRule="exact"/>
        <w:rPr>
          <w:sz w:val="20"/>
          <w:szCs w:val="20"/>
          <w:color w:val="auto"/>
        </w:rPr>
      </w:pPr>
    </w:p>
    <w:p>
      <w:pPr>
        <w:ind w:left="660" w:right="12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 emphasis on developmental stage companies with Phase 3 clinical trials and companies with pending new drug applications (“NDAs”) or BLAs;</w:t>
      </w:r>
    </w:p>
    <w:p>
      <w:pPr>
        <w:spacing w:after="0" w:line="53" w:lineRule="exact"/>
        <w:rPr>
          <w:rFonts w:ascii="Times New Roman" w:cs="Times New Roman" w:eastAsia="Times New Roman" w:hAnsi="Times New Roman"/>
          <w:sz w:val="18"/>
          <w:szCs w:val="18"/>
          <w:color w:val="auto"/>
        </w:rPr>
      </w:pPr>
    </w:p>
    <w:p>
      <w:pPr>
        <w:ind w:left="660" w:right="640" w:hanging="328"/>
        <w:spacing w:after="0" w:line="281" w:lineRule="auto"/>
        <w:tabs>
          <w:tab w:leader="none" w:pos="655" w:val="left"/>
        </w:tabs>
        <w:numPr>
          <w:ilvl w:val="0"/>
          <w:numId w:val="65"/>
        </w:numPr>
        <w:rPr>
          <w:rFonts w:ascii="Arial" w:cs="Arial" w:eastAsia="Arial" w:hAnsi="Arial"/>
          <w:sz w:val="18"/>
          <w:szCs w:val="18"/>
          <w:color w:val="auto"/>
        </w:rPr>
      </w:pPr>
      <w:r>
        <w:rPr>
          <w:rFonts w:ascii="Times New Roman" w:cs="Times New Roman" w:eastAsia="Times New Roman" w:hAnsi="Times New Roman"/>
          <w:sz w:val="18"/>
          <w:szCs w:val="18"/>
          <w:color w:val="auto"/>
        </w:rPr>
        <w:t>with market capitalizations generally between $200 million and $2.0 billion (based on the Company’s then-current 30-day average market capitalization of approximately $744 million);</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Times New Roman" w:cs="Times New Roman" w:eastAsia="Times New Roman" w:hAnsi="Times New Roman"/>
          <w:sz w:val="18"/>
          <w:szCs w:val="18"/>
          <w:color w:val="auto"/>
        </w:rPr>
        <w:t>with generally between 100 and 800 employees;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Times New Roman" w:cs="Times New Roman" w:eastAsia="Times New Roman" w:hAnsi="Times New Roman"/>
          <w:sz w:val="18"/>
          <w:szCs w:val="18"/>
          <w:color w:val="auto"/>
        </w:rPr>
        <w:t>that are located in Canada and the United States, with a focus on companies headquartered in biotechnology hub markets.</w:t>
      </w:r>
    </w:p>
    <w:p>
      <w:pPr>
        <w:spacing w:after="0" w:line="224"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8"/>
          <w:szCs w:val="18"/>
          <w:color w:val="auto"/>
        </w:rPr>
        <w:t>Based on these criteria, in September 2024, the compensation committee approved the following peer group set forth below and used this peer group to inform compensation decisions for 2025</w:t>
      </w:r>
      <w:r>
        <w:rPr>
          <w:rFonts w:ascii="Times New Roman" w:cs="Times New Roman" w:eastAsia="Times New Roman" w:hAnsi="Times New Roman"/>
          <w:sz w:val="21"/>
          <w:szCs w:val="21"/>
          <w:color w:val="auto"/>
        </w:rPr>
        <w: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Alector, Inc.</w:t>
            </w:r>
          </w:p>
        </w:tc>
        <w:tc>
          <w:tcPr>
            <w:tcW w:w="3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Erasca</w:t>
            </w:r>
            <w:r>
              <w:rPr>
                <w:rFonts w:ascii="Times New Roman" w:cs="Times New Roman" w:eastAsia="Times New Roman" w:hAnsi="Times New Roman"/>
                <w:sz w:val="23"/>
                <w:szCs w:val="23"/>
                <w:color w:val="auto"/>
                <w:vertAlign w:val="superscript"/>
              </w:rPr>
              <w:t>(1)</w:t>
            </w:r>
          </w:p>
        </w:tc>
        <w:tc>
          <w:tcPr>
            <w:tcW w:w="27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Relay Therapeutics</w:t>
            </w:r>
          </w:p>
        </w:tc>
      </w:tr>
      <w:tr>
        <w:trPr>
          <w:trHeight w:val="234"/>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AnaptysBio, Inc.</w:t>
            </w:r>
          </w:p>
        </w:tc>
        <w:tc>
          <w:tcPr>
            <w:tcW w:w="3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IGM Biosciences, Inc.</w:t>
            </w:r>
          </w:p>
        </w:tc>
        <w:tc>
          <w:tcPr>
            <w:tcW w:w="27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Replimune Group, Inc.</w:t>
            </w:r>
          </w:p>
        </w:tc>
      </w:tr>
      <w:tr>
        <w:trPr>
          <w:trHeight w:val="279"/>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Arcus Biosciences</w:t>
            </w:r>
            <w:r>
              <w:rPr>
                <w:rFonts w:ascii="Times New Roman" w:cs="Times New Roman" w:eastAsia="Times New Roman" w:hAnsi="Times New Roman"/>
                <w:sz w:val="23"/>
                <w:szCs w:val="23"/>
                <w:color w:val="auto"/>
                <w:vertAlign w:val="superscript"/>
              </w:rPr>
              <w:t>(1)</w:t>
            </w:r>
          </w:p>
        </w:tc>
        <w:tc>
          <w:tcPr>
            <w:tcW w:w="3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Immunome</w:t>
            </w:r>
            <w:r>
              <w:rPr>
                <w:rFonts w:ascii="Times New Roman" w:cs="Times New Roman" w:eastAsia="Times New Roman" w:hAnsi="Times New Roman"/>
                <w:sz w:val="23"/>
                <w:szCs w:val="23"/>
                <w:color w:val="auto"/>
                <w:vertAlign w:val="superscript"/>
              </w:rPr>
              <w:t>(1)</w:t>
            </w:r>
          </w:p>
        </w:tc>
        <w:tc>
          <w:tcPr>
            <w:tcW w:w="27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Sutro Biopharma, Inc.</w:t>
            </w:r>
          </w:p>
        </w:tc>
      </w:tr>
      <w:tr>
        <w:trPr>
          <w:trHeight w:val="256"/>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Bicycle Therapeutics</w:t>
            </w:r>
          </w:p>
        </w:tc>
        <w:tc>
          <w:tcPr>
            <w:tcW w:w="3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Iteos Therapeutics</w:t>
            </w:r>
          </w:p>
        </w:tc>
        <w:tc>
          <w:tcPr>
            <w:tcW w:w="2700" w:type="dxa"/>
            <w:vAlign w:val="bottom"/>
          </w:tcPr>
          <w:p>
            <w:pPr>
              <w:ind w:left="800"/>
              <w:spacing w:after="0" w:line="256" w:lineRule="exact"/>
              <w:rPr>
                <w:sz w:val="20"/>
                <w:szCs w:val="20"/>
                <w:color w:val="auto"/>
              </w:rPr>
            </w:pPr>
            <w:r>
              <w:rPr>
                <w:rFonts w:ascii="Times New Roman" w:cs="Times New Roman" w:eastAsia="Times New Roman" w:hAnsi="Times New Roman"/>
                <w:sz w:val="18"/>
                <w:szCs w:val="18"/>
                <w:color w:val="auto"/>
                <w:w w:val="96"/>
              </w:rPr>
              <w:t>Syndax Pharmaceuticals</w:t>
            </w:r>
            <w:r>
              <w:rPr>
                <w:rFonts w:ascii="Times New Roman" w:cs="Times New Roman" w:eastAsia="Times New Roman" w:hAnsi="Times New Roman"/>
                <w:sz w:val="23"/>
                <w:szCs w:val="23"/>
                <w:color w:val="auto"/>
                <w:w w:val="96"/>
                <w:vertAlign w:val="superscript"/>
              </w:rPr>
              <w:t>(1)</w:t>
            </w:r>
          </w:p>
        </w:tc>
      </w:tr>
      <w:tr>
        <w:trPr>
          <w:trHeight w:val="234"/>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C4 Therapeutics</w:t>
            </w:r>
          </w:p>
        </w:tc>
        <w:tc>
          <w:tcPr>
            <w:tcW w:w="3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Kura Oncology, Inc.</w:t>
            </w:r>
          </w:p>
        </w:tc>
        <w:tc>
          <w:tcPr>
            <w:tcW w:w="27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Xencor</w:t>
            </w:r>
          </w:p>
        </w:tc>
      </w:tr>
      <w:tr>
        <w:trPr>
          <w:trHeight w:val="257"/>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Cogent Biosciences</w:t>
            </w:r>
          </w:p>
        </w:tc>
        <w:tc>
          <w:tcPr>
            <w:tcW w:w="3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MacroGenics, Inc.</w:t>
            </w:r>
          </w:p>
        </w:tc>
        <w:tc>
          <w:tcPr>
            <w:tcW w:w="2700" w:type="dxa"/>
            <w:vAlign w:val="bottom"/>
          </w:tcPr>
          <w:p>
            <w:pPr>
              <w:spacing w:after="0"/>
              <w:rPr>
                <w:sz w:val="22"/>
                <w:szCs w:val="22"/>
                <w:color w:val="auto"/>
              </w:rPr>
            </w:pPr>
          </w:p>
        </w:tc>
      </w:tr>
      <w:tr>
        <w:trPr>
          <w:trHeight w:val="339"/>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Cullinan Therapeutics</w:t>
            </w:r>
            <w:r>
              <w:rPr>
                <w:rFonts w:ascii="Times New Roman" w:cs="Times New Roman" w:eastAsia="Times New Roman" w:hAnsi="Times New Roman"/>
                <w:sz w:val="23"/>
                <w:szCs w:val="23"/>
                <w:color w:val="auto"/>
                <w:vertAlign w:val="superscript"/>
              </w:rPr>
              <w:t>(1)</w:t>
            </w:r>
          </w:p>
        </w:tc>
        <w:tc>
          <w:tcPr>
            <w:tcW w:w="3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REGENXBIO Inc.</w:t>
            </w:r>
          </w:p>
        </w:tc>
        <w:tc>
          <w:tcPr>
            <w:tcW w:w="2700" w:type="dxa"/>
            <w:vAlign w:val="bottom"/>
          </w:tcPr>
          <w:p>
            <w:pPr>
              <w:spacing w:after="0"/>
              <w:rPr>
                <w:sz w:val="24"/>
                <w:szCs w:val="24"/>
                <w:color w:val="auto"/>
              </w:rPr>
            </w:pPr>
          </w:p>
        </w:tc>
      </w:tr>
      <w:tr>
        <w:trPr>
          <w:trHeight w:val="232"/>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w:t>
            </w:r>
          </w:p>
        </w:tc>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ind w:right="160" w:firstLine="8"/>
        <w:spacing w:after="0" w:line="275" w:lineRule="auto"/>
        <w:tabs>
          <w:tab w:leader="none" w:pos="229"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Added to the peer group in September 2024. The following companies were deleted from the peer group approved in September 2024: Adaptimmune Therapeutics plc, Atara Biotherapeutics, Inc., Gossamer Bio, Inc., Mersana Therapeutics, Inc., NGM Biopharmaceuticals, Inc. and Repare Therapeutics Inc.</w:t>
      </w:r>
    </w:p>
    <w:p>
      <w:pPr>
        <w:spacing w:after="0" w:line="1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compensation committee uses comparative data from our peer group as a reference when setting and adjusting executive compensation, but it does not target our overall program or any particular element of compensation to be at a particular percentile compared to our peers. Rather, our compensation committee uses a range of peer group data for each executive position for which data is available, along with an assessment of each executive’s performance, criticality and tenure, to ensure that our executive compensation program and its constituent elements are and remain competitive in relation to our peers.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Compensation Package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our executive compensation program consisted of three major components:</w:t>
      </w:r>
    </w:p>
    <w:p>
      <w:pPr>
        <w:spacing w:after="0" w:line="117"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bonuses based on a comparison of corporate performance to pre-set goals and objectives;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incentives, which in 2025, consisted of grants of stock options and time-based restricted stock units.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making 2025 compensation decisions, our compensation committee believed that each component of executive compensation must be evaluated and determined with reference to competitive market data, individual and Company-wide performance, our recruiting and retention goals, internal equity and consistency, and other information it deems relevant. As it evaluated executive compensation in 2025, the compensation committee believed that in the biopharmaceutical/biotechnology industry, long-term incentives such as stock options and restricted stock units are a primary motivator in attracting and retaining executives, in addition to salary and cash incentive bonuses.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components of our 2025 executive compensation program are described in more detail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Annual base salary is designed to provide a competitive fixed rate of pay recognizing different levels of responsibility and performance within Zymeworks. This compensation component helps us to attract and retain highly qualified executives who have a history of proven success. In determining whether to increase the base salary for a particular executive, our compensation committee in discussions with our Chief Executive Officer (for executives other than the Chief Executive Officer) considers a variety of factors, including performance, length of service and criticality of role. The determination of base salary affects the amount of an executive’s cash bonus. The table below shows the base salaries of our named executive officers for 2025:</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2025 Base Salary</w:t>
            </w:r>
          </w:p>
        </w:tc>
      </w:tr>
      <w:tr>
        <w:trPr>
          <w:trHeight w:val="238"/>
        </w:trPr>
        <w:tc>
          <w:tcPr>
            <w:tcW w:w="890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7"/>
        </w:trPr>
        <w:tc>
          <w:tcPr>
            <w:tcW w:w="8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0"/>
        </w:trPr>
        <w:tc>
          <w:tcPr>
            <w:tcW w:w="870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Kenneth Galbraith, </w:t>
            </w:r>
            <w:r>
              <w:rPr>
                <w:rFonts w:ascii="Times New Roman" w:cs="Times New Roman" w:eastAsia="Times New Roman" w:hAnsi="Times New Roman"/>
                <w:sz w:val="18"/>
                <w:szCs w:val="18"/>
                <w:i w:val="1"/>
                <w:iCs w:val="1"/>
                <w:color w:val="auto"/>
              </w:rPr>
              <w:t>Chief Executive Officer, President and Chair of Board of Directors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655,000</w:t>
            </w:r>
          </w:p>
        </w:tc>
      </w:tr>
      <w:tr>
        <w:trPr>
          <w:trHeight w:val="236"/>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Paul A. Moore, </w:t>
            </w:r>
            <w:r>
              <w:rPr>
                <w:rFonts w:ascii="Times New Roman" w:cs="Times New Roman" w:eastAsia="Times New Roman" w:hAnsi="Times New Roman"/>
                <w:sz w:val="18"/>
                <w:szCs w:val="18"/>
                <w:i w:val="1"/>
                <w:iCs w:val="1"/>
                <w:color w:val="auto"/>
              </w:rPr>
              <w:t>Chief Scientific Officer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495,000</w:t>
            </w:r>
          </w:p>
        </w:tc>
      </w:tr>
      <w:tr>
        <w:trPr>
          <w:trHeight w:val="20"/>
        </w:trPr>
        <w:tc>
          <w:tcPr>
            <w:tcW w:w="8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57"/>
        </w:trPr>
        <w:tc>
          <w:tcPr>
            <w:tcW w:w="89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Jeffrey Smith, </w:t>
            </w:r>
            <w:r>
              <w:rPr>
                <w:rFonts w:ascii="Times New Roman" w:cs="Times New Roman" w:eastAsia="Times New Roman" w:hAnsi="Times New Roman"/>
                <w:sz w:val="18"/>
                <w:szCs w:val="18"/>
                <w:i w:val="1"/>
                <w:iCs w:val="1"/>
                <w:color w:val="auto"/>
              </w:rPr>
              <w:t>Former Chief Medical Officer</w:t>
            </w:r>
            <w:r>
              <w:rPr>
                <w:rFonts w:ascii="Times New Roman" w:cs="Times New Roman" w:eastAsia="Times New Roman" w:hAnsi="Times New Roman"/>
                <w:sz w:val="23"/>
                <w:szCs w:val="23"/>
                <w:color w:val="auto"/>
                <w:vertAlign w:val="superscript"/>
              </w:rPr>
              <w:t>(2)</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485,000</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23" w:lineRule="exact"/>
        <w:rPr>
          <w:sz w:val="20"/>
          <w:szCs w:val="20"/>
          <w:color w:val="auto"/>
        </w:rPr>
      </w:pPr>
    </w:p>
    <w:p>
      <w:pPr>
        <w:ind w:left="240" w:hanging="232"/>
        <w:spacing w:after="0"/>
        <w:tabs>
          <w:tab w:leader="none" w:pos="2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Galbraith has also served as our interim Chief Financial Officer, principal financial officer and principal accounting officer since January 2026.</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Smith retired from his position as our Executive Vice President and Chief Medical Officer effective January 31,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Bonus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cash bonus component is designed to provide our named executive officers with annual cash incentive awards based on achievement of certain goals and objectives. The awards represent pay at risk – they result in payment only if and to the extent certain goals and objectives are met – and do not affect decisions regarding other components of compensation. This compensation component motivates and rewards our named executive officers for outstanding performance. In addition, we occasionally provide sign-on bonuses to newly hired executives in order to induce them to join the Company.</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Annual cash incentive compensation for our named executive officers is paid pursuant to the Company’s Executive Incentive Compensation Plan, which provides the compensation committee discretion to make changes to performance targets and bonus targets, to decrease, increase or eliminate bonuses and to change other terms and conditions related to annual incentive compensation, in each case as the compensation committee deems appropriate to meet the overarching retention and incentive goals associated with our executive bonus program.</w:t>
      </w:r>
    </w:p>
    <w:p>
      <w:pPr>
        <w:spacing w:after="0" w:line="18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Named executive officers are eligible to receive an amount targeted at a pre-determined percentage of their base salary established at the beginning of each year. The compensation committee set annual target bonuses for each of Mr. Galbraith, Dr. Moore and Dr. Smith in January 2025 as follows:</w:t>
      </w:r>
    </w:p>
    <w:tbl>
      <w:tblPr>
        <w:tblLayout w:type="fixed"/>
        <w:tblInd w:w="0" w:type="dxa"/>
        <w:tblCellMar>
          <w:top w:w="0" w:type="dxa"/>
          <w:left w:w="0" w:type="dxa"/>
          <w:bottom w:w="0" w:type="dxa"/>
          <w:right w:w="0" w:type="dxa"/>
        </w:tblCellMar>
      </w:tblPr>
      <w:tr>
        <w:trPr>
          <w:trHeight w:val="204"/>
        </w:trPr>
        <w:tc>
          <w:tcPr>
            <w:tcW w:w="8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7"/>
              </w:rPr>
              <w:t>2025 Target Bonus</w:t>
            </w:r>
          </w:p>
        </w:tc>
      </w:tr>
      <w:tr>
        <w:trPr>
          <w:trHeight w:val="238"/>
        </w:trPr>
        <w:tc>
          <w:tcPr>
            <w:tcW w:w="902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 Base Salary)</w:t>
            </w:r>
          </w:p>
        </w:tc>
      </w:tr>
      <w:tr>
        <w:trPr>
          <w:trHeight w:val="27"/>
        </w:trPr>
        <w:tc>
          <w:tcPr>
            <w:tcW w:w="8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878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Kenneth Galbraith, </w:t>
            </w:r>
            <w:r>
              <w:rPr>
                <w:rFonts w:ascii="Times New Roman" w:cs="Times New Roman" w:eastAsia="Times New Roman" w:hAnsi="Times New Roman"/>
                <w:sz w:val="18"/>
                <w:szCs w:val="18"/>
                <w:i w:val="1"/>
                <w:iCs w:val="1"/>
                <w:color w:val="auto"/>
              </w:rPr>
              <w:t>Chief Executive Officer, President and Chair of Board of Directors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r>
      <w:tr>
        <w:trPr>
          <w:trHeight w:val="236"/>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Paul A. Moore, </w:t>
            </w:r>
            <w:r>
              <w:rPr>
                <w:rFonts w:ascii="Times New Roman" w:cs="Times New Roman" w:eastAsia="Times New Roman" w:hAnsi="Times New Roman"/>
                <w:sz w:val="18"/>
                <w:szCs w:val="18"/>
                <w:i w:val="1"/>
                <w:iCs w:val="1"/>
                <w:color w:val="auto"/>
              </w:rPr>
              <w:t>Chief Scientific Officer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7"/>
        </w:trPr>
        <w:tc>
          <w:tcPr>
            <w:tcW w:w="90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Jeffrey Smith, </w:t>
            </w:r>
            <w:r>
              <w:rPr>
                <w:rFonts w:ascii="Times New Roman" w:cs="Times New Roman" w:eastAsia="Times New Roman" w:hAnsi="Times New Roman"/>
                <w:sz w:val="18"/>
                <w:szCs w:val="18"/>
                <w:i w:val="1"/>
                <w:iCs w:val="1"/>
                <w:color w:val="auto"/>
              </w:rPr>
              <w:t>Former Chief Medical Officer</w:t>
            </w:r>
            <w:r>
              <w:rPr>
                <w:rFonts w:ascii="Times New Roman" w:cs="Times New Roman" w:eastAsia="Times New Roman" w:hAnsi="Times New Roman"/>
                <w:sz w:val="23"/>
                <w:szCs w:val="23"/>
                <w:color w:val="auto"/>
                <w:vertAlign w:val="superscript"/>
              </w:rPr>
              <w:t>(2)</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26" w:lineRule="exact"/>
        <w:rPr>
          <w:sz w:val="20"/>
          <w:szCs w:val="20"/>
          <w:color w:val="auto"/>
        </w:rPr>
      </w:pPr>
    </w:p>
    <w:p>
      <w:pPr>
        <w:ind w:left="240" w:hanging="232"/>
        <w:spacing w:after="0"/>
        <w:tabs>
          <w:tab w:leader="none" w:pos="2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Galbraith has also served as our interim Chief Financial Officer since January 2026.</w:t>
      </w:r>
    </w:p>
    <w:p>
      <w:pPr>
        <w:spacing w:after="0" w:line="1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Smith retired from his position as our Executive Vice President and Chief Medical Officer effective January 31, 2026.</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the beginning of each year, the compensation committee approves, or recommends that the board of directors approve, performance targets that are tied to the level of achievement of corporate and/or individual goals, and the compensation committee approves the weighting assigned to each goal. For 2025, the corporate and individual weighting was 100% corporate and 0% individual for all named executive officers. Achievement of corporate goals was a precondition for payment of bonuses with respect to 2025. Our compensation committee believed that this mix was appropriate in order to incentivize our management team to achieve our key corporate objectives.</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After the end of the year, the compensation committee determines the performance bonus payable to each named executive officer based on the results achieved as compared to the performance targets established for a particular year. Depending on level of achievement, named executive officers may earn up to 150% of their respective target bonuses. There is no minimum bonus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Company Corporate Goals and Achievement</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December 2024, the board of directors (with input from members of the compensation committee) approved, and in January 2025, the members of the compensation committee updated, corporate goals for 2025 that were grouped into five main categories: (i) Ziihera, (ii) Finance and Partnerships, (iii) Clinical Development, (iv) Pre-Clinical Development and (v) Talent.</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January 2026, the compensation committee reviewed our performance against the corporate goals under the 2025 bonus plan, and determined that these goals were achieved at the 87.75% level. Additional detail on these goals and the assessed achievement is set forth in the table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2025 Corporate</w:t>
            </w:r>
          </w:p>
        </w:tc>
        <w:tc>
          <w:tcPr>
            <w:tcW w:w="6680" w:type="dxa"/>
            <w:vAlign w:val="bottom"/>
            <w:gridSpan w:val="2"/>
            <w:vMerge w:val="restart"/>
          </w:tcPr>
          <w:p>
            <w:pPr>
              <w:ind w:left="2420"/>
              <w:spacing w:after="0"/>
              <w:rPr>
                <w:sz w:val="20"/>
                <w:szCs w:val="20"/>
                <w:color w:val="auto"/>
              </w:rPr>
            </w:pPr>
            <w:r>
              <w:rPr>
                <w:rFonts w:ascii="Times New Roman" w:cs="Times New Roman" w:eastAsia="Times New Roman" w:hAnsi="Times New Roman"/>
                <w:sz w:val="18"/>
                <w:szCs w:val="18"/>
                <w:b w:val="1"/>
                <w:bCs w:val="1"/>
                <w:color w:val="auto"/>
              </w:rPr>
              <w:t>Key Elements of Goal</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Target Weight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Assessed</w:t>
            </w:r>
          </w:p>
        </w:tc>
        <w:tc>
          <w:tcPr>
            <w:tcW w:w="0" w:type="dxa"/>
            <w:vAlign w:val="bottom"/>
          </w:tcPr>
          <w:p>
            <w:pPr>
              <w:spacing w:after="0"/>
              <w:rPr>
                <w:sz w:val="1"/>
                <w:szCs w:val="1"/>
                <w:color w:val="auto"/>
              </w:rPr>
            </w:pPr>
          </w:p>
        </w:tc>
      </w:tr>
      <w:tr>
        <w:trPr>
          <w:trHeight w:val="243"/>
        </w:trPr>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Goal Category</w:t>
            </w:r>
          </w:p>
        </w:tc>
        <w:tc>
          <w:tcPr>
            <w:tcW w:w="6680" w:type="dxa"/>
            <w:vAlign w:val="bottom"/>
            <w:gridSpan w:val="2"/>
            <w:vMerge w:val="continue"/>
          </w:tcPr>
          <w:p>
            <w:pPr>
              <w:spacing w:after="0"/>
              <w:rPr>
                <w:sz w:val="21"/>
                <w:szCs w:val="21"/>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Goal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c>
          <w:tcPr>
            <w:tcW w:w="0" w:type="dxa"/>
            <w:vAlign w:val="bottom"/>
          </w:tcPr>
          <w:p>
            <w:pPr>
              <w:spacing w:after="0"/>
              <w:rPr>
                <w:sz w:val="1"/>
                <w:szCs w:val="1"/>
                <w:color w:val="auto"/>
              </w:rPr>
            </w:pPr>
          </w:p>
        </w:tc>
      </w:tr>
      <w:tr>
        <w:trPr>
          <w:trHeight w:val="191"/>
        </w:trPr>
        <w:tc>
          <w:tcPr>
            <w:tcW w:w="156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Ziihera</w:t>
            </w:r>
          </w:p>
        </w:tc>
        <w:tc>
          <w:tcPr>
            <w:tcW w:w="140" w:type="dxa"/>
            <w:vAlign w:val="bottom"/>
          </w:tcPr>
          <w:p>
            <w:pPr>
              <w:spacing w:after="0"/>
              <w:rPr>
                <w:sz w:val="16"/>
                <w:szCs w:val="16"/>
                <w:color w:val="auto"/>
              </w:rPr>
            </w:pPr>
          </w:p>
        </w:tc>
        <w:tc>
          <w:tcPr>
            <w:tcW w:w="65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1L GEA topline data announced by our partner Jazz</w:t>
            </w:r>
          </w:p>
        </w:tc>
        <w:tc>
          <w:tcPr>
            <w:tcW w:w="160" w:type="dxa"/>
            <w:vAlign w:val="bottom"/>
          </w:tcPr>
          <w:p>
            <w:pPr>
              <w:spacing w:after="0"/>
              <w:rPr>
                <w:sz w:val="16"/>
                <w:szCs w:val="16"/>
                <w:color w:val="auto"/>
              </w:rPr>
            </w:pPr>
          </w:p>
        </w:tc>
        <w:tc>
          <w:tcPr>
            <w:tcW w:w="13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 for base</w:t>
            </w:r>
          </w:p>
        </w:tc>
        <w:tc>
          <w:tcPr>
            <w:tcW w:w="20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Recognition of $20.0 million milestone for late-line BTC in China from our partner</w:t>
            </w: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goals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8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BeOne</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and</w:t>
            </w: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Securing additional financing, including through partnerships and other non-dilutive</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25% for base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6.75%</w:t>
            </w:r>
          </w:p>
        </w:tc>
        <w:tc>
          <w:tcPr>
            <w:tcW w:w="0" w:type="dxa"/>
            <w:vAlign w:val="bottom"/>
          </w:tcPr>
          <w:p>
            <w:pPr>
              <w:spacing w:after="0"/>
              <w:rPr>
                <w:sz w:val="1"/>
                <w:szCs w:val="1"/>
                <w:color w:val="auto"/>
              </w:rPr>
            </w:pPr>
          </w:p>
        </w:tc>
      </w:tr>
      <w:tr>
        <w:trPr>
          <w:trHeight w:val="203"/>
        </w:trPr>
        <w:tc>
          <w:tcPr>
            <w:tcW w:w="17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Partnerships</w:t>
            </w:r>
          </w:p>
        </w:tc>
        <w:tc>
          <w:tcPr>
            <w:tcW w:w="6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methods, as well as related stretch goals</w:t>
            </w:r>
          </w:p>
        </w:tc>
        <w:tc>
          <w:tcPr>
            <w:tcW w:w="15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goals; an</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rPr>
              <w:t>additional 24.5%</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for stretch goals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Clinical</w:t>
            </w: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Advance various clinical trials of early-stage candidates, including: (i) dose escalation</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45% for base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47.50%</w:t>
            </w:r>
          </w:p>
        </w:tc>
        <w:tc>
          <w:tcPr>
            <w:tcW w:w="0" w:type="dxa"/>
            <w:vAlign w:val="bottom"/>
          </w:tcPr>
          <w:p>
            <w:pPr>
              <w:spacing w:after="0"/>
              <w:rPr>
                <w:sz w:val="1"/>
                <w:szCs w:val="1"/>
                <w:color w:val="auto"/>
              </w:rPr>
            </w:pPr>
          </w:p>
        </w:tc>
      </w:tr>
      <w:tr>
        <w:trPr>
          <w:trHeight w:val="203"/>
        </w:trPr>
        <w:tc>
          <w:tcPr>
            <w:tcW w:w="17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Development</w:t>
            </w:r>
          </w:p>
        </w:tc>
        <w:tc>
          <w:tcPr>
            <w:tcW w:w="6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cohort completion; (ii) first patient dosed; (iii) IND approvals; and (iv) related stretch</w:t>
            </w:r>
          </w:p>
        </w:tc>
        <w:tc>
          <w:tcPr>
            <w:tcW w:w="15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goals; an</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goals</w:t>
            </w:r>
          </w:p>
        </w:tc>
        <w:tc>
          <w:tcPr>
            <w:tcW w:w="15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additional</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8"/>
              </w:rPr>
              <w:t>16.25% for</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stretch goals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Preclinical</w:t>
            </w: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Goals relating to: (i) toxicology studies, including those relating to initiation or</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15% for base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21.00%</w:t>
            </w:r>
          </w:p>
        </w:tc>
        <w:tc>
          <w:tcPr>
            <w:tcW w:w="0" w:type="dxa"/>
            <w:vAlign w:val="bottom"/>
          </w:tcPr>
          <w:p>
            <w:pPr>
              <w:spacing w:after="0"/>
              <w:rPr>
                <w:sz w:val="1"/>
                <w:szCs w:val="1"/>
                <w:color w:val="auto"/>
              </w:rPr>
            </w:pPr>
          </w:p>
        </w:tc>
      </w:tr>
      <w:tr>
        <w:trPr>
          <w:trHeight w:val="203"/>
        </w:trPr>
        <w:tc>
          <w:tcPr>
            <w:tcW w:w="17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Development</w:t>
            </w:r>
          </w:p>
        </w:tc>
        <w:tc>
          <w:tcPr>
            <w:tcW w:w="6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completion of non-human primate GLP studies; (ii) candidate selection; and (iii) related</w:t>
            </w:r>
          </w:p>
        </w:tc>
        <w:tc>
          <w:tcPr>
            <w:tcW w:w="15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goals; an</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stretch goals</w:t>
            </w:r>
          </w:p>
        </w:tc>
        <w:tc>
          <w:tcPr>
            <w:tcW w:w="15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w w:val="99"/>
              </w:rPr>
              <w:t>additional 9% for</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stretch goals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Talent</w:t>
            </w: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Goals relating to: (i) employee retention; and (ii) achievement of standards relating to</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5% for base goals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culture.</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100% for base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87.75%</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8"/>
              </w:rPr>
              <w:t>goals; bonuses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capped at 150%</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performed well against its 2025 corporate goals with respect to Ziihera, Clinical Development and Pre-Clinical Development. The Company did not fully achieve its 2025 corporate goals with respect to Finance and Partnerships, given various factors, including changes in the competitive landscape and financial markets impacting the timing of potential partnerships and financing opportunities. While the Company performed well in its Talent retention goals, we did not fully meet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60"/>
        <w:spacing w:after="0" w:line="264" w:lineRule="auto"/>
        <w:rPr>
          <w:sz w:val="20"/>
          <w:szCs w:val="20"/>
          <w:color w:val="auto"/>
        </w:rPr>
      </w:pPr>
      <w:r>
        <w:rPr>
          <w:rFonts w:ascii="Times New Roman" w:cs="Times New Roman" w:eastAsia="Times New Roman" w:hAnsi="Times New Roman"/>
          <w:sz w:val="18"/>
          <w:szCs w:val="18"/>
          <w:color w:val="auto"/>
        </w:rPr>
        <w:t>our Talent goals related to maintaining and enhancing our corporate culture and this will be a continued focus for us in the future. Given the Company’s strong overall performance against its 2025 corporate goals, the compensation committee determined that these goals were achieved at the 87.75% level and approved 2025 bonuses for our named executive officers as follows:</w:t>
      </w:r>
    </w:p>
    <w:tbl>
      <w:tblPr>
        <w:tblLayout w:type="fixed"/>
        <w:tblInd w:w="0" w:type="dxa"/>
        <w:tblCellMar>
          <w:top w:w="0" w:type="dxa"/>
          <w:left w:w="0" w:type="dxa"/>
          <w:bottom w:w="0" w:type="dxa"/>
          <w:right w:w="0" w:type="dxa"/>
        </w:tblCellMar>
      </w:tblPr>
      <w:tr>
        <w:trPr>
          <w:trHeight w:val="204"/>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2025 Bonus</w:t>
            </w:r>
          </w:p>
        </w:tc>
      </w:tr>
      <w:tr>
        <w:trPr>
          <w:trHeight w:val="265"/>
        </w:trPr>
        <w:tc>
          <w:tcPr>
            <w:tcW w:w="8740" w:type="dxa"/>
            <w:vAlign w:val="bottom"/>
            <w:gridSpan w:val="2"/>
          </w:tcPr>
          <w:p>
            <w:pPr>
              <w:ind w:left="320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color w:val="auto"/>
                <w:w w:val="87"/>
                <w:vertAlign w:val="superscript"/>
              </w:rPr>
              <w:t>(1)</w:t>
            </w:r>
          </w:p>
        </w:tc>
      </w:tr>
      <w:tr>
        <w:trPr>
          <w:trHeight w:val="230"/>
        </w:trPr>
        <w:tc>
          <w:tcPr>
            <w:tcW w:w="86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Kenneth Galbraith, </w:t>
            </w:r>
            <w:r>
              <w:rPr>
                <w:rFonts w:ascii="Times New Roman" w:cs="Times New Roman" w:eastAsia="Times New Roman" w:hAnsi="Times New Roman"/>
                <w:sz w:val="18"/>
                <w:szCs w:val="18"/>
                <w:i w:val="1"/>
                <w:iCs w:val="1"/>
                <w:color w:val="auto"/>
              </w:rPr>
              <w:t>Chief Executive Officer, President and Chair of Board of Directors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344,858</w:t>
            </w:r>
          </w:p>
        </w:tc>
      </w:tr>
      <w:tr>
        <w:trPr>
          <w:trHeight w:val="23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Paul A. Moore, </w:t>
            </w:r>
            <w:r>
              <w:rPr>
                <w:rFonts w:ascii="Times New Roman" w:cs="Times New Roman" w:eastAsia="Times New Roman" w:hAnsi="Times New Roman"/>
                <w:sz w:val="18"/>
                <w:szCs w:val="18"/>
                <w:i w:val="1"/>
                <w:iCs w:val="1"/>
                <w:color w:val="auto"/>
              </w:rPr>
              <w:t>Chief Scientific Officer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195,463</w:t>
            </w:r>
          </w:p>
        </w:tc>
      </w:tr>
      <w:tr>
        <w:trPr>
          <w:trHeight w:val="20"/>
        </w:trPr>
        <w:tc>
          <w:tcPr>
            <w:tcW w:w="8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6"/>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Jeffrey Smith, </w:t>
            </w:r>
            <w:r>
              <w:rPr>
                <w:rFonts w:ascii="Times New Roman" w:cs="Times New Roman" w:eastAsia="Times New Roman" w:hAnsi="Times New Roman"/>
                <w:sz w:val="18"/>
                <w:szCs w:val="18"/>
                <w:i w:val="1"/>
                <w:iCs w:val="1"/>
                <w:color w:val="auto"/>
              </w:rPr>
              <w:t>Former Chief Medical Officer</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191,514</w:t>
            </w: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10" w:lineRule="exact"/>
        <w:rPr>
          <w:sz w:val="20"/>
          <w:szCs w:val="20"/>
          <w:color w:val="auto"/>
        </w:rPr>
      </w:pPr>
    </w:p>
    <w:p>
      <w:pPr>
        <w:ind w:right="120" w:firstLine="8"/>
        <w:spacing w:after="0" w:line="238" w:lineRule="auto"/>
        <w:tabs>
          <w:tab w:leader="none" w:pos="229"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Bonus amounts for all named executive officers are determined in U.S. dollars, and the table above reflects this determination in U.S. dollars. However, the bonus amount for Mr. Galbraith was paid in British pounds, the bonus amount for Dr. Moore was paid in Canadian dollars and the bonus amount for Dr. Smith was paid in Euros. The U.S. dollar figures reported in the Summary Compensation Table under the column header titled “Non-Equity Incentive Plan Compensation” vary from the figures in the table above due to the impact of foreign currency conversions. For additional information on foreign currency conversion rates, see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Incentives</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Amended and Restated Stock Option and Equity Compensation Plan (the “Equity Compensation Plan”) authorizes us to make grants to eligible recipients of stock options, restricted stock, restricted stock units and other share-based awards, to attract, retain, motivate and reward qualified directors and employees and to enable and encourage such directors and employees to acquire shares of common stock as long-term investments.</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granted a mix of stock options and time-based restricted stock units to Mr. Galbraith, Dr. Moore and Dr. Smith in January 2025. The compensation committee believes this approach aligns the interests of our executives (including those of our named executive officers) with our stockholders’ interests by rewarding for improvements in stock price over a period of time. The Company issues stock options and restricted stock units to reward for future performance and appreciation. Because stock options only have value if our stock price increases relative to the stock option’s exercise price, we consider them to be an important performance-based tool that encourages our named executive officers to focus on driving increases to stockholder value. Time-based restricted stock units play an important role in our executive compensation program because they provide some value even during periods of stock price or market volatilities, provide retention incentives during the vesting period, and reinforce a culture of ownership. By granting restricted stock units, the Company can also reduce the dilutive effect of the equity incentive awards in the form of stock options, which benefits our stockholders over time. In addition, the vesting feature of our stock awards contributes to executive retention by providing an incentive to our executives to remain employed by us during the vesting period. For 2025, we determined that annual grants to Mr. Galbraith, Dr. Moore, and Dr. Smith based on an approximately 50/50 value mix of stock options and time-based restricted stock units was most appropriate to reflect the continued change in the market and the evolution of our compensation program away from an options-only approach. The compensation committee evaluates the long-term incentive programs for each year, and the appropriate mix of equity awards to grant to our executive officers for the applicable year. In future years or for particular executives, the compensation committee may approve a different mix of equity awards if it determines necessary or appropriate to achieve our compensation objectives.</w:t>
      </w:r>
    </w:p>
    <w:p>
      <w:pPr>
        <w:spacing w:after="0" w:line="196"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For the stock options, the option exercise price may not be less than the closing price of our common stock on the date of grant. For the 2025 stock option grants to our named executive officers, 25% of the granted options is scheduled to vest on the first anniversary of grant date (subject to continued service and any applicable acceleration of vesting provisions in their employment agreements, as described below). On the last day of each month thereafter, a further 1/36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total number of remaining granted options is scheduled to vest. These options are subject to any applicable acceleration provisions in the Equity Compensation Plan or in the named executive officer’s employment agreement.</w:t>
      </w:r>
    </w:p>
    <w:p>
      <w:pPr>
        <w:spacing w:after="0" w:line="19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Each restricted stock unit represents the right to receive one share of our common stock upon vesting of that unit, without the payment of an exercise price or other cash consideration for the issued shares of common stock. For the 2025 restricted stock unit grants to Mr. Galbraith, Dr. Moore and Dr. Smith, 1/3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of the restricted stock units are scheduled to vest on each anniversary of the grant date (subject to the named executive officer’s continued service and subject to any applicable acceleration provisions in the Equity Compensation Plan or in the named executive officer’s employment agreement).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stock option and restricted stock unit grants to each of our named executive officers made during the year ended December 31, 2025:</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Units Granted</w:t>
            </w:r>
          </w:p>
        </w:tc>
        <w:tc>
          <w:tcPr>
            <w:tcW w:w="17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Granted</w:t>
            </w:r>
          </w:p>
        </w:tc>
        <w:tc>
          <w:tcPr>
            <w:tcW w:w="17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Stock Options</w:t>
            </w:r>
          </w:p>
        </w:tc>
        <w:tc>
          <w:tcPr>
            <w:tcW w:w="18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of Stock and Option</w:t>
            </w:r>
          </w:p>
        </w:tc>
      </w:tr>
      <w:tr>
        <w:trPr>
          <w:trHeight w:val="265"/>
        </w:trPr>
        <w:tc>
          <w:tcPr>
            <w:tcW w:w="210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color w:val="auto"/>
                <w:w w:val="87"/>
                <w:vertAlign w:val="superscript"/>
              </w:rPr>
              <w:t>(1)</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color w:val="auto"/>
                <w:w w:val="87"/>
                <w:vertAlign w:val="superscript"/>
              </w:rPr>
              <w:t>(2)</w:t>
            </w:r>
          </w:p>
        </w:tc>
        <w:tc>
          <w:tcPr>
            <w:tcW w:w="100" w:type="dxa"/>
            <w:vAlign w:val="bottom"/>
          </w:tcPr>
          <w:p>
            <w:pPr>
              <w:spacing w:after="0"/>
              <w:rPr>
                <w:sz w:val="23"/>
                <w:szCs w:val="23"/>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0"/>
              </w:rPr>
              <w:t>($/Sh)</w:t>
            </w:r>
            <w:r>
              <w:rPr>
                <w:rFonts w:ascii="Times New Roman" w:cs="Times New Roman" w:eastAsia="Times New Roman" w:hAnsi="Times New Roman"/>
                <w:sz w:val="23"/>
                <w:szCs w:val="23"/>
                <w:color w:val="auto"/>
                <w:w w:val="90"/>
                <w:vertAlign w:val="superscript"/>
              </w:rPr>
              <w:t>(3)</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Awards ($)</w:t>
            </w:r>
            <w:r>
              <w:rPr>
                <w:rFonts w:ascii="Times New Roman" w:cs="Times New Roman" w:eastAsia="Times New Roman" w:hAnsi="Times New Roman"/>
                <w:sz w:val="23"/>
                <w:szCs w:val="23"/>
                <w:color w:val="auto"/>
                <w:w w:val="94"/>
                <w:vertAlign w:val="superscript"/>
              </w:rPr>
              <w:t>(4)</w:t>
            </w:r>
          </w:p>
        </w:tc>
      </w:tr>
      <w:tr>
        <w:trPr>
          <w:trHeight w:val="230"/>
        </w:trPr>
        <w:tc>
          <w:tcPr>
            <w:tcW w:w="20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Kenneth Galbraith</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1/10/2025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2,366,565</w:t>
            </w:r>
          </w:p>
        </w:tc>
      </w:tr>
      <w:tr>
        <w:trPr>
          <w:trHeight w:val="234"/>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1/10/2025</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192,000</w:t>
            </w:r>
          </w:p>
        </w:tc>
        <w:tc>
          <w:tcPr>
            <w:tcW w:w="100" w:type="dxa"/>
            <w:vAlign w:val="bottom"/>
          </w:tcPr>
          <w:p>
            <w:pPr>
              <w:spacing w:after="0"/>
              <w:rPr>
                <w:sz w:val="20"/>
                <w:szCs w:val="20"/>
                <w:color w:val="auto"/>
              </w:rPr>
            </w:pP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2,538,240</w:t>
            </w:r>
          </w:p>
        </w:tc>
      </w:tr>
      <w:tr>
        <w:trPr>
          <w:trHeight w:val="22"/>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37"/>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A. Moore</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1/10/2025</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649,162</w:t>
            </w:r>
          </w:p>
        </w:tc>
      </w:tr>
      <w:tr>
        <w:trPr>
          <w:trHeight w:val="234"/>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1/10/2025</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00" w:type="dxa"/>
            <w:vAlign w:val="bottom"/>
          </w:tcPr>
          <w:p>
            <w:pPr>
              <w:spacing w:after="0"/>
              <w:rPr>
                <w:sz w:val="20"/>
                <w:szCs w:val="20"/>
                <w:color w:val="auto"/>
              </w:rPr>
            </w:pP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700,660</w:t>
            </w:r>
          </w:p>
        </w:tc>
      </w:tr>
      <w:tr>
        <w:trPr>
          <w:trHeight w:val="22"/>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37"/>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Jeffrey Smith</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1/10/2025</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649,162</w:t>
            </w:r>
          </w:p>
        </w:tc>
      </w:tr>
      <w:tr>
        <w:trPr>
          <w:trHeight w:val="234"/>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1/10/2025</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0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700,660</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23" w:lineRule="exact"/>
        <w:rPr>
          <w:sz w:val="20"/>
          <w:szCs w:val="20"/>
          <w:color w:val="auto"/>
        </w:rPr>
      </w:pPr>
    </w:p>
    <w:p>
      <w:pPr>
        <w:ind w:right="200" w:firstLine="8"/>
        <w:spacing w:after="0" w:line="252" w:lineRule="auto"/>
        <w:tabs>
          <w:tab w:leader="none" w:pos="22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 units vest in three equal annual installments beginning on January 10, 2026, subject to the recipient’s continued service through each vesting date and any applicable acceleration of vesting provisions described under the section below entitled “</w:t>
      </w:r>
      <w:r>
        <w:rPr>
          <w:rFonts w:ascii="Times New Roman" w:cs="Times New Roman" w:eastAsia="Times New Roman" w:hAnsi="Times New Roman"/>
          <w:sz w:val="16"/>
          <w:szCs w:val="16"/>
          <w:i w:val="1"/>
          <w:iCs w:val="1"/>
          <w:color w:val="auto"/>
        </w:rPr>
        <w:t>Executive Employment Arrangements and Potential Payments upon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Termination or Change in Control</w:t>
      </w:r>
      <w:r>
        <w:rPr>
          <w:rFonts w:ascii="Times New Roman" w:cs="Times New Roman" w:eastAsia="Times New Roman" w:hAnsi="Times New Roman"/>
          <w:sz w:val="16"/>
          <w:szCs w:val="16"/>
          <w:color w:val="auto"/>
        </w:rPr>
        <w:t>.”</w:t>
      </w:r>
    </w:p>
    <w:p>
      <w:pPr>
        <w:ind w:right="20" w:firstLine="8"/>
        <w:spacing w:after="0" w:line="252" w:lineRule="auto"/>
        <w:tabs>
          <w:tab w:leader="none" w:pos="22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cs="Times New Roman" w:eastAsia="Times New Roman" w:hAnsi="Times New Roman"/>
          <w:sz w:val="16"/>
          <w:szCs w:val="16"/>
          <w:i w:val="1"/>
          <w:iCs w:val="1"/>
          <w:color w:val="auto"/>
        </w:rPr>
        <w:t>Executive Employment Arrangements and Potential Payments upon Termination or Change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Control</w:t>
      </w:r>
      <w:r>
        <w:rPr>
          <w:rFonts w:ascii="Times New Roman" w:cs="Times New Roman" w:eastAsia="Times New Roman" w:hAnsi="Times New Roman"/>
          <w:sz w:val="16"/>
          <w:szCs w:val="16"/>
          <w:color w:val="auto"/>
        </w:rPr>
        <w:t>.”</w:t>
      </w:r>
    </w:p>
    <w:p>
      <w:pPr>
        <w:ind w:left="240" w:hanging="232"/>
        <w:spacing w:after="0"/>
        <w:tabs>
          <w:tab w:leader="none" w:pos="2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of the stock options is the closing price of the Company’s stock on the Nasdaq on the grant date.</w:t>
      </w:r>
    </w:p>
    <w:p>
      <w:pPr>
        <w:spacing w:after="0" w:line="15" w:lineRule="exact"/>
        <w:rPr>
          <w:rFonts w:ascii="Times New Roman" w:cs="Times New Roman" w:eastAsia="Times New Roman" w:hAnsi="Times New Roman"/>
          <w:sz w:val="16"/>
          <w:szCs w:val="16"/>
          <w:color w:val="auto"/>
        </w:rPr>
      </w:pPr>
    </w:p>
    <w:p>
      <w:pPr>
        <w:ind w:right="300" w:firstLine="8"/>
        <w:spacing w:after="0" w:line="256" w:lineRule="auto"/>
        <w:tabs>
          <w:tab w:leader="none" w:pos="22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set forth in this column reflect the grant date fair value for restricted stock unit awards and stock option awards computed in accordance with Financial Accounting Standards Board Accounting Standards Codification Topic 718, Compensation – Stock Compensation. See Note 2 - “</w:t>
      </w:r>
      <w:r>
        <w:rPr>
          <w:rFonts w:ascii="Times New Roman" w:cs="Times New Roman" w:eastAsia="Times New Roman" w:hAnsi="Times New Roman"/>
          <w:sz w:val="16"/>
          <w:szCs w:val="16"/>
          <w:i w:val="1"/>
          <w:iCs w:val="1"/>
          <w:color w:val="auto"/>
        </w:rPr>
        <w:t>Notes to Consolidated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Statements – Summary of Significant Accounting Policies – Stock-Based Compensation</w:t>
      </w:r>
      <w:r>
        <w:rPr>
          <w:rFonts w:ascii="Times New Roman" w:cs="Times New Roman" w:eastAsia="Times New Roman" w:hAnsi="Times New Roman"/>
          <w:sz w:val="16"/>
          <w:szCs w:val="16"/>
          <w:color w:val="auto"/>
        </w:rPr>
        <w:t>” and Note 10(e) - “</w:t>
      </w:r>
      <w:r>
        <w:rPr>
          <w:rFonts w:ascii="Times New Roman" w:cs="Times New Roman" w:eastAsia="Times New Roman" w:hAnsi="Times New Roman"/>
          <w:sz w:val="16"/>
          <w:szCs w:val="16"/>
          <w:i w:val="1"/>
          <w:iCs w:val="1"/>
          <w:color w:val="auto"/>
        </w:rPr>
        <w:t>Notes to Consolidated Financial Statements – Stockholders’ Equity – Stock-Based Compensation</w:t>
      </w:r>
      <w:r>
        <w:rPr>
          <w:rFonts w:ascii="Times New Roman" w:cs="Times New Roman" w:eastAsia="Times New Roman" w:hAnsi="Times New Roman"/>
          <w:sz w:val="16"/>
          <w:szCs w:val="16"/>
          <w:color w:val="auto"/>
        </w:rPr>
        <w:t>” included in this Annual Report on Form 10-K for our year ended December 31, 2025.</w:t>
      </w:r>
    </w:p>
    <w:p>
      <w:pPr>
        <w:spacing w:after="0" w:line="19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Previous grants are taken into account when considering new option and restricted stock unit grants, as well as other factors such as market data, retention and incentive considerations, internal equity, Company performance and prior and expected future individual contributions. Decisions regarding long-term incentives do not affect decisions regarding other components of compensation.</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January 2026, the compensation committee recommended, and our board of directors approved, certain changes to our equity compensation mix to further enhance the direct alignment of executive compensation with stockholders’ interests. These changes included adding performance RSUs to the continuing named executive officers’ compensation to focus executives on long-term value creation through the achievement of stock price performance. The vesting of the performance-based RSU is based upon achievement of performance conditions tied to certain cumulative total stockholder return goals, and certain total stockholder return goals relative to companies in the Nasdaq Biotech Index over a three-year performance period, and which generally require the executive officer’s continued service to us through the three-year period. In addition, we revised the vesting schedule of 2026 time-based RSU grants to a four-year schedule, with 25% of the RSUs vesting on each anniversary of the grant date, which strengthens the retention power of our equity program.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compensation to our named executive officers primarily consists of participation in our broad-based employee benefit plans. Named executive officers are eligible to participate in all our employee benefit plans, in each case on the same basis as other employees in the entity in which they are employed, including a retirement savings plan for those employed in Canada, a 401(k) plan for those employed in the United States, and pension plans for those employed in Ireland and the UK. Our named executive officers also are eligible to participate in our employee stock purchase plan on the same terms as our other eligible employees.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material component of our executive compensation program. However, we do provide certain perquisites to our named executive officers in situations where we believe it is appropriate to assist an individual in the performance of his or her duties, to make them more efficient and effective, and for recruitment and retention purposes.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consistent with our philosophy regarding personal benefits, and as further described in “</w:t>
      </w:r>
      <w:r>
        <w:rPr>
          <w:rFonts w:ascii="Times New Roman" w:cs="Times New Roman" w:eastAsia="Times New Roman" w:hAnsi="Times New Roman"/>
          <w:sz w:val="18"/>
          <w:szCs w:val="18"/>
          <w:i w:val="1"/>
          <w:iCs w:val="1"/>
          <w:color w:val="auto"/>
        </w:rPr>
        <w:t>Executive Compensation –Executive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and Potential Payments upon Termination or Change in Control,</w:t>
      </w:r>
      <w:r>
        <w:rPr>
          <w:rFonts w:ascii="Times New Roman" w:cs="Times New Roman" w:eastAsia="Times New Roman" w:hAnsi="Times New Roman"/>
          <w:sz w:val="18"/>
          <w:szCs w:val="18"/>
          <w:color w:val="auto"/>
        </w:rPr>
        <w:t>” to encourage and facilitate Dr. Moore’s relocation to Canada, we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him with tax equalization payments to neutralize any increase in his taxes as a result of his relocation, and tax preparation assistance for two years following his relocation. The compensation committee believes these benefits were appropriate to enable a smooth relocation for Dr. Moore and to allow him to keep his focus on the business rather than on the costs and burdens of the relocation.</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also provide certain personal benefits to Mr. Galbraith, which were negotiated as part of Mr. Galbraith’s initial January 2022 employment agreement and subsequent amendments, including the most recent amendment in January 2024. These benefits were provided in order to induce him to initially join and later to remain with the Company and to increase his ability to work efficiently. These benefits include certain housing, travel, relocation, and certain tax equalization and gross-up benefits, as described in “</w:t>
      </w:r>
      <w:r>
        <w:rPr>
          <w:rFonts w:ascii="Times New Roman" w:cs="Times New Roman" w:eastAsia="Times New Roman" w:hAnsi="Times New Roman"/>
          <w:sz w:val="18"/>
          <w:szCs w:val="18"/>
          <w:i w:val="1"/>
          <w:iCs w:val="1"/>
          <w:color w:val="auto"/>
        </w:rPr>
        <w:t>Executive Compensation – Executive Employment Arrangements and Potential Payments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or Change in Control</w:t>
      </w:r>
      <w:r>
        <w:rPr>
          <w:rFonts w:ascii="Times New Roman" w:cs="Times New Roman" w:eastAsia="Times New Roman" w:hAnsi="Times New Roman"/>
          <w:sz w:val="18"/>
          <w:szCs w:val="18"/>
          <w:color w:val="auto"/>
        </w:rPr>
        <w:t>.” In late 2022 and again in January 2024, we amended Mr. Galbraith’s employment agreement to extend the time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certain benefits, as described in “</w:t>
      </w:r>
      <w:r>
        <w:rPr>
          <w:rFonts w:ascii="Times New Roman" w:cs="Times New Roman" w:eastAsia="Times New Roman" w:hAnsi="Times New Roman"/>
          <w:sz w:val="18"/>
          <w:szCs w:val="18"/>
          <w:i w:val="1"/>
          <w:iCs w:val="1"/>
          <w:color w:val="auto"/>
        </w:rPr>
        <w:t>Executive Compensation – Executive Employment Arrangements and Potential Payments upon Termination or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Control</w:t>
      </w:r>
      <w:r>
        <w:rPr>
          <w:rFonts w:ascii="Times New Roman" w:cs="Times New Roman" w:eastAsia="Times New Roman" w:hAnsi="Times New Roman"/>
          <w:sz w:val="18"/>
          <w:szCs w:val="18"/>
          <w:color w:val="auto"/>
        </w:rPr>
        <w:t>.” The compensation committee approved the extension of these benefits as it believed that doing so would assist Mr. Galbraith in the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his duties and continue to aid in his efficiency.</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future, we may continue to provide perquisites or other personal benefits in circumstances where we believe it is appropriate to assist an individual named executive officer in the performance of his or her duties, to make him or her more efficient and effective, and for recruitment, motivation or retention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terms of our Insider Trading Policy, all directors, officers, employees, as well as any other personnel that we determine should be subject to our Insider Trading Policy (such as certain contractors and consultants), any person or entity an insider controls, exercises substantial influence over, serves as a trustee or in a similar fiduciary capacity of or is otherwise involved with, in connection with securities trading or investment decisions and an insider’s spouse, partner, parents, children, dependents and other family members or roommates, are prohibited from purchasing financial instruments (including, for greater certainty, prepaid variable forward contracts, equity swaps, collars, or units of exchange funds) designed to hedge or offset a decrease in the market value of our securities. Any person covered by our Insider Trading Policy is prohibited from pledging Zymeworks securities as collateral for any loan, in margin accounts or as part of pledging transactions, regardless of whether such person is in possession of non-public material information. A copy of our insider trading policy is filed as Exhibit 19.1 to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Certain of our executives, including each of our named executive officers, are parties to employment agreements with us which set forth conditions of employment and the payments that will be made upon termination of their employment. Additional discussion of the employment agreements with our named executive officers is set forth below under “</w:t>
      </w:r>
      <w:r>
        <w:rPr>
          <w:rFonts w:ascii="Times New Roman" w:cs="Times New Roman" w:eastAsia="Times New Roman" w:hAnsi="Times New Roman"/>
          <w:sz w:val="17"/>
          <w:szCs w:val="17"/>
          <w:i w:val="1"/>
          <w:iCs w:val="1"/>
          <w:color w:val="auto"/>
        </w:rPr>
        <w:t>Executive Compensation – Executive Employment Arrangements and Potential Payments upon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Termination or Change in Control</w:t>
      </w:r>
      <w:r>
        <w:rPr>
          <w:rFonts w:ascii="Times New Roman" w:cs="Times New Roman" w:eastAsia="Times New Roman" w:hAnsi="Times New Roman"/>
          <w:sz w:val="17"/>
          <w:szCs w:val="17"/>
          <w:color w:val="auto"/>
        </w:rPr>
        <w:t>.” We believe that these protections are necessary to provide our valuable named executive officers with incentives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forgo other employment opportunities and to maintain continued focus and dedication to their responsibilities to maximize stockholder value, including if there is a potential transaction that could involve a change in control, without undue concern that the officer will be terminated and lose his or her income and benefits. We believe the level of severance and change in control benefits provided is appropriate and is necessary to attract and retain key employees.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each of our named executive officers for the years ended December 31, 2025 and December 31, 2024. We do not have non-qualified deferred compensation.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42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b w:val="1"/>
                <w:bCs w:val="1"/>
                <w:color w:val="auto"/>
              </w:rPr>
              <w:t>Salary</w:t>
            </w:r>
          </w:p>
        </w:tc>
        <w:tc>
          <w:tcPr>
            <w:tcW w:w="1180" w:type="dxa"/>
            <w:vAlign w:val="bottom"/>
          </w:tcPr>
          <w:p>
            <w:pPr>
              <w:jc w:val="right"/>
              <w:ind w:right="73"/>
              <w:spacing w:after="0" w:line="175" w:lineRule="exact"/>
              <w:rPr>
                <w:sz w:val="20"/>
                <w:szCs w:val="20"/>
                <w:color w:val="auto"/>
              </w:rPr>
            </w:pPr>
            <w:r>
              <w:rPr>
                <w:rFonts w:ascii="Times New Roman" w:cs="Times New Roman" w:eastAsia="Times New Roman" w:hAnsi="Times New Roman"/>
                <w:sz w:val="16"/>
                <w:szCs w:val="16"/>
                <w:b w:val="1"/>
                <w:bCs w:val="1"/>
                <w:color w:val="auto"/>
              </w:rPr>
              <w:t>Stock Awards</w:t>
            </w:r>
          </w:p>
        </w:tc>
        <w:tc>
          <w:tcPr>
            <w:tcW w:w="1040" w:type="dxa"/>
            <w:vAlign w:val="bottom"/>
          </w:tcPr>
          <w:p>
            <w:pPr>
              <w:jc w:val="center"/>
              <w:ind w:right="113"/>
              <w:spacing w:after="0" w:line="175" w:lineRule="exact"/>
              <w:rPr>
                <w:sz w:val="20"/>
                <w:szCs w:val="20"/>
                <w:color w:val="auto"/>
              </w:rPr>
            </w:pPr>
            <w:r>
              <w:rPr>
                <w:rFonts w:ascii="Times New Roman" w:cs="Times New Roman" w:eastAsia="Times New Roman" w:hAnsi="Times New Roman"/>
                <w:sz w:val="16"/>
                <w:szCs w:val="16"/>
                <w:b w:val="1"/>
                <w:bCs w:val="1"/>
                <w:color w:val="auto"/>
                <w:w w:val="97"/>
              </w:rPr>
              <w:t>Awards</w:t>
            </w:r>
          </w:p>
        </w:tc>
        <w:tc>
          <w:tcPr>
            <w:tcW w:w="1420" w:type="dxa"/>
            <w:vAlign w:val="bottom"/>
          </w:tcPr>
          <w:p>
            <w:pPr>
              <w:jc w:val="center"/>
              <w:ind w:right="58"/>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1"/>
                <w:szCs w:val="21"/>
                <w:color w:val="auto"/>
                <w:vertAlign w:val="superscript"/>
              </w:rPr>
              <w:t>(1)</w:t>
            </w:r>
          </w:p>
        </w:tc>
        <w:tc>
          <w:tcPr>
            <w:tcW w:w="11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1"/>
                <w:szCs w:val="21"/>
                <w:color w:val="auto"/>
                <w:vertAlign w:val="superscript"/>
              </w:rPr>
              <w:t>(2)</w:t>
            </w:r>
          </w:p>
        </w:tc>
        <w:tc>
          <w:tcPr>
            <w:tcW w:w="10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21"/>
                <w:szCs w:val="21"/>
                <w:color w:val="auto"/>
                <w:w w:val="85"/>
                <w:vertAlign w:val="superscript"/>
              </w:rPr>
              <w:t>(2)</w:t>
            </w:r>
          </w:p>
        </w:tc>
        <w:tc>
          <w:tcPr>
            <w:tcW w:w="1420" w:type="dxa"/>
            <w:vAlign w:val="bottom"/>
            <w:tcBorders>
              <w:bottom w:val="single" w:sz="8" w:color="auto"/>
            </w:tcBorders>
          </w:tcPr>
          <w:p>
            <w:pPr>
              <w:jc w:val="center"/>
              <w:ind w:right="58"/>
              <w:spacing w:after="0" w:line="245" w:lineRule="exact"/>
              <w:rPr>
                <w:sz w:val="20"/>
                <w:szCs w:val="20"/>
                <w:color w:val="auto"/>
              </w:rPr>
            </w:pPr>
            <w:r>
              <w:rPr>
                <w:rFonts w:ascii="Times New Roman" w:cs="Times New Roman" w:eastAsia="Times New Roman" w:hAnsi="Times New Roman"/>
                <w:sz w:val="28"/>
                <w:szCs w:val="28"/>
                <w:b w:val="1"/>
                <w:bCs w:val="1"/>
                <w:color w:val="auto"/>
                <w:w w:val="97"/>
                <w:vertAlign w:val="subscript"/>
              </w:rPr>
              <w:t>($)</w:t>
            </w:r>
            <w:r>
              <w:rPr>
                <w:rFonts w:ascii="Times New Roman" w:cs="Times New Roman" w:eastAsia="Times New Roman" w:hAnsi="Times New Roman"/>
                <w:sz w:val="10"/>
                <w:szCs w:val="10"/>
                <w:color w:val="auto"/>
                <w:w w:val="97"/>
              </w:rPr>
              <w:t>(1)(3)</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color w:val="auto"/>
                <w:w w:val="91"/>
                <w:vertAlign w:val="superscript"/>
              </w:rPr>
              <w:t>(1)</w:t>
            </w:r>
          </w:p>
        </w:tc>
        <w:tc>
          <w:tcPr>
            <w:tcW w:w="5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0" w:type="dxa"/>
            <w:vAlign w:val="bottom"/>
          </w:tcPr>
          <w:p>
            <w:pPr>
              <w:spacing w:after="0"/>
              <w:rPr>
                <w:sz w:val="1"/>
                <w:szCs w:val="1"/>
                <w:color w:val="auto"/>
              </w:rPr>
            </w:pPr>
          </w:p>
        </w:tc>
      </w:tr>
      <w:tr>
        <w:trPr>
          <w:trHeight w:val="188"/>
        </w:trPr>
        <w:tc>
          <w:tcPr>
            <w:tcW w:w="21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Kenneth Galbraith, CEO,</w:t>
            </w:r>
          </w:p>
        </w:tc>
        <w:tc>
          <w:tcPr>
            <w:tcW w:w="6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656,763</w:t>
            </w:r>
          </w:p>
        </w:tc>
        <w:tc>
          <w:tcPr>
            <w:tcW w:w="118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2,538,240</w:t>
            </w:r>
          </w:p>
        </w:tc>
        <w:tc>
          <w:tcPr>
            <w:tcW w:w="104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2,366,565</w:t>
            </w:r>
          </w:p>
        </w:tc>
        <w:tc>
          <w:tcPr>
            <w:tcW w:w="142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340,990</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710,622</w:t>
            </w:r>
          </w:p>
        </w:tc>
        <w:tc>
          <w:tcPr>
            <w:tcW w:w="5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(7)</w:t>
            </w:r>
          </w:p>
        </w:tc>
        <w:tc>
          <w:tcPr>
            <w:tcW w:w="1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6,613,180</w:t>
            </w:r>
          </w:p>
        </w:tc>
        <w:tc>
          <w:tcPr>
            <w:tcW w:w="0" w:type="dxa"/>
            <w:vAlign w:val="bottom"/>
          </w:tcPr>
          <w:p>
            <w:pPr>
              <w:spacing w:after="0"/>
              <w:rPr>
                <w:sz w:val="1"/>
                <w:szCs w:val="1"/>
                <w:color w:val="auto"/>
              </w:rPr>
            </w:pPr>
          </w:p>
        </w:tc>
      </w:tr>
      <w:tr>
        <w:trPr>
          <w:trHeight w:val="150"/>
        </w:trPr>
        <w:tc>
          <w:tcPr>
            <w:tcW w:w="1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w w:val="98"/>
              </w:rPr>
              <w:t>President &amp; Chair</w:t>
            </w:r>
          </w:p>
        </w:tc>
        <w:tc>
          <w:tcPr>
            <w:tcW w:w="8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2"/>
                <w:szCs w:val="12"/>
                <w:color w:val="auto"/>
                <w:w w:val="85"/>
              </w:rPr>
              <w:t>(4)</w:t>
            </w:r>
          </w:p>
        </w:tc>
        <w:tc>
          <w:tcPr>
            <w:tcW w:w="60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420" w:type="dxa"/>
            <w:vAlign w:val="bottom"/>
            <w:vMerge w:val="continue"/>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36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654,833</w:t>
            </w:r>
          </w:p>
        </w:tc>
        <w:tc>
          <w:tcPr>
            <w:tcW w:w="118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2,112,000</w:t>
            </w:r>
          </w:p>
        </w:tc>
        <w:tc>
          <w:tcPr>
            <w:tcW w:w="104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1,985,672</w:t>
            </w:r>
          </w:p>
        </w:tc>
        <w:tc>
          <w:tcPr>
            <w:tcW w:w="142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361,652</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5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(8)</w:t>
            </w:r>
          </w:p>
        </w:tc>
        <w:tc>
          <w:tcPr>
            <w:tcW w:w="1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5,492,157</w:t>
            </w:r>
          </w:p>
        </w:tc>
        <w:tc>
          <w:tcPr>
            <w:tcW w:w="0" w:type="dxa"/>
            <w:vAlign w:val="bottom"/>
          </w:tcPr>
          <w:p>
            <w:pPr>
              <w:spacing w:after="0"/>
              <w:rPr>
                <w:sz w:val="1"/>
                <w:szCs w:val="1"/>
                <w:color w:val="auto"/>
              </w:rPr>
            </w:pPr>
          </w:p>
        </w:tc>
      </w:tr>
      <w:tr>
        <w:trPr>
          <w:trHeight w:val="223"/>
        </w:trPr>
        <w:tc>
          <w:tcPr>
            <w:tcW w:w="1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vMerge w:val="continue"/>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420" w:type="dxa"/>
            <w:vAlign w:val="bottom"/>
            <w:tcBorders>
              <w:bottom w:val="single" w:sz="8" w:color="CCEEFF"/>
            </w:tcBorders>
            <w:vMerge w:val="continue"/>
            <w:shd w:val="clear" w:color="auto" w:fill="CCEEFF"/>
          </w:tcPr>
          <w:p>
            <w:pPr>
              <w:spacing w:after="0"/>
              <w:rPr>
                <w:sz w:val="19"/>
                <w:szCs w:val="19"/>
                <w:color w:val="auto"/>
              </w:rPr>
            </w:pPr>
          </w:p>
        </w:tc>
        <w:tc>
          <w:tcPr>
            <w:tcW w:w="1280" w:type="dxa"/>
            <w:vAlign w:val="bottom"/>
            <w:tcBorders>
              <w:bottom w:val="single" w:sz="8" w:color="CCEEFF"/>
            </w:tcBorders>
            <w:vMerge w:val="continue"/>
            <w:shd w:val="clear" w:color="auto" w:fill="CCEEFF"/>
          </w:tcPr>
          <w:p>
            <w:pPr>
              <w:spacing w:after="0"/>
              <w:rPr>
                <w:sz w:val="19"/>
                <w:szCs w:val="19"/>
                <w:color w:val="auto"/>
              </w:rPr>
            </w:pPr>
          </w:p>
        </w:tc>
        <w:tc>
          <w:tcPr>
            <w:tcW w:w="500" w:type="dxa"/>
            <w:vAlign w:val="bottom"/>
            <w:tcBorders>
              <w:bottom w:val="single" w:sz="8" w:color="CCEEFF"/>
            </w:tcBorders>
            <w:vMerge w:val="continue"/>
            <w:shd w:val="clear" w:color="auto" w:fill="CCEEFF"/>
          </w:tcPr>
          <w:p>
            <w:pPr>
              <w:spacing w:after="0"/>
              <w:rPr>
                <w:sz w:val="19"/>
                <w:szCs w:val="19"/>
                <w:color w:val="auto"/>
              </w:rPr>
            </w:pPr>
          </w:p>
        </w:tc>
        <w:tc>
          <w:tcPr>
            <w:tcW w:w="12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Paul A. Moore, </w:t>
            </w:r>
            <w:r>
              <w:rPr>
                <w:rFonts w:ascii="Times New Roman" w:cs="Times New Roman" w:eastAsia="Times New Roman" w:hAnsi="Times New Roman"/>
                <w:sz w:val="18"/>
                <w:szCs w:val="18"/>
                <w:i w:val="1"/>
                <w:iCs w:val="1"/>
                <w:color w:val="auto"/>
              </w:rPr>
              <w:t>CSO</w:t>
            </w:r>
            <w:r>
              <w:rPr>
                <w:rFonts w:ascii="Times New Roman" w:cs="Times New Roman" w:eastAsia="Times New Roman" w:hAnsi="Times New Roman"/>
                <w:sz w:val="23"/>
                <w:szCs w:val="23"/>
                <w:color w:val="auto"/>
                <w:vertAlign w:val="superscript"/>
              </w:rPr>
              <w:t>(5)</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495,834</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700,660</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649,162</w:t>
            </w:r>
          </w:p>
        </w:tc>
        <w:tc>
          <w:tcPr>
            <w:tcW w:w="14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194,579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307,955</w:t>
            </w:r>
          </w:p>
        </w:tc>
        <w:tc>
          <w:tcPr>
            <w:tcW w:w="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2,348,190</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494,683</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633,600</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595,702</w:t>
            </w:r>
          </w:p>
        </w:tc>
        <w:tc>
          <w:tcPr>
            <w:tcW w:w="14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214,102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48,716</w:t>
            </w:r>
          </w:p>
        </w:tc>
        <w:tc>
          <w:tcPr>
            <w:tcW w:w="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1,986,803</w:t>
            </w:r>
          </w:p>
        </w:tc>
        <w:tc>
          <w:tcPr>
            <w:tcW w:w="0" w:type="dxa"/>
            <w:vAlign w:val="bottom"/>
          </w:tcPr>
          <w:p>
            <w:pPr>
              <w:spacing w:after="0"/>
              <w:rPr>
                <w:sz w:val="1"/>
                <w:szCs w:val="1"/>
                <w:color w:val="auto"/>
              </w:rPr>
            </w:pPr>
          </w:p>
        </w:tc>
      </w:tr>
      <w:tr>
        <w:trPr>
          <w:trHeight w:val="27"/>
        </w:trPr>
        <w:tc>
          <w:tcPr>
            <w:tcW w:w="2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16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Jeffrey Smith</w:t>
            </w:r>
            <w:r>
              <w:rPr>
                <w:rFonts w:ascii="Times New Roman" w:cs="Times New Roman" w:eastAsia="Times New Roman" w:hAnsi="Times New Roman"/>
                <w:sz w:val="18"/>
                <w:szCs w:val="18"/>
                <w:i w:val="1"/>
                <w:iCs w:val="1"/>
                <w:color w:val="auto"/>
              </w:rPr>
              <w:t>, Former Chief</w:t>
            </w: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w w:val="99"/>
              </w:rPr>
              <w:t>Medical Officer</w:t>
            </w:r>
            <w:r>
              <w:rPr>
                <w:rFonts w:ascii="Times New Roman" w:cs="Times New Roman" w:eastAsia="Times New Roman" w:hAnsi="Times New Roman"/>
                <w:sz w:val="23"/>
                <w:szCs w:val="23"/>
                <w:color w:val="auto"/>
                <w:w w:val="99"/>
                <w:vertAlign w:val="superscript"/>
              </w:rPr>
              <w:t>(6)</w:t>
            </w:r>
          </w:p>
        </w:tc>
        <w:tc>
          <w:tcPr>
            <w:tcW w:w="800" w:type="dxa"/>
            <w:vAlign w:val="bottom"/>
            <w:shd w:val="clear" w:color="auto" w:fill="CCEEFF"/>
          </w:tcPr>
          <w:p>
            <w:pPr>
              <w:spacing w:after="0"/>
              <w:rPr>
                <w:sz w:val="23"/>
                <w:szCs w:val="23"/>
                <w:color w:val="auto"/>
              </w:rPr>
            </w:pP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488,196</w:t>
            </w:r>
          </w:p>
        </w:tc>
        <w:tc>
          <w:tcPr>
            <w:tcW w:w="11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700,660</w:t>
            </w: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649,162</w:t>
            </w:r>
          </w:p>
        </w:tc>
        <w:tc>
          <w:tcPr>
            <w:tcW w:w="14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183,488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29,292</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(11)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2,050,798</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23" w:lineRule="exact"/>
        <w:rPr>
          <w:sz w:val="20"/>
          <w:szCs w:val="20"/>
          <w:color w:val="auto"/>
        </w:rPr>
      </w:pPr>
    </w:p>
    <w:p>
      <w:pPr>
        <w:ind w:right="160" w:firstLine="8"/>
        <w:spacing w:after="0" w:line="252" w:lineRule="auto"/>
        <w:tabs>
          <w:tab w:leader="none" w:pos="229"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Salary, bonus, non-equity incentive plan compensation (cash bonus with respect to corporate goal achievement) and amounts in the “All Other Compensation” column for all named executive officers are determined in U.S. dollars. However, cash compensation amounts for Mr. Galbraith were paid in British pounds and have been converted to U.S. dollars for the purposes of the table. For 2025 and 2024 the U.S. dollar per British pound exchange rates used for such conversions were 1.3180 and</w:t>
      </w:r>
    </w:p>
    <w:p>
      <w:pPr>
        <w:ind w:right="8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1.2780, based on the average annual Bank of Canada exchange rates for U.S. dollar and British pound for 2025 and 2024, respectively. Cash compensation amounts for Dr. Moore were paid in Canadian dollars and have been converted to U.S. dollars for the purposes of the table. For 2025 and 2024, respectively, the U.S. dollar per Canadian dollar exchange rates used for such conversions were 0.7155 and 0.7301, which were the average annual Bank of Canada exchange rates for 2025 and 2024, respectively. Cash compensation amounts for Dr. Smith were paid in Euros and have been converted to U.S. dollars for the purposes of the table. For 2025, the U.S. dollar per Euro exchange rate used for the conversions was 1.1292, based on the average annual Bank of Canada exchange rates for U.S. dollar and Euro for 2025.</w:t>
      </w:r>
    </w:p>
    <w:p>
      <w:pPr>
        <w:spacing w:after="0" w:line="2" w:lineRule="exact"/>
        <w:rPr>
          <w:rFonts w:ascii="Times New Roman" w:cs="Times New Roman" w:eastAsia="Times New Roman" w:hAnsi="Times New Roman"/>
          <w:sz w:val="16"/>
          <w:szCs w:val="16"/>
          <w:color w:val="auto"/>
        </w:rPr>
      </w:pPr>
    </w:p>
    <w:p>
      <w:pPr>
        <w:ind w:firstLine="8"/>
        <w:spacing w:after="0" w:line="252" w:lineRule="auto"/>
        <w:tabs>
          <w:tab w:leader="none" w:pos="229"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amounts set forth in these columns reflect the aggregate grant date fair value for restricted stock unit awards and option awards computed in accordance with Financial Accounting Standards Board Accounting Standards Codification Topic 718, Compensation – Stock Compensation. See Note 2 - </w:t>
      </w:r>
      <w:r>
        <w:rPr>
          <w:rFonts w:ascii="Times New Roman" w:cs="Times New Roman" w:eastAsia="Times New Roman" w:hAnsi="Times New Roman"/>
          <w:sz w:val="16"/>
          <w:szCs w:val="16"/>
          <w:i w:val="1"/>
          <w:iCs w:val="1"/>
          <w:color w:val="auto"/>
        </w:rPr>
        <w:t>“Notes to Consolidated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Statements – Summary of Significant Accounting Policies – Stock-Based Compensation” </w:t>
      </w:r>
      <w:r>
        <w:rPr>
          <w:rFonts w:ascii="Times New Roman" w:cs="Times New Roman" w:eastAsia="Times New Roman" w:hAnsi="Times New Roman"/>
          <w:sz w:val="16"/>
          <w:szCs w:val="16"/>
          <w:color w:val="auto"/>
        </w:rPr>
        <w:t>and Note 10(e) -</w:t>
      </w:r>
      <w:r>
        <w:rPr>
          <w:rFonts w:ascii="Times New Roman" w:cs="Times New Roman" w:eastAsia="Times New Roman" w:hAnsi="Times New Roman"/>
          <w:sz w:val="16"/>
          <w:szCs w:val="16"/>
          <w:i w:val="1"/>
          <w:iCs w:val="1"/>
          <w:color w:val="auto"/>
        </w:rPr>
        <w:t xml:space="preserve"> “Notes to Consolidated Financial Statements – Shareholders’ Equity – Stock-Based Compensation” </w:t>
      </w:r>
      <w:r>
        <w:rPr>
          <w:rFonts w:ascii="Times New Roman" w:cs="Times New Roman" w:eastAsia="Times New Roman" w:hAnsi="Times New Roman"/>
          <w:sz w:val="16"/>
          <w:szCs w:val="16"/>
          <w:color w:val="auto"/>
        </w:rPr>
        <w:t>included in this Annual Report on Form 10-K for our year ended December 31, 2025.</w:t>
      </w:r>
    </w:p>
    <w:p>
      <w:pPr>
        <w:ind w:left="240" w:hanging="232"/>
        <w:spacing w:after="0"/>
        <w:tabs>
          <w:tab w:leader="none" w:pos="2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dollar value of incentive bonuses paid in 2026 and 2025 for performance during 2025 and 2024, respectively, as discussed further above under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Executive Compensation – Components of Compensation Package – Cash Bonus</w:t>
      </w:r>
      <w:r>
        <w:rPr>
          <w:rFonts w:ascii="Times New Roman" w:cs="Times New Roman" w:eastAsia="Times New Roman" w:hAnsi="Times New Roman"/>
          <w:sz w:val="16"/>
          <w:szCs w:val="16"/>
          <w:color w:val="auto"/>
        </w:rPr>
        <w:t>.”</w:t>
      </w:r>
    </w:p>
    <w:p>
      <w:pPr>
        <w:spacing w:after="0" w:line="8" w:lineRule="exact"/>
        <w:rPr>
          <w:sz w:val="20"/>
          <w:szCs w:val="20"/>
          <w:color w:val="auto"/>
        </w:rPr>
      </w:pPr>
    </w:p>
    <w:p>
      <w:pPr>
        <w:ind w:left="240" w:hanging="232"/>
        <w:spacing w:after="0"/>
        <w:tabs>
          <w:tab w:leader="none" w:pos="2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Galbraith has also served as our interim Chief Financial Officer since January 2026.</w:t>
      </w:r>
    </w:p>
    <w:p>
      <w:pPr>
        <w:spacing w:after="0" w:line="1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Moore has served as our Chief Scientific Officer since July 2022.</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Smith retired from his position as our Executive Vice President and Chief Medical Officer effective January 31, 2026.</w:t>
      </w:r>
    </w:p>
    <w:p>
      <w:pPr>
        <w:spacing w:after="0" w:line="8" w:lineRule="exact"/>
        <w:rPr>
          <w:rFonts w:ascii="Times New Roman" w:cs="Times New Roman" w:eastAsia="Times New Roman" w:hAnsi="Times New Roman"/>
          <w:sz w:val="16"/>
          <w:szCs w:val="16"/>
          <w:color w:val="auto"/>
        </w:rPr>
      </w:pPr>
    </w:p>
    <w:p>
      <w:pPr>
        <w:ind w:right="120" w:firstLine="8"/>
        <w:spacing w:after="0" w:line="254" w:lineRule="auto"/>
        <w:tabs>
          <w:tab w:leader="none" w:pos="22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amount for 2025, (i) $54,477 represents accommodation benefits, (ii) $6,590 represents Company contributions to a defined contribution pension plan, (iii) $789 represents life insurance premiums through our group extended benefit plan, (iv) $14,223 represents airfare for immediate family members in accordance with the terms of Mr. Galbraith’s employment agreement, (v) $621,582 represents an estimated tax gross-up in connection with taxation attributable to the performance of work outside the UK, and (vi) $12,960 represents reimbursement for tax preparation services.</w:t>
      </w:r>
    </w:p>
    <w:p>
      <w:pPr>
        <w:ind w:right="60" w:firstLine="8"/>
        <w:spacing w:after="0" w:line="252" w:lineRule="auto"/>
        <w:tabs>
          <w:tab w:leader="none" w:pos="22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amount for 2024, (i) $53,969 represents accommodation benefits, (ii) $6,390 represents Company contributions to a defined contribution pension plan, (iii) $14,516 represents private health insurance premiums, (iv) $701 represents life insurance premiums through our group extended benefit plan, (v) $30,853 represents airfare for immediate family members in accordance with the terms of Mr. Galbraith’s employment agreement, (vi) $268,541 represents an estimated tax gross-up in connection with taxation attributable to the performance of work outside the UK, and (vii) $3,030 represents reimbursement for tax preparation services.</w:t>
      </w:r>
    </w:p>
    <w:p>
      <w:pPr>
        <w:ind w:left="240" w:hanging="232"/>
        <w:spacing w:after="0"/>
        <w:tabs>
          <w:tab w:leader="none" w:pos="2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amount for 2025, (i) $307,079 represents a tax equalization payment (which includes $164,287 for estimated tax gross-up) for 2024 paid in 2025, and (ii)</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$876 represents life insurance premiums through our group extended benefit plan.</w:t>
      </w:r>
    </w:p>
    <w:p>
      <w:pPr>
        <w:spacing w:after="0" w:line="8" w:lineRule="exact"/>
        <w:rPr>
          <w:sz w:val="20"/>
          <w:szCs w:val="20"/>
          <w:color w:val="auto"/>
        </w:rPr>
      </w:pPr>
    </w:p>
    <w:p>
      <w:pPr>
        <w:ind w:right="160" w:firstLine="8"/>
        <w:spacing w:after="0" w:line="253" w:lineRule="auto"/>
        <w:tabs>
          <w:tab w:leader="none" w:pos="31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amount for 2024, (i) $44,283 represents a tax equalization payment for 2023 paid in 2024, and (ii) $4,433 represents life insurance premiums through our group extended benefit plan.</w:t>
      </w:r>
    </w:p>
    <w:p>
      <w:pPr>
        <w:ind w:left="320" w:hanging="312"/>
        <w:spacing w:after="0"/>
        <w:tabs>
          <w:tab w:leader="none" w:pos="3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pension contributions.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November 2023, we adopted a compensation recovery policy (the “Clawback Policy”) in accordance with the SEC and Nasdaq requirements under the Dodd-Frank Wall Street Reform and Consumer Protection Act. This policy provides for the non-discretionary recovery of excess incentive-based compensation from current and former executive officers in the event of an accounting restatement, whether or not the executive officer was at fault for the restatement, in accordance with the SEC and Nasdaq requirements.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as a public company subject to Section 304 of the Sarbanes-Oxley Act of 2002, if we are required to prepare an accounting restatement due to our material noncompliance, as a result of misconduct, with any financial reporting requirement under the securities laws, our Chief Executive Officer and Chief Financial Officer may be legally required to reimburse us for any bonus or incentive-based or equity-based compensation they received from us during the 12-month period following the first public issuance or filing with the SEC of the financial document incorporating such financial reporting requirement, as well as profits realized from the sale of securities during that 12-month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September 2025, the board of directors adopted stock ownership guidelines for the Company’s non-management directors (other than those representing or affiliated with greater than ten percent stockholders) (the “Outside Director Stock Ownership Guidelines”). In December 2025, the board of directors adopted stock ownership guidelines for the Company’s executive officers (the “Executive Officer Stock Ownership Guidelines” and, together with the Outside Director Stock Ownership Guidelines, the “Stock Ownership Guidelines”). The purpose of the Stock Ownership Guidelines is to further align the interests of the Company’s leadership with the long-term interests of stockholders and further promote the Company’s commitment to sound corporate governance.</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Outside Director Stock Ownership Guidelines require covered directors in office at the time of its adoption to achieve beneficial ownership of at least 10,000 shares of common stock by September 2028 (the “Target Director Ownership”). The board of directors set the Target Director Ownership as a reasonable ownership position in light of the directors’ cash compensation and the then-current value of the Company’s common stock. The compensation committee will review the Target Director Ownership from time to time and, for directors who subsequently join the board of directors, set the applicable ownership target to be achieved within three years from their election or appointment. Mr. Cherry is the only director currently serving who was not on the board of directors at the time of adoption of the Outside Director Stock Ownership Guidelines. He is required to achieve beneficial ownership of at least 10,000 shares by January 2029.</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Executive Officer Stock Ownership Guidelines require the covered executives to achieve beneficial ownership of at least (i) for the CEO, 100,000 shares of common stock, and (ii) for all other executive officers, 25,000 shares of common stock, in each case, by December 2028 (the “Target Executive Officer Ownership”). The board of directors set the Target Executive Officer Ownership as a reasonable ownership position in light of the executives’ cash compensation and the then-current value of the Company’s common stock. The compensation committee will review the Target Executive Officer Ownership from time to time and, for new executives, confirm the applicable beneficial ownership target to be achieved within three years from the time of their appointment. Mr. Hollywood became an executive officer in January 2026 and Dr. Mekan became an executive officer in February 2026; they are required to achieve beneficial ownership of at least 25,000 shares by January 2029 and February 2029, respectively.</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Directors and executive officers subject to the Stock Ownership Guidelines are expected to retain all shares received (net of shares withheld or sold to cover tax withholding obligations, if any) pursuant to their service as directors or executive officers, as applicable, until the Target Ownership is achieved. In determining beneficial ownership, the Stock Ownership Guidelines take into account the following: (i) shares owned outright, including shares owned jointly with a spouse/domestic partner or separately by a spouse/domestic partner and/or children that share such director’s or executive officer’s, as applicable, household; and (ii) shares owned through trusts or entities owned and controlled by, or for the benefit of, such director or executive officer, as applicable, or his or her spouse/domestic partner and/or children that share such director’s or executive officer’s, as applicable, household. Vested or unvested stock options and unvested restricted stock units, whether time-based or performance-based, will not be included in the determination of beneficial ownership.</w:t>
      </w:r>
    </w:p>
    <w:p>
      <w:pPr>
        <w:spacing w:after="0" w:line="19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responsibility for the management and interpretation of the Stock Ownership Guidelines and for ensuring compliance with its terms. The compensation committee may also amend, defer or waive compliance for specific participants, or amend or terminate the Stock Ownership Guidelines as a whole.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Year 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granted in U.S. dollars under the Equity Compensation Plan and our Inducement Stock Option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 (the “Inducement Plan”) held by our named executive officers as of December 31,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0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21"/>
        </w:trPr>
        <w:tc>
          <w:tcPr>
            <w:tcW w:w="1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Securities</w:t>
            </w:r>
          </w:p>
        </w:tc>
        <w:tc>
          <w:tcPr>
            <w:tcW w:w="182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Underlying</w:t>
            </w:r>
          </w:p>
        </w:tc>
        <w:tc>
          <w:tcPr>
            <w:tcW w:w="18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8"/>
              </w:rPr>
              <w:t>Securities</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1500" w:type="dxa"/>
            <w:vAlign w:val="bottom"/>
          </w:tcPr>
          <w:p>
            <w:pPr>
              <w:jc w:val="center"/>
              <w:ind w:left="92"/>
              <w:spacing w:after="0" w:line="202" w:lineRule="exact"/>
              <w:rPr>
                <w:sz w:val="20"/>
                <w:szCs w:val="20"/>
                <w:color w:val="auto"/>
              </w:rPr>
            </w:pPr>
            <w:r>
              <w:rPr>
                <w:rFonts w:ascii="Times New Roman" w:cs="Times New Roman" w:eastAsia="Times New Roman" w:hAnsi="Times New Roman"/>
                <w:sz w:val="18"/>
                <w:szCs w:val="18"/>
                <w:b w:val="1"/>
                <w:bCs w:val="1"/>
                <w:color w:val="auto"/>
                <w:w w:val="97"/>
              </w:rPr>
              <w:t>Market Value of</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Unexercised</w:t>
            </w:r>
          </w:p>
        </w:tc>
        <w:tc>
          <w:tcPr>
            <w:tcW w:w="18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Underlying</w:t>
            </w:r>
          </w:p>
        </w:tc>
        <w:tc>
          <w:tcPr>
            <w:tcW w:w="96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1080" w:type="dxa"/>
            <w:vAlign w:val="bottom"/>
          </w:tcPr>
          <w:p>
            <w:pPr>
              <w:spacing w:after="0"/>
              <w:rPr>
                <w:sz w:val="17"/>
                <w:szCs w:val="17"/>
                <w:color w:val="auto"/>
              </w:rPr>
            </w:pPr>
          </w:p>
        </w:tc>
        <w:tc>
          <w:tcPr>
            <w:tcW w:w="14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of Stock That</w:t>
            </w:r>
          </w:p>
        </w:tc>
        <w:tc>
          <w:tcPr>
            <w:tcW w:w="1500" w:type="dxa"/>
            <w:vAlign w:val="bottom"/>
          </w:tcPr>
          <w:p>
            <w:pPr>
              <w:jc w:val="center"/>
              <w:ind w:left="92"/>
              <w:spacing w:after="0" w:line="202"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8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Unexercised Options</w:t>
            </w:r>
          </w:p>
        </w:tc>
        <w:tc>
          <w:tcPr>
            <w:tcW w:w="96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14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Have Not</w:t>
            </w:r>
          </w:p>
        </w:tc>
        <w:tc>
          <w:tcPr>
            <w:tcW w:w="1500" w:type="dxa"/>
            <w:vAlign w:val="bottom"/>
          </w:tcPr>
          <w:p>
            <w:pPr>
              <w:jc w:val="center"/>
              <w:ind w:left="92"/>
              <w:spacing w:after="0" w:line="202" w:lineRule="exact"/>
              <w:rPr>
                <w:sz w:val="20"/>
                <w:szCs w:val="20"/>
                <w:color w:val="auto"/>
              </w:rPr>
            </w:pPr>
            <w:r>
              <w:rPr>
                <w:rFonts w:ascii="Times New Roman" w:cs="Times New Roman" w:eastAsia="Times New Roman" w:hAnsi="Times New Roman"/>
                <w:sz w:val="18"/>
                <w:szCs w:val="18"/>
                <w:b w:val="1"/>
                <w:bCs w:val="1"/>
                <w:color w:val="auto"/>
                <w:w w:val="99"/>
              </w:rPr>
              <w:t>of Stock That</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1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Expiration</w:t>
            </w:r>
          </w:p>
        </w:tc>
        <w:tc>
          <w:tcPr>
            <w:tcW w:w="140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6"/>
              </w:rPr>
              <w:t>Vested</w:t>
            </w:r>
          </w:p>
        </w:tc>
        <w:tc>
          <w:tcPr>
            <w:tcW w:w="1500" w:type="dxa"/>
            <w:vAlign w:val="bottom"/>
          </w:tcPr>
          <w:p>
            <w:pPr>
              <w:jc w:val="center"/>
              <w:ind w:left="92"/>
              <w:spacing w:after="0" w:line="202" w:lineRule="exact"/>
              <w:rPr>
                <w:sz w:val="20"/>
                <w:szCs w:val="20"/>
                <w:color w:val="auto"/>
              </w:rPr>
            </w:pPr>
            <w:r>
              <w:rPr>
                <w:rFonts w:ascii="Times New Roman" w:cs="Times New Roman" w:eastAsia="Times New Roman" w:hAnsi="Times New Roman"/>
                <w:sz w:val="18"/>
                <w:szCs w:val="18"/>
                <w:b w:val="1"/>
                <w:bCs w:val="1"/>
                <w:color w:val="auto"/>
                <w:w w:val="99"/>
              </w:rPr>
              <w:t>Have Not Vested</w:t>
            </w:r>
          </w:p>
        </w:tc>
        <w:tc>
          <w:tcPr>
            <w:tcW w:w="0" w:type="dxa"/>
            <w:vAlign w:val="bottom"/>
          </w:tcPr>
          <w:p>
            <w:pPr>
              <w:spacing w:after="0"/>
              <w:rPr>
                <w:sz w:val="1"/>
                <w:szCs w:val="1"/>
                <w:color w:val="auto"/>
              </w:rPr>
            </w:pPr>
          </w:p>
        </w:tc>
      </w:tr>
      <w:tr>
        <w:trPr>
          <w:trHeight w:val="265"/>
        </w:trPr>
        <w:tc>
          <w:tcPr>
            <w:tcW w:w="16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Exercisable</w:t>
            </w:r>
            <w:r>
              <w:rPr>
                <w:rFonts w:ascii="Times New Roman" w:cs="Times New Roman" w:eastAsia="Times New Roman" w:hAnsi="Times New Roman"/>
                <w:sz w:val="23"/>
                <w:szCs w:val="23"/>
                <w:color w:val="auto"/>
                <w:w w:val="95"/>
                <w:vertAlign w:val="superscript"/>
              </w:rPr>
              <w:t>(1)</w:t>
            </w:r>
          </w:p>
        </w:tc>
        <w:tc>
          <w:tcPr>
            <w:tcW w:w="18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Unexercisable</w:t>
            </w:r>
            <w:r>
              <w:rPr>
                <w:rFonts w:ascii="Times New Roman" w:cs="Times New Roman" w:eastAsia="Times New Roman" w:hAnsi="Times New Roman"/>
                <w:sz w:val="23"/>
                <w:szCs w:val="23"/>
                <w:color w:val="auto"/>
                <w:w w:val="96"/>
                <w:vertAlign w:val="superscript"/>
              </w:rPr>
              <w:t>(1)</w:t>
            </w: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23"/>
                <w:szCs w:val="23"/>
                <w:color w:val="auto"/>
                <w:w w:val="92"/>
                <w:vertAlign w:val="superscript"/>
              </w:rPr>
              <w:t>(2)</w:t>
            </w:r>
          </w:p>
        </w:tc>
        <w:tc>
          <w:tcPr>
            <w:tcW w:w="1500" w:type="dxa"/>
            <w:vAlign w:val="bottom"/>
            <w:tcBorders>
              <w:bottom w:val="single" w:sz="8" w:color="auto"/>
            </w:tcBorders>
          </w:tcPr>
          <w:p>
            <w:pPr>
              <w:jc w:val="center"/>
              <w:ind w:left="92"/>
              <w:spacing w:after="0" w:line="265" w:lineRule="exact"/>
              <w:rPr>
                <w:sz w:val="20"/>
                <w:szCs w:val="20"/>
                <w:color w:val="auto"/>
              </w:rPr>
            </w:pPr>
            <w:r>
              <w:rPr>
                <w:rFonts w:ascii="Times New Roman" w:cs="Times New Roman" w:eastAsia="Times New Roman" w:hAnsi="Times New Roman"/>
                <w:sz w:val="30"/>
                <w:szCs w:val="30"/>
                <w:b w:val="1"/>
                <w:bCs w:val="1"/>
                <w:color w:val="auto"/>
                <w:w w:val="97"/>
                <w:vertAlign w:val="subscript"/>
              </w:rPr>
              <w:t>($)</w:t>
            </w:r>
            <w:r>
              <w:rPr>
                <w:rFonts w:ascii="Times New Roman" w:cs="Times New Roman" w:eastAsia="Times New Roman" w:hAnsi="Times New Roman"/>
                <w:sz w:val="11"/>
                <w:szCs w:val="11"/>
                <w:color w:val="auto"/>
                <w:w w:val="97"/>
              </w:rPr>
              <w:t>(2)(3)</w:t>
            </w:r>
          </w:p>
        </w:tc>
        <w:tc>
          <w:tcPr>
            <w:tcW w:w="0" w:type="dxa"/>
            <w:vAlign w:val="bottom"/>
          </w:tcPr>
          <w:p>
            <w:pPr>
              <w:spacing w:after="0"/>
              <w:rPr>
                <w:sz w:val="1"/>
                <w:szCs w:val="1"/>
                <w:color w:val="auto"/>
              </w:rPr>
            </w:pPr>
          </w:p>
        </w:tc>
      </w:tr>
      <w:tr>
        <w:trPr>
          <w:trHeight w:val="230"/>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Kenneth Galbraith</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1/15/2022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1/14/2032</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161,250</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53,750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1/4/2033</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1/5/2023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47,668</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1,255,098</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1/4/2034</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1/5/2024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133,334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3,510,684</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288,000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1/9/2035</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1/10/2025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192,000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5,055,360</w:t>
            </w: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A. Moore</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25,000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7/17/2032</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1/5/2023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58,125</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19,375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1/4/2033</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17,168</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452,033</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1/5/2024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45,000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1/4/2034</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40,000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1,053,200</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1/10/2025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79,000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1/9/2035</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53,000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1,395,490</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Jeffrey Smith</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1/5/2023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141,000</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47,000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1/4/2033</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45,000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1/4/2034</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1/5/2024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40,000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1,053,200</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79,000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1/9/2035</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6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1/10/2025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53,000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1,395,490</w:t>
            </w:r>
          </w:p>
        </w:tc>
        <w:tc>
          <w:tcPr>
            <w:tcW w:w="0" w:type="dxa"/>
            <w:vAlign w:val="bottom"/>
          </w:tcPr>
          <w:p>
            <w:pPr>
              <w:spacing w:after="0"/>
              <w:rPr>
                <w:sz w:val="1"/>
                <w:szCs w:val="1"/>
                <w:color w:val="auto"/>
              </w:rPr>
            </w:pPr>
          </w:p>
        </w:tc>
      </w:tr>
      <w:tr>
        <w:trPr>
          <w:trHeight w:val="22"/>
        </w:trPr>
        <w:tc>
          <w:tcPr>
            <w:tcW w:w="16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23" w:lineRule="exact"/>
        <w:rPr>
          <w:sz w:val="20"/>
          <w:szCs w:val="20"/>
          <w:color w:val="auto"/>
        </w:rPr>
      </w:pPr>
    </w:p>
    <w:p>
      <w:pPr>
        <w:ind w:firstLine="8"/>
        <w:spacing w:after="0" w:line="252" w:lineRule="auto"/>
        <w:tabs>
          <w:tab w:leader="none" w:pos="229"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cs="Times New Roman" w:eastAsia="Times New Roman" w:hAnsi="Times New Roman"/>
          <w:sz w:val="16"/>
          <w:szCs w:val="16"/>
          <w:i w:val="1"/>
          <w:iCs w:val="1"/>
          <w:color w:val="auto"/>
        </w:rPr>
        <w:t>Executive Employment Arrangements and Potential Payments upon Termination or Change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Control</w:t>
      </w:r>
      <w:r>
        <w:rPr>
          <w:rFonts w:ascii="Times New Roman" w:cs="Times New Roman" w:eastAsia="Times New Roman" w:hAnsi="Times New Roman"/>
          <w:sz w:val="16"/>
          <w:szCs w:val="16"/>
          <w:color w:val="auto"/>
        </w:rPr>
        <w:t>.”</w:t>
      </w:r>
    </w:p>
    <w:p>
      <w:pPr>
        <w:jc w:val="both"/>
        <w:ind w:right="220" w:firstLine="8"/>
        <w:spacing w:after="0" w:line="252" w:lineRule="auto"/>
        <w:tabs>
          <w:tab w:leader="none" w:pos="229"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 units vest in three equal annual installments on each of the first, second, and third anniversaries of the date of grant, subject to the holder’s continued service through each vesting date and any applicable acceleration of vesting provisions described under the section below entitled “</w:t>
      </w:r>
      <w:r>
        <w:rPr>
          <w:rFonts w:ascii="Times New Roman" w:cs="Times New Roman" w:eastAsia="Times New Roman" w:hAnsi="Times New Roman"/>
          <w:sz w:val="16"/>
          <w:szCs w:val="16"/>
          <w:i w:val="1"/>
          <w:iCs w:val="1"/>
          <w:color w:val="auto"/>
        </w:rPr>
        <w:t>Executive Employment Arrangements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Potential Payments upon Termination or Change in Control</w:t>
      </w:r>
      <w:r>
        <w:rPr>
          <w:rFonts w:ascii="Times New Roman" w:cs="Times New Roman" w:eastAsia="Times New Roman" w:hAnsi="Times New Roman"/>
          <w:sz w:val="16"/>
          <w:szCs w:val="16"/>
          <w:color w:val="auto"/>
        </w:rPr>
        <w:t>.”</w:t>
      </w:r>
    </w:p>
    <w:p>
      <w:pPr>
        <w:ind w:right="120" w:firstLine="8"/>
        <w:spacing w:after="0" w:line="270" w:lineRule="auto"/>
        <w:tabs>
          <w:tab w:leader="none" w:pos="229"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value of restricted stock units that have not vested is based on the closing price of the Company’s common stock on Nasdaq on December 31, 2025, which was $26.33 per share.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pension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Retirement Savings Plan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executive officers resident in Canada are eligible, along with all other employees resident in Canada, to participate in our registered retirement savings plan (“RRSP”) matching program. Under this program, we match the amount contributed by each employee into a group RRSP plan, up to a pre-determined percentage of annual salary. We match employee contributions to the group RRSP up to 6.0% of annual salary.</w:t>
      </w:r>
    </w:p>
    <w:p>
      <w:pPr>
        <w:sectPr>
          <w:pgSz w:w="11900" w:h="16838" w:orient="portrait"/>
          <w:cols w:equalWidth="0" w:num="1">
            <w:col w:w="11180"/>
          </w:cols>
          <w:pgMar w:left="320" w:top="225" w:right="39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executive officers resident in the United States are eligible, along with all other U.S.-based employees, to participate in a 401(k) matching program. Under this program, we match the amount contributed by each employee into a 401(k) plan, up to a predetermined percentage of annual salary. We match employee contributions to a 401(k) plan up to 6.0% of annual salary, with company matching contributions not to exceed the annual personal and Age 50 Catch Up contribution limit (if applicable) set by the Internal Revenue Service, or the IRS, in any given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Personal Pension Plan</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Our executive officers resident in the UK are eligible, along with all other employees resident in the UK, to participate in our group personal pension (“GPP”) plan matching program. Under this program, we match the amount contributed by each employee into a GPP plan, up to a pre-determined percentage of annual salary. We match employee contributions to a GPP plan up to 6.0% of annual salary.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Personal Retirement Savings Account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executive officers resident in Ireland are eligible, along with all other employees resident in Ireland, to participate in our Personal Retirement Savings Account (“PRSA”) matching program. Under this program, we match the amount contributed by each employee into a PRSA, up to a pre-determined percentage of annual salary. We match employee contributions to a PRSA up to 6.0% of annual salary.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Arrangements and Potential Payments upon Termination or Change in Control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Employment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provisions of the employment agreements that were in effect as of December 31, 2025, for our named executive officers are described below.</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Kenneth Galbraith</w:t>
      </w:r>
      <w:r>
        <w:rPr>
          <w:rFonts w:ascii="Times New Roman" w:cs="Times New Roman" w:eastAsia="Times New Roman" w:hAnsi="Times New Roman"/>
          <w:sz w:val="18"/>
          <w:szCs w:val="18"/>
          <w:color w:val="auto"/>
        </w:rPr>
        <w:t>. In connection with Mr. Galbraith’s appointment as President and Chief Executive Officer in January 2022, Mr. Galbraith entered into an employment agreement with us (the “Original Agreement”), on December 30, 2022, Zymeworks BC and Zymeworks Management Inc., our subsidiaries, and Mr. Galbraith entered into an amendment to the Original Agreement (the “First Amendment”), and on January 3, 2024, Zymeworks BC and Mr. Galbraith entered into a second amendment (the “Second Amendment” and the Original Agreement, as amended by the First Amendment and the Second Amendment, the “Galbraith Employment Agreement”). The Galbraith Employment Agreement does not have a specific term. The Second Amendment established Mr. Galbraith’s principal place of employment as the UK, or another location as agreed upon between the parties, which removes the requirement for Mr. Galbraith to relocate to Vancouver, British Columbia or Seattle, Washington, and incorporated certain extensions of compensation and benefit provisions, as described 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Galbraith Employment Agreement, Mr. Galbraith is entitled to the following compensation and benefits:</w:t>
      </w:r>
    </w:p>
    <w:p>
      <w:pPr>
        <w:spacing w:after="0" w:line="117" w:lineRule="exact"/>
        <w:rPr>
          <w:sz w:val="20"/>
          <w:szCs w:val="20"/>
          <w:color w:val="auto"/>
        </w:rPr>
      </w:pPr>
    </w:p>
    <w:p>
      <w:pPr>
        <w:ind w:left="660" w:right="100" w:hanging="328"/>
        <w:spacing w:after="0" w:line="266"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$600,000, with eligibility to earn an annual discretionary bonus of up to 60% of his annual base salary, based upon the achievement of certain Company goals determined by the board of directors. Mr. Galbraith’s current annual base salary is $655,000 and his target annual discretionary bonus for 2026 is 75% of his annual base salary;</w:t>
      </w:r>
    </w:p>
    <w:p>
      <w:pPr>
        <w:spacing w:after="0" w:line="6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which were granted to Mr. Galbraith in 2022, to purchase 500,000 shares of our common stock at an exercise price per share equal to the fair market value on the date of grant (the “Inducement Options”). 25% of the Inducement Options vest and become exercisable on the one-year anniversary of the date of grant, and thereafter 1/36th of the remaining Inducement Options will vest on the last day of each month, until all of the Inducement Options have vested, subject to Mr. Galbraith’s continued service;</w:t>
      </w:r>
    </w:p>
    <w:p>
      <w:pPr>
        <w:spacing w:after="0" w:line="7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our employee benefit plans, policies and arrangements that, in the aggregate, are reasonably consistent with other executive officers generally, as well as reimbursement for certain fees and costs related to membership in certain professional associations and professional development;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a qualifying pension scheme under the UK Pensions Act 2008;</w:t>
      </w:r>
    </w:p>
    <w:p>
      <w:pPr>
        <w:spacing w:after="0" w:line="117" w:lineRule="exact"/>
        <w:rPr>
          <w:rFonts w:ascii="Times New Roman" w:cs="Times New Roman" w:eastAsia="Times New Roman" w:hAnsi="Times New Roman"/>
          <w:sz w:val="18"/>
          <w:szCs w:val="18"/>
          <w:color w:val="auto"/>
        </w:rPr>
      </w:pPr>
    </w:p>
    <w:p>
      <w:pPr>
        <w:ind w:left="660" w:right="80" w:hanging="328"/>
        <w:spacing w:after="0" w:line="255"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Second Amendment, the Galbraith Employment Agreement provided for reimbursement of relocation expenses up to a maximum gross amount of $300,000, grossed up for the impact of any tax withholding, for reasonable moving expenses incurred by Mr. Galbraith and his immediate family during relocation from Mr. Galbraith’s primary residence to Vancouver, British Columbia or Seattle, Washington if he relocated on or before July 15, 2024 (under the Original Agreement, this related to a relocation within the first eighteen months of employment), with the total amount reimbursed under this provision required to be repaid if Mr. Galbraith’s employment had terminated within three years (two years under the Original Agreement) following the effective date of employment. The Second Amendment removed the requirement to relocate, and deleted this provision regarding relocation expenses;</w:t>
      </w:r>
    </w:p>
    <w:p>
      <w:pPr>
        <w:spacing w:after="0" w:line="8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housing for Mr. Galbraith in Vancouver, British Columbia, grossed up for the impact of any tax withholding. The First Amendment had provided for this benefit through the earlier of Mr. Galbraith’s relocation or July 15, 2024, and under the Original Agreement, this was through the earlier of Mr. Galbraith’s relocation or the date that is 18 months following the effective date of employment;</w:t>
      </w:r>
    </w:p>
    <w:p>
      <w:pPr>
        <w:spacing w:after="0" w:line="67"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reasonable travel and living expenses when traveling from his home to Vancouver, British Columbia or Seattle, Washington for his employment duties, as well as reimbursement or Company payment for reasonable airfare and lodging expenses for Mr. Galbraith and his immediate family for one trip per calendar year to Vancouver, British Columbia or Seattle, Washington, as applicable (under the Original Agreement, this related to trips that occurred prior to the end of 2023, and under the First Amendment, to trips that occurred prior to the end of 2024);</w:t>
      </w:r>
    </w:p>
    <w:p>
      <w:pPr>
        <w:spacing w:after="0" w:line="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equalization payment if Mr. Galbraith is subject to income taxation or other taxation outside of the UK during the period of his employment, grossed up for the impact of any tax withholding, and tax preparation services;</w:t>
      </w:r>
    </w:p>
    <w:p>
      <w:pPr>
        <w:spacing w:after="0" w:line="53"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terminate Mr. Galbraith’s employment during his first three years of employment, then Mr. Galbraith will be eligible to receive twelve months of notice or the equivalent of twelve months of base salary as of the date notice is given, or any combination thereof that totals twelve months of combined notice and base salary. Commencing in the fourth year of his employment, if we terminate Mr. Galbraith’s employment, Mr. Galbraith will be eligible to receive an additional one month of notice or the equivalent of one month of base salary as of the date notice is given, or any combination thereof, for each additional completed year of service, up to a total maximum of eighteen months. Mr. Galbraith will also be eligible for continuation of group health and dental benefits through the applicable notice period to the extent permitted by any applicable benefit plan;</w:t>
      </w:r>
    </w:p>
    <w:p>
      <w:pPr>
        <w:spacing w:after="0" w:line="80" w:lineRule="exact"/>
        <w:rPr>
          <w:rFonts w:ascii="Times New Roman" w:cs="Times New Roman" w:eastAsia="Times New Roman" w:hAnsi="Times New Roman"/>
          <w:sz w:val="18"/>
          <w:szCs w:val="18"/>
          <w:color w:val="auto"/>
        </w:rPr>
      </w:pPr>
    </w:p>
    <w:p>
      <w:pPr>
        <w:ind w:left="660" w:right="80" w:hanging="328"/>
        <w:spacing w:after="0" w:line="274" w:lineRule="auto"/>
        <w:tabs>
          <w:tab w:leader="none" w:pos="65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termination on death or disability, as defined in our long-term disability plan or policy then in effect with respect to him, Mr. Galbraith, or his estate, will receive (x) a lump sum payment equal to the difference between (1) eighteen months of base salary plus target annual cash bonus as of the date of death or disability and (2) the amount that Mr. Galbraith or his estate will receive as a result of death or disability under our applicable insurance policies in effect as of the date of termination, (y) group extended health and dental benefits continuation for his surviving family members for eighteen months (or lump sum payment for the premium costs of such benefits in lieu thereof), and (z) full vesting acceleration of all unvested and outstanding stock options or other equity grants made to Mr. Galbraith as of the date of death or disability;</w:t>
      </w:r>
    </w:p>
    <w:p>
      <w:pPr>
        <w:spacing w:after="0" w:line="64" w:lineRule="exact"/>
        <w:rPr>
          <w:rFonts w:ascii="Times New Roman" w:cs="Times New Roman" w:eastAsia="Times New Roman" w:hAnsi="Times New Roman"/>
          <w:sz w:val="17"/>
          <w:szCs w:val="17"/>
          <w:color w:val="auto"/>
        </w:rPr>
      </w:pPr>
    </w:p>
    <w:p>
      <w:pPr>
        <w:ind w:left="660" w:right="140" w:hanging="328"/>
        <w:spacing w:after="0" w:line="256"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Galbraith’s employment is terminated by us without cause on or within twelve months following, or within three months prior to, a change of control (as defined in the Galbraith Employment Agreement), Mr. Galbraith will be eligible to receive (x) a lump sum payment of eighteen months of base salary and 100% of target annual cash bonus as of the date of termination, (y) group extended health and dental benefits continuation as of the date of termination for eighteen months (or lump sum payment for the premium costs of such benefit plans in lieu thereof) and (z) full vesting acceleration of all unvested and outstanding stock options or other equity grants as of the date of termination. Such payments will be subject to Mr. Galbraith entering into a valid settlement agreement with us; and</w:t>
      </w:r>
    </w:p>
    <w:p>
      <w:pPr>
        <w:spacing w:after="0" w:line="79"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Galbraith Employment Agreement requires Mr. Galbraith, among other things, not to compete, either directly or indirectly, with us while employed by us and for up to six months following the termination of his employment with us. The Galbraith Employment Agreement also requires Mr. Galbraith not to solicit our employees or consultants to terminate their relationship with us while he is employed by us and for up to one year following the termination of his employment with us.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January 2026, Ms. Leone Patterson ceased to serve in the positions of Executive Vice President, Chief Business Officer and Chief Financial Officer, including as principal financial officer and principal accounting officer. In connection with Ms. Patterson’s separation, Mr. Galbraith was appointed interim Chief Financial Officer and continued in his roles as Chair of the Board, President and Chief Executive Officer and assumed the duties of principal financial officer and principal accounting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officer. The compensatory and other material terms of Mr. Galbraith’s employment with the Company were unchanged in connection with his appointment as interim Chief Financial Officer, principal financial officer and principal accounting officer.</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Paul A. Moore</w:t>
      </w:r>
      <w:r>
        <w:rPr>
          <w:rFonts w:ascii="Times New Roman" w:cs="Times New Roman" w:eastAsia="Times New Roman" w:hAnsi="Times New Roman"/>
          <w:sz w:val="18"/>
          <w:szCs w:val="18"/>
          <w:color w:val="auto"/>
        </w:rPr>
        <w:t>. On July 18, 2022, the Company and our subsidiary ZBI entered into an employment agreement with Dr. Moore setting forth the terms and conditions of his employment as Chief Scientific Officer of the Company (the “Initial Employment Agreement”). In connection with Dr. Moore’s planned relocation from the United States to Canada, the Company and our subsidiary Zymeworks BC entered into an amended and restated employment agreement with Dr. Moore in July 2023 (the “Moore Employment Agreement”) that supersedes and replaces the Initial Employment Agreement. The Moore Employment Agreement does not have a stated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Moore Employment Agreement, Dr. Moore is entitled to the following compensation and benefits:</w:t>
      </w:r>
    </w:p>
    <w:p>
      <w:pPr>
        <w:spacing w:after="0" w:line="117" w:lineRule="exact"/>
        <w:rPr>
          <w:sz w:val="20"/>
          <w:szCs w:val="20"/>
          <w:color w:val="auto"/>
        </w:rPr>
      </w:pPr>
    </w:p>
    <w:p>
      <w:pPr>
        <w:ind w:left="660" w:right="220" w:hanging="328"/>
        <w:spacing w:after="0" w:line="266"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$465,000, with eligibility to earn an annual discretionary bonus of up to 45% of his annual base salary, based upon the achievement of certain Company goals determined by the board of directors. Dr. Moore’s current annual base salary is $525,000 and his target annual discretionary bonus remains at 45% of his annual base salary;</w:t>
      </w:r>
    </w:p>
    <w:p>
      <w:pPr>
        <w:spacing w:after="0" w:line="6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our employee benefit plans, policies and arrangements, as well as reimbursement for certain fees and costs related to membership in certain professional associations and professional development;</w:t>
      </w:r>
    </w:p>
    <w:p>
      <w:pPr>
        <w:spacing w:after="0" w:line="53"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relocation expenses up to a maximum of $200,000, grossed-up to offset the impact of any taxes on such payment, for reasonable and customary moving expenses that Dr. Moore incurs within eighteen months of his July 18, 2022 start date in connection with his relocation to the Vancouver, British Columbia metropolitan area, as contemplated in the Initial Employment Agreement.</w:t>
      </w:r>
    </w:p>
    <w:p>
      <w:pPr>
        <w:spacing w:after="0" w:line="67"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equalization payment if Dr. Moore is subject to income taxation in Canada in a given year equal to the difference between (i) the sum of total Canadian taxes plus any U.S. federal, state and local income taxes, that Dr. Moore is or would be obligated to pay for an applicable tax year, and (ii) the amount of U.S. federal, state and local tax liability had Dr. Moore worked in the United States for the entire tax year. Any tax equalization payment will be grossed-up to offset the impact of taxes on such payment.</w:t>
      </w:r>
    </w:p>
    <w:p>
      <w:pPr>
        <w:spacing w:after="0" w:line="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tax preparation support or reimbursement of up to $5,000 per year for additional tax preparation expenses of Dr. Moore for a period of two years from his relocation to the Vancouver, British Columbia metropolitan area.</w:t>
      </w:r>
    </w:p>
    <w:p>
      <w:pPr>
        <w:spacing w:after="0" w:line="53" w:lineRule="exact"/>
        <w:rPr>
          <w:rFonts w:ascii="Times New Roman" w:cs="Times New Roman" w:eastAsia="Times New Roman" w:hAnsi="Times New Roman"/>
          <w:sz w:val="18"/>
          <w:szCs w:val="18"/>
          <w:color w:val="auto"/>
        </w:rPr>
      </w:pPr>
    </w:p>
    <w:p>
      <w:pPr>
        <w:ind w:left="660" w:right="100" w:hanging="328"/>
        <w:spacing w:after="0" w:line="255"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terminate Dr. Moore’s employment without cause during his first three years of employment, then Dr. Moore will be eligible to receive twelve months of notice or the equivalent of twelve months of base salary as of the date notice is given, or any combination thereof that totals twelve months of combined notice and base salary. Commencing in the fourth year of his employment, if we terminate Dr. Moore’s employment without cause, Dr. Moore will be eligible to receive an additional one month of notice or the equivalent of one month of base salary as of the date notice is given, or any combination thereof, for each additional completed year of service, up to a total maximum of eighteen months. Dr. Moore will also be eligible for continuation of group health and dental benefits through the applicable notice period to the extent permitted by any applicable benefit plan. Such payments will be subject to Dr. Moore entering into a valid separation and release agreement with us;</w:t>
      </w:r>
    </w:p>
    <w:p>
      <w:pPr>
        <w:spacing w:after="0" w:line="80"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Dr. Moore’s employment is terminated by us without cause on or within twelve months following a change of control (as defined in the Moore Employment Agreement), Dr. Moore will be eligible to receive as severance (x) eighteen months continued base salary following termination, (y) group extended health and dental benefits as of the date of termination for eighteen months, and (z) full vesting acceleration of all unvested and outstanding stock options or other equity grants as of the date of termination. Such payments will be subject to Dr. Moore entering into a valid separation and release agreement with us; and</w:t>
      </w:r>
    </w:p>
    <w:p>
      <w:pPr>
        <w:spacing w:after="0" w:line="75"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Moore Employment Agreement requires Dr. Moore, among other things, not to compete, either directly or indirectly, with us while employed by us and for up to six months following the termination of his employment with us. The Moore Employment Agreement also requires Dr. Moore not to solicit our employees to terminate their relationship with us while he is employed by us and for up to one year following the termination of his employment with us.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if any of the payments or benefits provided for under the Moore Employment Agreement employment agreement or otherwise payable to Dr. Moore would constitute “parachute payments” within the meaning of Section 280G of the Code and would be subject to the related excise tax, he would be entitled to receive either full payment of such payments and benefits or such lesser amount that would result in no portion of the payments and benefits being subject to the excise tax, whichever</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results in the greater amount of after-tax benefits to him. The Moore Employment Agreement does not require us to provide any tax gross-up payments to him.</w:t>
      </w:r>
    </w:p>
    <w:p>
      <w:pPr>
        <w:spacing w:after="0" w:line="162"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u w:val="single" w:color="auto"/>
          <w:color w:val="auto"/>
        </w:rPr>
        <w:t>Jeffrey Smith</w:t>
      </w:r>
      <w:r>
        <w:rPr>
          <w:rFonts w:ascii="Times New Roman" w:cs="Times New Roman" w:eastAsia="Times New Roman" w:hAnsi="Times New Roman"/>
          <w:sz w:val="18"/>
          <w:szCs w:val="18"/>
          <w:color w:val="auto"/>
        </w:rPr>
        <w:t>. Prior to Dr. Smith’s retirement, Dr. Smith was subject to an employment agreement with our subsidiary Zymeworks Pharmaceuticals Limited dated January 3, 2023 (the “Smith Employment Agreement”). The Smith Employment Agreement set forth the terms and conditions of his employment as our then Senior Vice President, Early-Stage Development. Dr. Smith was subsequently promoted to Executive Vice President and Chief Medical Officer in January 2024. The Smith Employment Agreement did not have a stated term. Effective January 31, 2026, Dr. Smith retired from his position as Executive Vice President and Chief Medical Officer of the Company and his employment terminated effective January 31, 2026. In January 2026, Dr. Smith entered into a severance agreement (the “Smith Severance Agreement”) and a consultancy agreement (the “Smith Consultancy Agreement”), each described in greater detail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Smith Employment Agreement provided for the following compensation and benefits to Dr. Smith:</w:t>
      </w:r>
    </w:p>
    <w:p>
      <w:pPr>
        <w:spacing w:after="0" w:line="117" w:lineRule="exact"/>
        <w:rPr>
          <w:sz w:val="20"/>
          <w:szCs w:val="20"/>
          <w:color w:val="auto"/>
        </w:rPr>
      </w:pPr>
    </w:p>
    <w:p>
      <w:pPr>
        <w:jc w:val="both"/>
        <w:ind w:left="660" w:right="160" w:hanging="328"/>
        <w:spacing w:after="0" w:line="266"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$425,000, with eligibility to earn an annual discretionary bonus of up to 35% of his annual base salary, based upon the achievement of certain Company goals determined by the board of directors. With respect to 2025, Dr. Smith’s annual base salary was $485,000 and he was eligible to earn a discretionary bonus of up to 45% of his annual base salary;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Company employee benefit plans, policies and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contribution of €2,500 towards Dr. Smith’s membership in a health insurance program;</w:t>
      </w:r>
    </w:p>
    <w:p>
      <w:pPr>
        <w:spacing w:after="0" w:line="117"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Dr. Smith’s employment without cause during his first three years of employment, then Dr. Smith would be eligible to receive twelve months of notice or the equivalent of nine month’s base salary plus three months’ notice as of the date notice is given, or any combination thereof that totals twelve months of combined notice and base salary. Commencing in the fourth year of his employment, in the event of termination of Dr. Smith’s employment without cause, Dr. Smith would have been eligible to receive an additional one month of notice or the equivalent of one month of base salary as of the date notice is given, or any combination thereof, for each additional completed year of service, up to a total maximum of fifteen months plus three months’ notice. Any such payments would have been subject to Dr. Smith entering into a valid separation and release agreement with us; and</w:t>
      </w:r>
    </w:p>
    <w:p>
      <w:pPr>
        <w:spacing w:after="0" w:line="80"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Dr. Smith’s employment by us without cause on or within twelve months following a change of control (as defined in the Smith Employment Agreement), Dr. Smith would be eligible to receive as severance (x) eighteen months continued base salary following termination, or the equivalent of fifteen months of base salary plus three months’ notice, and (y) full vesting acceleration of all unvested and outstanding stock options or other equity grants as of the date of termination. Any such payments would have been subject to Dr. Smith entering into a valid separation and release agreement with us.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January 6, 2026, Zymeworks Pharmaceuticals Limited and Dr. Smith entered into the Smith Severance Agreement providing for a release of claims by Dr. Smith in exchange for certain benefits, including continued payment of Dr. Smith’s current base salary for twelve months following his termination date. On January 31, 2026, Zymeworks Pharmaceuticals Limited and Dr. Smith entered into the Smith Consultancy Agreement, providing for Dr. Smith’s receipt of a retainer fee equal to $10,000 per month (exclusive of any value added tax) in exchange for up to fifteen hours per month of services as an outside advisor on strategic planning and guidance. Dr. Smith will also be entitled to continued vesting of his equity awards during the term of the Consultancy Agreement per the pre-existing terms of such equity awards. The Smith Consultancy Agreement will terminate on January 31, 2027 unless earlier terminated pursuant to its terms.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 Employment Arrangements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Leone Patterson</w:t>
      </w:r>
      <w:r>
        <w:rPr>
          <w:rFonts w:ascii="Times New Roman" w:cs="Times New Roman" w:eastAsia="Times New Roman" w:hAnsi="Times New Roman"/>
          <w:sz w:val="18"/>
          <w:szCs w:val="18"/>
          <w:color w:val="auto"/>
        </w:rPr>
        <w:t>. Prior to Ms. Patterson’s separation from employment with us, Ms. Patterson was subject to an employment agreement with our subsidiary ZBI dated July 19, 2024 and effective September 1, 2024 (the “Patterson Employment Agreement”). The Patterson Employment Agreement set forth the terms and conditions of her employment as Executive Vice President, Chief Business Officer and Chief Financial Officer of the Company and did not have a stated term. In January 2026, Ms. Patterson was removed from her position as Executive Vice President, Chief Business Officer and Chief Financial Officer of the Company and her employment was terminated without cause effective January 31, 2026. Ms. Patterson and ZBI entered into a separation agreement and release (the “Patterson Separation Agreement”) on February 1, 2026 that contained a release of claims in favor of the Company and requires Ms. Patterson’s compliance with certain ongoing covenants, and which provides Ms. Patterson with the severance and payments described under the Patterson Employment Agreement that apply in connection with a termination without cause, as described in greater detail below.</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Patterson Employment Agreement provided for the following compensation and benefits for Ms. Patterson:</w:t>
      </w:r>
    </w:p>
    <w:p>
      <w:pPr>
        <w:spacing w:after="0" w:line="117" w:lineRule="exact"/>
        <w:rPr>
          <w:sz w:val="20"/>
          <w:szCs w:val="20"/>
          <w:color w:val="auto"/>
        </w:rPr>
      </w:pPr>
    </w:p>
    <w:p>
      <w:pPr>
        <w:ind w:left="660" w:right="20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$485,000, with eligibility to earn an annual discretionary bonus of up to 45% of her annual base salary, based upon the achievement of certain Company goals determined by the board of directors;</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Company employee benefit plans, policies and arrangements, as well as reimbursement for certain fees and costs related to membership in certain professional associations and professional development;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bonus of $50,000, which would have been repayable in full to ZBI within 30 days of Ms. Patterson’s employment termination date if her employment had been terminated for Cause (as defined in the Patterson Employment Agreement) or by Ms. Patterson for any reason, in either case, within one year of the effective date of the Patterson Employment Agreement;</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which were granted to Ms. Patterson in 2024, to purchase 360,000 shares of our common stock at an exercise price per share equal to the fair market value on the date of grant. 25% of the Options vested and become exercisable on the one-year anniversary of the date of grant, and thereafter 1/36th of the remaining Options vested on the last day of each month, until Ms. Patterson’s separation;</w:t>
      </w:r>
    </w:p>
    <w:p>
      <w:pPr>
        <w:spacing w:after="0" w:line="67"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Ms. Patterson’s employment without cause during her first three years of employment, then Ms. Patterson would be eligible to receive twelve months of notice or the equivalent of twelve months of base salary as of the date notice is given, or any combination thereof that totals twelve months of combined notice and base salary. Commencing in the fourth year of her employment, in the event of termination of Ms. Patterson’s employment without cause, Ms. Patterson would have been eligible to receive an additional one month of notice or the equivalent of one month of base salary as of the date notice is given, or any combination thereof, for each additional completed year of service, up to a total maximum of eighteen months. Ms. Patterson also became eligible for continuation of group health and dental benefits through the applicable notice period to the extent permitted by any applicable benefit plan. Any such payments would have been subject to Ms. Patterson entering into a valid separation and release agreement with us;</w:t>
      </w:r>
    </w:p>
    <w:p>
      <w:pPr>
        <w:spacing w:after="0" w:line="83"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Ms. Patterson’s employment by us without cause on or within twelve months following a change of control (as defined in the Patterson Employment Agreement), Ms. Patterson would be eligible to receive as severance (x) eighteen months continued base salary following termination, (y) group extended health and dental benefits as of the date of termination for eighteen months, and (z) full vesting acceleration of all unvested and outstanding stock options or other equity grants as of the date of termination. Any such payments would have been subject to Ms. Patterson entering into a valid separation and release agreement with us.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if any of the payments or benefits provided for under the Patterson Employment Agreement or otherwise payable to Ms. Patterson would constitute “parachute payments” within the meaning of Section 280G of the Code and would be subject to the related excise tax, she would have been entitled to receive either full payment of such payments and benefits or such lesser amount that would result in no portion of the payments and benefits being subject to the excise tax, whichever results in the greater amount of after-tax benefits to her. The Patterson Employment Agreement did not require us to provide any tax gross-up payments to her.</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February 1, 2026, ZBI and Ms. Patterson entered into the Patterson Separation Agreement providing for severance payments and benefits consistent with the terms of the Patterson Employment Agreement, in exchange for a release of claims by Ms. Patterson and compliance with certain ongoing covenants, including:</w:t>
      </w:r>
    </w:p>
    <w:p>
      <w:pPr>
        <w:spacing w:after="0" w:line="68"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Ms. Patterson’s current base salary for twelve months following her separation date; and</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premiums for continued group health coverage under COBRA for twelve months following the separation date, or until Ms. Patterson obtains health insurance coverage through another employer.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 Plan Information</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our Original Plan, upon a transaction in which equity securities representing more than 66 2/3% of our common stock are sold (a “substantial sale”), if the purchaser offers to buy out options, the options must be sold to the purchaser at a purchase price equal to (x) the price per share in the transaction (calculated in accordance with the terms of the Original Plan) minus the exercise price per share, multiplied by (y) the number of shares then exercisable under the option. If the option holders do not sell their options to the purchaser, such options will terminate upon completion of the substantial sale.</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Under our Equity Compensation Plan and our Inducement Plan, in connection with a change of control (as defined in the applicable plan), our board of directors or the committee to which our board of directors has delegated authority to administer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applicable plan (either, the “Administrator”) has the right to provide for the conversion or exchange of any outstanding awards into or for options, rights or other securities in any entity participating in or resulting from a change of control, cash or other property. If we enter into an agreement for a transaction that, if completed, would result in a change of control, or otherwise become aware of a pending change of control, we will give written notice to the award holders regarding the potential change of control and a description of the effect of the change of control on outstanding awards at least seven (7) days prior to the closing of change of control.</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our Equity Compensation Plan and Inducement Plan, the Administrator may, in its discretion, accelerate the vesting and/or expiration date of any or all outstanding awards in connection with the change of control to provide that such designated awards shall be fully vested and any options not exercised within the specified period will be terminated after the completion of the change of control. If the change of control would also result in a capital reorganization, arrangement, amalgamation or reclassification of our share capital (and if the vesting and expiration of the awards has not been accelerated as contemplated by the prior sentence), upon completion of the change of control, the number and kind of shares subject to outstanding awards and, if applicable, the exercise price per share of options shall be appropriately adjusted (including by substituting the awards for awards with respect to securities in any successor entity to us) in such manner as the Administrator considers equitable to prevent substantial dilution or enlargement of the rights granted to Award holders. The Administrator also may make changes to the terms of the awards or the Equity Compensation Plan or Inducement Plan to the extent necessary or desirable to comply with any rules, regulations or policies of any stock exchange on which any of our securities may be listed, provided that the value of previously granted awards and the rights of award holders are not materially adversely affected by any such changes. In addition, in the event of a potential change of control, the Administrator may, in its sole discretion, modify the terms of the plan and/or the awards to assist the participants to tender into a take-over bid or other transaction leading to a change of control, including the authority to allow participants to conditionally exercise options.</w:t>
      </w:r>
    </w:p>
    <w:p>
      <w:pPr>
        <w:spacing w:after="0" w:line="18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Policies and Practices Related to the Grant of Certain Equity Awards Close in Time to the Release of Material Nonpublic Information</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2025, we granted stock options to employees, including our named executive officers. We do not take material nonpublic information into account in determining the timing of such awards. Further, we have not timed the disclosure of material nonpublic information for the purpose of affecting the value of executive compensation. We typically grant annual equity awards (including stock options) to our executive officers and non-executive employees early in the first quarter of each year. For equity awards to executive officers in connection with their hire date, such grants are typically made on the date of the commencement of their employment. For equity awards to non-executive employees in connection with their hire date, such grants are typically made on a pre-determined date in the month following the commencement of their employment. We have never granted stock appreciation rights to any employees or other service providers.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our directors (other than Mr. Galbraith, whose compensation is provided in the Summary Compensation Table above) for the year ended December 31, 2025. Mr. Cherry is not included in the table as he did not become a director until January 2026. We do not currently have director compensation in the form of share-based awards (other than stock options and restricted stock units), non-equity incentive plan compensation or non-qualified deferred compensation.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Fees Earned or Paid</w:t>
            </w:r>
          </w:p>
        </w:tc>
        <w:tc>
          <w:tcPr>
            <w:tcW w:w="320" w:type="dxa"/>
            <w:vAlign w:val="bottom"/>
          </w:tcPr>
          <w:p>
            <w:pPr>
              <w:spacing w:after="0"/>
              <w:rPr>
                <w:sz w:val="17"/>
                <w:szCs w:val="17"/>
                <w:color w:val="auto"/>
              </w:rPr>
            </w:pPr>
          </w:p>
        </w:tc>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4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5"/>
        </w:trPr>
        <w:tc>
          <w:tcPr>
            <w:tcW w:w="24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 Cash ($)</w:t>
            </w:r>
          </w:p>
        </w:tc>
        <w:tc>
          <w:tcPr>
            <w:tcW w:w="320" w:type="dxa"/>
            <w:vAlign w:val="bottom"/>
          </w:tcPr>
          <w:p>
            <w:pPr>
              <w:spacing w:after="0"/>
              <w:rPr>
                <w:sz w:val="23"/>
                <w:szCs w:val="23"/>
                <w:color w:val="auto"/>
              </w:rPr>
            </w:pPr>
          </w:p>
        </w:tc>
        <w:tc>
          <w:tcPr>
            <w:tcW w:w="1620" w:type="dxa"/>
            <w:vAlign w:val="bottom"/>
          </w:tcPr>
          <w:p>
            <w:pPr>
              <w:jc w:val="right"/>
              <w:ind w:right="413"/>
              <w:spacing w:after="0" w:line="265"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1"/>
                <w:szCs w:val="11"/>
                <w:color w:val="auto"/>
              </w:rPr>
              <w:t>(1)(2)(3)</w:t>
            </w:r>
          </w:p>
        </w:tc>
        <w:tc>
          <w:tcPr>
            <w:tcW w:w="240" w:type="dxa"/>
            <w:vAlign w:val="bottom"/>
          </w:tcPr>
          <w:p>
            <w:pPr>
              <w:spacing w:after="0"/>
              <w:rPr>
                <w:sz w:val="23"/>
                <w:szCs w:val="23"/>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Carlos Campoy</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3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Alessandra Cesano</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51,875</w:t>
            </w:r>
          </w:p>
        </w:tc>
        <w:tc>
          <w:tcPr>
            <w:tcW w:w="320" w:type="dxa"/>
            <w:vAlign w:val="bottom"/>
          </w:tcPr>
          <w:p>
            <w:pPr>
              <w:spacing w:after="0"/>
              <w:rPr>
                <w:sz w:val="20"/>
                <w:szCs w:val="20"/>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51,875</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4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Gregory A. Ciongoli</w:t>
            </w:r>
            <w:r>
              <w:rPr>
                <w:rFonts w:ascii="Times New Roman" w:cs="Times New Roman" w:eastAsia="Times New Roman" w:hAnsi="Times New Roman"/>
                <w:sz w:val="23"/>
                <w:szCs w:val="23"/>
                <w:color w:val="auto"/>
                <w:vertAlign w:val="superscript"/>
              </w:rPr>
              <w:t>(4)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3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463,154</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485,654</w:t>
            </w:r>
          </w:p>
        </w:tc>
        <w:tc>
          <w:tcPr>
            <w:tcW w:w="0" w:type="dxa"/>
            <w:vAlign w:val="bottom"/>
          </w:tcPr>
          <w:p>
            <w:pPr>
              <w:spacing w:after="0"/>
              <w:rPr>
                <w:sz w:val="1"/>
                <w:szCs w:val="1"/>
                <w:color w:val="auto"/>
              </w:rPr>
            </w:pPr>
          </w:p>
        </w:tc>
      </w:tr>
      <w:tr>
        <w:trPr>
          <w:trHeight w:val="257"/>
        </w:trPr>
        <w:tc>
          <w:tcPr>
            <w:tcW w:w="24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Troy M. Cox</w:t>
            </w:r>
            <w:r>
              <w:rPr>
                <w:rFonts w:ascii="Times New Roman" w:cs="Times New Roman" w:eastAsia="Times New Roman" w:hAnsi="Times New Roman"/>
                <w:sz w:val="23"/>
                <w:szCs w:val="23"/>
                <w:color w:val="auto"/>
                <w:vertAlign w:val="superscript"/>
              </w:rPr>
              <w:t>(5)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320" w:type="dxa"/>
            <w:vAlign w:val="bottom"/>
          </w:tcPr>
          <w:p>
            <w:pPr>
              <w:spacing w:after="0"/>
              <w:rPr>
                <w:sz w:val="22"/>
                <w:szCs w:val="22"/>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33,333</w:t>
            </w: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Nancy Davidson</w:t>
            </w:r>
            <w:r>
              <w:rPr>
                <w:rFonts w:ascii="Times New Roman" w:cs="Times New Roman" w:eastAsia="Times New Roman" w:hAnsi="Times New Roman"/>
                <w:sz w:val="23"/>
                <w:szCs w:val="23"/>
                <w:color w:val="auto"/>
                <w:vertAlign w:val="superscript"/>
              </w:rPr>
              <w:t>(6)</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50,417</w:t>
            </w:r>
          </w:p>
        </w:tc>
        <w:tc>
          <w:tcPr>
            <w:tcW w:w="3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174,474</w:t>
            </w:r>
          </w:p>
        </w:tc>
        <w:tc>
          <w:tcPr>
            <w:tcW w:w="24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224,891</w:t>
            </w:r>
          </w:p>
        </w:tc>
        <w:tc>
          <w:tcPr>
            <w:tcW w:w="0" w:type="dxa"/>
            <w:vAlign w:val="bottom"/>
          </w:tcPr>
          <w:p>
            <w:pPr>
              <w:spacing w:after="0"/>
              <w:rPr>
                <w:sz w:val="1"/>
                <w:szCs w:val="1"/>
                <w:color w:val="auto"/>
              </w:rPr>
            </w:pPr>
          </w:p>
        </w:tc>
      </w:tr>
      <w:tr>
        <w:trPr>
          <w:trHeight w:val="257"/>
        </w:trPr>
        <w:tc>
          <w:tcPr>
            <w:tcW w:w="24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Neil Gallagher</w:t>
            </w:r>
            <w:r>
              <w:rPr>
                <w:rFonts w:ascii="Times New Roman" w:cs="Times New Roman" w:eastAsia="Times New Roman" w:hAnsi="Times New Roman"/>
                <w:sz w:val="23"/>
                <w:szCs w:val="23"/>
                <w:color w:val="auto"/>
                <w:vertAlign w:val="superscript"/>
              </w:rPr>
              <w:t>(6)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50,417</w:t>
            </w:r>
          </w:p>
        </w:tc>
        <w:tc>
          <w:tcPr>
            <w:tcW w:w="3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227,743</w:t>
            </w:r>
          </w:p>
        </w:tc>
        <w:tc>
          <w:tcPr>
            <w:tcW w:w="240" w:type="dxa"/>
            <w:vAlign w:val="bottom"/>
          </w:tcPr>
          <w:p>
            <w:pPr>
              <w:spacing w:after="0"/>
              <w:rPr>
                <w:sz w:val="22"/>
                <w:szCs w:val="22"/>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278,160</w:t>
            </w:r>
          </w:p>
        </w:tc>
        <w:tc>
          <w:tcPr>
            <w:tcW w:w="0" w:type="dxa"/>
            <w:vAlign w:val="bottom"/>
          </w:tcPr>
          <w:p>
            <w:pPr>
              <w:spacing w:after="0"/>
              <w:rPr>
                <w:sz w:val="1"/>
                <w:szCs w:val="1"/>
                <w:color w:val="auto"/>
              </w:rPr>
            </w:pPr>
          </w:p>
        </w:tc>
      </w:tr>
      <w:tr>
        <w:trPr>
          <w:trHeight w:val="283"/>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E. Landry</w:t>
            </w:r>
            <w:r>
              <w:rPr>
                <w:rFonts w:ascii="Times New Roman" w:cs="Times New Roman" w:eastAsia="Times New Roman" w:hAnsi="Times New Roman"/>
                <w:sz w:val="23"/>
                <w:szCs w:val="23"/>
                <w:color w:val="auto"/>
                <w:vertAlign w:val="superscript"/>
              </w:rPr>
              <w:t>(7)</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463,154</w:t>
            </w:r>
          </w:p>
        </w:tc>
        <w:tc>
          <w:tcPr>
            <w:tcW w:w="24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485,237</w:t>
            </w:r>
          </w:p>
        </w:tc>
        <w:tc>
          <w:tcPr>
            <w:tcW w:w="0" w:type="dxa"/>
            <w:vAlign w:val="bottom"/>
          </w:tcPr>
          <w:p>
            <w:pPr>
              <w:spacing w:after="0"/>
              <w:rPr>
                <w:sz w:val="1"/>
                <w:szCs w:val="1"/>
                <w:color w:val="auto"/>
              </w:rPr>
            </w:pPr>
          </w:p>
        </w:tc>
      </w:tr>
      <w:tr>
        <w:trPr>
          <w:trHeight w:val="23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Susan Mahony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320" w:type="dxa"/>
            <w:vAlign w:val="bottom"/>
            <w:vMerge w:val="restart"/>
          </w:tcPr>
          <w:p>
            <w:pPr>
              <w:jc w:val="right"/>
              <w:ind w:right="122"/>
              <w:spacing w:after="0"/>
              <w:rPr>
                <w:sz w:val="20"/>
                <w:szCs w:val="20"/>
                <w:color w:val="auto"/>
              </w:rPr>
            </w:pPr>
            <w:r>
              <w:rPr>
                <w:rFonts w:ascii="Times New Roman" w:cs="Times New Roman" w:eastAsia="Times New Roman" w:hAnsi="Times New Roman"/>
                <w:sz w:val="12"/>
                <w:szCs w:val="12"/>
                <w:color w:val="auto"/>
                <w:w w:val="85"/>
              </w:rPr>
              <w:t>(8)</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7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Derek J. Miller</w:t>
            </w:r>
            <w:r>
              <w:rPr>
                <w:rFonts w:ascii="Times New Roman" w:cs="Times New Roman" w:eastAsia="Times New Roman" w:hAnsi="Times New Roman"/>
                <w:sz w:val="23"/>
                <w:szCs w:val="23"/>
                <w:color w:val="auto"/>
                <w:vertAlign w:val="superscript"/>
              </w:rPr>
              <w:t>(6)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32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49,129</w:t>
            </w:r>
          </w:p>
        </w:tc>
        <w:tc>
          <w:tcPr>
            <w:tcW w:w="240" w:type="dxa"/>
            <w:vAlign w:val="bottom"/>
          </w:tcPr>
          <w:p>
            <w:pPr>
              <w:spacing w:after="0"/>
              <w:rPr>
                <w:sz w:val="24"/>
                <w:szCs w:val="24"/>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104,129</w:t>
            </w:r>
          </w:p>
        </w:tc>
        <w:tc>
          <w:tcPr>
            <w:tcW w:w="0" w:type="dxa"/>
            <w:vAlign w:val="bottom"/>
          </w:tcPr>
          <w:p>
            <w:pPr>
              <w:spacing w:after="0"/>
              <w:rPr>
                <w:sz w:val="1"/>
                <w:szCs w:val="1"/>
                <w:color w:val="auto"/>
              </w:rPr>
            </w:pPr>
          </w:p>
        </w:tc>
      </w:tr>
      <w:tr>
        <w:trPr>
          <w:trHeight w:val="257"/>
        </w:trPr>
        <w:tc>
          <w:tcPr>
            <w:tcW w:w="24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Kelvin Neu</w:t>
            </w:r>
            <w:r>
              <w:rPr>
                <w:rFonts w:ascii="Times New Roman" w:cs="Times New Roman" w:eastAsia="Times New Roman" w:hAnsi="Times New Roman"/>
                <w:sz w:val="23"/>
                <w:szCs w:val="23"/>
                <w:color w:val="auto"/>
                <w:vertAlign w:val="superscript"/>
              </w:rPr>
              <w:t>(9)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53,750</w:t>
            </w:r>
          </w:p>
        </w:tc>
        <w:tc>
          <w:tcPr>
            <w:tcW w:w="320" w:type="dxa"/>
            <w:vAlign w:val="bottom"/>
          </w:tcPr>
          <w:p>
            <w:pPr>
              <w:spacing w:after="0"/>
              <w:rPr>
                <w:sz w:val="22"/>
                <w:szCs w:val="22"/>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53,750</w:t>
            </w: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Oleg Nodelman</w:t>
            </w:r>
            <w:r>
              <w:rPr>
                <w:rFonts w:ascii="Times New Roman" w:cs="Times New Roman" w:eastAsia="Times New Roman" w:hAnsi="Times New Roman"/>
                <w:sz w:val="23"/>
                <w:szCs w:val="23"/>
                <w:color w:val="auto"/>
                <w:vertAlign w:val="superscript"/>
              </w:rPr>
              <w:t>(10)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0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Platshon</w:t>
            </w:r>
            <w:r>
              <w:rPr>
                <w:rFonts w:ascii="Times New Roman" w:cs="Times New Roman" w:eastAsia="Times New Roman" w:hAnsi="Times New Roman"/>
                <w:sz w:val="23"/>
                <w:szCs w:val="23"/>
                <w:color w:val="auto"/>
                <w:vertAlign w:val="superscript"/>
              </w:rPr>
              <w:t>(11)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-682625</wp:posOffset>
            </wp:positionV>
            <wp:extent cx="6086475"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86475" cy="1625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23" w:lineRule="exact"/>
        <w:rPr>
          <w:sz w:val="20"/>
          <w:szCs w:val="20"/>
          <w:color w:val="auto"/>
        </w:rPr>
      </w:pPr>
    </w:p>
    <w:p>
      <w:pPr>
        <w:ind w:right="180" w:firstLine="8"/>
        <w:spacing w:after="0" w:line="250" w:lineRule="auto"/>
        <w:tabs>
          <w:tab w:leader="none" w:pos="22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directors Gregory A. Ciongoli and Robert E. Landry, the amounts set forth in this column reflect the aggregate grant date fair value for option awards computed in accordance with Financial Accounting Standards Board Accounting Standards Codification Topic 718, Compensation – Stock Compensation. See Note 2 - “</w:t>
      </w:r>
      <w:r>
        <w:rPr>
          <w:rFonts w:ascii="Times New Roman" w:cs="Times New Roman" w:eastAsia="Times New Roman" w:hAnsi="Times New Roman"/>
          <w:sz w:val="16"/>
          <w:szCs w:val="16"/>
          <w:i w:val="1"/>
          <w:iCs w:val="1"/>
          <w:color w:val="auto"/>
        </w:rPr>
        <w:t>Notes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Consolidated Financial Statements – Summary of Significant Accounting Policies – Stock-Based Compensation</w:t>
      </w:r>
      <w:r>
        <w:rPr>
          <w:rFonts w:ascii="Times New Roman" w:cs="Times New Roman" w:eastAsia="Times New Roman" w:hAnsi="Times New Roman"/>
          <w:sz w:val="16"/>
          <w:szCs w:val="16"/>
          <w:color w:val="auto"/>
        </w:rPr>
        <w:t>” and Note 10(e) - “</w:t>
      </w:r>
      <w:r>
        <w:rPr>
          <w:rFonts w:ascii="Times New Roman" w:cs="Times New Roman" w:eastAsia="Times New Roman" w:hAnsi="Times New Roman"/>
          <w:sz w:val="16"/>
          <w:szCs w:val="16"/>
          <w:i w:val="1"/>
          <w:iCs w:val="1"/>
          <w:color w:val="auto"/>
        </w:rPr>
        <w:t>Notes to Consolidated Financial Statements – Stockholders’ Equity Stock-Based Compensation</w:t>
      </w:r>
      <w:r>
        <w:rPr>
          <w:rFonts w:ascii="Times New Roman" w:cs="Times New Roman" w:eastAsia="Times New Roman" w:hAnsi="Times New Roman"/>
          <w:sz w:val="16"/>
          <w:szCs w:val="16"/>
          <w:color w:val="auto"/>
        </w:rPr>
        <w:t>” included in this Annual Report on Form 10-K for our year ended December 31, 2025.</w:t>
      </w:r>
    </w:p>
    <w:p>
      <w:pPr>
        <w:spacing w:after="0" w:line="2" w:lineRule="exact"/>
        <w:rPr>
          <w:rFonts w:ascii="Times New Roman" w:cs="Times New Roman" w:eastAsia="Times New Roman" w:hAnsi="Times New Roman"/>
          <w:sz w:val="16"/>
          <w:szCs w:val="16"/>
          <w:color w:val="auto"/>
        </w:rPr>
      </w:pPr>
    </w:p>
    <w:p>
      <w:pPr>
        <w:ind w:right="80" w:firstLine="8"/>
        <w:spacing w:after="0" w:line="236" w:lineRule="auto"/>
        <w:tabs>
          <w:tab w:leader="none" w:pos="22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directors and former directors held the following number of options to purchase Company common shares: (i) Mr. Campoy, 118,000; (ii) Dr. Cesano, 105,000; (iii) Mr. Ciongoli, 62,000; (iv) Mr. Cox, 133,500; (v) Dr. Davidson, 105,000; (vi) Dr. Gallagher, nil; (vii) Mr. Landry, 62,000; (viii) Dr. Mahony, 141,000; (ix) Mr. Miller, nil; (x) Dr. Neu, 102,000; (xi) Mr. Nodelman, nil; and (xii) Mr. Platshon, 167,000. Mr. Platshon also holds 111,111 restricted stock units. Mr. Platshon’s options and restricted stock units were granted pursuant to the Platshon Employment Agreement described under Item 13, “Certain Relationships and Related Transactions and Director Independence – Certain Relationships and Related Transactions.”</w:t>
      </w:r>
    </w:p>
    <w:p>
      <w:pPr>
        <w:spacing w:after="0" w:line="3" w:lineRule="exact"/>
        <w:rPr>
          <w:rFonts w:ascii="Times New Roman" w:cs="Times New Roman" w:eastAsia="Times New Roman" w:hAnsi="Times New Roman"/>
          <w:sz w:val="16"/>
          <w:szCs w:val="16"/>
          <w:color w:val="auto"/>
        </w:rPr>
      </w:pPr>
    </w:p>
    <w:p>
      <w:pPr>
        <w:ind w:right="200" w:firstLine="8"/>
        <w:spacing w:after="0" w:line="255" w:lineRule="auto"/>
        <w:tabs>
          <w:tab w:leader="none" w:pos="22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made annual awards under the Company’s Amended and Restated Director Compensation Policy (discussed below) in January 2026. Due to the date in which they were made, these awards are not reported in this table and will be reported as compensation in 2026.</w:t>
      </w:r>
    </w:p>
    <w:p>
      <w:pPr>
        <w:ind w:left="240" w:hanging="232"/>
        <w:spacing w:after="0"/>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Ciongoli joined the Company’s board of directors effective August 10, 2025.</w:t>
      </w:r>
    </w:p>
    <w:p>
      <w:pPr>
        <w:spacing w:after="0" w:line="15" w:lineRule="exact"/>
        <w:rPr>
          <w:rFonts w:ascii="Times New Roman" w:cs="Times New Roman" w:eastAsia="Times New Roman" w:hAnsi="Times New Roman"/>
          <w:sz w:val="16"/>
          <w:szCs w:val="16"/>
          <w:color w:val="auto"/>
        </w:rPr>
      </w:pPr>
    </w:p>
    <w:p>
      <w:pPr>
        <w:ind w:left="240" w:hanging="232"/>
        <w:spacing w:after="0" w:line="228" w:lineRule="auto"/>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Cox resigned from the Company’s board of directors effective August 9, 2025.</w:t>
      </w:r>
    </w:p>
    <w:p>
      <w:pPr>
        <w:ind w:right="80" w:firstLine="8"/>
        <w:spacing w:after="0" w:line="244" w:lineRule="auto"/>
        <w:tabs>
          <w:tab w:leader="none" w:pos="22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2025, Dr. Nancy Davidson, Dr. Neil Gallagher, and Mr. Derek Miller submitted their resignations from their positions as members of our board of directors, including from any committee thereof, effective as of November 6, 2025. In recognition of their valuable service, the board of directors accelerated 28,778 option awards held by Dr. Davidson, 34,495 option awards held by Dr. Gallagher and 8,334 option awards held by Mr. Miller. Under ASC Topic 718, the acceleration was treated as a modification of the terms of outstanding option awards. The “Option Awards” column includes the incremental fair value of the modified award equal to $174,474, $227,743 and $49,129, for Dr. Davidson, Dr. Gallagher and Mr. Miller respectively, computed as of the modification date, compared with the fair value of the award immediately prior to the modification, computed in accordance with ASC Topic 718.</w:t>
      </w:r>
    </w:p>
    <w:p>
      <w:pPr>
        <w:spacing w:after="0" w:line="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Landry joined the Company’s board of directors effective August 10, 2025.</w:t>
      </w:r>
    </w:p>
    <w:p>
      <w:pPr>
        <w:spacing w:after="0" w:line="18" w:lineRule="exact"/>
        <w:rPr>
          <w:rFonts w:ascii="Times New Roman" w:cs="Times New Roman" w:eastAsia="Times New Roman" w:hAnsi="Times New Roman"/>
          <w:sz w:val="16"/>
          <w:szCs w:val="16"/>
          <w:color w:val="auto"/>
        </w:rPr>
      </w:pPr>
    </w:p>
    <w:p>
      <w:pPr>
        <w:ind w:firstLine="8"/>
        <w:spacing w:after="0" w:line="253" w:lineRule="auto"/>
        <w:tabs>
          <w:tab w:leader="none" w:pos="22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a clerical error, in 2024 Mr. Miller received $417 more than he was entitled to under the Company’s non-employee director compensation policy. This inadvertent overpayment was subsequently corrected by withholding such overpaid amounts from the amounts he was owed for service as a director in 2025.</w:t>
      </w:r>
    </w:p>
    <w:p>
      <w:pPr>
        <w:ind w:right="100" w:firstLine="8"/>
        <w:spacing w:after="0" w:line="255" w:lineRule="auto"/>
        <w:tabs>
          <w:tab w:leader="none" w:pos="22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Neu joined the Company’s board of directors in March 2020. Dr. Neu was an employee of Baker Bros. Advisors LP until January 2021. Pursuant to the terms of Dr. Neu’s employment by Baker Brothers Advisors LP, the options granted to him in 2020 were, and will continue to be, beneficially owned by Baker Bros. Advisors LP.</w:t>
      </w:r>
    </w:p>
    <w:p>
      <w:pPr>
        <w:ind w:right="80" w:firstLine="8"/>
        <w:spacing w:after="0" w:line="248" w:lineRule="auto"/>
        <w:tabs>
          <w:tab w:leader="none" w:pos="31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Nodelman joined the Company’s board of directors in February 2025. Mr. Nodelman waived his entitlement to cash and equity compensation otherwise payable to him pursuant to the Company’s non-employee director compensation policy.</w:t>
      </w:r>
    </w:p>
    <w:p>
      <w:pPr>
        <w:spacing w:after="0" w:line="1" w:lineRule="exact"/>
        <w:rPr>
          <w:rFonts w:ascii="Times New Roman" w:cs="Times New Roman" w:eastAsia="Times New Roman" w:hAnsi="Times New Roman"/>
          <w:sz w:val="16"/>
          <w:szCs w:val="16"/>
          <w:color w:val="auto"/>
        </w:rPr>
      </w:pPr>
    </w:p>
    <w:p>
      <w:pPr>
        <w:jc w:val="both"/>
        <w:ind w:right="40" w:firstLine="8"/>
        <w:spacing w:after="0" w:line="260" w:lineRule="auto"/>
        <w:tabs>
          <w:tab w:leader="none" w:pos="304"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Platshon waived his entitlement to cash and equity compensation otherwise payable to him pursuant to the Company’s non-employee director compensation policy. Mr. Platshon resigned from the Company’s board of directors effective November 16, 2025. Following his resignation, Mr. Platshon was appointed Acting Chief Investment Officer of the Company. The terms of his employment are described under Item 13, “Certain Relationships and Related Transactions and Director Independence – Certain Relationships and Related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written charter of our compensation committee provides that the compensation committee will review compensation for members of our board of directors on at least an annual basis, taking into account their responsibilities and time commitment and information regarding the compensation paid at peer companies. The compensation committee will make recommendations to our board of directors with respect to changes to our approach to director compensation as it considers appropriate.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compensation committee works with Aon to update prior competitive assessments of our board of director compensation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Annual Assessment of Non-Employee Director Compensation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2024, the board of directors, upon advice from its independent compensation consultants and recommendation from the compensation committee following its annual assessment of the board of directors’ compensation program, approved certain changes to the cash and equity compensation of non-employee directors, which changes adjust the board of directors’ compensation program to more closely align with the non-employee director compensation practices of the Company’s peer group as described below.</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In September 2025, the board of directors adopted stock ownership guidelines for our non-management directors (other than those representing or affiliated with greater than ten percent stockholders). The Stock Ownership Guidelines are discussed above under “– </w:t>
      </w:r>
      <w:r>
        <w:rPr>
          <w:rFonts w:ascii="Times New Roman" w:cs="Times New Roman" w:eastAsia="Times New Roman" w:hAnsi="Times New Roman"/>
          <w:sz w:val="18"/>
          <w:szCs w:val="18"/>
          <w:i w:val="1"/>
          <w:iCs w:val="1"/>
          <w:color w:val="auto"/>
        </w:rPr>
        <w:t>Stock Ownership Guidelines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2026, the board of directors, upon advice from its independent compensation consultants and recommendation from the compensation committee following its annual assessment of the board of directors’ compensation program, approved certain changes to the cash and equity compensation of non-employee directors, to adjust the board of directors’ compensation program to further align with the non-employee director compensation practices of the Company’s peer group at that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 for Directors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Beginning January 1, 2025, the annual cash retainer fee for service as a member of the research and development committee was increased from $6,000 to $7,500, with all other annual cash retainers for the board of directors and its committees remaining unchanged. Beginning January 1, 2026, the annual cash retainer fee for service on the board of directors increased from $40,000 to $45,000 and the additional annual cash retainer fee for service as Lead Independent Director increased from $25,000 to $30,000.</w:t>
      </w:r>
    </w:p>
    <w:p>
      <w:pPr>
        <w:spacing w:after="0" w:line="18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Specifically, in 2025, we provided, and for 2026, we provide the below annual cash retainer fees for service on our board of directors and committees. The fees for service on committees are in addition to the annual retainer fees for service on the board of directors.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Effective January 1, 2025</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January 1, 2026</w:t>
            </w:r>
          </w:p>
        </w:tc>
      </w:tr>
      <w:tr>
        <w:trPr>
          <w:trHeight w:val="27"/>
        </w:trPr>
        <w:tc>
          <w:tcPr>
            <w:tcW w:w="5280" w:type="dxa"/>
            <w:vAlign w:val="bottom"/>
          </w:tcPr>
          <w:p>
            <w:pPr>
              <w:spacing w:after="0"/>
              <w:rPr>
                <w:sz w:val="2"/>
                <w:szCs w:val="2"/>
                <w:color w:val="auto"/>
              </w:rPr>
            </w:pPr>
          </w:p>
        </w:tc>
        <w:tc>
          <w:tcPr>
            <w:tcW w:w="298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r>
      <w:tr>
        <w:trPr>
          <w:trHeight w:val="187"/>
        </w:trPr>
        <w:tc>
          <w:tcPr>
            <w:tcW w:w="5280" w:type="dxa"/>
            <w:vAlign w:val="bottom"/>
          </w:tcPr>
          <w:p>
            <w:pPr>
              <w:spacing w:after="0"/>
              <w:rPr>
                <w:sz w:val="16"/>
                <w:szCs w:val="16"/>
                <w:color w:val="auto"/>
              </w:rPr>
            </w:pPr>
          </w:p>
        </w:tc>
        <w:tc>
          <w:tcPr>
            <w:tcW w:w="25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400" w:type="dxa"/>
            <w:vAlign w:val="bottom"/>
          </w:tcPr>
          <w:p>
            <w:pPr>
              <w:spacing w:after="0"/>
              <w:rPr>
                <w:sz w:val="16"/>
                <w:szCs w:val="16"/>
                <w:color w:val="auto"/>
              </w:rPr>
            </w:pPr>
          </w:p>
        </w:tc>
        <w:tc>
          <w:tcPr>
            <w:tcW w:w="2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38"/>
        </w:trPr>
        <w:tc>
          <w:tcPr>
            <w:tcW w:w="52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28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25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r>
      <w:tr>
        <w:trPr>
          <w:trHeight w:val="234"/>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00" w:type="dxa"/>
            <w:vAlign w:val="bottom"/>
          </w:tcPr>
          <w:p>
            <w:pPr>
              <w:spacing w:after="0"/>
              <w:rPr>
                <w:sz w:val="20"/>
                <w:szCs w:val="20"/>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2"/>
        </w:trPr>
        <w:tc>
          <w:tcPr>
            <w:tcW w:w="5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37"/>
        </w:trPr>
        <w:tc>
          <w:tcPr>
            <w:tcW w:w="5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40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4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46"/>
        </w:trPr>
        <w:tc>
          <w:tcPr>
            <w:tcW w:w="5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Member</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0" w:type="dxa"/>
            <w:vAlign w:val="bottom"/>
          </w:tcPr>
          <w:p>
            <w:pPr>
              <w:spacing w:after="0"/>
              <w:rPr>
                <w:sz w:val="20"/>
                <w:szCs w:val="20"/>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
        </w:trPr>
        <w:tc>
          <w:tcPr>
            <w:tcW w:w="5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5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25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920" w:type="dxa"/>
            <w:vAlign w:val="bottom"/>
            <w:shd w:val="clear" w:color="auto" w:fill="CCEEFF"/>
          </w:tcPr>
          <w:p>
            <w:pPr>
              <w:spacing w:after="0"/>
              <w:rPr>
                <w:sz w:val="22"/>
                <w:szCs w:val="22"/>
                <w:color w:val="auto"/>
              </w:rPr>
            </w:pPr>
          </w:p>
        </w:tc>
      </w:tr>
      <w:tr>
        <w:trPr>
          <w:trHeight w:val="234"/>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00" w:type="dxa"/>
            <w:vAlign w:val="bottom"/>
          </w:tcPr>
          <w:p>
            <w:pPr>
              <w:spacing w:after="0"/>
              <w:rPr>
                <w:sz w:val="20"/>
                <w:szCs w:val="20"/>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
        </w:trPr>
        <w:tc>
          <w:tcPr>
            <w:tcW w:w="5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37"/>
        </w:trPr>
        <w:tc>
          <w:tcPr>
            <w:tcW w:w="5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Chair</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4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2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46"/>
        </w:trPr>
        <w:tc>
          <w:tcPr>
            <w:tcW w:w="5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Member</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0" w:type="dxa"/>
            <w:vAlign w:val="bottom"/>
          </w:tcPr>
          <w:p>
            <w:pPr>
              <w:spacing w:after="0"/>
              <w:rPr>
                <w:sz w:val="20"/>
                <w:szCs w:val="20"/>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
        </w:trPr>
        <w:tc>
          <w:tcPr>
            <w:tcW w:w="5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56"/>
        </w:trPr>
        <w:tc>
          <w:tcPr>
            <w:tcW w:w="52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b w:val="1"/>
                <w:bCs w:val="1"/>
                <w:color w:val="auto"/>
              </w:rPr>
              <w:t>Research and Development Committee:</w:t>
            </w:r>
            <w:r>
              <w:rPr>
                <w:rFonts w:ascii="Times New Roman" w:cs="Times New Roman" w:eastAsia="Times New Roman" w:hAnsi="Times New Roman"/>
                <w:sz w:val="23"/>
                <w:szCs w:val="23"/>
                <w:color w:val="auto"/>
                <w:vertAlign w:val="superscript"/>
              </w:rPr>
              <w:t>(1)</w:t>
            </w:r>
          </w:p>
        </w:tc>
        <w:tc>
          <w:tcPr>
            <w:tcW w:w="25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920" w:type="dxa"/>
            <w:vAlign w:val="bottom"/>
            <w:shd w:val="clear" w:color="auto" w:fill="CCEEFF"/>
          </w:tcPr>
          <w:p>
            <w:pPr>
              <w:spacing w:after="0"/>
              <w:rPr>
                <w:sz w:val="22"/>
                <w:szCs w:val="22"/>
                <w:color w:val="auto"/>
              </w:rPr>
            </w:pPr>
          </w:p>
        </w:tc>
      </w:tr>
      <w:tr>
        <w:trPr>
          <w:trHeight w:val="234"/>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00" w:type="dxa"/>
            <w:vAlign w:val="bottom"/>
          </w:tcPr>
          <w:p>
            <w:pPr>
              <w:spacing w:after="0"/>
              <w:rPr>
                <w:sz w:val="20"/>
                <w:szCs w:val="20"/>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5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34"/>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Chair</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0" w:type="dxa"/>
            <w:vAlign w:val="bottom"/>
            <w:shd w:val="clear" w:color="auto" w:fill="CCEEFF"/>
          </w:tcPr>
          <w:p>
            <w:pPr>
              <w:spacing w:after="0"/>
              <w:rPr>
                <w:sz w:val="20"/>
                <w:szCs w:val="20"/>
                <w:color w:val="auto"/>
              </w:rPr>
            </w:pP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528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research and development committee was dissolved in November 2025.</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for Directors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2025, new non-employee directors were granted an initial option grant to purchase 62,000 shares of common stock, (reduced from 2024 levels, which provided for options to purchase 74,000 shares) on or about the time such director joined the board of directors, with the same vesting schedule as in place for 2024 new non-employee director initial options, of 1/36th of the options vesting on each monthly anniversary of the grant date, subject to the optionee’s continued service through such date.</w:t>
      </w:r>
    </w:p>
    <w:p>
      <w:pPr>
        <w:spacing w:after="0" w:line="18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No annual option grants were made to non-employee directors during 2025. Prior to changes made in January 2026, non-employee directors were also entitled to receive an annual option grant to purchase 31,000 shares of common stock (reduced from 2024 levels, which provided for options to purchase 37,000 shares), to be granted at or about the time of the Company’s annual meeting of stockholders, with the same vesting schedule as in place for 2024 continuing non-employee director annual options, of 100% of the options vesting on the date of the next year’s annual meeting of stockholders, subject to the optionee’s continued service through such date. However, as the Company’s annual meeting of stockholders took place on December 30, 2025, the non-employee directors did not receive these grants and instead received annual grants in January 2026 pursuant to the revised formulation described below.</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Pursuant to amendments approved by the board of directors in December 2024, upon cessation of a non-employee director’s continued service in 2025, each outstanding stock option held by such director was subject to (i) pro rata acceleration of vesting of options granted as annual equity awards in connection with the 2024 annual meeting of stockholders for directors departing after the 2024 annual meeting of stockholders, but at or before our 2025 annual meeting of stockholders, with the pro rata acceleration determined based on the number of full or partial months served as a non-employee director on and after the 2024 annual meeting of stockholders date.</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addition, the post-termination exercise period for vested options held by such departing directors was extended to three years following the director’s cessation of service (or, if earlier, upon the expiration of the option or pursuant to the change of control, liquidation, dissolution, merger or similar provisions of the equity plan under which the option was granted).</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 in November 2025, in connection with the then-pending resignations from the board of directors by Drs. Davidson and Gallagher and Mr. Miller, the board of directors approved the acceleration of vesting of the remaining unvested portions of their initial option grants, which had been granted in December 2023, April 2024 and April 2023, respectively. The post-termination exercise period of these options was also extended to three years following the director’s cessation of service (or, if earlier, upon the expiration of the option or pursuant to the change of control, liquidation, dissolution, merger or similar provisions of the equity plan under which the option was granted).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Beginning January 2026, new non-employee directors will be granted, on or about the time such director joins the board of directors, an initial equity award consisting of (A) an option grant to purchase 23,000 shares of common stock, with a vesting schedule of 1/36th of the total shares of common stock underlying such option vesting on each monthly anniversary of the grant date, subject to the non-employee director’s continued service through the applicable vesting date, and (B) a grant of 15,400 restricted stock units with a vesting schedule of 1/3 of the restricted stock units vesting on each annual anniversary of the grant date, subject to the non-employee director’s continued service through the applicable vesting date. This represents a change from the approach in 2025, during which new non-employee directors were entitled to an initial option to purchase 62,000 shares of Company common stock, as described above.</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in January 2026, non-employee directors were granted an annual equity award consisting of (A) an option grant to purchase 11,500 shares of common stock, with a vesting schedule of 100% of the total shares of common stock underlying such option vesting on the one-year anniversary of the grant date, subject to the non-employee director’s continued service through the applicable vesting date; and (B) a grant of 7,700 restricted stock units with a vesting schedule of 100% of the restricted stock units vesting on the one-year anniversary of the grant date, subject to the non-employee director’s continued service through the applicable vesting date. This represents a change from the approach in place for 2025, which had provided for an annual option to purchase 31,000 shares of Company common stock; as described above, non-employee directors did not receive any annual grants in 2025 and instead received equity awards in January 2026 as described in this paragraph.</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adopting the changes for non-employee director grants, beginning in January 2026, our compensation committee worked with its independent compensation consultant to assess the appropriate market data comparison, mix of equity award types, the number of shares underlying equity awards for both new and continuing non-employee directors, and the other terms and conditions applicable to such awards.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post-termination exercise period for vested options held by departing directors is three years following the director’s cessation of service (or, if earlier, upon the expiration of the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Reimbursement</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Each member of our board of directors is also entitled to reimbursement for reasonable travel and other expenses incurred in connection with attending board meetings and meetings for any committee on which he or she serves. These amounts are not included in the table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7"/>
          <w:szCs w:val="17"/>
          <w:color w:val="auto"/>
        </w:rPr>
        <w:t>As part of its normal practice, the compensation committee evaluates the risk-taking incentives created by our compensation programs, policies and practices and has concluded that such programs, policies and practices are not reasonably likely to have a material adverse effect on the Company.</w:t>
      </w:r>
    </w:p>
    <w:p>
      <w:pPr>
        <w:spacing w:after="0" w:line="24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8"/>
          <w:szCs w:val="18"/>
          <w:color w:val="auto"/>
        </w:rPr>
        <w:t>The following table sets forth summary information relating to our Equity Compensation Plan, employee share purchase plan, as amended (the “ESPP”), the Original Plan and the Inducement Plan as of December 31, 2025</w:t>
      </w:r>
      <w:r>
        <w:rPr>
          <w:rFonts w:ascii="Times New Roman" w:cs="Times New Roman" w:eastAsia="Times New Roman" w:hAnsi="Times New Roman"/>
          <w:sz w:val="21"/>
          <w:szCs w:val="21"/>
          <w:color w:val="auto"/>
        </w:rPr>
        <w:t>:</w:t>
      </w: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9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1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Number of securities remaining</w:t>
            </w:r>
          </w:p>
        </w:tc>
      </w:tr>
      <w:tr>
        <w:trPr>
          <w:trHeight w:val="203"/>
        </w:trPr>
        <w:tc>
          <w:tcPr>
            <w:tcW w:w="3100" w:type="dxa"/>
            <w:vAlign w:val="bottom"/>
          </w:tcPr>
          <w:p>
            <w:pPr>
              <w:spacing w:after="0"/>
              <w:rPr>
                <w:sz w:val="17"/>
                <w:szCs w:val="17"/>
                <w:color w:val="auto"/>
              </w:rPr>
            </w:pPr>
          </w:p>
        </w:tc>
        <w:tc>
          <w:tcPr>
            <w:tcW w:w="22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1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31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 under</w:t>
            </w:r>
          </w:p>
        </w:tc>
      </w:tr>
      <w:tr>
        <w:trPr>
          <w:trHeight w:val="203"/>
        </w:trPr>
        <w:tc>
          <w:tcPr>
            <w:tcW w:w="3100" w:type="dxa"/>
            <w:vAlign w:val="bottom"/>
          </w:tcPr>
          <w:p>
            <w:pPr>
              <w:spacing w:after="0"/>
              <w:rPr>
                <w:sz w:val="17"/>
                <w:szCs w:val="17"/>
                <w:color w:val="auto"/>
              </w:rPr>
            </w:pPr>
          </w:p>
        </w:tc>
        <w:tc>
          <w:tcPr>
            <w:tcW w:w="22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1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equity compensation plans (excluding</w:t>
            </w:r>
          </w:p>
        </w:tc>
      </w:tr>
      <w:tr>
        <w:trPr>
          <w:trHeight w:val="265"/>
        </w:trPr>
        <w:tc>
          <w:tcPr>
            <w:tcW w:w="31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warrants and rights</w:t>
            </w:r>
            <w:r>
              <w:rPr>
                <w:rFonts w:ascii="Times New Roman" w:cs="Times New Roman" w:eastAsia="Times New Roman" w:hAnsi="Times New Roman"/>
                <w:sz w:val="23"/>
                <w:szCs w:val="23"/>
                <w:color w:val="auto"/>
                <w:w w:val="97"/>
                <w:vertAlign w:val="superscript"/>
              </w:rPr>
              <w:t>(1)</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 and rights</w:t>
            </w:r>
            <w:r>
              <w:rPr>
                <w:rFonts w:ascii="Times New Roman" w:cs="Times New Roman" w:eastAsia="Times New Roman" w:hAnsi="Times New Roman"/>
                <w:sz w:val="23"/>
                <w:szCs w:val="23"/>
                <w:color w:val="auto"/>
                <w:w w:val="98"/>
                <w:vertAlign w:val="superscript"/>
              </w:rPr>
              <w:t>(2)</w:t>
            </w: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reflected in column a)</w:t>
            </w:r>
          </w:p>
        </w:tc>
      </w:tr>
      <w:tr>
        <w:trPr>
          <w:trHeight w:val="228"/>
        </w:trPr>
        <w:tc>
          <w:tcPr>
            <w:tcW w:w="310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2"/>
        </w:trPr>
        <w:tc>
          <w:tcPr>
            <w:tcW w:w="3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8"/>
        </w:trPr>
        <w:tc>
          <w:tcPr>
            <w:tcW w:w="3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2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r>
      <w:tr>
        <w:trPr>
          <w:trHeight w:val="241"/>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2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shd w:val="clear" w:color="auto" w:fill="CCEEFF"/>
          </w:tcPr>
          <w:p>
            <w:pPr>
              <w:spacing w:after="0"/>
              <w:rPr>
                <w:sz w:val="20"/>
                <w:szCs w:val="20"/>
                <w:color w:val="auto"/>
              </w:rPr>
            </w:pPr>
          </w:p>
        </w:tc>
      </w:tr>
      <w:tr>
        <w:trPr>
          <w:trHeight w:val="257"/>
        </w:trPr>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Equity Compensation Plan</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9,210,809</w:t>
            </w:r>
          </w:p>
        </w:tc>
        <w:tc>
          <w:tcPr>
            <w:tcW w:w="19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$12.93</w:t>
            </w:r>
            <w:r>
              <w:rPr>
                <w:rFonts w:ascii="Times New Roman" w:cs="Times New Roman" w:eastAsia="Times New Roman" w:hAnsi="Times New Roman"/>
                <w:sz w:val="23"/>
                <w:szCs w:val="23"/>
                <w:color w:val="auto"/>
                <w:w w:val="94"/>
                <w:vertAlign w:val="superscript"/>
              </w:rPr>
              <w:t>(3)</w:t>
            </w:r>
          </w:p>
        </w:tc>
        <w:tc>
          <w:tcPr>
            <w:tcW w:w="312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5,023,809</w:t>
            </w:r>
            <w:r>
              <w:rPr>
                <w:rFonts w:ascii="Times New Roman" w:cs="Times New Roman" w:eastAsia="Times New Roman" w:hAnsi="Times New Roman"/>
                <w:sz w:val="23"/>
                <w:szCs w:val="23"/>
                <w:color w:val="auto"/>
                <w:w w:val="95"/>
                <w:vertAlign w:val="superscript"/>
              </w:rPr>
              <w:t>(4)</w:t>
            </w:r>
          </w:p>
        </w:tc>
      </w:tr>
      <w:tr>
        <w:trPr>
          <w:trHeight w:val="236"/>
        </w:trPr>
        <w:tc>
          <w:tcPr>
            <w:tcW w:w="31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ESPP</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2,599,120</w:t>
            </w:r>
          </w:p>
        </w:tc>
      </w:tr>
      <w:tr>
        <w:trPr>
          <w:trHeight w:val="257"/>
        </w:trPr>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Original Plan</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65,164</w:t>
            </w:r>
          </w:p>
        </w:tc>
        <w:tc>
          <w:tcPr>
            <w:tcW w:w="19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C$22.31</w:t>
            </w:r>
            <w:r>
              <w:rPr>
                <w:rFonts w:ascii="Times New Roman" w:cs="Times New Roman" w:eastAsia="Times New Roman" w:hAnsi="Times New Roman"/>
                <w:sz w:val="23"/>
                <w:szCs w:val="23"/>
                <w:color w:val="auto"/>
                <w:w w:val="95"/>
                <w:vertAlign w:val="superscript"/>
              </w:rPr>
              <w:t>(5)</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3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22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r>
      <w:tr>
        <w:trPr>
          <w:trHeight w:val="241"/>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security holders</w:t>
            </w:r>
          </w:p>
        </w:tc>
        <w:tc>
          <w:tcPr>
            <w:tcW w:w="2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shd w:val="clear" w:color="auto" w:fill="CCEEFF"/>
          </w:tcPr>
          <w:p>
            <w:pPr>
              <w:spacing w:after="0"/>
              <w:rPr>
                <w:sz w:val="20"/>
                <w:szCs w:val="20"/>
                <w:color w:val="auto"/>
              </w:rPr>
            </w:pPr>
          </w:p>
        </w:tc>
      </w:tr>
      <w:tr>
        <w:trPr>
          <w:trHeight w:val="234"/>
        </w:trPr>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Inducement Plan</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1,060,000</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$12.14</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390,000</w:t>
            </w:r>
          </w:p>
        </w:tc>
      </w:tr>
      <w:tr>
        <w:trPr>
          <w:trHeight w:val="30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w:t>
            </w:r>
          </w:p>
        </w:tc>
        <w:tc>
          <w:tcPr>
            <w:tcW w:w="2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ind w:left="240" w:hanging="232"/>
        <w:spacing w:after="0"/>
        <w:tabs>
          <w:tab w:leader="none" w:pos="2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1,947,584 restricted stock units under the Equity Compensation Plan.</w:t>
      </w:r>
    </w:p>
    <w:p>
      <w:pPr>
        <w:spacing w:after="0" w:line="1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restricted stock units, which do not have an exercise price.</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options granted under the Equity Compensation Plan are granted with exercise prices in U.S. dollars. Previously, stock options granted under the Equity</w:t>
      </w:r>
    </w:p>
    <w:p>
      <w:pPr>
        <w:spacing w:after="0" w:line="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Compensation Plan were granted with exercise prices in both Canadian and U.S. dollars. As of December 31, 2025, there were 7,263,225 outstanding stock options under the Equity Compensation Plan, consisting of 506,948 stock options with a weighted average exercise price of C$25.22 ($18.05 based on the U.S. dollar per Canadian dollar exchange rate of 0.7155, which was the average annual Bank of Canada exchange rate for 2025) and 6,756,277 stock options with a weighted average exercise price of $12.80.</w:t>
      </w:r>
    </w:p>
    <w:p>
      <w:pPr>
        <w:spacing w:after="0" w:line="1" w:lineRule="exact"/>
        <w:rPr>
          <w:sz w:val="20"/>
          <w:szCs w:val="20"/>
          <w:color w:val="auto"/>
        </w:rPr>
      </w:pPr>
    </w:p>
    <w:p>
      <w:pPr>
        <w:ind w:right="120" w:firstLine="8"/>
        <w:spacing w:after="0" w:line="253" w:lineRule="auto"/>
        <w:tabs>
          <w:tab w:leader="none" w:pos="229"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original maximum number of common shares reserved for issuance under the Equity Compensation Plan as of June 7, 2018, was 5,686,097. Beginning in 2019 and ending in 2028, this maximum number is automatically increased on the first day of each calendar year by 4.0% of the number of outstanding shares on the last day of the immediately preceding calendar year (or such lesser number of shares as our board of directors may determine prior to the start of the applicable calendar year).</w:t>
      </w:r>
    </w:p>
    <w:p>
      <w:pPr>
        <w:spacing w:after="0" w:line="1" w:lineRule="exact"/>
        <w:rPr>
          <w:rFonts w:ascii="Times New Roman" w:cs="Times New Roman" w:eastAsia="Times New Roman" w:hAnsi="Times New Roman"/>
          <w:sz w:val="16"/>
          <w:szCs w:val="16"/>
          <w:color w:val="auto"/>
        </w:rPr>
      </w:pPr>
    </w:p>
    <w:p>
      <w:pPr>
        <w:ind w:right="20" w:firstLine="8"/>
        <w:spacing w:after="0" w:line="258" w:lineRule="auto"/>
        <w:tabs>
          <w:tab w:leader="none" w:pos="229"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options granted under the Original Plan were granted with exercise prices in Canadian dollars. As of December 31, 2025 there were 65,164 outstanding stock options under the Original Plan, with a weighted average exercise price of C$22.31 ($15.96 based on the U.S. dollar per Canadian dollar exchange rate of 0.7155, which was the average annual Bank of Canada exchange rate for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Plan</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Inducement Plan was adopted by our board of directors in January 2022, and was amended and restated in October 2022 and July 2024. The Inducement Plan was adopted without stockholder approval pursuant to the NYSE listing rules related to inducement plans, which were the rules applicable at the time of the initial adoption of the Inducement Plan, and which are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substantially similar to the Nasdaq rules related to inducement plans that currently apply to the Inducement Plan. The Inducement Plan allows for the grant of options, restricted stock, restricted stock units and other share-based awards. The terms of the Inducement Plan are substantially similar to those of the Equity Compensation Plan, including with respect to treatment of awards in connection with a change of control, as described above. However, in accordance with the exemption requirements under Nasdaq rules, awards under the Inducement Plan may only be made to employees of our Company or our subsidiaries to whom the grant of the award is a material inducement to the individual’s entering into employment with us in accordance with such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indicates information as of February 26, 2026, regarding the beneficial ownership of our common stock for:</w:t>
      </w:r>
    </w:p>
    <w:p>
      <w:pPr>
        <w:spacing w:after="0" w:line="117"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Times New Roman" w:cs="Times New Roman" w:eastAsia="Times New Roman" w:hAnsi="Times New Roman"/>
          <w:sz w:val="18"/>
          <w:szCs w:val="18"/>
          <w:color w:val="auto"/>
        </w:rPr>
        <w:t>each person who is known by us to beneficially own more than 5% of our common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Times New Roman" w:cs="Times New Roman" w:eastAsia="Times New Roman" w:hAnsi="Times New Roman"/>
          <w:sz w:val="18"/>
          <w:szCs w:val="18"/>
          <w:color w:val="auto"/>
        </w:rPr>
        <w:t>each named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Times New Roman" w:cs="Times New Roman" w:eastAsia="Times New Roman" w:hAnsi="Times New Roman"/>
          <w:sz w:val="18"/>
          <w:szCs w:val="18"/>
          <w:color w:val="auto"/>
        </w:rPr>
        <w:t>each of our directors;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accordance with SEC rules, for the purposes of calculating percent ownership, as of February 26, 2026, (i) 73,749,607 shares of common stock were issued and outstanding, and, (ii) for any individual who beneficially owned shares represented by Exchangeable Shares, warrants, options, or restricted stock units that were exercisable or scheduled to vest within sixty days of February 26, 2026, those shares were treated as if outstanding for that person, but not for any other person. Unless otherwise indicated in the footnotes to the table, and subject to community property laws where applicable, the following persons have sole voting and investment control with respect to the shares beneficially owned by them. To our knowledge, except as noted in the table below, no person or entity was the beneficial owner of more than 5% of the voting power of our common stock as of February 26,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indicated, the address of each of the persons in this table is 108 Patriot Drive, Suite A, Middletown, Delaware 19709</w:t>
      </w:r>
      <w:r>
        <w:rPr>
          <w:rFonts w:ascii="Times New Roman" w:cs="Times New Roman" w:eastAsia="Times New Roman" w:hAnsi="Times New Roman"/>
          <w:sz w:val="21"/>
          <w:szCs w:val="21"/>
          <w:color w:val="auto"/>
        </w:rPr>
        <w: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8"/>
                <w:szCs w:val="18"/>
                <w:color w:val="auto"/>
              </w:rPr>
            </w:pPr>
          </w:p>
        </w:tc>
        <w:tc>
          <w:tcPr>
            <w:tcW w:w="2380" w:type="dxa"/>
            <w:vAlign w:val="bottom"/>
            <w:gridSpan w:val="2"/>
            <w:vMerge w:val="restart"/>
          </w:tcPr>
          <w:p>
            <w:pPr>
              <w:jc w:val="center"/>
              <w:ind w:left="558"/>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1380" w:type="dxa"/>
            <w:vAlign w:val="bottom"/>
          </w:tcPr>
          <w:p>
            <w:pPr>
              <w:jc w:val="center"/>
              <w:ind w:right="17"/>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4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 Voting</w:t>
            </w:r>
          </w:p>
        </w:tc>
        <w:tc>
          <w:tcPr>
            <w:tcW w:w="0" w:type="dxa"/>
            <w:vAlign w:val="bottom"/>
          </w:tcPr>
          <w:p>
            <w:pPr>
              <w:spacing w:after="0"/>
              <w:rPr>
                <w:sz w:val="1"/>
                <w:szCs w:val="1"/>
                <w:color w:val="auto"/>
              </w:rPr>
            </w:pPr>
          </w:p>
        </w:tc>
      </w:tr>
      <w:tr>
        <w:trPr>
          <w:trHeight w:val="175"/>
        </w:trPr>
        <w:tc>
          <w:tcPr>
            <w:tcW w:w="552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380" w:type="dxa"/>
            <w:vAlign w:val="bottom"/>
            <w:gridSpan w:val="2"/>
          </w:tcPr>
          <w:p>
            <w:pPr>
              <w:jc w:val="center"/>
              <w:ind w:left="558"/>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80" w:type="dxa"/>
            <w:vAlign w:val="bottom"/>
          </w:tcPr>
          <w:p>
            <w:pPr>
              <w:jc w:val="center"/>
              <w:ind w:right="37"/>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20" w:type="dxa"/>
            <w:vAlign w:val="bottom"/>
            <w:vMerge w:val="continue"/>
          </w:tcPr>
          <w:p>
            <w:pPr>
              <w:spacing w:after="0"/>
              <w:rPr>
                <w:sz w:val="19"/>
                <w:szCs w:val="19"/>
                <w:color w:val="auto"/>
              </w:rPr>
            </w:pPr>
          </w:p>
        </w:tc>
        <w:tc>
          <w:tcPr>
            <w:tcW w:w="2380" w:type="dxa"/>
            <w:vAlign w:val="bottom"/>
            <w:gridSpan w:val="2"/>
          </w:tcPr>
          <w:p>
            <w:pPr>
              <w:jc w:val="center"/>
              <w:ind w:left="558"/>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Percentage †</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 and Greater Stockholders:</w:t>
            </w:r>
          </w:p>
        </w:tc>
        <w:tc>
          <w:tcPr>
            <w:tcW w:w="22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EcoR1 Capital, LLC</w:t>
            </w:r>
          </w:p>
        </w:tc>
        <w:tc>
          <w:tcPr>
            <w:tcW w:w="2240" w:type="dxa"/>
            <w:vAlign w:val="bottom"/>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7"/>
              </w:rPr>
              <w:t>22,970,388</w:t>
            </w:r>
            <w:r>
              <w:rPr>
                <w:rFonts w:ascii="Times New Roman" w:cs="Times New Roman" w:eastAsia="Times New Roman" w:hAnsi="Times New Roman"/>
                <w:sz w:val="21"/>
                <w:szCs w:val="21"/>
                <w:color w:val="auto"/>
                <w:w w:val="97"/>
                <w:vertAlign w:val="superscript"/>
              </w:rPr>
              <w:t>(1)</w:t>
            </w:r>
          </w:p>
        </w:tc>
        <w:tc>
          <w:tcPr>
            <w:tcW w:w="140" w:type="dxa"/>
            <w:vAlign w:val="bottom"/>
          </w:tcPr>
          <w:p>
            <w:pPr>
              <w:spacing w:after="0"/>
              <w:rPr>
                <w:sz w:val="19"/>
                <w:szCs w:val="19"/>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6"/>
                <w:szCs w:val="16"/>
                <w:color w:val="auto"/>
              </w:rPr>
              <w:t>31.15%</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30.92%</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Rubric Capital Management LP</w:t>
            </w:r>
          </w:p>
        </w:tc>
        <w:tc>
          <w:tcPr>
            <w:tcW w:w="2240" w:type="dxa"/>
            <w:vAlign w:val="bottom"/>
            <w:shd w:val="clear" w:color="auto" w:fill="CCEEFF"/>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7"/>
              </w:rPr>
              <w:t>5,750,000</w:t>
            </w:r>
            <w:r>
              <w:rPr>
                <w:rFonts w:ascii="Times New Roman" w:cs="Times New Roman" w:eastAsia="Times New Roman" w:hAnsi="Times New Roman"/>
                <w:sz w:val="21"/>
                <w:szCs w:val="21"/>
                <w:color w:val="auto"/>
                <w:w w:val="97"/>
                <w:vertAlign w:val="superscript"/>
              </w:rPr>
              <w:t>(2)</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6"/>
                <w:szCs w:val="16"/>
                <w:color w:val="auto"/>
              </w:rPr>
              <w:t>7.80%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BVF Partners L.P.</w:t>
            </w:r>
          </w:p>
        </w:tc>
        <w:tc>
          <w:tcPr>
            <w:tcW w:w="2240" w:type="dxa"/>
            <w:vAlign w:val="bottom"/>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7"/>
              </w:rPr>
              <w:t>3,938,641</w:t>
            </w:r>
            <w:r>
              <w:rPr>
                <w:rFonts w:ascii="Times New Roman" w:cs="Times New Roman" w:eastAsia="Times New Roman" w:hAnsi="Times New Roman"/>
                <w:sz w:val="21"/>
                <w:szCs w:val="21"/>
                <w:color w:val="auto"/>
                <w:w w:val="97"/>
                <w:vertAlign w:val="superscript"/>
              </w:rPr>
              <w:t>(3)</w:t>
            </w:r>
          </w:p>
        </w:tc>
        <w:tc>
          <w:tcPr>
            <w:tcW w:w="140" w:type="dxa"/>
            <w:vAlign w:val="bottom"/>
          </w:tcPr>
          <w:p>
            <w:pPr>
              <w:spacing w:after="0"/>
              <w:rPr>
                <w:sz w:val="19"/>
                <w:szCs w:val="19"/>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6"/>
                <w:szCs w:val="16"/>
                <w:color w:val="auto"/>
              </w:rPr>
              <w:t>5.34%</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Directors and Named Executive Officers:</w:t>
            </w:r>
          </w:p>
        </w:tc>
        <w:tc>
          <w:tcPr>
            <w:tcW w:w="2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Carlos Campoy</w:t>
            </w:r>
          </w:p>
        </w:tc>
        <w:tc>
          <w:tcPr>
            <w:tcW w:w="2240" w:type="dxa"/>
            <w:vAlign w:val="bottom"/>
          </w:tcPr>
          <w:p>
            <w:pPr>
              <w:jc w:val="center"/>
              <w:ind w:left="678"/>
              <w:spacing w:after="0" w:line="230" w:lineRule="exact"/>
              <w:rPr>
                <w:sz w:val="20"/>
                <w:szCs w:val="20"/>
                <w:color w:val="auto"/>
              </w:rPr>
            </w:pPr>
            <w:r>
              <w:rPr>
                <w:rFonts w:ascii="Times New Roman" w:cs="Times New Roman" w:eastAsia="Times New Roman" w:hAnsi="Times New Roman"/>
                <w:sz w:val="16"/>
                <w:szCs w:val="16"/>
                <w:color w:val="auto"/>
                <w:w w:val="93"/>
              </w:rPr>
              <w:t>113,833</w:t>
            </w:r>
            <w:r>
              <w:rPr>
                <w:rFonts w:ascii="Times New Roman" w:cs="Times New Roman" w:eastAsia="Times New Roman" w:hAnsi="Times New Roman"/>
                <w:sz w:val="21"/>
                <w:szCs w:val="21"/>
                <w:color w:val="auto"/>
                <w:w w:val="93"/>
                <w:vertAlign w:val="superscript"/>
              </w:rPr>
              <w:t>(4)</w:t>
            </w:r>
          </w:p>
        </w:tc>
        <w:tc>
          <w:tcPr>
            <w:tcW w:w="140" w:type="dxa"/>
            <w:vAlign w:val="bottom"/>
          </w:tcPr>
          <w:p>
            <w:pPr>
              <w:spacing w:after="0"/>
              <w:rPr>
                <w:sz w:val="19"/>
                <w:szCs w:val="19"/>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Alessandra Cesano</w:t>
            </w:r>
          </w:p>
        </w:tc>
        <w:tc>
          <w:tcPr>
            <w:tcW w:w="2240" w:type="dxa"/>
            <w:vAlign w:val="bottom"/>
            <w:shd w:val="clear" w:color="auto" w:fill="CCEEFF"/>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6"/>
              </w:rPr>
              <w:t>84,444</w:t>
            </w:r>
            <w:r>
              <w:rPr>
                <w:rFonts w:ascii="Times New Roman" w:cs="Times New Roman" w:eastAsia="Times New Roman" w:hAnsi="Times New Roman"/>
                <w:sz w:val="21"/>
                <w:szCs w:val="21"/>
                <w:color w:val="auto"/>
                <w:w w:val="96"/>
                <w:vertAlign w:val="superscript"/>
              </w:rPr>
              <w:t>(5)</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6"/>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Brian N. Cherry</w:t>
            </w:r>
          </w:p>
        </w:tc>
        <w:tc>
          <w:tcPr>
            <w:tcW w:w="2240" w:type="dxa"/>
            <w:vAlign w:val="bottom"/>
          </w:tcPr>
          <w:p>
            <w:pPr>
              <w:jc w:val="center"/>
              <w:ind w:left="698"/>
              <w:spacing w:after="0"/>
              <w:rPr>
                <w:sz w:val="20"/>
                <w:szCs w:val="20"/>
                <w:color w:val="auto"/>
              </w:rPr>
            </w:pPr>
            <w:r>
              <w:rPr>
                <w:rFonts w:ascii="Times New Roman" w:cs="Times New Roman" w:eastAsia="Times New Roman" w:hAnsi="Times New Roman"/>
                <w:sz w:val="16"/>
                <w:szCs w:val="16"/>
                <w:color w:val="auto"/>
                <w:w w:val="95"/>
              </w:rPr>
              <w:t>1,916</w:t>
            </w:r>
            <w:r>
              <w:rPr>
                <w:rFonts w:ascii="Times New Roman" w:cs="Times New Roman" w:eastAsia="Times New Roman" w:hAnsi="Times New Roman"/>
                <w:sz w:val="21"/>
                <w:szCs w:val="21"/>
                <w:color w:val="auto"/>
                <w:w w:val="95"/>
                <w:vertAlign w:val="superscript"/>
              </w:rPr>
              <w:t>(6)</w:t>
            </w:r>
          </w:p>
        </w:tc>
        <w:tc>
          <w:tcPr>
            <w:tcW w:w="140" w:type="dxa"/>
            <w:vAlign w:val="bottom"/>
          </w:tcPr>
          <w:p>
            <w:pPr>
              <w:spacing w:after="0"/>
              <w:rPr>
                <w:sz w:val="22"/>
                <w:szCs w:val="22"/>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Gregory A. Ciongoli</w:t>
            </w:r>
          </w:p>
        </w:tc>
        <w:tc>
          <w:tcPr>
            <w:tcW w:w="2240" w:type="dxa"/>
            <w:vAlign w:val="bottom"/>
            <w:shd w:val="clear" w:color="auto" w:fill="CCEEFF"/>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6"/>
              </w:rPr>
              <w:t>507,277</w:t>
            </w:r>
            <w:r>
              <w:rPr>
                <w:rFonts w:ascii="Times New Roman" w:cs="Times New Roman" w:eastAsia="Times New Roman" w:hAnsi="Times New Roman"/>
                <w:sz w:val="21"/>
                <w:szCs w:val="21"/>
                <w:color w:val="auto"/>
                <w:w w:val="96"/>
                <w:vertAlign w:val="superscript"/>
              </w:rPr>
              <w:t>(7)</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Kenneth Galbraith</w:t>
            </w:r>
          </w:p>
        </w:tc>
        <w:tc>
          <w:tcPr>
            <w:tcW w:w="2240" w:type="dxa"/>
            <w:vAlign w:val="bottom"/>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7"/>
              </w:rPr>
              <w:t>1,160,280</w:t>
            </w:r>
            <w:r>
              <w:rPr>
                <w:rFonts w:ascii="Times New Roman" w:cs="Times New Roman" w:eastAsia="Times New Roman" w:hAnsi="Times New Roman"/>
                <w:sz w:val="21"/>
                <w:szCs w:val="21"/>
                <w:color w:val="auto"/>
                <w:w w:val="97"/>
                <w:vertAlign w:val="superscript"/>
              </w:rPr>
              <w:t>(8)</w:t>
            </w:r>
          </w:p>
        </w:tc>
        <w:tc>
          <w:tcPr>
            <w:tcW w:w="140" w:type="dxa"/>
            <w:vAlign w:val="bottom"/>
          </w:tcPr>
          <w:p>
            <w:pPr>
              <w:spacing w:after="0"/>
              <w:rPr>
                <w:sz w:val="19"/>
                <w:szCs w:val="19"/>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6"/>
                <w:szCs w:val="16"/>
                <w:color w:val="auto"/>
              </w:rPr>
              <w:t>1.55%</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Robert E. Landry</w:t>
            </w:r>
          </w:p>
        </w:tc>
        <w:tc>
          <w:tcPr>
            <w:tcW w:w="2240" w:type="dxa"/>
            <w:vAlign w:val="bottom"/>
            <w:shd w:val="clear" w:color="auto" w:fill="CCEEFF"/>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6"/>
              </w:rPr>
              <w:t>13,777</w:t>
            </w:r>
            <w:r>
              <w:rPr>
                <w:rFonts w:ascii="Times New Roman" w:cs="Times New Roman" w:eastAsia="Times New Roman" w:hAnsi="Times New Roman"/>
                <w:sz w:val="21"/>
                <w:szCs w:val="21"/>
                <w:color w:val="auto"/>
                <w:w w:val="96"/>
                <w:vertAlign w:val="superscript"/>
              </w:rPr>
              <w:t>(9)</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Susan Mahony</w:t>
            </w:r>
          </w:p>
        </w:tc>
        <w:tc>
          <w:tcPr>
            <w:tcW w:w="2240" w:type="dxa"/>
            <w:vAlign w:val="bottom"/>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2"/>
              </w:rPr>
              <w:t>141,000</w:t>
            </w:r>
            <w:r>
              <w:rPr>
                <w:rFonts w:ascii="Times New Roman" w:cs="Times New Roman" w:eastAsia="Times New Roman" w:hAnsi="Times New Roman"/>
                <w:sz w:val="21"/>
                <w:szCs w:val="21"/>
                <w:color w:val="auto"/>
                <w:w w:val="92"/>
                <w:vertAlign w:val="superscript"/>
              </w:rPr>
              <w:t>(10)</w:t>
            </w:r>
          </w:p>
        </w:tc>
        <w:tc>
          <w:tcPr>
            <w:tcW w:w="140" w:type="dxa"/>
            <w:vAlign w:val="bottom"/>
          </w:tcPr>
          <w:p>
            <w:pPr>
              <w:spacing w:after="0"/>
              <w:rPr>
                <w:sz w:val="19"/>
                <w:szCs w:val="19"/>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Paul A. Moore</w:t>
            </w:r>
          </w:p>
        </w:tc>
        <w:tc>
          <w:tcPr>
            <w:tcW w:w="2240" w:type="dxa"/>
            <w:vAlign w:val="bottom"/>
            <w:shd w:val="clear" w:color="auto" w:fill="CCEEFF"/>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2"/>
              </w:rPr>
              <w:t>374,278</w:t>
            </w:r>
            <w:r>
              <w:rPr>
                <w:rFonts w:ascii="Times New Roman" w:cs="Times New Roman" w:eastAsia="Times New Roman" w:hAnsi="Times New Roman"/>
                <w:sz w:val="21"/>
                <w:szCs w:val="21"/>
                <w:color w:val="auto"/>
                <w:w w:val="92"/>
                <w:vertAlign w:val="superscript"/>
              </w:rPr>
              <w:t>(11)</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Kelvin Neu</w:t>
            </w:r>
          </w:p>
        </w:tc>
        <w:tc>
          <w:tcPr>
            <w:tcW w:w="2240" w:type="dxa"/>
            <w:vAlign w:val="bottom"/>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2"/>
              </w:rPr>
              <w:t>102,000</w:t>
            </w:r>
            <w:r>
              <w:rPr>
                <w:rFonts w:ascii="Times New Roman" w:cs="Times New Roman" w:eastAsia="Times New Roman" w:hAnsi="Times New Roman"/>
                <w:sz w:val="21"/>
                <w:szCs w:val="21"/>
                <w:color w:val="auto"/>
                <w:w w:val="92"/>
                <w:vertAlign w:val="superscript"/>
              </w:rPr>
              <w:t>(12)</w:t>
            </w:r>
          </w:p>
        </w:tc>
        <w:tc>
          <w:tcPr>
            <w:tcW w:w="140" w:type="dxa"/>
            <w:vAlign w:val="bottom"/>
          </w:tcPr>
          <w:p>
            <w:pPr>
              <w:spacing w:after="0"/>
              <w:rPr>
                <w:sz w:val="19"/>
                <w:szCs w:val="19"/>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Oleg Nodelman</w:t>
            </w:r>
          </w:p>
        </w:tc>
        <w:tc>
          <w:tcPr>
            <w:tcW w:w="2240" w:type="dxa"/>
            <w:vAlign w:val="bottom"/>
            <w:shd w:val="clear" w:color="auto" w:fill="CCEEFF"/>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4"/>
              </w:rPr>
              <w:t>22,970,388</w:t>
            </w:r>
            <w:r>
              <w:rPr>
                <w:rFonts w:ascii="Times New Roman" w:cs="Times New Roman" w:eastAsia="Times New Roman" w:hAnsi="Times New Roman"/>
                <w:sz w:val="21"/>
                <w:szCs w:val="21"/>
                <w:color w:val="auto"/>
                <w:w w:val="94"/>
                <w:vertAlign w:val="superscript"/>
              </w:rPr>
              <w:t>(13)</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6"/>
                <w:szCs w:val="16"/>
                <w:color w:val="auto"/>
              </w:rPr>
              <w:t>31.15%</w:t>
            </w:r>
          </w:p>
        </w:tc>
        <w:tc>
          <w:tcPr>
            <w:tcW w:w="14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6"/>
                <w:szCs w:val="16"/>
                <w:color w:val="auto"/>
              </w:rPr>
              <w:t>30.92%</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Jeffrey Smith</w:t>
            </w:r>
          </w:p>
        </w:tc>
        <w:tc>
          <w:tcPr>
            <w:tcW w:w="2240" w:type="dxa"/>
            <w:vAlign w:val="bottom"/>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2"/>
              </w:rPr>
              <w:t>254,770</w:t>
            </w:r>
            <w:r>
              <w:rPr>
                <w:rFonts w:ascii="Times New Roman" w:cs="Times New Roman" w:eastAsia="Times New Roman" w:hAnsi="Times New Roman"/>
                <w:sz w:val="21"/>
                <w:szCs w:val="21"/>
                <w:color w:val="auto"/>
                <w:w w:val="92"/>
                <w:vertAlign w:val="superscript"/>
              </w:rPr>
              <w:t>(14)</w:t>
            </w:r>
          </w:p>
        </w:tc>
        <w:tc>
          <w:tcPr>
            <w:tcW w:w="140" w:type="dxa"/>
            <w:vAlign w:val="bottom"/>
          </w:tcPr>
          <w:p>
            <w:pPr>
              <w:spacing w:after="0"/>
              <w:rPr>
                <w:sz w:val="19"/>
                <w:szCs w:val="19"/>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61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All Directors, Executive Officers:</w:t>
            </w:r>
          </w:p>
        </w:tc>
        <w:tc>
          <w:tcPr>
            <w:tcW w:w="2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current executive officers and directors as a group (12 persons)</w:t>
            </w:r>
            <w:r>
              <w:rPr>
                <w:rFonts w:ascii="Times New Roman" w:cs="Times New Roman" w:eastAsia="Times New Roman" w:hAnsi="Times New Roman"/>
                <w:sz w:val="21"/>
                <w:szCs w:val="21"/>
                <w:color w:val="auto"/>
                <w:vertAlign w:val="superscript"/>
              </w:rPr>
              <w:t>(15)</w:t>
            </w:r>
          </w:p>
        </w:tc>
        <w:tc>
          <w:tcPr>
            <w:tcW w:w="2240" w:type="dxa"/>
            <w:vAlign w:val="bottom"/>
          </w:tcPr>
          <w:p>
            <w:pPr>
              <w:jc w:val="center"/>
              <w:ind w:left="698"/>
              <w:spacing w:after="0"/>
              <w:rPr>
                <w:sz w:val="20"/>
                <w:szCs w:val="20"/>
                <w:color w:val="auto"/>
              </w:rPr>
            </w:pPr>
            <w:r>
              <w:rPr>
                <w:rFonts w:ascii="Times New Roman" w:cs="Times New Roman" w:eastAsia="Times New Roman" w:hAnsi="Times New Roman"/>
                <w:sz w:val="16"/>
                <w:szCs w:val="16"/>
                <w:color w:val="auto"/>
              </w:rPr>
              <w:t>25,999,356</w:t>
            </w:r>
          </w:p>
        </w:tc>
        <w:tc>
          <w:tcPr>
            <w:tcW w:w="140" w:type="dxa"/>
            <w:vAlign w:val="bottom"/>
          </w:tcPr>
          <w:p>
            <w:pPr>
              <w:spacing w:after="0"/>
              <w:rPr>
                <w:sz w:val="24"/>
                <w:szCs w:val="24"/>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6"/>
                <w:szCs w:val="16"/>
                <w:color w:val="auto"/>
              </w:rPr>
              <w:t>34.27%</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32.13%</w:t>
            </w:r>
          </w:p>
        </w:tc>
        <w:tc>
          <w:tcPr>
            <w:tcW w:w="0" w:type="dxa"/>
            <w:vAlign w:val="bottom"/>
          </w:tcPr>
          <w:p>
            <w:pPr>
              <w:spacing w:after="0"/>
              <w:rPr>
                <w:sz w:val="1"/>
                <w:szCs w:val="1"/>
                <w:color w:val="auto"/>
              </w:rPr>
            </w:pP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________________________</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 Less than one percent</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280" w:firstLine="8"/>
        <w:spacing w:after="0" w:line="270" w:lineRule="auto"/>
        <w:tabs>
          <w:tab w:leader="none" w:pos="121"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Percentage of total voting power represents voting power with respect to all outstanding shares of our common stock and the voting rights of the Exchangeable Shares exercised via the share of our special voting preferred stock, as a single class. Each holder of our common stock</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6"/>
          <w:szCs w:val="16"/>
          <w:color w:val="auto"/>
        </w:rPr>
        <w:t>is entitled to one vote per outstanding share, and each holder of an Exchangeable Share is entitled to voting rights equivalent to one vote per Exchangeable Share on all matters submitted to our stockholders for a vote. The common stock and the special voting preferred stock (exercising the voting rights of the Exchangeable Shares) vote together as a single class on all matters submitted to a vote of our stockholders, except as may otherwise be required by our certificate of incorporation or bylaws.</w:t>
      </w:r>
    </w:p>
    <w:p>
      <w:pPr>
        <w:spacing w:after="0" w:line="1" w:lineRule="exact"/>
        <w:rPr>
          <w:sz w:val="20"/>
          <w:szCs w:val="20"/>
          <w:color w:val="auto"/>
        </w:rPr>
      </w:pPr>
    </w:p>
    <w:p>
      <w:pPr>
        <w:ind w:right="100" w:firstLine="8"/>
        <w:spacing w:after="0" w:line="253" w:lineRule="auto"/>
        <w:tabs>
          <w:tab w:leader="none" w:pos="229"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21,582,563 shares of common stock held by EcoR1 Capital Fund Qualified, L.P. (“Qualified Fund”) and (ii) 1,387,825 shares of common stock held by EcoR1 Capital Fund, L.P. (“Capital Fund”). Qualified Fund, Capital Fund and other private investment funds are managed by EcoR1 Capital, LLC (“EcoR1 LLC” and, collectively with Qualified Fund, Capital Fund and such other private investment funds, “EcoR1”). Oleg Nodelman, the manager of EcoR1 LLC, has shared voting control and investment discretion over the securities reported herein that are held by EcoR1. As a result, Mr. Nodelman may be deemed to have beneficial ownership of the securities that are held by EcoR1. The address of these entities and this individual is 357 Tehama Street #3, San Francisco, California 94103. Mr. Nodelman is a member of the board of directors of the Company.</w:t>
      </w:r>
    </w:p>
    <w:p>
      <w:pPr>
        <w:ind w:right="160" w:firstLine="8"/>
        <w:spacing w:after="0" w:line="253" w:lineRule="auto"/>
        <w:tabs>
          <w:tab w:leader="none" w:pos="229"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February 13, 2026, consists of 5,750,000 shares of common stock held, as of December 31, 2025, by certain investment funds and/or accounts for which Rubric Capital Management LP serves as investment adviser. The address for this entity is 155 East 44th Street, Suite 1630, New York, NY 10017.</w:t>
      </w:r>
    </w:p>
    <w:p>
      <w:pPr>
        <w:ind w:firstLine="8"/>
        <w:spacing w:after="0" w:line="253" w:lineRule="auto"/>
        <w:tabs>
          <w:tab w:leader="none" w:pos="229"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November 14, 2025, consists of 2,045,162 shares of common stock held by Biotechnology Value Fund, L.P. (“BVF”), 1,601,489 shares of common stock held by Biotechnology Value Fund II, L.P. (“BVF2”), 212,898 shares of common stock held by Biotechnology Value Trading Fund OS LP (“Trading Fund OS”), and 79,092 shares of common stock held in a certain BVF Partners L.P. managed account, each as of September 30, 2025. BVF Partners L.P., as the investment manager of BVF, BVF2 and Trading Fund OS, and the sole member of BVF Partners OS Ltd., the general partner of Trading Fund OS, may be deemed to beneficially own the 3,938,641 shares of common stock as of September 30, 2025. The address for this entity is 44 Montgomery Street, 40th Floor, San Francisco, CA 94104.</w:t>
      </w:r>
    </w:p>
    <w:p>
      <w:pPr>
        <w:spacing w:after="0" w:line="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113,833 shares of common stock issuable upon the exercise of options exercisable within 60 days after February 26, 2026.</w:t>
      </w:r>
    </w:p>
    <w:p>
      <w:pPr>
        <w:spacing w:after="0" w:line="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84,444 shares of common stock issuable upon the exercise of options exercisable within 60 days after February 26, 2026.</w:t>
      </w:r>
    </w:p>
    <w:p>
      <w:pPr>
        <w:spacing w:after="0" w:line="1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1,916 shares of common stock issuable upon the exercise of options exercisable within 60 days after February 26, 2026.</w:t>
      </w:r>
    </w:p>
    <w:p>
      <w:pPr>
        <w:spacing w:after="0" w:line="5" w:lineRule="exact"/>
        <w:rPr>
          <w:rFonts w:ascii="Times New Roman" w:cs="Times New Roman" w:eastAsia="Times New Roman" w:hAnsi="Times New Roman"/>
          <w:sz w:val="16"/>
          <w:szCs w:val="16"/>
          <w:color w:val="auto"/>
        </w:rPr>
      </w:pPr>
    </w:p>
    <w:p>
      <w:pPr>
        <w:ind w:right="60" w:firstLine="8"/>
        <w:spacing w:after="0" w:line="253" w:lineRule="auto"/>
        <w:tabs>
          <w:tab w:leader="none" w:pos="229"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488,500 share of common stock held directly, 5,000 shares of common stock held by 4 Arrows Holdings, LLC, for which Mr. Ciongoli is the manager, and 13,777 shares of common stock issuable upon the exercise of options exercisable within 60 days after February 26, 2026. Mr. Ciongoli exercises sole voting and dispositive power of the shares held by 4 Arrows Holdings, LLC, and disclaims beneficial ownership of these shares except to the extent of his pecuniary interest therein.</w:t>
      </w:r>
    </w:p>
    <w:p>
      <w:pPr>
        <w:spacing w:after="0" w:line="1" w:lineRule="exact"/>
        <w:rPr>
          <w:rFonts w:ascii="Times New Roman" w:cs="Times New Roman" w:eastAsia="Times New Roman" w:hAnsi="Times New Roman"/>
          <w:sz w:val="16"/>
          <w:szCs w:val="16"/>
          <w:color w:val="auto"/>
        </w:rPr>
      </w:pPr>
    </w:p>
    <w:p>
      <w:pPr>
        <w:ind w:right="220" w:firstLine="8"/>
        <w:spacing w:after="0" w:line="253" w:lineRule="auto"/>
        <w:tabs>
          <w:tab w:leader="none" w:pos="229"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226,842 shares of common stock and 933,438 shares of common stock issuable upon the exercise of options exercisable within 60 days after February 26, 2026.</w:t>
      </w:r>
    </w:p>
    <w:p>
      <w:pPr>
        <w:ind w:left="240" w:hanging="232"/>
        <w:spacing w:after="0"/>
        <w:tabs>
          <w:tab w:leader="none" w:pos="24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13,777 shares of common stock issuable upon the exercise of options exercisable within 60 days after February 26, 2026.</w:t>
      </w:r>
    </w:p>
    <w:p>
      <w:pPr>
        <w:spacing w:after="0" w:line="8"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141,000 shares of common stock issuable upon the exercise of options exercisable within 60 days after February 26, 2026.</w:t>
      </w:r>
    </w:p>
    <w:p>
      <w:pPr>
        <w:spacing w:after="0" w:line="15" w:lineRule="exact"/>
        <w:rPr>
          <w:rFonts w:ascii="Times New Roman" w:cs="Times New Roman" w:eastAsia="Times New Roman" w:hAnsi="Times New Roman"/>
          <w:sz w:val="16"/>
          <w:szCs w:val="16"/>
          <w:color w:val="auto"/>
        </w:rPr>
      </w:pPr>
    </w:p>
    <w:p>
      <w:pPr>
        <w:ind w:right="240" w:firstLine="8"/>
        <w:spacing w:after="0" w:line="255" w:lineRule="auto"/>
        <w:tabs>
          <w:tab w:leader="none" w:pos="304"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48,497 shares of common stock and 325,781 shares of common stock issuable upon the exercise of options exercisable within 60 days after February 26, 2026.</w:t>
      </w:r>
    </w:p>
    <w:p>
      <w:pPr>
        <w:ind w:right="100" w:firstLine="8"/>
        <w:spacing w:after="0" w:line="252" w:lineRule="auto"/>
        <w:tabs>
          <w:tab w:leader="none" w:pos="31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102,000 shares of common stock issuable upon the exercise of options exercisable within 60 days after February 26, 2026. Dr. Neu was an employee of Baker Bros. Advisors LP until January 2021. Pursuant to the terms of Dr. Neu’s employment by Baker Brothers Advisors LP, options granted to him in 2020 were, and will continue to be, beneficially owned by Baker Bros. Advisors LP.</w:t>
      </w:r>
    </w:p>
    <w:p>
      <w:pPr>
        <w:ind w:right="640" w:firstLine="8"/>
        <w:spacing w:after="0" w:line="255" w:lineRule="auto"/>
        <w:tabs>
          <w:tab w:leader="none" w:pos="31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shares of common stock described in footnote 1 above. Mr. Nodelman joined our board of directors in February 2025, and disclaims beneficial ownership of such shares, except to the extent of his pecuniary interest therein.</w:t>
      </w:r>
    </w:p>
    <w:p>
      <w:pPr>
        <w:ind w:right="220" w:firstLine="8"/>
        <w:spacing w:after="0" w:line="248" w:lineRule="auto"/>
        <w:tabs>
          <w:tab w:leader="none" w:pos="31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26,708 shares of common stock and 228,062 shares of common stock issuable upon the exercise of options exercisable within 60 days after February 26, 2026.</w:t>
      </w:r>
    </w:p>
    <w:p>
      <w:pPr>
        <w:spacing w:after="0" w:line="1" w:lineRule="exact"/>
        <w:rPr>
          <w:rFonts w:ascii="Times New Roman" w:cs="Times New Roman" w:eastAsia="Times New Roman" w:hAnsi="Times New Roman"/>
          <w:sz w:val="16"/>
          <w:szCs w:val="16"/>
          <w:color w:val="auto"/>
        </w:rPr>
      </w:pPr>
    </w:p>
    <w:p>
      <w:pPr>
        <w:jc w:val="both"/>
        <w:ind w:right="40" w:firstLine="8"/>
        <w:spacing w:after="0" w:line="260" w:lineRule="auto"/>
        <w:tabs>
          <w:tab w:leader="none" w:pos="31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Smith is a named executive officer in this Annual Report on From 10-K, but he is not a current executive officer given that he retired effective January 31, 2026. Therefore, Dr. Smith’s ownership is not reflected in the total shares beneficially owned by the current executive officers and directors as a group. Mr. Hollywood and Dr. Mekan are not named executive officers, but they are current executive officers. Therefore, Mr. Hollywood’s ownership and Dr. Mekan’s ownership are reflected in the total shares beneficially owned by the current executive officers and directors as a group.</w:t>
      </w:r>
    </w:p>
    <w:p>
      <w:pPr>
        <w:spacing w:after="0" w:line="2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Other than as discussed below and the compensation arrangements discussed under “</w:t>
      </w:r>
      <w:r>
        <w:rPr>
          <w:rFonts w:ascii="Times New Roman" w:cs="Times New Roman" w:eastAsia="Times New Roman" w:hAnsi="Times New Roman"/>
          <w:sz w:val="18"/>
          <w:szCs w:val="18"/>
          <w:i w:val="1"/>
          <w:iCs w:val="1"/>
          <w:color w:val="auto"/>
        </w:rPr>
        <w:t>Executive Compensation – Discussion of 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Practices</w:t>
      </w:r>
      <w:r>
        <w:rPr>
          <w:rFonts w:ascii="Times New Roman" w:cs="Times New Roman" w:eastAsia="Times New Roman" w:hAnsi="Times New Roman"/>
          <w:sz w:val="18"/>
          <w:szCs w:val="18"/>
          <w:color w:val="auto"/>
        </w:rPr>
        <w:t>,” since January 1, 2024, there have not been any transactions to which we are a party, nor are there any proposed transactions to which we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 party, with related parties and which we are required to disclose pursuant to the rules of the SEC.</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December 28, 2023, EcoR1 purchased an aggregate of 5,086,521 pre-funded warrants to purchase 5,086,521 shares of our common stock in a private placement. The per share purchase price for the pre-funded warrants was $9.8299, for an aggregate purchase price of $50.0 million. In connection with the private placement, we entered into a registration rights agreement with EcoR1 requiring us to register the resale of the shares of our common stock issuable upon exercise of the pre-funded warrants. In addition, we agreed that EcoR1 would have the right to nominate one of its partners as a member of our board of directors, subject to specified conditions. On February 22, 2024, our board of directors appointed Mr. Scott Platshon as a member of our board of directors. EcoR1 beneficially owned more than 5% of our shares of common stock prior to this purchase. Under the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registration rights agreement, we agreed to file a registration statement covering the resale by EcoR1 of their registrable securities upon the earlier of March 15, 2024 and the first business day following the date that we filed our Annual Report on Form 10-K for the fiscal year ended December 31, 2023. We agreed to use commercially reasonable efforts to cause such registration statement or final prospectus, as applicable, to be declared effective as soon as practicable, but no later than the later of April 29, 2024 and the 123rd calendar day following the closing date, and to keep such registration statement effective for a period that terminated on the second anniversary of the date of the securities purchase agreement. The registration statement filed pursuant to the registration rights agreement became automatically effective upon filing on March 7, 2024.</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26, 2025, we entered into an amendment to the outstanding pre-funded warrants issued to EcoR1 on December 28, 2023. Oleg Nodelman, the manager of EcoR1 Capital LLC, is now and was at the time of the amendment a member of our board of directors. Scott Platshon, a partner at EcoR1 Capital LLC, was at the time of the amendment a member of our board of directors. The amendment removed the limitation on exercise contained in Section 12 of the pre-funded warrants, which prohibited the exercise of the pre-funded warrants if, after giving effect or immediately prior to such exercise, a purchaser, together with its affiliates and any other persons whose beneficial ownership of shares of our common stock would be aggregated with such purchaser for purposes of Section 13(d) of the Exchange Act, would beneficially own more than 19.99% of the total number of issued and outstanding shares of our common stock or voting power following such exercise. On June 26, 2025, EcoR1 net exercised the pre-funded warrants in full to acquire 5,086,521 shares of our common stock at an exercise price of $0.0001 per share. We issued the shares pursuant to the exercise on June 27, 2025.</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August 10, 2025, we entered into a stock purchase agreement for a private placement with Mr. Ciongoli following his appointment as a director. Pursuant to the stock purchase agreement, Mr. Ciongoli agreed to purchase 415,000 shares of our common stock for an aggregate purchase price of $5.0 million. The per share purchase price of $12.02 represented the consolidated closing bid price of a share of our common stock on the Nasdaq on August 8, 2025. There were no underwriting discounts or commissions associated with the private placement. The private placement closed on August 12, 2025.</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November 18, 2025, we entered into an employment agreement (the “Platshon Employment Agreement”) with Scott Platshon, who served as a member of our board of directors from February 22, 2024 to November 16, 2025. The Platshon Employment Agreement provides the following compensation and benefits for Mr. Platshon’s part-time role as Acting Chief Investment Officer: (a) an annual base salary of $70,500; (b) an award of 167,000 options to purchase shares of common stock, which are scheduled to vest as to 25% of the options on the one-year anniversary of the Platshon Employment Agreement, with 1/36 of the remaining options vesting on the last day of each month thereafter; (c) an award of 111,111 RSUs, which are scheduled to vest as to 1/3 on each anniversary of the Platshon Employment Agreement. The Platshon Employment Agreement will terminate on the earlier of the effective date of termination by either party or the first anniversary of the Platshon Employment Agreement. If Mr. Platshon remains employed through the one-year anniversary of the Platshon Employment Agreement and, as of such date, we have not extended the terms of his employment, then he will immediately forfeit all options and RSUs that are outstanding and unvested as of such date. If Mr. Platshon remains employed through the one-year anniversary of the Platshon Employment Agreement, and as of such date, (i) we have not extended the terms of his employment but (ii) we and Mr. Platshon have entered into a consulting agreement, then effective as of immediately following such first anniversary, Mr. Platshon will forfeit 50% of the unvested shares subject to his options and RSUs (with such forfeiture taken pro-rata from each remaining tranche), and the remaining unvested shares subject to his options and RSUs will continue to vest over the remaining schedule of such awards, subject to Mr. Platshon’s continued service. If Mr. Platshon is terminated without cause (as defined in the Platshon Employment Agreement) prior to the first anniversary of the Platshon Employment Agreement, then he will be entitled to full vesting acceleration of the unvested and outstanding portions of the options and RSUs that would have vested had he remained an employee through such first anniversary, subject to the execution of a general release of claims by Mr. Platshon.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 of Directors, Executive Officers and Employees</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None of our directors, executive officers, employees, former directors, former executive officers or former employees, and none of their associates, is indebted to us or another entity whose indebtedness is the subject of a guarantee, support agreement, letter of credit or other similar agreement or understanding provided by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Regarding Related Party Transactions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adopted a formal, written policy regarding related person transactions. This written policy regarding related person transactions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For purposes of this policy, 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audit committee has the primary responsibility for reviewing and approving, ratifying or disapproving related person transactions.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 whether the transaction would impair the independence of any of our outside directors and (5) whether the transaction would present an improper conflict of interest for any of our directors or executive officers.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policy grants standing pre-approval of certain transactions, including (1) certain compensation arrangements for our directors or executive officers, (2) transactions with another company, other than an acquisition by us of that company, at which a related person’s only relationship is as a non-executive employee, director or beneficial owner of less than 10% of that company’s shares, provided that the aggregate amount involved does not exceed the greater of $1,000,000 or 2% of such company’s total annual revenues and the transaction is on terms no less favorable than terms generally available to unaffiliated third parties under the same or similar circumstances, (3) charitable contributions by us to a charitable organization, foundation or university at which a related person’s only relationship is as a non-executive employee or director, provided that the aggregate amount involved does not exceed the greater of $1,000,000 or 2%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organizational documents or any agreement. In addition to our policy, our audit committee charter provides that our audit committee shall review and approve or disapprove any related person transactions.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Management and Others in Material Transactions</w:t>
      </w:r>
    </w:p>
    <w:p>
      <w:pPr>
        <w:spacing w:after="0" w:line="22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Other than as described elsewhere in this Annual Report on Form 10-K, there are no material interests, direct or indirect, of any of our directors or executive officers, any stockholder that beneficially owns, or controls or directs (directly or indirectly), more than 5% of any class or series of our outstanding voting securities, or any associate or affiliate of any of the foregoing persons, in any transaction since January 1, 2024 that has materially affected or is reasonably expected to materially affect us or our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Nasdaq listing rules, independent directors must comprise a majority of a listed company’s board of directors. In addition, the listing standards of Nasdaq require that, subject to specified exceptions, each member of a listed company’s audit, compensation, and nominating and corporate governance committees be independent.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Audit committee members must also satisfy the additional independence criteria set forth in Rule 10A-3 under the Exchange Act, and the Nasdaq listing rules. Compensation committee members must also satisfy the additional independence criteria set forth in Rule 10C-1 under the Exchange Act.</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board of directors has determined that all directors, except Mr. Galbraith, meet the independence requirements under the Nasdaq listing standards, and qualify as “independent directors” under the Nasdaq listing standards. Mr. Galbraith is not considered independent by virtue of being our Chief Executive Officer, President and interim Chief Financial Officer. The board of directors also determined that Mr. Campoy, Mr. Ciongoli and Mr. Landry, who comprise our audit committee, and Mr. Landry, Dr. Mahony and Mr. Nodelman, who comprise our compensation committee, each satisfy the independence standards for those committees established by applicable SEC rules and the Nasdaq listing standards, and Dr. Cesano, Mr. Ciongoli and Mr. Nodelman, who comprise our nominating and corporate governance committee, are independent. In making these determinations, the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including those described in the section titled “</w:t>
      </w:r>
      <w:r>
        <w:rPr>
          <w:rFonts w:ascii="Times New Roman" w:cs="Times New Roman" w:eastAsia="Times New Roman" w:hAnsi="Times New Roman"/>
          <w:sz w:val="18"/>
          <w:szCs w:val="18"/>
          <w:i w:val="1"/>
          <w:iCs w:val="1"/>
          <w:color w:val="auto"/>
        </w:rPr>
        <w:t>– Certain Relationships and Related Transactions</w:t>
      </w:r>
      <w:r>
        <w:rPr>
          <w:rFonts w:ascii="Times New Roman" w:cs="Times New Roman" w:eastAsia="Times New Roman" w:hAnsi="Times New Roman"/>
          <w:sz w:val="18"/>
          <w:szCs w:val="18"/>
          <w:color w:val="auto"/>
        </w:rPr>
        <w:t>.” Further, under its charter, our compensation committee may delegate all or a portion of its duties and responsibilities to a subcommittee of the committee. In particular, the committee may delegate the approval of certain transactions to a subcommittee consisting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of members of the compensation committee who are “non-employee directors” for purposes of Rule 16b-3 of the Exchange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director nominees or executive officers</w:t>
      </w:r>
      <w:r>
        <w:rPr>
          <w:rFonts w:ascii="Times New Roman" w:cs="Times New Roman" w:eastAsia="Times New Roman" w:hAnsi="Times New Roman"/>
          <w:sz w:val="21"/>
          <w:szCs w:val="21"/>
          <w:color w:val="auto"/>
        </w:rPr>
        <w:t>.</w:t>
      </w:r>
    </w:p>
    <w:p>
      <w:pPr>
        <w:spacing w:after="0" w:line="3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Independent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 LLP (“KPMG”) has served as our independent registered public accounting firm since June 24,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fees billed by our independent auditors, KPMG, for the years ended December 31, 2025 and December 31, 2024, are detailed in the table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8"/>
        </w:trPr>
        <w:tc>
          <w:tcPr>
            <w:tcW w:w="78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line="239"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3"/>
                <w:szCs w:val="23"/>
                <w:color w:val="auto"/>
                <w:vertAlign w:val="superscript"/>
              </w:rPr>
              <w:t>(5)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line="239"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3"/>
                <w:szCs w:val="23"/>
                <w:color w:val="auto"/>
                <w:vertAlign w:val="superscript"/>
              </w:rPr>
              <w:t>(5)</w:t>
            </w:r>
          </w:p>
        </w:tc>
      </w:tr>
      <w:tr>
        <w:trPr>
          <w:trHeight w:val="223"/>
        </w:trPr>
        <w:tc>
          <w:tcPr>
            <w:tcW w:w="78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751,846</w:t>
            </w:r>
          </w:p>
        </w:tc>
      </w:tr>
      <w:tr>
        <w:trPr>
          <w:trHeight w:val="229"/>
        </w:trPr>
        <w:tc>
          <w:tcPr>
            <w:tcW w:w="7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561,115</w:t>
            </w:r>
          </w:p>
        </w:tc>
      </w:tr>
      <w:tr>
        <w:trPr>
          <w:trHeight w:val="229"/>
        </w:trPr>
        <w:tc>
          <w:tcPr>
            <w:tcW w:w="7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 Paid</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1,312,961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23" w:lineRule="exact"/>
        <w:rPr>
          <w:sz w:val="20"/>
          <w:szCs w:val="20"/>
          <w:color w:val="auto"/>
        </w:rPr>
      </w:pPr>
    </w:p>
    <w:p>
      <w:pPr>
        <w:ind w:left="240" w:hanging="232"/>
        <w:spacing w:after="0"/>
        <w:tabs>
          <w:tab w:leader="none" w:pos="2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for audit service on an accrued basis.</w:t>
      </w:r>
    </w:p>
    <w:p>
      <w:pPr>
        <w:spacing w:after="0" w:line="8" w:lineRule="exact"/>
        <w:rPr>
          <w:rFonts w:ascii="Times New Roman" w:cs="Times New Roman" w:eastAsia="Times New Roman" w:hAnsi="Times New Roman"/>
          <w:sz w:val="16"/>
          <w:szCs w:val="16"/>
          <w:color w:val="auto"/>
        </w:rPr>
      </w:pPr>
    </w:p>
    <w:p>
      <w:pPr>
        <w:ind w:right="80" w:firstLine="8"/>
        <w:spacing w:after="0" w:line="253" w:lineRule="auto"/>
        <w:tabs>
          <w:tab w:leader="none" w:pos="22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not included in audit fees that are billed by the auditor for assurance and related services that are reasonably related to the performance of the audit of the financial statements.</w:t>
      </w:r>
    </w:p>
    <w:p>
      <w:pPr>
        <w:ind w:left="240" w:hanging="232"/>
        <w:spacing w:after="0"/>
        <w:tabs>
          <w:tab w:leader="none" w:pos="2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for professional services rendered for tax compliance, tax advice and tax planning, which include fees of $76,087 for tax compliance in 2025 (2024: $272,731).</w:t>
      </w:r>
    </w:p>
    <w:p>
      <w:pPr>
        <w:spacing w:after="0" w:line="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billed by the auditor for products and services not included in the foregoing categories.</w:t>
      </w:r>
    </w:p>
    <w:p>
      <w:pPr>
        <w:spacing w:after="0" w:line="15" w:lineRule="exact"/>
        <w:rPr>
          <w:rFonts w:ascii="Times New Roman" w:cs="Times New Roman" w:eastAsia="Times New Roman" w:hAnsi="Times New Roman"/>
          <w:sz w:val="16"/>
          <w:szCs w:val="16"/>
          <w:color w:val="auto"/>
        </w:rPr>
      </w:pPr>
    </w:p>
    <w:p>
      <w:pPr>
        <w:ind w:right="160" w:firstLine="8"/>
        <w:spacing w:after="0" w:line="275" w:lineRule="auto"/>
        <w:tabs>
          <w:tab w:leader="none" w:pos="22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Canadian dollar amounts have been converted to U.S. dollars for the purposes of the table. For 2025 and 2024, the U.S. dollar per Canadian dollar exchange rates used for such conversions were 0.7155 and 0.7301, which were the average annual Bank of Canada exchange rates for 2025 and 2024,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audit committee has established a policy of reviewing, in advance, and either approving or not approving, all audit, audit-related, tax and other non-audit services that our independent registered public accounting firm provides to us. This policy requires that all services received from independent registered public accounting firms be approved in advance by the audit committee or a delegate of the audit committee. The audit committee has delegated pre-approval responsibility to the chair of the audit committee with respect to audit and permissible non-audit services and any associated fees. All services that KPMG provided to us in 2025 and 2024 have been pre-approved by our audit committee.</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audit committee has determined that the provision of the services as set out above is compatible with the maintaining of KPMG’s independence in the conduct of their auditing functions.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 –The financial statements included in Item 8 are filed as part of this Annual Report on Form 10-K.</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(a)(2) Financial Statement Schedules – All schedules have been omitted because they are not applicable or required, or the information required to be set forth therein is included in the consolidated Financial Statements or notes thereto included in Item 8 of this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 – The exhibits required by Item 601 of Regulation S-K are listed in paragraph (b)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 – The exhibits listed on the Exhibit Index below are filed herewith or are incorporated by reference to exhibits previously filed with the SEC.</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20" w:type="dxa"/>
            <w:vAlign w:val="bottom"/>
            <w:gridSpan w:val="17"/>
          </w:tcPr>
          <w:p>
            <w:pPr>
              <w:ind w:left="400"/>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206"/>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0" w:type="dxa"/>
            <w:vAlign w:val="bottom"/>
            <w:gridSpan w:val="16"/>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1"/>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Restated and Amended Transaction Agreement, dated August 18, 2022, by and among Zymeworks BC Inc., the Company, Zymeworks</w:t>
              </w:r>
            </w:hyperlink>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Callco ULC and Zymeworks ExchangeCo Ltd. (incorporated by reference to Exhibit 2.1 to Amendment No. 1 to the Company’s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Registration Statement on Form S-4 filed with the SEC on August 19, 2022).</w:t>
              </w:r>
            </w:hyperlink>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21"/>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Plan of Arrangement (incorporated by reference to Exhibit 2.2 to Amendment No. 1 to the Company’s Registration Statement on Form</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S-4 filed with the SEC on August 19, 2022).</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Exchangeable Share Support Agreement, dated as of October 13, 2022, by and between the Company, Zymeworks CallCo ULC, and</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Zymeworks ExchangeCo Ltd. (incorporated by reference to Exhibit 2.3 to the Company’s Current Report on Form 8-K12B filed with</w:t>
              </w:r>
            </w:hyperlink>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14"/>
          </w:tcPr>
          <w:p>
            <w:pPr>
              <w:spacing w:after="0" w:line="182"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the SEC on October 13, 2022).</w:t>
              </w:r>
            </w:hyperlink>
          </w:p>
        </w:tc>
        <w:tc>
          <w:tcPr>
            <w:tcW w:w="6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Voting and Exchange Trust Agreement, dated as of October 13, 2022, by and between the Company, Zymeworks Callco ULC,</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00" w:type="dxa"/>
            <w:vAlign w:val="bottom"/>
            <w:tcBorders>
              <w:top w:val="single" w:sz="8" w:color="0000FF"/>
            </w:tcBorders>
            <w:gridSpan w:val="9"/>
          </w:tcPr>
          <w:p>
            <w:pPr>
              <w:spacing w:after="0" w:line="182" w:lineRule="exact"/>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Zymeworks ExchangeCo Ltd. and the Share Trustee (incorporated by reference to Exhibit 2.4 to the Company’s Current Report</w:t>
              </w:r>
            </w:hyperlink>
          </w:p>
        </w:tc>
        <w:tc>
          <w:tcPr>
            <w:tcW w:w="720" w:type="dxa"/>
            <w:vAlign w:val="bottom"/>
            <w:gridSpan w:val="12"/>
          </w:tcPr>
          <w:p>
            <w:pPr>
              <w:ind w:left="140"/>
              <w:spacing w:after="0" w:line="182"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on</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top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8-K12B filed with the SEC on October 13, 2022).</w:t>
              </w:r>
            </w:hyperlink>
          </w:p>
        </w:tc>
        <w:tc>
          <w:tcPr>
            <w:tcW w:w="18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Amended and Restated Certificate of Incorporation of the Company (incorporated by reference to Exhibit 3.1 to the Company’s Current</w:t>
              </w:r>
            </w:hyperlink>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Report on Form 8-K12B filed with the SEC on October 13, 2022).</w:t>
              </w:r>
            </w:hyperlink>
          </w:p>
        </w:tc>
        <w:tc>
          <w:tcPr>
            <w:tcW w:w="2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Amended and Restated Bylaws of the Company (incorporated by reference to Exhibit 3.1 to the Company’s Current Report on Form 8-</w:t>
              </w:r>
            </w:hyperlink>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K filed with the SEC on March 15,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Certificate of Elimination of Series B Participating Preferred Stock of Zymeworks Inc. (incorporated by reference to Exhibit 3.1 to the</w:t>
              </w:r>
            </w:hyperlink>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Company’s Current Report on Form 8-K filed with the SEC on June 12, 2023).</w:t>
              </w:r>
            </w:hyperlink>
          </w:p>
        </w:tc>
        <w:tc>
          <w:tcPr>
            <w:tcW w:w="3980" w:type="dxa"/>
            <w:vAlign w:val="bottom"/>
            <w:tcBorders>
              <w:top w:val="single" w:sz="8" w:color="0000FF"/>
            </w:tcBorders>
            <w:gridSpan w:val="7"/>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1"/>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Certificate of Designations of Special Voting Stock of the Company (incorporated by reference to Exhibit 3.2 to the Company’s Current</w:t>
              </w:r>
            </w:hyperlink>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Report on Form 8-K12B filed with the SEC on October 13, 2022).</w:t>
              </w:r>
            </w:hyperlink>
          </w:p>
        </w:tc>
        <w:tc>
          <w:tcPr>
            <w:tcW w:w="40" w:type="dxa"/>
            <w:vAlign w:val="bottom"/>
            <w:gridSpan w:val="2"/>
          </w:tcPr>
          <w:p>
            <w:pPr>
              <w:spacing w:after="0"/>
              <w:rPr>
                <w:sz w:val="13"/>
                <w:szCs w:val="13"/>
                <w:color w:val="auto"/>
              </w:rPr>
            </w:pPr>
          </w:p>
        </w:tc>
      </w:tr>
      <w:tr>
        <w:trPr>
          <w:trHeight w:val="27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Description of Capital Stock.</w:t>
            </w:r>
          </w:p>
        </w:tc>
        <w:tc>
          <w:tcPr>
            <w:tcW w:w="5040" w:type="dxa"/>
            <w:vAlign w:val="bottom"/>
            <w:gridSpan w:val="15"/>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500" w:type="dxa"/>
            <w:vAlign w:val="bottom"/>
            <w:gridSpan w:val="1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263"/>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21"/>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Specimen common stock certificate of the Company (incorporated by reference to Exhibit 4.1 to Amendment No.1 to the Company’s</w:t>
              </w:r>
            </w:hyperlink>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Registration Statement on Form S-4 filed with the SEC on August 19, 2022).</w:t>
              </w:r>
            </w:hyperlink>
          </w:p>
        </w:tc>
        <w:tc>
          <w:tcPr>
            <w:tcW w:w="220" w:type="dxa"/>
            <w:vAlign w:val="bottom"/>
            <w:gridSpan w:val="8"/>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100"/>
          </w:cols>
          <w:pgMar w:left="320" w:top="225" w:right="479" w:bottom="1440" w:gutter="0" w:footer="0" w:header="0"/>
        </w:sectPr>
      </w:pPr>
    </w:p>
    <w:p>
      <w:pPr>
        <w:ind w:left="380"/>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3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pacing w:after="0" w:line="3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br w:type="column"/>
      </w:r>
    </w:p>
    <w:p>
      <w:pPr>
        <w:jc w:val="both"/>
        <w:ind w:right="180"/>
        <w:spacing w:after="0" w:line="258"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Collaboration Agreement, effective as of December 23, 2014, by and among Zymeworks BC Inc., Celgene Corporation and Celgene</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Alpine Investment Co. LLC (incorporated by reference to Exhibit 10.22 to Zymeworks BC Inc.’s Registration Statement on Form F-1</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filed with the SEC on April 3, 2017).</w:t>
        </w:r>
      </w:hyperlink>
    </w:p>
    <w:p>
      <w:pPr>
        <w:spacing w:after="0" w:line="61" w:lineRule="exact"/>
        <w:rPr>
          <w:rFonts w:ascii="Times New Roman" w:cs="Times New Roman" w:eastAsia="Times New Roman" w:hAnsi="Times New Roman"/>
          <w:sz w:val="18"/>
          <w:szCs w:val="18"/>
          <w:u w:val="single" w:color="auto"/>
          <w:color w:val="0000FF"/>
        </w:rPr>
      </w:pPr>
    </w:p>
    <w:p>
      <w:pPr>
        <w:ind w:right="20"/>
        <w:spacing w:after="0" w:line="258"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First Amendment to Collaboration Agreement, effective as of May 29, 2017, by and between Zymeworks BC Inc., Celgene Corporation</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and Celgene Alpine Investment Co. LLC (incorporated by reference to Exhibit 99.1 to a Report of Foreign Private Issuer on Form 6-K</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furnished to the SEC on July 18, 2017 and deemed filed under the Exchange Act).</w:t>
        </w:r>
      </w:hyperlink>
    </w:p>
    <w:p>
      <w:pPr>
        <w:spacing w:after="0" w:line="48" w:lineRule="exact"/>
        <w:rPr>
          <w:rFonts w:ascii="Times New Roman" w:cs="Times New Roman" w:eastAsia="Times New Roman" w:hAnsi="Times New Roman"/>
          <w:sz w:val="18"/>
          <w:szCs w:val="18"/>
          <w:u w:val="single" w:color="auto"/>
          <w:color w:val="0000FF"/>
        </w:rPr>
      </w:pPr>
    </w:p>
    <w:p>
      <w:pPr>
        <w:ind w:right="320"/>
        <w:spacing w:after="0" w:line="236" w:lineRule="auto"/>
        <w:rPr>
          <w:rFonts w:ascii="Times New Roman" w:cs="Times New Roman" w:eastAsia="Times New Roman" w:hAnsi="Times New Roman"/>
          <w:sz w:val="17"/>
          <w:szCs w:val="17"/>
          <w:u w:val="single" w:color="auto"/>
          <w:color w:val="0000FF"/>
        </w:rPr>
      </w:pPr>
      <w:hyperlink r:id="rId189">
        <w:r>
          <w:rPr>
            <w:rFonts w:ascii="Times New Roman" w:cs="Times New Roman" w:eastAsia="Times New Roman" w:hAnsi="Times New Roman"/>
            <w:sz w:val="17"/>
            <w:szCs w:val="17"/>
            <w:u w:val="single" w:color="auto"/>
            <w:color w:val="0000FF"/>
          </w:rPr>
          <w:t>Second Amendment to Collaboration Agreement, effective as of March 31, 2020, by and between Zymeworks BC Inc., Celgene</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Corporation and Celgene Alpine Investment Co. LLC (incorporated by reference to Exhibit 99.1 to Zymeworks BC Inc.’s Quarterly</w:t>
        </w:r>
      </w:hyperlink>
    </w:p>
    <w:p>
      <w:pPr>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Report on Form 10-Q filed with the SEC on May 7, 2020).</w:t>
        </w:r>
      </w:hyperlink>
    </w:p>
    <w:p>
      <w:pPr>
        <w:spacing w:after="0" w:line="200" w:lineRule="exact"/>
        <w:rPr>
          <w:sz w:val="20"/>
          <w:szCs w:val="20"/>
          <w:color w:val="auto"/>
        </w:rPr>
      </w:pPr>
    </w:p>
    <w:p>
      <w:pPr>
        <w:sectPr>
          <w:pgSz w:w="11900" w:h="16838" w:orient="portrait"/>
          <w:cols w:equalWidth="0" w:num="2">
            <w:col w:w="780" w:space="500"/>
            <w:col w:w="9820"/>
          </w:cols>
          <w:pgMar w:left="320" w:top="225" w:right="47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tabs>
          <w:tab w:leader="none" w:pos="58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465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41" w:lineRule="exact"/>
        <w:rPr>
          <w:sz w:val="20"/>
          <w:szCs w:val="20"/>
          <w:color w:val="auto"/>
        </w:rPr>
      </w:pPr>
    </w:p>
    <w:p>
      <w:pPr>
        <w:ind w:left="1280" w:hanging="901"/>
        <w:spacing w:after="0" w:line="250"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92">
        <w:r>
          <w:rPr>
            <w:rFonts w:ascii="Times New Roman" w:cs="Times New Roman" w:eastAsia="Times New Roman" w:hAnsi="Times New Roman"/>
            <w:sz w:val="18"/>
            <w:szCs w:val="18"/>
            <w:u w:val="single" w:color="auto"/>
            <w:color w:val="0000FF"/>
          </w:rPr>
          <w:t>Third Amendment to Collaboration Agreement, dated June 22, 2020, by and between Zymeworks BC Inc., Celgene Corporation and</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Celgene Alpine Investment Co. LLC. (incorporated by reference to Exhibit 10.2 to Zymeworks BC Inc.’s Quarterly Report on Form 10-</w:t>
        </w:r>
      </w:hyperlink>
      <w:hyperlink r:id="rId192">
        <w:r>
          <w:rPr>
            <w:rFonts w:ascii="Times New Roman" w:cs="Times New Roman" w:eastAsia="Times New Roman" w:hAnsi="Times New Roman"/>
            <w:sz w:val="18"/>
            <w:szCs w:val="18"/>
            <w:u w:val="single" w:color="auto"/>
            <w:color w:val="0000FF"/>
          </w:rPr>
          <w:t>Q filed with the SEC on August 5, 2020).</w:t>
        </w:r>
      </w:hyperlink>
    </w:p>
    <w:p>
      <w:pPr>
        <w:spacing w:after="0" w:line="69" w:lineRule="exact"/>
        <w:rPr>
          <w:rFonts w:ascii="Times New Roman" w:cs="Times New Roman" w:eastAsia="Times New Roman" w:hAnsi="Times New Roman"/>
          <w:sz w:val="18"/>
          <w:szCs w:val="18"/>
          <w:u w:val="single" w:color="auto"/>
          <w:color w:val="0000FF"/>
        </w:rPr>
      </w:pPr>
    </w:p>
    <w:p>
      <w:pPr>
        <w:ind w:left="1280" w:right="4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93">
        <w:r>
          <w:rPr>
            <w:rFonts w:ascii="Times New Roman" w:cs="Times New Roman" w:eastAsia="Times New Roman" w:hAnsi="Times New Roman"/>
            <w:sz w:val="17"/>
            <w:szCs w:val="17"/>
            <w:u w:val="single" w:color="auto"/>
            <w:color w:val="0000FF"/>
          </w:rPr>
          <w:t>Letter Agreement, effective April 20, 2021, by and between Zymeworks BC Inc. and Celgene Corporation and Celgene Alpine</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Investment Co. LLC. (incorporated by reference to Exhibit 99.4 to Zymeworks BC Inc.’s Quarterly Report on Form 10-Q filed with the</w:t>
        </w:r>
      </w:hyperlink>
    </w:p>
    <w:p>
      <w:pPr>
        <w:ind w:left="1280"/>
        <w:spacing w:after="0"/>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SEC on August 4, 2021).</w:t>
        </w:r>
      </w:hyperlink>
    </w:p>
    <w:p>
      <w:pPr>
        <w:spacing w:after="0" w:line="57" w:lineRule="exact"/>
        <w:rPr>
          <w:sz w:val="20"/>
          <w:szCs w:val="20"/>
          <w:color w:val="auto"/>
        </w:rPr>
      </w:pPr>
    </w:p>
    <w:p>
      <w:pPr>
        <w:jc w:val="right"/>
        <w:ind w:left="380" w:right="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      </w:t>
      </w:r>
      <w:hyperlink r:id="rId194">
        <w:r>
          <w:rPr>
            <w:rFonts w:ascii="Times New Roman" w:cs="Times New Roman" w:eastAsia="Times New Roman" w:hAnsi="Times New Roman"/>
            <w:sz w:val="18"/>
            <w:szCs w:val="18"/>
            <w:u w:val="single" w:color="auto"/>
            <w:color w:val="0000FF"/>
          </w:rPr>
          <w:t>Fourth Amendment to Collaboration Agreement, dated August 4, 2021, by and between Zymeworks BC Inc., Celgene Corporation and</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0000FF"/>
          </w:rPr>
          <w:t>Celgene Alpine Investment Co. LLC (incorporated by reference to Exhibit 99.1 to Zymeworks BC Inc.’s Quarterly Report on Form 10-</w:t>
        </w:r>
      </w:hyperlink>
    </w:p>
    <w:p>
      <w:pPr>
        <w:spacing w:after="0" w:line="2" w:lineRule="exact"/>
        <w:rPr>
          <w:sz w:val="20"/>
          <w:szCs w:val="20"/>
          <w:color w:val="auto"/>
        </w:rPr>
      </w:pPr>
    </w:p>
    <w:p>
      <w:pPr>
        <w:ind w:left="1280"/>
        <w:spacing w:after="0"/>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Q filed with the SEC on November 3, 2021).</w:t>
        </w:r>
      </w:hyperlink>
    </w:p>
    <w:p>
      <w:pPr>
        <w:spacing w:after="0" w:line="57" w:lineRule="exact"/>
        <w:rPr>
          <w:sz w:val="20"/>
          <w:szCs w:val="20"/>
          <w:color w:val="auto"/>
        </w:rPr>
      </w:pPr>
    </w:p>
    <w:p>
      <w:pPr>
        <w:ind w:left="1280" w:right="2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95">
        <w:r>
          <w:rPr>
            <w:rFonts w:ascii="Times New Roman" w:cs="Times New Roman" w:eastAsia="Times New Roman" w:hAnsi="Times New Roman"/>
            <w:sz w:val="17"/>
            <w:szCs w:val="17"/>
            <w:u w:val="single" w:color="auto"/>
            <w:color w:val="0000FF"/>
          </w:rPr>
          <w:t>Collaboration and License Agreement, effective as of December 1, 2015, by and between Zymeworks BC Inc. and GlaxoSmithKline</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Intellectual Property Development Limited (incorporated by reference to Exhibit 10.23 to Zymeworks BC Inc.’s Registration Statement</w:t>
        </w:r>
      </w:hyperlink>
    </w:p>
    <w:p>
      <w:pPr>
        <w:ind w:left="1280"/>
        <w:spacing w:after="0"/>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on Form F-1 filed with the SEC on April 3, 2017).</w:t>
        </w:r>
      </w:hyperlink>
    </w:p>
    <w:p>
      <w:pPr>
        <w:spacing w:after="0" w:line="57" w:lineRule="exact"/>
        <w:rPr>
          <w:sz w:val="20"/>
          <w:szCs w:val="20"/>
          <w:color w:val="auto"/>
        </w:rPr>
      </w:pPr>
    </w:p>
    <w:p>
      <w:pPr>
        <w:ind w:left="1280" w:right="8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96">
        <w:r>
          <w:rPr>
            <w:rFonts w:ascii="Times New Roman" w:cs="Times New Roman" w:eastAsia="Times New Roman" w:hAnsi="Times New Roman"/>
            <w:sz w:val="17"/>
            <w:szCs w:val="17"/>
            <w:u w:val="single" w:color="auto"/>
            <w:color w:val="0000FF"/>
          </w:rPr>
          <w:t>Side Letter Agreement effective as of January 11, 2019, by and between Zymeworks BC Inc. and GlaxoSmithKline Intellectual</w:t>
        </w:r>
      </w:hyperlink>
      <w:r>
        <w:rPr>
          <w:rFonts w:ascii="Times New Roman" w:cs="Times New Roman" w:eastAsia="Times New Roman" w:hAnsi="Times New Roman"/>
          <w:sz w:val="17"/>
          <w:szCs w:val="17"/>
          <w:u w:val="single" w:color="auto"/>
          <w:color w:val="0000FF"/>
        </w:rPr>
        <w:t xml:space="preserve"> </w:t>
      </w:r>
      <w:hyperlink r:id="rId196">
        <w:r>
          <w:rPr>
            <w:rFonts w:ascii="Times New Roman" w:cs="Times New Roman" w:eastAsia="Times New Roman" w:hAnsi="Times New Roman"/>
            <w:sz w:val="17"/>
            <w:szCs w:val="17"/>
            <w:u w:val="single" w:color="auto"/>
            <w:color w:val="0000FF"/>
          </w:rPr>
          <w:t>Property Development Limited (incorporated by reference to Exhibit 99.2 to Zymeworks BC Inc.’s 2018 Annual Report on Form 10-K</w:t>
        </w:r>
      </w:hyperlink>
    </w:p>
    <w:p>
      <w:pPr>
        <w:ind w:left="1280"/>
        <w:spacing w:after="0"/>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filed with the SEC on March 6, 2019).</w:t>
        </w:r>
      </w:hyperlink>
    </w:p>
    <w:p>
      <w:pPr>
        <w:spacing w:after="0" w:line="57" w:lineRule="exact"/>
        <w:rPr>
          <w:sz w:val="20"/>
          <w:szCs w:val="20"/>
          <w:color w:val="auto"/>
        </w:rPr>
      </w:pPr>
    </w:p>
    <w:p>
      <w:pPr>
        <w:ind w:left="1280" w:right="320" w:hanging="901"/>
        <w:spacing w:after="0" w:line="258"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97">
        <w:r>
          <w:rPr>
            <w:rFonts w:ascii="Times New Roman" w:cs="Times New Roman" w:eastAsia="Times New Roman" w:hAnsi="Times New Roman"/>
            <w:sz w:val="18"/>
            <w:szCs w:val="18"/>
            <w:u w:val="single" w:color="auto"/>
            <w:color w:val="0000FF"/>
          </w:rPr>
          <w:t>First Amendment to Collaboration and License Agreement, effective as of April 30, 2019, by and between Zymeworks BC Inc. and</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GlaxoSmithKline Intellectual Property Development Limited (incorporated by reference to Exhibit 99.4 to Zymeworks BC Inc.’s</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Annual Report on Form 10-K filed with the SEC on March 2, 2020).</w:t>
        </w:r>
      </w:hyperlink>
    </w:p>
    <w:p>
      <w:pPr>
        <w:spacing w:after="0" w:line="61" w:lineRule="exact"/>
        <w:rPr>
          <w:rFonts w:ascii="Times New Roman" w:cs="Times New Roman" w:eastAsia="Times New Roman" w:hAnsi="Times New Roman"/>
          <w:sz w:val="18"/>
          <w:szCs w:val="18"/>
          <w:u w:val="single" w:color="auto"/>
          <w:color w:val="0000FF"/>
        </w:rPr>
      </w:pPr>
    </w:p>
    <w:p>
      <w:pPr>
        <w:ind w:left="1280" w:right="60" w:hanging="946"/>
        <w:spacing w:after="0" w:line="258"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98">
        <w:r>
          <w:rPr>
            <w:rFonts w:ascii="Times New Roman" w:cs="Times New Roman" w:eastAsia="Times New Roman" w:hAnsi="Times New Roman"/>
            <w:sz w:val="18"/>
            <w:szCs w:val="18"/>
            <w:u w:val="single" w:color="auto"/>
            <w:color w:val="0000FF"/>
          </w:rPr>
          <w:t>Side Letter Agreement effective as of September 30, 2019, by and between Zymeworks BC Inc. and GlaxoSmithKline Intellectual</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Property Development Limited. (incorporated by reference to Exhibit 99.5 to Zymeworks BC Inc.’s Annual Report on Form 10-K filed</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with the SEC on March 2, 2020).</w:t>
        </w:r>
      </w:hyperlink>
    </w:p>
    <w:p>
      <w:pPr>
        <w:spacing w:after="0" w:line="61" w:lineRule="exact"/>
        <w:rPr>
          <w:rFonts w:ascii="Times New Roman" w:cs="Times New Roman" w:eastAsia="Times New Roman" w:hAnsi="Times New Roman"/>
          <w:sz w:val="18"/>
          <w:szCs w:val="18"/>
          <w:u w:val="single" w:color="auto"/>
          <w:color w:val="0000FF"/>
        </w:rPr>
      </w:pPr>
    </w:p>
    <w:p>
      <w:pPr>
        <w:ind w:left="1280" w:right="60" w:hanging="943"/>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99">
        <w:r>
          <w:rPr>
            <w:rFonts w:ascii="Times New Roman" w:cs="Times New Roman" w:eastAsia="Times New Roman" w:hAnsi="Times New Roman"/>
            <w:sz w:val="17"/>
            <w:szCs w:val="17"/>
            <w:u w:val="single" w:color="auto"/>
            <w:color w:val="0000FF"/>
          </w:rPr>
          <w:t>Side Letter Agreement effective as of February 20, 2020, by and between Zymeworks BC Inc. and GlaxoSmithKline Intellectual</w:t>
        </w:r>
      </w:hyperlink>
      <w:r>
        <w:rPr>
          <w:rFonts w:ascii="Times New Roman" w:cs="Times New Roman" w:eastAsia="Times New Roman" w:hAnsi="Times New Roman"/>
          <w:sz w:val="17"/>
          <w:szCs w:val="17"/>
          <w:u w:val="single" w:color="auto"/>
          <w:color w:val="0000FF"/>
        </w:rPr>
        <w:t xml:space="preserve"> </w:t>
      </w:r>
      <w:hyperlink r:id="rId199">
        <w:r>
          <w:rPr>
            <w:rFonts w:ascii="Times New Roman" w:cs="Times New Roman" w:eastAsia="Times New Roman" w:hAnsi="Times New Roman"/>
            <w:sz w:val="17"/>
            <w:szCs w:val="17"/>
            <w:u w:val="single" w:color="auto"/>
            <w:color w:val="0000FF"/>
          </w:rPr>
          <w:t>Property Development Limited. (incorporated by reference to Exhibit 99.6 to Zymeworks BC Inc.’s Annual Report on Form 10-K filed</w:t>
        </w:r>
      </w:hyperlink>
    </w:p>
    <w:p>
      <w:pPr>
        <w:ind w:left="1280"/>
        <w:spacing w:after="0"/>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with the SEC on March 2, 2020).</w:t>
        </w:r>
      </w:hyperlink>
    </w:p>
    <w:p>
      <w:pPr>
        <w:spacing w:after="0" w:line="57" w:lineRule="exact"/>
        <w:rPr>
          <w:sz w:val="20"/>
          <w:szCs w:val="20"/>
          <w:color w:val="auto"/>
        </w:rPr>
      </w:pPr>
    </w:p>
    <w:p>
      <w:pPr>
        <w:ind w:left="1280" w:right="220" w:hanging="946"/>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200">
        <w:r>
          <w:rPr>
            <w:rFonts w:ascii="Times New Roman" w:cs="Times New Roman" w:eastAsia="Times New Roman" w:hAnsi="Times New Roman"/>
            <w:sz w:val="17"/>
            <w:szCs w:val="17"/>
            <w:u w:val="single" w:color="auto"/>
            <w:color w:val="0000FF"/>
          </w:rPr>
          <w:t>Fifth Amendment to Collaboration and License Agreement, effective as of March 30, 2020, by and between Zymeworks BC Inc. and</w:t>
        </w:r>
      </w:hyperlink>
      <w:r>
        <w:rPr>
          <w:rFonts w:ascii="Times New Roman" w:cs="Times New Roman" w:eastAsia="Times New Roman" w:hAnsi="Times New Roman"/>
          <w:sz w:val="17"/>
          <w:szCs w:val="17"/>
          <w:u w:val="single" w:color="auto"/>
          <w:color w:val="0000FF"/>
        </w:rPr>
        <w:t xml:space="preserve"> </w:t>
      </w:r>
      <w:hyperlink r:id="rId200">
        <w:r>
          <w:rPr>
            <w:rFonts w:ascii="Times New Roman" w:cs="Times New Roman" w:eastAsia="Times New Roman" w:hAnsi="Times New Roman"/>
            <w:sz w:val="17"/>
            <w:szCs w:val="17"/>
            <w:u w:val="single" w:color="auto"/>
            <w:color w:val="0000FF"/>
          </w:rPr>
          <w:t>GlaxoSmithKline Intellectual Property Development Limited (incorporated by reference to Exhibit 99.11 to Zymeworks BC Inc.’s</w:t>
        </w:r>
      </w:hyperlink>
    </w:p>
    <w:p>
      <w:pPr>
        <w:ind w:left="1280"/>
        <w:spacing w:after="0"/>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Annual Report on Form 10-K filed with the SEC on February 24, 2021).</w:t>
        </w:r>
      </w:hyperlink>
    </w:p>
    <w:p>
      <w:pPr>
        <w:spacing w:after="0" w:line="57" w:lineRule="exact"/>
        <w:rPr>
          <w:sz w:val="20"/>
          <w:szCs w:val="20"/>
          <w:color w:val="auto"/>
        </w:rPr>
      </w:pPr>
    </w:p>
    <w:p>
      <w:pPr>
        <w:ind w:left="1280" w:right="400" w:hanging="946"/>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201">
        <w:r>
          <w:rPr>
            <w:rFonts w:ascii="Times New Roman" w:cs="Times New Roman" w:eastAsia="Times New Roman" w:hAnsi="Times New Roman"/>
            <w:sz w:val="17"/>
            <w:szCs w:val="17"/>
            <w:u w:val="single" w:color="auto"/>
            <w:color w:val="0000FF"/>
          </w:rPr>
          <w:t>Platform Technology Transfer and License Agreement, effective as of April 21, 2016, by and between Zymeworks BC Inc. and</w:t>
        </w:r>
      </w:hyperlink>
      <w:r>
        <w:rPr>
          <w:rFonts w:ascii="Times New Roman" w:cs="Times New Roman" w:eastAsia="Times New Roman" w:hAnsi="Times New Roman"/>
          <w:sz w:val="17"/>
          <w:szCs w:val="17"/>
          <w:u w:val="single" w:color="auto"/>
          <w:color w:val="0000FF"/>
        </w:rPr>
        <w:t xml:space="preserve"> </w:t>
      </w:r>
      <w:hyperlink r:id="rId201">
        <w:r>
          <w:rPr>
            <w:rFonts w:ascii="Times New Roman" w:cs="Times New Roman" w:eastAsia="Times New Roman" w:hAnsi="Times New Roman"/>
            <w:sz w:val="17"/>
            <w:szCs w:val="17"/>
            <w:u w:val="single" w:color="auto"/>
            <w:color w:val="0000FF"/>
          </w:rPr>
          <w:t>GlaxoSmithKline Intellectual Property Development Limited (incorporated by reference to Exhibit 10.24 to Zymeworks BC Inc.’s</w:t>
        </w:r>
      </w:hyperlink>
    </w:p>
    <w:p>
      <w:pPr>
        <w:ind w:left="1280"/>
        <w:spacing w:after="0"/>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Registration Statement on Form F-1 filed with the SEC on April 3, 2017).</w:t>
        </w:r>
      </w:hyperlink>
    </w:p>
    <w:p>
      <w:pPr>
        <w:spacing w:after="0" w:line="57" w:lineRule="exact"/>
        <w:rPr>
          <w:sz w:val="20"/>
          <w:szCs w:val="20"/>
          <w:color w:val="auto"/>
        </w:rPr>
      </w:pPr>
    </w:p>
    <w:p>
      <w:pPr>
        <w:ind w:left="1280" w:right="280" w:hanging="946"/>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202">
        <w:r>
          <w:rPr>
            <w:rFonts w:ascii="Times New Roman" w:cs="Times New Roman" w:eastAsia="Times New Roman" w:hAnsi="Times New Roman"/>
            <w:sz w:val="17"/>
            <w:szCs w:val="17"/>
            <w:u w:val="single" w:color="auto"/>
            <w:color w:val="0000FF"/>
          </w:rPr>
          <w:t>First Amendment to Platform Technology Transfer and License Agreement between Zymeworks BC Inc. and GlaxoSmithKline</w:t>
        </w:r>
      </w:hyperlink>
      <w:r>
        <w:rPr>
          <w:rFonts w:ascii="Times New Roman" w:cs="Times New Roman" w:eastAsia="Times New Roman" w:hAnsi="Times New Roman"/>
          <w:sz w:val="17"/>
          <w:szCs w:val="17"/>
          <w:u w:val="single" w:color="auto"/>
          <w:color w:val="0000FF"/>
        </w:rPr>
        <w:t xml:space="preserve"> </w:t>
      </w:r>
      <w:hyperlink r:id="rId202">
        <w:r>
          <w:rPr>
            <w:rFonts w:ascii="Times New Roman" w:cs="Times New Roman" w:eastAsia="Times New Roman" w:hAnsi="Times New Roman"/>
            <w:sz w:val="17"/>
            <w:szCs w:val="17"/>
            <w:u w:val="single" w:color="auto"/>
            <w:color w:val="0000FF"/>
          </w:rPr>
          <w:t>Intellectual Property Development Limited, dated May 14, 2019 (incorporated by reference to Exhibit 99.1 to Zymeworks BC Inc.’s</w:t>
        </w:r>
      </w:hyperlink>
    </w:p>
    <w:p>
      <w:pPr>
        <w:ind w:left="1280"/>
        <w:spacing w:after="0"/>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Current Report on Form 8-K filed with the SEC on May 17, 2019).</w:t>
        </w:r>
      </w:hyperlink>
    </w:p>
    <w:p>
      <w:pPr>
        <w:spacing w:after="0" w:line="57" w:lineRule="exact"/>
        <w:rPr>
          <w:sz w:val="20"/>
          <w:szCs w:val="20"/>
          <w:color w:val="auto"/>
        </w:rPr>
      </w:pPr>
    </w:p>
    <w:p>
      <w:pPr>
        <w:ind w:left="1280" w:right="240" w:hanging="946"/>
        <w:spacing w:after="0" w:line="258"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203">
        <w:r>
          <w:rPr>
            <w:rFonts w:ascii="Times New Roman" w:cs="Times New Roman" w:eastAsia="Times New Roman" w:hAnsi="Times New Roman"/>
            <w:sz w:val="18"/>
            <w:szCs w:val="18"/>
            <w:u w:val="single" w:color="auto"/>
            <w:color w:val="0000FF"/>
          </w:rPr>
          <w:t>Letter Agreement, effective June 4, 2021, by and between Zymeworks BC Inc. and GlaxoSmithKline Intellectual Property</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Development Limited (incorporated by reference to Exhibit 99.7 to Zymeworks BC Inc.’s Quarterly Report on Form 10-Q filed with</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the SEC on August 4, 2021).</w:t>
        </w:r>
      </w:hyperlink>
    </w:p>
    <w:p>
      <w:pPr>
        <w:spacing w:after="0" w:line="61" w:lineRule="exact"/>
        <w:rPr>
          <w:rFonts w:ascii="Times New Roman" w:cs="Times New Roman" w:eastAsia="Times New Roman" w:hAnsi="Times New Roman"/>
          <w:sz w:val="18"/>
          <w:szCs w:val="18"/>
          <w:u w:val="single" w:color="auto"/>
          <w:color w:val="0000FF"/>
        </w:rPr>
      </w:pPr>
    </w:p>
    <w:p>
      <w:pPr>
        <w:ind w:left="1280" w:right="200" w:hanging="946"/>
        <w:spacing w:after="0" w:line="258"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204">
        <w:r>
          <w:rPr>
            <w:rFonts w:ascii="Times New Roman" w:cs="Times New Roman" w:eastAsia="Times New Roman" w:hAnsi="Times New Roman"/>
            <w:sz w:val="18"/>
            <w:szCs w:val="18"/>
            <w:u w:val="single" w:color="auto"/>
            <w:color w:val="0000FF"/>
          </w:rPr>
          <w:t>Collaboration and License Agreement, effective as of November 13, 2017, by and between Zymeworks BC Inc. and Janssen Biotech,</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Inc., (incorporated by reference to Exhibit 99.1 to a Report of Foreign Private Issuer on Form 6-K furnished to the SEC on</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November 24, 2017 and deemed filed under the Exchange Act).</w:t>
        </w:r>
      </w:hyperlink>
    </w:p>
    <w:p>
      <w:pPr>
        <w:spacing w:after="0" w:line="61" w:lineRule="exact"/>
        <w:rPr>
          <w:rFonts w:ascii="Times New Roman" w:cs="Times New Roman" w:eastAsia="Times New Roman" w:hAnsi="Times New Roman"/>
          <w:sz w:val="18"/>
          <w:szCs w:val="18"/>
          <w:u w:val="single" w:color="auto"/>
          <w:color w:val="0000FF"/>
        </w:rPr>
      </w:pPr>
    </w:p>
    <w:p>
      <w:pPr>
        <w:jc w:val="both"/>
        <w:ind w:left="1280" w:right="120" w:hanging="946"/>
        <w:spacing w:after="0" w:line="258"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205">
        <w:r>
          <w:rPr>
            <w:rFonts w:ascii="Times New Roman" w:cs="Times New Roman" w:eastAsia="Times New Roman" w:hAnsi="Times New Roman"/>
            <w:sz w:val="18"/>
            <w:szCs w:val="18"/>
            <w:u w:val="single" w:color="auto"/>
            <w:color w:val="0000FF"/>
          </w:rPr>
          <w:t>First Amendment to the Collaboration and License Agreement, effective as of January 14, 2019, by and between Zymeworks BC Inc.</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and Janssen Biotech, Inc. (incorporated by reference to Exhibit 99.3 to Zymeworks BC Inc.’s 2018 Annual Report on Form 10-K filed</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with the SEC on March 6, 2019).</w:t>
        </w:r>
      </w:hyperlink>
    </w:p>
    <w:p>
      <w:pPr>
        <w:spacing w:after="0" w:line="61" w:lineRule="exact"/>
        <w:rPr>
          <w:rFonts w:ascii="Times New Roman" w:cs="Times New Roman" w:eastAsia="Times New Roman" w:hAnsi="Times New Roman"/>
          <w:sz w:val="18"/>
          <w:szCs w:val="18"/>
          <w:u w:val="single" w:color="auto"/>
          <w:color w:val="0000FF"/>
        </w:rPr>
      </w:pPr>
    </w:p>
    <w:p>
      <w:pPr>
        <w:ind w:left="1280" w:right="80" w:hanging="946"/>
        <w:spacing w:after="0" w:line="29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206">
        <w:r>
          <w:rPr>
            <w:rFonts w:ascii="Times New Roman" w:cs="Times New Roman" w:eastAsia="Times New Roman" w:hAnsi="Times New Roman"/>
            <w:sz w:val="17"/>
            <w:szCs w:val="17"/>
            <w:u w:val="single" w:color="auto"/>
            <w:color w:val="0000FF"/>
          </w:rPr>
          <w:t>License Agreement, effective as of May 14, 2018, by and between Zymeworks BC Inc. and Daiichi Sankyo Company, Limited</w:t>
        </w:r>
      </w:hyperlink>
      <w:r>
        <w:rPr>
          <w:rFonts w:ascii="Times New Roman" w:cs="Times New Roman" w:eastAsia="Times New Roman" w:hAnsi="Times New Roman"/>
          <w:sz w:val="17"/>
          <w:szCs w:val="17"/>
          <w:u w:val="single" w:color="auto"/>
          <w:color w:val="0000FF"/>
        </w:rPr>
        <w:t xml:space="preserve"> </w:t>
      </w:r>
      <w:hyperlink r:id="rId206">
        <w:r>
          <w:rPr>
            <w:rFonts w:ascii="Times New Roman" w:cs="Times New Roman" w:eastAsia="Times New Roman" w:hAnsi="Times New Roman"/>
            <w:sz w:val="17"/>
            <w:szCs w:val="17"/>
            <w:u w:val="single" w:color="auto"/>
            <w:color w:val="0000FF"/>
          </w:rPr>
          <w:t>(incorporated by reference to Exhibit 99.1 to Zymeworks BC Inc.’s Current Report on Form 8-K filed with the SEC on May 18, 2018).</w:t>
        </w:r>
      </w:hyperlink>
    </w:p>
    <w:p>
      <w:pPr>
        <w:spacing w:after="0" w:line="19" w:lineRule="exact"/>
        <w:rPr>
          <w:sz w:val="20"/>
          <w:szCs w:val="20"/>
          <w:color w:val="auto"/>
        </w:rPr>
      </w:pPr>
    </w:p>
    <w:p>
      <w:pPr>
        <w:ind w:left="340"/>
        <w:spacing w:after="0"/>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207">
        <w:r>
          <w:rPr>
            <w:rFonts w:ascii="Times New Roman" w:cs="Times New Roman" w:eastAsia="Times New Roman" w:hAnsi="Times New Roman"/>
            <w:sz w:val="17"/>
            <w:szCs w:val="17"/>
            <w:u w:val="single" w:color="auto"/>
            <w:color w:val="0000FF"/>
          </w:rPr>
          <w:t>Termination and License Agreement by and between Zymeworks BC Inc. and Daiichi Sankyo Co., Ltd., effective as of February 28,</w:t>
        </w:r>
      </w:hyperlink>
    </w:p>
    <w:p>
      <w:pPr>
        <w:ind w:left="1280"/>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2023 (incorporated by reference to Exhibit 10.2 to the Company’s Quarterly Report on Form 10-Q filed with the SEC on May 8, 2023).</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tabs>
          <w:tab w:leader="none" w:pos="58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465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41" w:lineRule="exact"/>
        <w:rPr>
          <w:sz w:val="20"/>
          <w:szCs w:val="20"/>
          <w:color w:val="auto"/>
        </w:rPr>
      </w:pPr>
    </w:p>
    <w:p>
      <w:pPr>
        <w:ind w:left="1280" w:right="280" w:hanging="946"/>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210">
        <w:r>
          <w:rPr>
            <w:rFonts w:ascii="Times New Roman" w:cs="Times New Roman" w:eastAsia="Times New Roman" w:hAnsi="Times New Roman"/>
            <w:sz w:val="17"/>
            <w:szCs w:val="17"/>
            <w:u w:val="single" w:color="auto"/>
            <w:color w:val="0000FF"/>
          </w:rPr>
          <w:t>License and Collaboration Agreement, effective as of November 26, 2018, by and between Zymeworks BC Inc. and BeiGene Ltd.</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(incorporated by reference to Exhibit 99.1 to Zymeworks BC Inc.’s Current Report on Form 8-K filed with the SEC on December 6,</w:t>
        </w:r>
      </w:hyperlink>
    </w:p>
    <w:p>
      <w:pPr>
        <w:ind w:left="1280"/>
        <w:spacing w:after="0"/>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2018).</w:t>
        </w:r>
      </w:hyperlink>
    </w:p>
    <w:p>
      <w:pPr>
        <w:spacing w:after="0" w:line="57" w:lineRule="exact"/>
        <w:rPr>
          <w:sz w:val="20"/>
          <w:szCs w:val="20"/>
          <w:color w:val="auto"/>
        </w:rPr>
      </w:pPr>
    </w:p>
    <w:p>
      <w:pPr>
        <w:jc w:val="right"/>
        <w:ind w:left="340" w:right="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     </w:t>
      </w:r>
      <w:hyperlink r:id="rId211">
        <w:r>
          <w:rPr>
            <w:rFonts w:ascii="Times New Roman" w:cs="Times New Roman" w:eastAsia="Times New Roman" w:hAnsi="Times New Roman"/>
            <w:sz w:val="18"/>
            <w:szCs w:val="18"/>
            <w:u w:val="single" w:color="auto"/>
            <w:color w:val="0000FF"/>
          </w:rPr>
          <w:t>First Amendment to Collaboration Agreement, effective March 29, 2021, by and between Zymeworks BC Inc. and BeiGene, Ltd.</w:t>
        </w:r>
      </w:hyperlink>
      <w:r>
        <w:rPr>
          <w:rFonts w:ascii="Times New Roman" w:cs="Times New Roman" w:eastAsia="Times New Roman" w:hAnsi="Times New Roman"/>
          <w:sz w:val="18"/>
          <w:szCs w:val="18"/>
          <w:color w:val="auto"/>
        </w:rPr>
        <w:t xml:space="preserve"> </w:t>
      </w:r>
      <w:hyperlink r:id="rId211">
        <w:r>
          <w:rPr>
            <w:rFonts w:ascii="Times New Roman" w:cs="Times New Roman" w:eastAsia="Times New Roman" w:hAnsi="Times New Roman"/>
            <w:sz w:val="18"/>
            <w:szCs w:val="18"/>
            <w:u w:val="single" w:color="auto"/>
            <w:color w:val="0000FF"/>
          </w:rPr>
          <w:t>(incorporated by reference to Exhibit 99.2 to Zymeworks BC Inc.’s Quarterly Report on Form 10-Q filed with the SEC on May 5,</w:t>
        </w:r>
      </w:hyperlink>
    </w:p>
    <w:p>
      <w:pPr>
        <w:spacing w:after="0" w:line="2" w:lineRule="exact"/>
        <w:rPr>
          <w:sz w:val="20"/>
          <w:szCs w:val="20"/>
          <w:color w:val="auto"/>
        </w:rPr>
      </w:pPr>
    </w:p>
    <w:p>
      <w:pPr>
        <w:ind w:left="1280"/>
        <w:spacing w:after="0"/>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2021).</w:t>
        </w:r>
      </w:hyperlink>
    </w:p>
    <w:p>
      <w:pPr>
        <w:spacing w:after="0" w:line="57" w:lineRule="exact"/>
        <w:rPr>
          <w:sz w:val="20"/>
          <w:szCs w:val="20"/>
          <w:color w:val="auto"/>
        </w:rPr>
      </w:pPr>
    </w:p>
    <w:p>
      <w:pPr>
        <w:ind w:left="1280" w:hanging="946"/>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212">
        <w:r>
          <w:rPr>
            <w:rFonts w:ascii="Times New Roman" w:cs="Times New Roman" w:eastAsia="Times New Roman" w:hAnsi="Times New Roman"/>
            <w:sz w:val="17"/>
            <w:szCs w:val="17"/>
            <w:u w:val="single" w:color="auto"/>
            <w:color w:val="0000FF"/>
          </w:rPr>
          <w:t>Second Amendment to License and Collaboration Agreement, dated August 10, 2021, by and between Zymeworks BC Inc. and</w:t>
        </w:r>
      </w:hyperlink>
      <w:r>
        <w:rPr>
          <w:rFonts w:ascii="Times New Roman" w:cs="Times New Roman" w:eastAsia="Times New Roman" w:hAnsi="Times New Roman"/>
          <w:sz w:val="17"/>
          <w:szCs w:val="17"/>
          <w:u w:val="single" w:color="auto"/>
          <w:color w:val="0000FF"/>
        </w:rPr>
        <w:t xml:space="preserve"> </w:t>
      </w:r>
      <w:hyperlink r:id="rId212">
        <w:r>
          <w:rPr>
            <w:rFonts w:ascii="Times New Roman" w:cs="Times New Roman" w:eastAsia="Times New Roman" w:hAnsi="Times New Roman"/>
            <w:sz w:val="17"/>
            <w:szCs w:val="17"/>
            <w:u w:val="single" w:color="auto"/>
            <w:color w:val="0000FF"/>
          </w:rPr>
          <w:t>BeiGene Ltd. (incorporated by reference to Exhibit 99.2 to Zymeworks BC Inc.’s Quarterly Report on Form 10-Q filed with the SEC on</w:t>
        </w:r>
      </w:hyperlink>
    </w:p>
    <w:p>
      <w:pPr>
        <w:ind w:left="1280"/>
        <w:spacing w:after="0"/>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November 3, 2021).</w:t>
        </w:r>
      </w:hyperlink>
    </w:p>
    <w:p>
      <w:pPr>
        <w:spacing w:after="0" w:line="45" w:lineRule="exact"/>
        <w:rPr>
          <w:sz w:val="20"/>
          <w:szCs w:val="20"/>
          <w:color w:val="auto"/>
        </w:rPr>
      </w:pPr>
    </w:p>
    <w:p>
      <w:pPr>
        <w:ind w:left="340"/>
        <w:spacing w:after="0"/>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213">
        <w:r>
          <w:rPr>
            <w:rFonts w:ascii="Times New Roman" w:cs="Times New Roman" w:eastAsia="Times New Roman" w:hAnsi="Times New Roman"/>
            <w:sz w:val="18"/>
            <w:szCs w:val="18"/>
            <w:u w:val="single" w:color="auto"/>
            <w:color w:val="0000FF"/>
          </w:rPr>
          <w:t>Third Amendment License and Collaboration Agreement by and between Zymeworks BC Inc. and BeiGene, Ltd., dated September 18,</w:t>
        </w:r>
      </w:hyperlink>
    </w:p>
    <w:p>
      <w:pPr>
        <w:ind w:left="1280"/>
        <w:spacing w:after="0" w:line="219" w:lineRule="auto"/>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2023 (incorporated by reference to Exhibit 10.2 to the Company’s Current Report on Form 8-K filed with the SEC on September 21,</w:t>
        </w:r>
      </w:hyperlink>
    </w:p>
    <w:p>
      <w:pPr>
        <w:ind w:left="1280"/>
        <w:spacing w:after="0"/>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2023).</w:t>
        </w:r>
      </w:hyperlink>
    </w:p>
    <w:p>
      <w:pPr>
        <w:spacing w:after="0" w:line="57" w:lineRule="exact"/>
        <w:rPr>
          <w:sz w:val="20"/>
          <w:szCs w:val="20"/>
          <w:color w:val="auto"/>
        </w:rPr>
      </w:pPr>
    </w:p>
    <w:p>
      <w:pPr>
        <w:ind w:left="1280" w:right="360" w:hanging="946"/>
        <w:spacing w:after="0" w:line="237"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214">
        <w:r>
          <w:rPr>
            <w:rFonts w:ascii="Times New Roman" w:cs="Times New Roman" w:eastAsia="Times New Roman" w:hAnsi="Times New Roman"/>
            <w:sz w:val="18"/>
            <w:szCs w:val="18"/>
            <w:u w:val="single" w:color="auto"/>
            <w:color w:val="0000FF"/>
          </w:rPr>
          <w:t>Letter Agreement, effective October 7, 2020, by and between Zymeworks BC Inc. and BeiGene, Ltd. (incorporated by reference to</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Exhibit 99.1 to Zymeworks BC Inc.’s Quarterly Report on Form 10-Q filed with the SEC on August 4, 2021).</w:t>
        </w:r>
      </w:hyperlink>
    </w:p>
    <w:p>
      <w:pPr>
        <w:spacing w:after="0" w:line="64" w:lineRule="exact"/>
        <w:rPr>
          <w:sz w:val="20"/>
          <w:szCs w:val="20"/>
          <w:color w:val="auto"/>
        </w:rPr>
      </w:pPr>
    </w:p>
    <w:p>
      <w:pPr>
        <w:ind w:left="1280" w:right="320" w:hanging="901"/>
        <w:spacing w:after="0" w:line="237"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215">
        <w:r>
          <w:rPr>
            <w:rFonts w:ascii="Times New Roman" w:cs="Times New Roman" w:eastAsia="Times New Roman" w:hAnsi="Times New Roman"/>
            <w:sz w:val="18"/>
            <w:szCs w:val="18"/>
            <w:u w:val="single" w:color="auto"/>
            <w:color w:val="0000FF"/>
          </w:rPr>
          <w:t>Indenture of Lease dated as of January 25, 2019, by and between 5th &amp; Main Partnership and Zymeworks BC Inc. (incorporated by</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reference to Exhibit 10.29 to Zymeworks BC Inc.’s 2018 Annual Report on Form 10-K filed with the SEC on March 6, 2019).</w:t>
        </w:r>
      </w:hyperlink>
    </w:p>
    <w:p>
      <w:pPr>
        <w:spacing w:after="0" w:line="64" w:lineRule="exact"/>
        <w:rPr>
          <w:sz w:val="20"/>
          <w:szCs w:val="20"/>
          <w:color w:val="auto"/>
        </w:rPr>
      </w:pPr>
    </w:p>
    <w:p>
      <w:pPr>
        <w:ind w:left="1280" w:right="6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216">
        <w:r>
          <w:rPr>
            <w:rFonts w:ascii="Times New Roman" w:cs="Times New Roman" w:eastAsia="Times New Roman" w:hAnsi="Times New Roman"/>
            <w:sz w:val="17"/>
            <w:szCs w:val="17"/>
            <w:u w:val="single" w:color="auto"/>
            <w:color w:val="0000FF"/>
          </w:rPr>
          <w:t>Notice and Acknowledgement of Exercise of Expansion Option under Lease, dated as of June 27, 2019, by and between 5th &amp; Main</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Partnership and Zymeworks BC Inc. (incorporated by reference to Exhibit 99.2 to Zymeworks BC Inc.’s Quarterly Report on Form 10-</w:t>
        </w:r>
      </w:hyperlink>
    </w:p>
    <w:p>
      <w:pPr>
        <w:ind w:left="1280"/>
        <w:spacing w:after="0"/>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Q filed with the SEC on May 7, 2020).</w:t>
        </w:r>
      </w:hyperlink>
    </w:p>
    <w:p>
      <w:pPr>
        <w:spacing w:after="0" w:line="57" w:lineRule="exact"/>
        <w:rPr>
          <w:sz w:val="20"/>
          <w:szCs w:val="20"/>
          <w:color w:val="auto"/>
        </w:rPr>
      </w:pPr>
    </w:p>
    <w:p>
      <w:pPr>
        <w:ind w:left="1280" w:hanging="901"/>
        <w:spacing w:after="0" w:line="222"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217">
        <w:r>
          <w:rPr>
            <w:rFonts w:ascii="Times New Roman" w:cs="Times New Roman" w:eastAsia="Times New Roman" w:hAnsi="Times New Roman"/>
            <w:sz w:val="18"/>
            <w:szCs w:val="18"/>
            <w:u w:val="single" w:color="auto"/>
            <w:color w:val="0000FF"/>
          </w:rPr>
          <w:t>Lease Expansion and Modification Agreement, dated as of April 16, 2020, by and between 5th &amp; Main Partnership and Zymeworks BC</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Inc. (incorporated by reference to Exhibit 99.3 to Zymeworks BC Inc.’s Quarterly Report on Form 10-Q filed with the SEC on May 7,</w:t>
        </w:r>
      </w:hyperlink>
    </w:p>
    <w:p>
      <w:pPr>
        <w:spacing w:after="0" w:line="2" w:lineRule="exact"/>
        <w:rPr>
          <w:sz w:val="20"/>
          <w:szCs w:val="20"/>
          <w:color w:val="auto"/>
        </w:rPr>
      </w:pPr>
    </w:p>
    <w:p>
      <w:pPr>
        <w:ind w:left="1280"/>
        <w:spacing w:after="0"/>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2020).</w:t>
        </w:r>
      </w:hyperlink>
    </w:p>
    <w:p>
      <w:pPr>
        <w:spacing w:after="0" w:line="57" w:lineRule="exact"/>
        <w:rPr>
          <w:sz w:val="20"/>
          <w:szCs w:val="20"/>
          <w:color w:val="auto"/>
        </w:rPr>
      </w:pPr>
    </w:p>
    <w:p>
      <w:pPr>
        <w:jc w:val="right"/>
        <w:ind w:left="380" w:right="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10.28      </w:t>
      </w:r>
      <w:hyperlink r:id="rId218">
        <w:r>
          <w:rPr>
            <w:rFonts w:ascii="Times New Roman" w:cs="Times New Roman" w:eastAsia="Times New Roman" w:hAnsi="Times New Roman"/>
            <w:sz w:val="18"/>
            <w:szCs w:val="18"/>
            <w:u w:val="single" w:color="auto"/>
            <w:color w:val="0000FF"/>
          </w:rPr>
          <w:t>Third Lease Modification Agreement, dated February 17, 2021, by and between Zymeworks BC Inc. and 5th &amp; Main Partnership</w:t>
        </w:r>
      </w:hyperlink>
      <w:r>
        <w:rPr>
          <w:rFonts w:ascii="Times New Roman" w:cs="Times New Roman" w:eastAsia="Times New Roman" w:hAnsi="Times New Roman"/>
          <w:sz w:val="18"/>
          <w:szCs w:val="18"/>
          <w:color w:val="auto"/>
        </w:rPr>
        <w:t xml:space="preserve"> </w:t>
      </w:r>
      <w:hyperlink r:id="rId218">
        <w:r>
          <w:rPr>
            <w:rFonts w:ascii="Times New Roman" w:cs="Times New Roman" w:eastAsia="Times New Roman" w:hAnsi="Times New Roman"/>
            <w:sz w:val="18"/>
            <w:szCs w:val="18"/>
            <w:u w:val="single" w:color="auto"/>
            <w:color w:val="0000FF"/>
          </w:rPr>
          <w:t>(incorporated by reference to Exhibit 99.1 to Zymeworks BC Inc.’s Quarterly Report on Form 10-Q filed with the SEC on May 5,</w:t>
        </w:r>
      </w:hyperlink>
    </w:p>
    <w:p>
      <w:pPr>
        <w:spacing w:after="0" w:line="2" w:lineRule="exact"/>
        <w:rPr>
          <w:sz w:val="20"/>
          <w:szCs w:val="20"/>
          <w:color w:val="auto"/>
        </w:rPr>
      </w:pPr>
    </w:p>
    <w:p>
      <w:pPr>
        <w:ind w:left="1280"/>
        <w:spacing w:after="0"/>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2021).</w:t>
        </w:r>
      </w:hyperlink>
    </w:p>
    <w:p>
      <w:pPr>
        <w:spacing w:after="0" w:line="57" w:lineRule="exact"/>
        <w:rPr>
          <w:sz w:val="20"/>
          <w:szCs w:val="20"/>
          <w:color w:val="auto"/>
        </w:rPr>
      </w:pPr>
    </w:p>
    <w:p>
      <w:pPr>
        <w:ind w:left="1280" w:right="26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219">
        <w:r>
          <w:rPr>
            <w:rFonts w:ascii="Times New Roman" w:cs="Times New Roman" w:eastAsia="Times New Roman" w:hAnsi="Times New Roman"/>
            <w:sz w:val="17"/>
            <w:szCs w:val="17"/>
            <w:u w:val="single" w:color="auto"/>
            <w:color w:val="0000FF"/>
          </w:rPr>
          <w:t>Fourth Lease Modification Agreement, dated May 7, 2021, by and between Zymeworks BC Inc. and 5th and Main Partnership</w:t>
        </w:r>
      </w:hyperlink>
      <w:r>
        <w:rPr>
          <w:rFonts w:ascii="Times New Roman" w:cs="Times New Roman" w:eastAsia="Times New Roman" w:hAnsi="Times New Roman"/>
          <w:sz w:val="17"/>
          <w:szCs w:val="17"/>
          <w:u w:val="single" w:color="auto"/>
          <w:color w:val="0000FF"/>
        </w:rPr>
        <w:t xml:space="preserve"> </w:t>
      </w:r>
      <w:hyperlink r:id="rId219">
        <w:r>
          <w:rPr>
            <w:rFonts w:ascii="Times New Roman" w:cs="Times New Roman" w:eastAsia="Times New Roman" w:hAnsi="Times New Roman"/>
            <w:sz w:val="17"/>
            <w:szCs w:val="17"/>
            <w:u w:val="single" w:color="auto"/>
            <w:color w:val="0000FF"/>
          </w:rPr>
          <w:t>(incorporated by reference to Exhibit 99.5 to Zymeworks BC Inc.’s Quarterly Report on Form 10-Q filed with the SEC on August 4,</w:t>
        </w:r>
      </w:hyperlink>
    </w:p>
    <w:p>
      <w:pPr>
        <w:ind w:left="1280"/>
        <w:spacing w:after="0"/>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2021).</w:t>
        </w:r>
      </w:hyperlink>
    </w:p>
    <w:p>
      <w:pPr>
        <w:spacing w:after="0" w:line="57" w:lineRule="exact"/>
        <w:rPr>
          <w:sz w:val="20"/>
          <w:szCs w:val="20"/>
          <w:color w:val="auto"/>
        </w:rPr>
      </w:pPr>
    </w:p>
    <w:p>
      <w:pPr>
        <w:ind w:left="1280" w:right="360" w:hanging="901"/>
        <w:spacing w:after="0" w:line="237"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220">
        <w:r>
          <w:rPr>
            <w:rFonts w:ascii="Times New Roman" w:cs="Times New Roman" w:eastAsia="Times New Roman" w:hAnsi="Times New Roman"/>
            <w:sz w:val="18"/>
            <w:szCs w:val="18"/>
            <w:u w:val="single" w:color="auto"/>
            <w:color w:val="0000FF"/>
          </w:rPr>
          <w:t>Lease Amending Agreement, dated April 1, 2022, by and between Zymeworks BC Inc. and 130 E 4th Partnership (incorporated by</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reference to Exhibit 10.1 to Zymeworks BC Inc.’s Quarterly Report on Form 10-Q filed with the SEC on August 4, 2022).</w:t>
        </w:r>
      </w:hyperlink>
    </w:p>
    <w:p>
      <w:pPr>
        <w:spacing w:after="0" w:line="64" w:lineRule="exact"/>
        <w:rPr>
          <w:sz w:val="20"/>
          <w:szCs w:val="20"/>
          <w:color w:val="auto"/>
        </w:rPr>
      </w:pPr>
    </w:p>
    <w:p>
      <w:pPr>
        <w:ind w:left="1280" w:right="42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221">
        <w:r>
          <w:rPr>
            <w:rFonts w:ascii="Times New Roman" w:cs="Times New Roman" w:eastAsia="Times New Roman" w:hAnsi="Times New Roman"/>
            <w:sz w:val="17"/>
            <w:szCs w:val="17"/>
            <w:u w:val="single" w:color="auto"/>
            <w:color w:val="0000FF"/>
          </w:rPr>
          <w:t>Notice of Assignment of Lease, dated January 1, 2022 from 5th &amp; Main Partnership, 2000 Main Holdings Inc. and Mount Pixel</w:t>
        </w:r>
      </w:hyperlink>
      <w:r>
        <w:rPr>
          <w:rFonts w:ascii="Times New Roman" w:cs="Times New Roman" w:eastAsia="Times New Roman" w:hAnsi="Times New Roman"/>
          <w:sz w:val="17"/>
          <w:szCs w:val="17"/>
          <w:u w:val="single" w:color="auto"/>
          <w:color w:val="0000FF"/>
        </w:rPr>
        <w:t xml:space="preserve"> </w:t>
      </w:r>
      <w:hyperlink r:id="rId221">
        <w:r>
          <w:rPr>
            <w:rFonts w:ascii="Times New Roman" w:cs="Times New Roman" w:eastAsia="Times New Roman" w:hAnsi="Times New Roman"/>
            <w:sz w:val="17"/>
            <w:szCs w:val="17"/>
            <w:u w:val="single" w:color="auto"/>
            <w:color w:val="0000FF"/>
          </w:rPr>
          <w:t>Projects Limited Partnership to Zymeworks BC Inc. (incorporated by reference to Exhibit 10.2 to Zymeworks BC Inc.’s Quarterly</w:t>
        </w:r>
      </w:hyperlink>
    </w:p>
    <w:p>
      <w:pPr>
        <w:ind w:left="1280"/>
        <w:spacing w:after="0"/>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Report on Form 10-Q filed with the SEC on August 4, 2022).</w:t>
        </w:r>
      </w:hyperlink>
    </w:p>
    <w:p>
      <w:pPr>
        <w:spacing w:after="0" w:line="57" w:lineRule="exact"/>
        <w:rPr>
          <w:sz w:val="20"/>
          <w:szCs w:val="20"/>
          <w:color w:val="auto"/>
        </w:rPr>
      </w:pPr>
    </w:p>
    <w:p>
      <w:pPr>
        <w:ind w:left="1280" w:right="2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222">
        <w:r>
          <w:rPr>
            <w:rFonts w:ascii="Times New Roman" w:cs="Times New Roman" w:eastAsia="Times New Roman" w:hAnsi="Times New Roman"/>
            <w:sz w:val="17"/>
            <w:szCs w:val="17"/>
            <w:u w:val="single" w:color="auto"/>
            <w:color w:val="0000FF"/>
          </w:rPr>
          <w:t>Direction to Tenants, dated July 9, 2024, from 130 E 4th(2) Partnership, 130 E 4th Property Inc., and 114 East 4th Avenue, LLC to</w:t>
        </w:r>
      </w:hyperlink>
      <w:r>
        <w:rPr>
          <w:rFonts w:ascii="Times New Roman" w:cs="Times New Roman" w:eastAsia="Times New Roman" w:hAnsi="Times New Roman"/>
          <w:sz w:val="17"/>
          <w:szCs w:val="17"/>
          <w:u w:val="single" w:color="auto"/>
          <w:color w:val="0000FF"/>
        </w:rPr>
        <w:t xml:space="preserve"> </w:t>
      </w:r>
      <w:hyperlink r:id="rId222">
        <w:r>
          <w:rPr>
            <w:rFonts w:ascii="Times New Roman" w:cs="Times New Roman" w:eastAsia="Times New Roman" w:hAnsi="Times New Roman"/>
            <w:sz w:val="17"/>
            <w:szCs w:val="17"/>
            <w:u w:val="single" w:color="auto"/>
            <w:color w:val="0000FF"/>
          </w:rPr>
          <w:t>Tenants of 114 East 4th Avenue, Vancouver, BC (incorporated by reference to Exhibit 10.4 to the Company’s Quarterly Report on Form</w:t>
        </w:r>
      </w:hyperlink>
    </w:p>
    <w:p>
      <w:pPr>
        <w:sectPr>
          <w:pgSz w:w="11900" w:h="16838" w:orient="portrait"/>
          <w:cols w:equalWidth="0" w:num="1">
            <w:col w:w="11080"/>
          </w:cols>
          <w:pgMar w:left="320" w:top="225" w:right="499" w:bottom="1440" w:gutter="0" w:footer="0" w:header="0"/>
        </w:sect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10.33#</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10.34#</w:t>
      </w:r>
    </w:p>
    <w:p>
      <w:pPr>
        <w:spacing w:after="0" w:line="200" w:lineRule="exact"/>
        <w:rPr>
          <w:sz w:val="20"/>
          <w:szCs w:val="20"/>
          <w:color w:val="auto"/>
        </w:rPr>
      </w:pPr>
    </w:p>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10.35#</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10-Q filed with the SEC on October 31, 2024).</w:t>
        </w:r>
      </w:hyperlink>
    </w:p>
    <w:p>
      <w:pPr>
        <w:spacing w:after="0" w:line="70" w:lineRule="exact"/>
        <w:rPr>
          <w:sz w:val="20"/>
          <w:szCs w:val="20"/>
          <w:color w:val="auto"/>
        </w:rPr>
      </w:pPr>
    </w:p>
    <w:p>
      <w:pPr>
        <w:ind w:right="40"/>
        <w:spacing w:after="0" w:line="266"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Employment Agreement by and between Zymeworks BC Inc. and Kenneth Galbraith, dated January 5, 2022 (incorporated by reference</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to Exhibit 10.1 to Zymeworks BC Inc.’s Current Report on Form 8-K filed with the SEC on January 5, 2022).</w:t>
        </w:r>
      </w:hyperlink>
    </w:p>
    <w:p>
      <w:pPr>
        <w:spacing w:after="0" w:line="68" w:lineRule="exact"/>
        <w:rPr>
          <w:sz w:val="20"/>
          <w:szCs w:val="20"/>
          <w:color w:val="auto"/>
        </w:rPr>
      </w:pPr>
    </w:p>
    <w:p>
      <w:pPr>
        <w:ind w:right="120"/>
        <w:spacing w:after="0" w:line="258"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Amendment to Employment Agreement, dated as of December 30, 2022, by and among Kenneth Galbraith, Zymeworks BC Inc. and</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Zymeworks Management Inc. (incorporated by reference to Exhibit 10.1 to the Company’s Current Report on Form 8-K filed with the</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SEC on December 30, 2022).</w:t>
        </w:r>
      </w:hyperlink>
    </w:p>
    <w:p>
      <w:pPr>
        <w:spacing w:after="0" w:line="36"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Amendment #2 to Employment Agreement, dated as of January 3, 2024, by and among Kenneth Galbraith and Zymeworks BC Inc.</w:t>
        </w:r>
      </w:hyperlink>
    </w:p>
    <w:p>
      <w:pPr>
        <w:spacing w:after="0"/>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(incorporated by reference to Exhibit 10.1 to the Company’s Current Report on Form 8-K filed with the SEC on January 5, 2024).</w:t>
        </w:r>
      </w:hyperlink>
    </w:p>
    <w:p>
      <w:pPr>
        <w:spacing w:after="0" w:line="7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20" w:space="460"/>
            <w:col w:w="9800"/>
          </w:cols>
          <w:pgMar w:left="320" w:top="225" w:right="499" w:bottom="1440" w:gutter="0" w:footer="0" w:header="0"/>
          <w:type w:val="continuous"/>
        </w:sectPr>
      </w:pPr>
    </w:p>
    <w:p>
      <w:pPr>
        <w:ind w:left="1280" w:right="100" w:hanging="946"/>
        <w:spacing w:after="0" w:line="266"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226">
        <w:r>
          <w:rPr>
            <w:rFonts w:ascii="Times New Roman" w:cs="Times New Roman" w:eastAsia="Times New Roman" w:hAnsi="Times New Roman"/>
            <w:sz w:val="18"/>
            <w:szCs w:val="18"/>
            <w:u w:val="single" w:color="auto"/>
            <w:color w:val="0000FF"/>
          </w:rPr>
          <w:t>Employment Agreement by and between Zymeworks Pharmaceuticals Limited and Jeffrey Smith, dated January 3, 2023 (incorporated</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by reference to Exhibit 10.42 to the Company’s Annual Report on Form 10-K filed with the SEC on March 6, 2024).</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tabs>
          <w:tab w:leader="none" w:pos="58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465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10.37#</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10.38 #</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10.39#</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10.40#</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10.41#</w:t>
      </w:r>
    </w:p>
    <w:p>
      <w:pPr>
        <w:spacing w:after="0" w:line="200" w:lineRule="exact"/>
        <w:rPr>
          <w:sz w:val="20"/>
          <w:szCs w:val="20"/>
          <w:color w:val="auto"/>
        </w:rPr>
      </w:pPr>
    </w:p>
    <w:p>
      <w:pPr>
        <w:spacing w:after="0" w:line="3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10.42</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10.43</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10.44#</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10.45#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10.46#</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360"/>
        <w:spacing w:after="0" w:line="266" w:lineRule="auto"/>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Letter, dated January 5, 2024, from Zymeworks Inc. to Jeffrey Smith (incorporated by reference to Exhibit 10.43 to the Company’s</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Annual Report on Form 10-K filed with the SEC on March 6, 2024).</w:t>
        </w:r>
      </w:hyperlink>
    </w:p>
    <w:p>
      <w:pPr>
        <w:spacing w:after="0" w:line="68" w:lineRule="exact"/>
        <w:rPr>
          <w:sz w:val="20"/>
          <w:szCs w:val="20"/>
          <w:color w:val="auto"/>
        </w:rPr>
      </w:pPr>
    </w:p>
    <w:p>
      <w:pPr>
        <w:ind w:right="420"/>
        <w:spacing w:after="0" w:line="266" w:lineRule="auto"/>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Employment Agreement between Zymeworks Biopharmaceuticals Inc. and Leone Patterson, dated July 19, 2024 (incorporated by</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reference to Exhibit 10.1 to the Company’s Current Report on Form 8-K filed with the SEC on July 25, 2024).</w:t>
        </w:r>
      </w:hyperlink>
    </w:p>
    <w:p>
      <w:pPr>
        <w:spacing w:after="0" w:line="68" w:lineRule="exact"/>
        <w:rPr>
          <w:sz w:val="20"/>
          <w:szCs w:val="20"/>
          <w:color w:val="auto"/>
        </w:rPr>
      </w:pPr>
    </w:p>
    <w:p>
      <w:pPr>
        <w:jc w:val="both"/>
        <w:ind w:right="260"/>
        <w:spacing w:after="0" w:line="266" w:lineRule="auto"/>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Executive Incentive Compensation Plan (incorporated by reference to Exhibit 10.64 to the Company’s Annual Report on Form 10-K</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filed with the SEC on March 7, 2023).</w:t>
        </w:r>
      </w:hyperlink>
    </w:p>
    <w:p>
      <w:pPr>
        <w:spacing w:after="0" w:line="68" w:lineRule="exact"/>
        <w:rPr>
          <w:sz w:val="20"/>
          <w:szCs w:val="20"/>
          <w:color w:val="auto"/>
        </w:rPr>
      </w:pPr>
    </w:p>
    <w:p>
      <w:pPr>
        <w:ind w:right="860"/>
        <w:spacing w:after="0" w:line="266" w:lineRule="auto"/>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Form of Indemnification Agreement (incorporated by reference to Exhibit 10.73 to the Amendment No. 1 to the Company’s</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Registration Statement on Form S-4 filed with the SEC on August 19, 2022).</w:t>
        </w:r>
      </w:hyperlink>
    </w:p>
    <w:p>
      <w:pPr>
        <w:spacing w:after="0" w:line="68" w:lineRule="exact"/>
        <w:rPr>
          <w:sz w:val="20"/>
          <w:szCs w:val="20"/>
          <w:color w:val="auto"/>
        </w:rPr>
      </w:pPr>
    </w:p>
    <w:p>
      <w:pPr>
        <w:jc w:val="both"/>
        <w:ind w:right="260"/>
        <w:spacing w:after="0" w:line="258" w:lineRule="auto"/>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Amended and Restated Employment Agreement by and between Zymeworks BC Inc., the Company and Paul Moore, dated July 14,</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2023 (incorporated by reference to Exhibit 10.2 to the Company’s Quarterly Report on Form 10-Q filed with the SEC on August 10,</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2023).</w:t>
        </w:r>
      </w:hyperlink>
    </w:p>
    <w:p>
      <w:pPr>
        <w:spacing w:after="0" w:line="61" w:lineRule="exact"/>
        <w:rPr>
          <w:rFonts w:ascii="Times New Roman" w:cs="Times New Roman" w:eastAsia="Times New Roman" w:hAnsi="Times New Roman"/>
          <w:sz w:val="18"/>
          <w:szCs w:val="18"/>
          <w:u w:val="single" w:color="auto"/>
          <w:color w:val="0000FF"/>
        </w:rPr>
      </w:pPr>
    </w:p>
    <w:p>
      <w:pPr>
        <w:ind w:right="380"/>
        <w:spacing w:after="0" w:line="266"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Notice of Articles of ExchangeCo (incorporated by reference to Exhibit 10.79 to Amendment No. 1 to the Company’s Registration</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Statement on Form S-4 filed with the SEC on August 19, 2022).</w:t>
        </w:r>
      </w:hyperlink>
    </w:p>
    <w:p>
      <w:pPr>
        <w:spacing w:after="0" w:line="54" w:lineRule="exact"/>
        <w:rPr>
          <w:sz w:val="20"/>
          <w:szCs w:val="20"/>
          <w:color w:val="auto"/>
        </w:rPr>
      </w:pPr>
    </w:p>
    <w:p>
      <w:pPr>
        <w:ind w:right="120"/>
        <w:spacing w:after="0" w:line="237" w:lineRule="auto"/>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Articles of ExchangeCo (incorporated by reference to Exhibit 10.80 to Amendment No. 1 to the Company’s Registration Statement on</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Form S-4 filed with the SEC on August 19, 2022).</w:t>
        </w:r>
      </w:hyperlink>
    </w:p>
    <w:p>
      <w:pPr>
        <w:spacing w:after="0" w:line="64" w:lineRule="exact"/>
        <w:rPr>
          <w:sz w:val="20"/>
          <w:szCs w:val="20"/>
          <w:color w:val="auto"/>
        </w:rPr>
      </w:pPr>
    </w:p>
    <w:p>
      <w:pPr>
        <w:ind w:right="620"/>
        <w:spacing w:after="0" w:line="263" w:lineRule="auto"/>
        <w:rPr>
          <w:rFonts w:ascii="Times New Roman" w:cs="Times New Roman" w:eastAsia="Times New Roman" w:hAnsi="Times New Roman"/>
          <w:sz w:val="17"/>
          <w:szCs w:val="17"/>
          <w:u w:val="single" w:color="auto"/>
          <w:color w:val="0000FF"/>
        </w:rPr>
      </w:pPr>
      <w:hyperlink r:id="rId236">
        <w:r>
          <w:rPr>
            <w:rFonts w:ascii="Times New Roman" w:cs="Times New Roman" w:eastAsia="Times New Roman" w:hAnsi="Times New Roman"/>
            <w:sz w:val="17"/>
            <w:szCs w:val="17"/>
            <w:u w:val="single" w:color="auto"/>
            <w:color w:val="0000FF"/>
          </w:rPr>
          <w:t>Amended and Restated Inducement Stock Option and Equity Compensation Plan (and forms of award agreements thereunder)</w:t>
        </w:r>
      </w:hyperlink>
      <w:r>
        <w:rPr>
          <w:rFonts w:ascii="Times New Roman" w:cs="Times New Roman" w:eastAsia="Times New Roman" w:hAnsi="Times New Roman"/>
          <w:sz w:val="17"/>
          <w:szCs w:val="17"/>
          <w:u w:val="single" w:color="auto"/>
          <w:color w:val="0000FF"/>
        </w:rPr>
        <w:t xml:space="preserve"> </w:t>
      </w:r>
      <w:hyperlink r:id="rId236">
        <w:r>
          <w:rPr>
            <w:rFonts w:ascii="Times New Roman" w:cs="Times New Roman" w:eastAsia="Times New Roman" w:hAnsi="Times New Roman"/>
            <w:sz w:val="17"/>
            <w:szCs w:val="17"/>
            <w:u w:val="single" w:color="auto"/>
            <w:color w:val="0000FF"/>
          </w:rPr>
          <w:t>(incorporated by reference to Exhibit 10.2 to the Company’s Current Report on Form 8-K filed with the SEC on July 25, 2024).</w:t>
        </w:r>
      </w:hyperlink>
    </w:p>
    <w:p>
      <w:pPr>
        <w:spacing w:after="0" w:line="44" w:lineRule="exact"/>
        <w:rPr>
          <w:sz w:val="20"/>
          <w:szCs w:val="20"/>
          <w:color w:val="auto"/>
        </w:rPr>
      </w:pPr>
    </w:p>
    <w:p>
      <w:pPr>
        <w:ind w:right="280"/>
        <w:spacing w:after="0" w:line="222" w:lineRule="auto"/>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Amended and Restated Stock Option and Equity Compensation Plan of the Company (and forms of agreements thereunder) and UK</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Sub-Plan to the Amended and Restated Stock Option and Equity Compensation Plan of the Company (and forms of agreements</w:t>
        </w:r>
      </w:hyperlink>
    </w:p>
    <w:p>
      <w:pPr>
        <w:spacing w:after="0" w:line="2" w:lineRule="exact"/>
        <w:rPr>
          <w:sz w:val="20"/>
          <w:szCs w:val="20"/>
          <w:color w:val="auto"/>
        </w:rPr>
      </w:pPr>
    </w:p>
    <w:p>
      <w:pPr>
        <w:ind w:right="60"/>
        <w:spacing w:after="0" w:line="226" w:lineRule="auto"/>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u w:val="single" w:color="auto"/>
            <w:color w:val="0000FF"/>
          </w:rPr>
          <w:t>thereunder) (incorporated by reference to Exhibit 10.2 to the Company’s Quarterly Report on Form 10-Q filed with the SEC on August</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1, 2024)</w:t>
        </w:r>
        <w:r>
          <w:rPr>
            <w:rFonts w:ascii="Times New Roman" w:cs="Times New Roman" w:eastAsia="Times New Roman" w:hAnsi="Times New Roman"/>
            <w:sz w:val="18"/>
            <w:szCs w:val="18"/>
            <w:color w:val="000000"/>
          </w:rPr>
          <w:t>.</w:t>
        </w:r>
      </w:hyperlink>
    </w:p>
    <w:p>
      <w:pPr>
        <w:spacing w:after="0" w:line="49" w:lineRule="exact"/>
        <w:rPr>
          <w:sz w:val="20"/>
          <w:szCs w:val="20"/>
          <w:color w:val="auto"/>
        </w:rPr>
      </w:pPr>
    </w:p>
    <w:p>
      <w:pPr>
        <w:ind w:right="200"/>
        <w:spacing w:after="0" w:line="237" w:lineRule="auto"/>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Second Amended and Restated Employee Stock Option Plan of the Company (and forms of agreements thereunder) (incorporated by</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reference to Exhibit 10.4 to the Company’s Current Report on Form 8-K12B filed with the SEC on October 13, 2022).</w:t>
        </w:r>
      </w:hyperlink>
    </w:p>
    <w:p>
      <w:pPr>
        <w:spacing w:after="0" w:line="64" w:lineRule="exact"/>
        <w:rPr>
          <w:sz w:val="20"/>
          <w:szCs w:val="20"/>
          <w:color w:val="auto"/>
        </w:rPr>
      </w:pPr>
    </w:p>
    <w:p>
      <w:pPr>
        <w:sectPr>
          <w:pgSz w:w="11900" w:h="16838" w:orient="portrait"/>
          <w:cols w:equalWidth="0" w:num="2">
            <w:col w:w="860" w:space="420"/>
            <w:col w:w="9800"/>
          </w:cols>
          <w:pgMar w:left="320" w:top="225" w:right="499" w:bottom="1440" w:gutter="0" w:footer="0" w:header="0"/>
          <w:type w:val="continuous"/>
        </w:sectPr>
      </w:pPr>
    </w:p>
    <w:p>
      <w:pPr>
        <w:ind w:left="1280" w:right="240" w:hanging="946"/>
        <w:spacing w:after="0" w:line="266"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10.47#</w:t>
      </w:r>
      <w:r>
        <w:rPr>
          <w:sz w:val="20"/>
          <w:szCs w:val="20"/>
          <w:color w:val="auto"/>
        </w:rPr>
        <w:tab/>
      </w:r>
      <w:hyperlink r:id="rId239">
        <w:r>
          <w:rPr>
            <w:rFonts w:ascii="Times New Roman" w:cs="Times New Roman" w:eastAsia="Times New Roman" w:hAnsi="Times New Roman"/>
            <w:sz w:val="18"/>
            <w:szCs w:val="18"/>
            <w:u w:val="single" w:color="auto"/>
            <w:color w:val="0000FF"/>
          </w:rPr>
          <w:t>Amended and Restated Employee Stock Purchase Plan of the Company (incorporated by reference to Exhibit 10.5 to the Company’s</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Current Report on Form 8-K12B filed with the SEC on October 13, 2022).</w:t>
        </w:r>
      </w:hyperlink>
    </w:p>
    <w:p>
      <w:pPr>
        <w:spacing w:after="0" w:line="68" w:lineRule="exact"/>
        <w:rPr>
          <w:sz w:val="20"/>
          <w:szCs w:val="20"/>
          <w:color w:val="auto"/>
        </w:rPr>
      </w:pPr>
    </w:p>
    <w:p>
      <w:pPr>
        <w:ind w:left="1280" w:right="320" w:hanging="901"/>
        <w:spacing w:after="0" w:line="266"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10.48</w:t>
      </w:r>
      <w:r>
        <w:rPr>
          <w:sz w:val="20"/>
          <w:szCs w:val="20"/>
          <w:color w:val="auto"/>
        </w:rPr>
        <w:tab/>
      </w:r>
      <w:hyperlink r:id="rId240">
        <w:r>
          <w:rPr>
            <w:rFonts w:ascii="Times New Roman" w:cs="Times New Roman" w:eastAsia="Times New Roman" w:hAnsi="Times New Roman"/>
            <w:sz w:val="18"/>
            <w:szCs w:val="18"/>
            <w:u w:val="single" w:color="auto"/>
            <w:color w:val="0000FF"/>
          </w:rPr>
          <w:t>Sales Agreement, dated August 2, 2024, by and between the Company and TD Securities (USA) LLC (incorporated by reference to</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Exhibit 1.1 to the Company’s Current Report on Form 8-K filed with the SEC on August 2, 2024).</w:t>
        </w:r>
      </w:hyperlink>
    </w:p>
    <w:p>
      <w:pPr>
        <w:spacing w:after="0" w:line="68" w:lineRule="exact"/>
        <w:rPr>
          <w:sz w:val="20"/>
          <w:szCs w:val="20"/>
          <w:color w:val="auto"/>
        </w:rPr>
      </w:pPr>
    </w:p>
    <w:p>
      <w:pPr>
        <w:ind w:left="1280" w:right="200" w:hanging="946"/>
        <w:spacing w:after="0" w:line="258"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10.49*</w:t>
      </w:r>
      <w:r>
        <w:rPr>
          <w:sz w:val="20"/>
          <w:szCs w:val="20"/>
          <w:color w:val="auto"/>
        </w:rPr>
        <w:tab/>
      </w:r>
      <w:hyperlink r:id="rId241">
        <w:r>
          <w:rPr>
            <w:rFonts w:ascii="Times New Roman" w:cs="Times New Roman" w:eastAsia="Times New Roman" w:hAnsi="Times New Roman"/>
            <w:sz w:val="18"/>
            <w:szCs w:val="18"/>
            <w:u w:val="single" w:color="auto"/>
            <w:color w:val="0000FF"/>
          </w:rPr>
          <w:t>Amended and Restated License and Collaboration Agreement, dated May 15, 2023, by and between Zymeworks BC Inc. and Jazz</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Pharmaceuticals Ireland Limited (incorporated by reference to Exhibit 10.1 to the Company’s Current Report on Form 8-K filed with</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the SEC on May 16, 2023).</w:t>
        </w:r>
      </w:hyperlink>
    </w:p>
    <w:p>
      <w:pPr>
        <w:spacing w:after="0" w:line="61" w:lineRule="exact"/>
        <w:rPr>
          <w:rFonts w:ascii="Times New Roman" w:cs="Times New Roman" w:eastAsia="Times New Roman" w:hAnsi="Times New Roman"/>
          <w:sz w:val="18"/>
          <w:szCs w:val="18"/>
          <w:u w:val="single" w:color="auto"/>
          <w:color w:val="0000FF"/>
        </w:rPr>
      </w:pPr>
    </w:p>
    <w:p>
      <w:pPr>
        <w:ind w:left="1280" w:hanging="1042"/>
        <w:spacing w:after="0" w:line="250"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10.50*, +</w:t>
      </w:r>
      <w:r>
        <w:rPr>
          <w:sz w:val="20"/>
          <w:szCs w:val="20"/>
          <w:color w:val="auto"/>
        </w:rPr>
        <w:tab/>
      </w:r>
      <w:hyperlink r:id="rId242">
        <w:r>
          <w:rPr>
            <w:rFonts w:ascii="Times New Roman" w:cs="Times New Roman" w:eastAsia="Times New Roman" w:hAnsi="Times New Roman"/>
            <w:sz w:val="18"/>
            <w:szCs w:val="18"/>
            <w:u w:val="single" w:color="auto"/>
            <w:color w:val="0000FF"/>
          </w:rPr>
          <w:t>Stock and Asset Purchase Agreement, dated April 25, 2023, by and between Zymeworks BC Inc., Zymeworks Biopharmaceuticals Inc.,</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Zymeworks Zanidatamab Inc., and Jazz Pharmaceuticals, Inc. (incorporated by reference to Exhibit 10.4 to the Company’s Quarterly</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Report on Form 10-Q filed with the SEC on August 10, 2023).</w:t>
        </w:r>
      </w:hyperlink>
    </w:p>
    <w:p>
      <w:pPr>
        <w:spacing w:after="0" w:line="69" w:lineRule="exact"/>
        <w:rPr>
          <w:rFonts w:ascii="Times New Roman" w:cs="Times New Roman" w:eastAsia="Times New Roman" w:hAnsi="Times New Roman"/>
          <w:sz w:val="18"/>
          <w:szCs w:val="18"/>
          <w:u w:val="single" w:color="auto"/>
          <w:color w:val="0000FF"/>
        </w:rPr>
      </w:pPr>
    </w:p>
    <w:p>
      <w:pPr>
        <w:ind w:left="1280" w:right="240" w:hanging="1042"/>
        <w:spacing w:after="0" w:line="222"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10.51*, +</w:t>
      </w:r>
      <w:r>
        <w:rPr>
          <w:sz w:val="20"/>
          <w:szCs w:val="20"/>
          <w:color w:val="auto"/>
        </w:rPr>
        <w:tab/>
      </w:r>
      <w:hyperlink r:id="rId243">
        <w:r>
          <w:rPr>
            <w:rFonts w:ascii="Times New Roman" w:cs="Times New Roman" w:eastAsia="Times New Roman" w:hAnsi="Times New Roman"/>
            <w:sz w:val="18"/>
            <w:szCs w:val="18"/>
            <w:u w:val="single" w:color="auto"/>
            <w:color w:val="0000FF"/>
          </w:rPr>
          <w:t>Amendment No. 1 to Stock and Asset Purchase Agreement, dated May 15, 2023, by and between Zymeworks BC Inc., Zymeworks</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Biopharmaceuticals Inc., Zymeworks Zanidatamab Inc., and Jazz Pharmaceuticals, Inc. (incorporated by reference to Exhibit 10.5 to</w:t>
        </w:r>
      </w:hyperlink>
    </w:p>
    <w:p>
      <w:pPr>
        <w:spacing w:after="0" w:line="2" w:lineRule="exact"/>
        <w:rPr>
          <w:sz w:val="20"/>
          <w:szCs w:val="20"/>
          <w:color w:val="auto"/>
        </w:rPr>
      </w:pPr>
    </w:p>
    <w:p>
      <w:pPr>
        <w:ind w:left="1280"/>
        <w:spacing w:after="0"/>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the Company’s Quarterly Report on Form 10-Q filed with the SEC on August 10, 2023).</w:t>
        </w:r>
      </w:hyperlink>
    </w:p>
    <w:p>
      <w:pPr>
        <w:spacing w:after="0" w:line="57" w:lineRule="exact"/>
        <w:rPr>
          <w:sz w:val="20"/>
          <w:szCs w:val="20"/>
          <w:color w:val="auto"/>
        </w:rPr>
      </w:pPr>
    </w:p>
    <w:p>
      <w:pPr>
        <w:ind w:left="1280" w:right="60" w:hanging="946"/>
        <w:spacing w:after="0" w:line="263"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10.52*</w:t>
      </w:r>
      <w:r>
        <w:rPr>
          <w:sz w:val="20"/>
          <w:szCs w:val="20"/>
          <w:color w:val="auto"/>
        </w:rPr>
        <w:tab/>
      </w:r>
      <w:hyperlink r:id="rId244">
        <w:r>
          <w:rPr>
            <w:rFonts w:ascii="Times New Roman" w:cs="Times New Roman" w:eastAsia="Times New Roman" w:hAnsi="Times New Roman"/>
            <w:sz w:val="17"/>
            <w:szCs w:val="17"/>
            <w:u w:val="single" w:color="auto"/>
            <w:color w:val="0000FF"/>
          </w:rPr>
          <w:t>Fifth Amendment to Collaboration Agreement, effective March 3, 2025, by and between Zymeworks BC Inc. and Celgene Corporation</w:t>
        </w:r>
      </w:hyperlink>
      <w:r>
        <w:rPr>
          <w:rFonts w:ascii="Times New Roman" w:cs="Times New Roman" w:eastAsia="Times New Roman" w:hAnsi="Times New Roman"/>
          <w:sz w:val="17"/>
          <w:szCs w:val="17"/>
          <w:u w:val="single" w:color="auto"/>
          <w:color w:val="0000FF"/>
        </w:rPr>
        <w:t xml:space="preserve"> </w:t>
      </w:r>
      <w:hyperlink r:id="rId244">
        <w:r>
          <w:rPr>
            <w:rFonts w:ascii="Times New Roman" w:cs="Times New Roman" w:eastAsia="Times New Roman" w:hAnsi="Times New Roman"/>
            <w:sz w:val="17"/>
            <w:szCs w:val="17"/>
            <w:u w:val="single" w:color="auto"/>
            <w:color w:val="0000FF"/>
          </w:rPr>
          <w:t>(incorporated by reference to Exhibit 10.1 to the Company’s Quarterly Report on Form 10-Q filed with the SEC on May 8, 2025).</w:t>
        </w:r>
      </w:hyperlink>
    </w:p>
    <w:p>
      <w:pPr>
        <w:spacing w:after="0" w:line="44" w:lineRule="exact"/>
        <w:rPr>
          <w:sz w:val="20"/>
          <w:szCs w:val="20"/>
          <w:color w:val="auto"/>
        </w:rPr>
      </w:pPr>
    </w:p>
    <w:p>
      <w:pPr>
        <w:ind w:left="1280" w:right="500" w:hanging="946"/>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10.53*</w:t>
      </w:r>
      <w:r>
        <w:rPr>
          <w:sz w:val="20"/>
          <w:szCs w:val="20"/>
          <w:color w:val="auto"/>
        </w:rPr>
        <w:tab/>
      </w:r>
      <w:hyperlink r:id="rId245">
        <w:r>
          <w:rPr>
            <w:rFonts w:ascii="Times New Roman" w:cs="Times New Roman" w:eastAsia="Times New Roman" w:hAnsi="Times New Roman"/>
            <w:sz w:val="17"/>
            <w:szCs w:val="17"/>
            <w:u w:val="single" w:color="auto"/>
            <w:color w:val="0000FF"/>
          </w:rPr>
          <w:t>First Amendment to Research License and Commercial Option Agreement, effective July 7, 2025, by and among Merck Sharp &amp;</w:t>
        </w:r>
      </w:hyperlink>
      <w:r>
        <w:rPr>
          <w:rFonts w:ascii="Times New Roman" w:cs="Times New Roman" w:eastAsia="Times New Roman" w:hAnsi="Times New Roman"/>
          <w:sz w:val="17"/>
          <w:szCs w:val="17"/>
          <w:u w:val="single" w:color="auto"/>
          <w:color w:val="0000FF"/>
        </w:rPr>
        <w:t xml:space="preserve"> </w:t>
      </w:r>
      <w:hyperlink r:id="rId245">
        <w:r>
          <w:rPr>
            <w:rFonts w:ascii="Times New Roman" w:cs="Times New Roman" w:eastAsia="Times New Roman" w:hAnsi="Times New Roman"/>
            <w:sz w:val="17"/>
            <w:szCs w:val="17"/>
            <w:u w:val="single" w:color="auto"/>
            <w:color w:val="0000FF"/>
          </w:rPr>
          <w:t>Dohme LLC, Intervet International B.V., and Zymeworks BC Inc. (incorporated by reference to Exhibit 10.2 to the Company’s</w:t>
        </w:r>
      </w:hyperlink>
    </w:p>
    <w:p>
      <w:pPr>
        <w:ind w:left="1280"/>
        <w:spacing w:after="0"/>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Quarterly Report on Form 10-Q filed with the SEC on August 7, 2025).</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tabs>
          <w:tab w:leader="none" w:pos="58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465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7">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41" w:lineRule="exact"/>
        <w:rPr>
          <w:sz w:val="20"/>
          <w:szCs w:val="20"/>
          <w:color w:val="auto"/>
        </w:rPr>
      </w:pPr>
    </w:p>
    <w:p>
      <w:pPr>
        <w:ind w:left="1280" w:right="180" w:hanging="901"/>
        <w:spacing w:after="0" w:line="237"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10.54</w:t>
      </w:r>
      <w:r>
        <w:rPr>
          <w:sz w:val="20"/>
          <w:szCs w:val="20"/>
          <w:color w:val="auto"/>
        </w:rPr>
        <w:tab/>
      </w:r>
      <w:hyperlink r:id="rId248">
        <w:r>
          <w:rPr>
            <w:rFonts w:ascii="Times New Roman" w:cs="Times New Roman" w:eastAsia="Times New Roman" w:hAnsi="Times New Roman"/>
            <w:sz w:val="18"/>
            <w:szCs w:val="18"/>
            <w:u w:val="single" w:color="auto"/>
            <w:color w:val="0000FF"/>
          </w:rPr>
          <w:t>Stock Purchase Agreement, dated August 10, 2025, by and between the Company and Gregory Ciongoli (incorporated by reference to</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Exhibit 10.1 to the Company’s Current Report on Form 8-K filed with the SEC on August 11, 2025).</w:t>
        </w:r>
      </w:hyperlink>
    </w:p>
    <w:p>
      <w:pPr>
        <w:spacing w:after="0" w:line="104" w:lineRule="exact"/>
        <w:rPr>
          <w:sz w:val="20"/>
          <w:szCs w:val="20"/>
          <w:color w:val="auto"/>
        </w:rPr>
      </w:pPr>
    </w:p>
    <w:p>
      <w:pPr>
        <w:ind w:left="1280" w:right="500" w:hanging="946"/>
        <w:spacing w:after="0" w:line="237" w:lineRule="auto"/>
        <w:tabs>
          <w:tab w:leader="none" w:pos="1260" w:val="left"/>
        </w:tabs>
        <w:rPr>
          <w:sz w:val="20"/>
          <w:szCs w:val="20"/>
          <w:color w:val="auto"/>
        </w:rPr>
      </w:pPr>
      <w:r>
        <w:rPr>
          <w:rFonts w:ascii="Times New Roman" w:cs="Times New Roman" w:eastAsia="Times New Roman" w:hAnsi="Times New Roman"/>
          <w:sz w:val="18"/>
          <w:szCs w:val="18"/>
          <w:color w:val="auto"/>
        </w:rPr>
        <w:t>10.55*</w:t>
      </w:r>
      <w:r>
        <w:rPr>
          <w:sz w:val="20"/>
          <w:szCs w:val="20"/>
          <w:color w:val="auto"/>
        </w:rPr>
        <w:tab/>
      </w:r>
      <w:r>
        <w:rPr>
          <w:rFonts w:ascii="Times New Roman" w:cs="Times New Roman" w:eastAsia="Times New Roman" w:hAnsi="Times New Roman"/>
          <w:sz w:val="18"/>
          <w:szCs w:val="18"/>
          <w:u w:val="single" w:color="auto"/>
          <w:color w:val="0000FF"/>
        </w:rPr>
        <w:t>Three-Party Royalty Payment Agreement by and among Zymeworks BC Inc., BeOne Medicines Ltd., and BeOne Pharmaceutical (Suzhou) Co., Ltd., dated October 30, 2025.</w:t>
      </w:r>
    </w:p>
    <w:p>
      <w:pPr>
        <w:spacing w:after="0" w:line="104" w:lineRule="exact"/>
        <w:rPr>
          <w:sz w:val="20"/>
          <w:szCs w:val="20"/>
          <w:color w:val="auto"/>
        </w:rPr>
      </w:pPr>
    </w:p>
    <w:p>
      <w:pPr>
        <w:ind w:left="340"/>
        <w:spacing w:after="0"/>
        <w:tabs>
          <w:tab w:leader="none" w:pos="1260" w:val="left"/>
        </w:tabs>
        <w:rPr>
          <w:sz w:val="20"/>
          <w:szCs w:val="20"/>
          <w:color w:val="auto"/>
        </w:rPr>
      </w:pPr>
      <w:r>
        <w:rPr>
          <w:rFonts w:ascii="Times New Roman" w:cs="Times New Roman" w:eastAsia="Times New Roman" w:hAnsi="Times New Roman"/>
          <w:sz w:val="18"/>
          <w:szCs w:val="18"/>
          <w:color w:val="auto"/>
        </w:rPr>
        <w:t>10.56#</w:t>
      </w:r>
      <w:r>
        <w:rPr>
          <w:sz w:val="20"/>
          <w:szCs w:val="20"/>
          <w:color w:val="auto"/>
        </w:rPr>
        <w:tab/>
      </w:r>
      <w:r>
        <w:rPr>
          <w:rFonts w:ascii="Times New Roman" w:cs="Times New Roman" w:eastAsia="Times New Roman" w:hAnsi="Times New Roman"/>
          <w:sz w:val="17"/>
          <w:szCs w:val="17"/>
          <w:u w:val="single" w:color="auto"/>
          <w:color w:val="0000FF"/>
        </w:rPr>
        <w:t>Employment Agreement by and between Mark Hollywood and Zymeworks Biopharmaceuticals Inc., effective as of March 25, 2019.</w:t>
      </w:r>
    </w:p>
    <w:p>
      <w:pPr>
        <w:spacing w:after="0" w:line="77" w:lineRule="exact"/>
        <w:rPr>
          <w:sz w:val="20"/>
          <w:szCs w:val="20"/>
          <w:color w:val="auto"/>
        </w:rPr>
      </w:pPr>
    </w:p>
    <w:p>
      <w:pPr>
        <w:ind w:left="340"/>
        <w:spacing w:after="0"/>
        <w:tabs>
          <w:tab w:leader="none" w:pos="1260" w:val="left"/>
        </w:tabs>
        <w:rPr>
          <w:sz w:val="20"/>
          <w:szCs w:val="20"/>
          <w:color w:val="auto"/>
        </w:rPr>
      </w:pPr>
      <w:r>
        <w:rPr>
          <w:rFonts w:ascii="Times New Roman" w:cs="Times New Roman" w:eastAsia="Times New Roman" w:hAnsi="Times New Roman"/>
          <w:sz w:val="18"/>
          <w:szCs w:val="18"/>
          <w:color w:val="auto"/>
        </w:rPr>
        <w:t>10.57#</w:t>
      </w:r>
      <w:r>
        <w:rPr>
          <w:sz w:val="20"/>
          <w:szCs w:val="20"/>
          <w:color w:val="auto"/>
        </w:rPr>
        <w:tab/>
      </w:r>
      <w:r>
        <w:rPr>
          <w:rFonts w:ascii="Times New Roman" w:cs="Times New Roman" w:eastAsia="Times New Roman" w:hAnsi="Times New Roman"/>
          <w:sz w:val="17"/>
          <w:szCs w:val="17"/>
          <w:u w:val="single" w:color="auto"/>
          <w:color w:val="0000FF"/>
        </w:rPr>
        <w:t>Employment Agreement by and between Dr. Sabeen Mekan and Zymeworks Biopharmaceuticals Inc., effective as of April 21, 2025.</w:t>
      </w:r>
    </w:p>
    <w:p>
      <w:pPr>
        <w:spacing w:after="0" w:line="77" w:lineRule="exact"/>
        <w:rPr>
          <w:sz w:val="20"/>
          <w:szCs w:val="20"/>
          <w:color w:val="auto"/>
        </w:rPr>
      </w:pPr>
    </w:p>
    <w:p>
      <w:pPr>
        <w:ind w:left="1280" w:right="120" w:hanging="946"/>
        <w:spacing w:after="0" w:line="237" w:lineRule="auto"/>
        <w:tabs>
          <w:tab w:leader="none" w:pos="1260" w:val="left"/>
        </w:tabs>
        <w:rPr>
          <w:sz w:val="20"/>
          <w:szCs w:val="20"/>
          <w:color w:val="auto"/>
        </w:rPr>
      </w:pPr>
      <w:r>
        <w:rPr>
          <w:rFonts w:ascii="Times New Roman" w:cs="Times New Roman" w:eastAsia="Times New Roman" w:hAnsi="Times New Roman"/>
          <w:sz w:val="18"/>
          <w:szCs w:val="18"/>
          <w:color w:val="auto"/>
        </w:rPr>
        <w:t>10.58#</w:t>
      </w:r>
      <w:r>
        <w:rPr>
          <w:sz w:val="20"/>
          <w:szCs w:val="20"/>
          <w:color w:val="auto"/>
        </w:rPr>
        <w:tab/>
      </w:r>
      <w:r>
        <w:rPr>
          <w:rFonts w:ascii="Times New Roman" w:cs="Times New Roman" w:eastAsia="Times New Roman" w:hAnsi="Times New Roman"/>
          <w:sz w:val="18"/>
          <w:szCs w:val="18"/>
          <w:u w:val="single" w:color="auto"/>
          <w:color w:val="0000FF"/>
        </w:rPr>
        <w:t>Severance Agreement, Consultancy Agreement, and Assignment and Novation Agreement by and among Zymeworks Pharmaceuticals Limited, Zymeworks BC Inc., and Jeffrey Smith dated January 31, 2026.</w:t>
      </w:r>
    </w:p>
    <w:p>
      <w:pPr>
        <w:spacing w:after="0" w:line="64" w:lineRule="exact"/>
        <w:rPr>
          <w:sz w:val="20"/>
          <w:szCs w:val="20"/>
          <w:color w:val="auto"/>
        </w:rPr>
      </w:pPr>
    </w:p>
    <w:p>
      <w:pPr>
        <w:ind w:left="240"/>
        <w:spacing w:after="0"/>
        <w:tabs>
          <w:tab w:leader="none" w:pos="1260" w:val="left"/>
        </w:tabs>
        <w:rPr>
          <w:sz w:val="20"/>
          <w:szCs w:val="20"/>
          <w:color w:val="auto"/>
        </w:rPr>
      </w:pPr>
      <w:r>
        <w:rPr>
          <w:rFonts w:ascii="Times New Roman" w:cs="Times New Roman" w:eastAsia="Times New Roman" w:hAnsi="Times New Roman"/>
          <w:sz w:val="18"/>
          <w:szCs w:val="18"/>
          <w:color w:val="auto"/>
        </w:rPr>
        <w:t>10.59#, +</w:t>
      </w:r>
      <w:r>
        <w:rPr>
          <w:sz w:val="20"/>
          <w:szCs w:val="20"/>
          <w:color w:val="auto"/>
        </w:rPr>
        <w:tab/>
      </w:r>
      <w:r>
        <w:rPr>
          <w:rFonts w:ascii="Times New Roman" w:cs="Times New Roman" w:eastAsia="Times New Roman" w:hAnsi="Times New Roman"/>
          <w:sz w:val="17"/>
          <w:szCs w:val="17"/>
          <w:u w:val="single" w:color="auto"/>
          <w:color w:val="0000FF"/>
        </w:rPr>
        <w:t>Separation Agreement and Release, by and between Leone Patterson and Zymeworks Biopharmaceuticals, Inc., dated February 1, 2026.</w:t>
      </w:r>
    </w:p>
    <w:p>
      <w:pPr>
        <w:spacing w:after="0" w:line="77"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u w:val="single" w:color="auto"/>
          <w:color w:val="0000FF"/>
        </w:rPr>
        <w:t>Insider Trading Policy.</w:t>
      </w:r>
    </w:p>
    <w:p>
      <w:pPr>
        <w:spacing w:after="0" w:line="77"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0000FF"/>
        </w:rPr>
        <w:t>Subsidiaries of the Company.</w:t>
      </w:r>
    </w:p>
    <w:p>
      <w:pPr>
        <w:spacing w:after="0" w:line="77"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KPMG LLP, an Independent Registered Public Accounting Firm.</w:t>
      </w:r>
    </w:p>
    <w:p>
      <w:pPr>
        <w:spacing w:after="0" w:line="77"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 or 15d-14(a) of the Securities Exchange Act of 1934.</w:t>
      </w:r>
    </w:p>
    <w:p>
      <w:pPr>
        <w:spacing w:after="0" w:line="77"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 or 15d-14(a) of the Securities Exchange Act of 1934.</w:t>
      </w:r>
    </w:p>
    <w:p>
      <w:pPr>
        <w:spacing w:after="0" w:line="77" w:lineRule="exact"/>
        <w:rPr>
          <w:sz w:val="20"/>
          <w:szCs w:val="20"/>
          <w:color w:val="auto"/>
        </w:rPr>
      </w:pPr>
    </w:p>
    <w:p>
      <w:pPr>
        <w:ind w:left="1280" w:right="280" w:hanging="856"/>
        <w:spacing w:after="0" w:line="237" w:lineRule="auto"/>
        <w:tabs>
          <w:tab w:leader="none" w:pos="12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pursuant to 18 U.S.C. Section 1350, as adopted pursuant to Section 906 of the Sarbanes-Oxley Act of 2002.</w:t>
      </w:r>
    </w:p>
    <w:p>
      <w:pPr>
        <w:spacing w:after="0" w:line="64" w:lineRule="exact"/>
        <w:rPr>
          <w:sz w:val="20"/>
          <w:szCs w:val="20"/>
          <w:color w:val="auto"/>
        </w:rPr>
      </w:pPr>
    </w:p>
    <w:p>
      <w:pPr>
        <w:ind w:left="1280" w:right="340" w:hanging="856"/>
        <w:spacing w:after="0" w:line="237" w:lineRule="auto"/>
        <w:tabs>
          <w:tab w:leader="none" w:pos="12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the Chief Financial Officer pursuant to 18 U.S.C. Section 1350, as adopted pursuant to Section 906 of the Sarbanes-Oxley Act of 2002.</w:t>
      </w:r>
    </w:p>
    <w:p>
      <w:pPr>
        <w:spacing w:after="0" w:line="64" w:lineRule="exact"/>
        <w:rPr>
          <w:sz w:val="20"/>
          <w:szCs w:val="20"/>
          <w:color w:val="auto"/>
        </w:rPr>
      </w:pPr>
    </w:p>
    <w:p>
      <w:pPr>
        <w:ind w:left="1280" w:right="240" w:hanging="856"/>
        <w:spacing w:after="0" w:line="237"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97.1</w:t>
      </w:r>
      <w:r>
        <w:rPr>
          <w:sz w:val="20"/>
          <w:szCs w:val="20"/>
          <w:color w:val="auto"/>
        </w:rPr>
        <w:tab/>
      </w:r>
      <w:hyperlink r:id="rId249">
        <w:r>
          <w:rPr>
            <w:rFonts w:ascii="Times New Roman" w:cs="Times New Roman" w:eastAsia="Times New Roman" w:hAnsi="Times New Roman"/>
            <w:sz w:val="18"/>
            <w:szCs w:val="18"/>
            <w:u w:val="single" w:color="auto"/>
            <w:color w:val="0000FF"/>
          </w:rPr>
          <w:t>Compensation Recovery Policy (incorporated by reference to Exhibit 97.1 to the Company’s Annual Report on Form 10-K filed with</w:t>
        </w:r>
      </w:hyperlink>
      <w:r>
        <w:rPr>
          <w:rFonts w:ascii="Times New Roman" w:cs="Times New Roman" w:eastAsia="Times New Roman" w:hAnsi="Times New Roman"/>
          <w:sz w:val="18"/>
          <w:szCs w:val="18"/>
          <w:u w:val="single" w:color="auto"/>
          <w:color w:val="0000FF"/>
        </w:rPr>
        <w:t xml:space="preserve"> </w:t>
      </w:r>
      <w:hyperlink r:id="rId249">
        <w:r>
          <w:rPr>
            <w:rFonts w:ascii="Times New Roman" w:cs="Times New Roman" w:eastAsia="Times New Roman" w:hAnsi="Times New Roman"/>
            <w:sz w:val="18"/>
            <w:szCs w:val="18"/>
            <w:u w:val="single" w:color="auto"/>
            <w:color w:val="0000FF"/>
          </w:rPr>
          <w:t>the SEC on March 6, 2024).</w:t>
        </w:r>
      </w:hyperlink>
    </w:p>
    <w:p>
      <w:pPr>
        <w:spacing w:after="0" w:line="64" w:lineRule="exact"/>
        <w:rPr>
          <w:sz w:val="20"/>
          <w:szCs w:val="20"/>
          <w:color w:val="auto"/>
        </w:rPr>
      </w:pPr>
    </w:p>
    <w:p>
      <w:pPr>
        <w:ind w:left="1280" w:right="120" w:hanging="833"/>
        <w:spacing w:after="0" w:line="220" w:lineRule="auto"/>
        <w:tabs>
          <w:tab w:leader="none" w:pos="1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Annual Report on Form 10-K for the year ended December 31, 2025, formatted in Inline XBRL (Inline eXtensible Business Reporting Language): (i) Consolidated Balance Sheets as at December 31, 2025 and 2024, (ii) Consolidated Statements of (Loss) Income and Comprehensive (Loss) Income for the years ended December 31, 2025, 2024 and 2023, (iii) Consolidated Statements of Changes in Stockholders’ Equity for the years ended December 31, 2025, 2024 and 2023, (iv) Consolidated Statements of Cash Flows for the years ended December 31, 2025, 2024 and 2023 and (vi) Notes to Consolidated Financial Statements.</w:t>
      </w:r>
    </w:p>
    <w:p>
      <w:pPr>
        <w:spacing w:after="0" w:line="50" w:lineRule="exact"/>
        <w:rPr>
          <w:sz w:val="20"/>
          <w:szCs w:val="20"/>
          <w:color w:val="auto"/>
        </w:rPr>
      </w:pPr>
    </w:p>
    <w:p>
      <w:pPr>
        <w:ind w:left="440"/>
        <w:spacing w:after="0"/>
        <w:tabs>
          <w:tab w:leader="none" w:pos="12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w:t>
      </w:r>
    </w:p>
    <w:p>
      <w:pPr>
        <w:spacing w:after="0" w:line="2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tab/>
        <w:t>The Company has omitted portions of the referenced exhibit pursuant to a request for confidential treatment under Rule 24b-2 promulgated under the Exchange Act.</w:t>
      </w:r>
    </w:p>
    <w:p>
      <w:pPr>
        <w:spacing w:after="0" w:line="5" w:lineRule="exact"/>
        <w:rPr>
          <w:sz w:val="20"/>
          <w:szCs w:val="20"/>
          <w:color w:val="auto"/>
        </w:rPr>
      </w:pPr>
    </w:p>
    <w:p>
      <w:pPr>
        <w:ind w:left="260" w:hanging="323"/>
        <w:spacing w:after="0" w:line="255" w:lineRule="auto"/>
        <w:tabs>
          <w:tab w:leader="none" w:pos="240" w:val="left"/>
        </w:tabs>
        <w:rPr>
          <w:sz w:val="20"/>
          <w:szCs w:val="20"/>
          <w:color w:val="auto"/>
        </w:rPr>
      </w:pPr>
      <w:r>
        <w:rPr>
          <w:rFonts w:ascii="Times New Roman" w:cs="Times New Roman" w:eastAsia="Times New Roman" w:hAnsi="Times New Roman"/>
          <w:sz w:val="16"/>
          <w:szCs w:val="16"/>
          <w:color w:val="auto"/>
        </w:rPr>
        <w:t>*</w:t>
        <w:tab/>
        <w:t>Certain portions of this exhibit (indicated by “[…***…]”) have been omitted in accordance with Item 601(b)(10) of Regulation S-K because the omitted information is not material and the Company customarily and actually treats such omitted information as private or confidential.</w:t>
      </w:r>
    </w:p>
    <w:p>
      <w:pPr>
        <w:spacing w:after="0" w:line="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Indicates management contract or compensatory plan.</w:t>
      </w:r>
    </w:p>
    <w:p>
      <w:pPr>
        <w:spacing w:after="0" w:line="8" w:lineRule="exact"/>
        <w:rPr>
          <w:sz w:val="20"/>
          <w:szCs w:val="20"/>
          <w:color w:val="auto"/>
        </w:rPr>
      </w:pPr>
    </w:p>
    <w:p>
      <w:pPr>
        <w:ind w:left="260" w:hanging="252"/>
        <w:spacing w:after="0"/>
        <w:tabs>
          <w:tab w:leader="none" w:pos="2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and exhibits have been omitted pursuant to Item 601(a)(5) of Regulation S-K, but a copy will be furnished supplementally to the SEC upon request.</w:t>
      </w:r>
    </w:p>
    <w:p>
      <w:pPr>
        <w:spacing w:after="0" w:line="31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 2026</w:t>
      </w:r>
    </w:p>
    <w:p>
      <w:pPr>
        <w:spacing w:after="0" w:line="4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81" w:lineRule="exact"/>
        <w:rPr>
          <w:sz w:val="20"/>
          <w:szCs w:val="20"/>
          <w:color w:val="auto"/>
        </w:rPr>
      </w:pPr>
    </w:p>
    <w:p>
      <w:pPr>
        <w:ind w:left="6580"/>
        <w:spacing w:after="0"/>
        <w:tabs>
          <w:tab w:leader="none" w:pos="7020" w:val="left"/>
        </w:tabs>
        <w:rPr>
          <w:sz w:val="20"/>
          <w:szCs w:val="20"/>
          <w:color w:val="auto"/>
        </w:rPr>
      </w:pPr>
      <w:r>
        <w:rPr>
          <w:rFonts w:ascii="Times New Roman" w:cs="Times New Roman" w:eastAsia="Times New Roman" w:hAnsi="Times New Roman"/>
          <w:sz w:val="18"/>
          <w:szCs w:val="18"/>
          <w:color w:val="auto"/>
        </w:rPr>
        <w:t>By:</w:t>
        <w:tab/>
        <w:t>/s/ Kenneth Galbraith</w:t>
      </w:r>
    </w:p>
    <w:p>
      <w:pPr>
        <w:spacing w:after="0" w:line="27" w:lineRule="exact"/>
        <w:rPr>
          <w:sz w:val="20"/>
          <w:szCs w:val="20"/>
          <w:color w:val="auto"/>
        </w:rPr>
      </w:pPr>
    </w:p>
    <w:tbl>
      <w:tblPr>
        <w:tblLayout w:type="fixed"/>
        <w:tblInd w:w="7020" w:type="dxa"/>
        <w:tblCellMar>
          <w:top w:w="0" w:type="dxa"/>
          <w:left w:w="0" w:type="dxa"/>
          <w:bottom w:w="0" w:type="dxa"/>
          <w:right w:w="0" w:type="dxa"/>
        </w:tblCellMar>
      </w:tblPr>
      <w:tr>
        <w:trPr>
          <w:trHeight w:val="218"/>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Kenneth Galbraith</w:t>
            </w:r>
          </w:p>
        </w:tc>
      </w:tr>
      <w:tr>
        <w:trPr>
          <w:trHeight w:val="180"/>
        </w:trPr>
        <w:tc>
          <w:tcPr>
            <w:tcW w:w="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Chair of the Board of Directors, President and</w:t>
            </w:r>
          </w:p>
        </w:tc>
      </w:tr>
      <w:tr>
        <w:trPr>
          <w:trHeight w:val="184"/>
        </w:trPr>
        <w:tc>
          <w:tcPr>
            <w:tcW w:w="620" w:type="dxa"/>
            <w:vAlign w:val="bottom"/>
          </w:tcPr>
          <w:p>
            <w:pPr>
              <w:spacing w:after="0"/>
              <w:rPr>
                <w:sz w:val="16"/>
                <w:szCs w:val="16"/>
                <w:color w:val="auto"/>
              </w:rPr>
            </w:pPr>
          </w:p>
        </w:tc>
        <w:tc>
          <w:tcPr>
            <w:tcW w:w="360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Chief Executive Officer (Principal Executive</w:t>
            </w:r>
          </w:p>
        </w:tc>
      </w:tr>
      <w:tr>
        <w:trPr>
          <w:trHeight w:val="180"/>
        </w:trPr>
        <w:tc>
          <w:tcPr>
            <w:tcW w:w="620" w:type="dxa"/>
            <w:vAlign w:val="bottom"/>
          </w:tcPr>
          <w:p>
            <w:pPr>
              <w:spacing w:after="0"/>
              <w:rPr>
                <w:sz w:val="15"/>
                <w:szCs w:val="15"/>
                <w:color w:val="auto"/>
              </w:rPr>
            </w:pPr>
          </w:p>
        </w:tc>
        <w:tc>
          <w:tcPr>
            <w:tcW w:w="360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Officer) and Interim Chief Financial Officer</w:t>
            </w:r>
          </w:p>
        </w:tc>
      </w:tr>
      <w:tr>
        <w:trPr>
          <w:trHeight w:val="176"/>
        </w:trPr>
        <w:tc>
          <w:tcPr>
            <w:tcW w:w="620" w:type="dxa"/>
            <w:vAlign w:val="bottom"/>
          </w:tcPr>
          <w:p>
            <w:pPr>
              <w:spacing w:after="0"/>
              <w:rPr>
                <w:sz w:val="15"/>
                <w:szCs w:val="15"/>
                <w:color w:val="auto"/>
              </w:rPr>
            </w:pPr>
          </w:p>
        </w:tc>
        <w:tc>
          <w:tcPr>
            <w:tcW w:w="36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30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Kenneth Galbraith as his or her true and lawful attorney-in-fact and agent,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said attorney-in-fact, or substitute or substitutes may do or cause to be done by virtue hereof.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225" w:right="399" w:bottom="1440" w:gutter="0" w:footer="0" w:header="0"/>
        </w:sectPr>
      </w:pPr>
    </w:p>
    <w:p>
      <w:pPr>
        <w:spacing w:after="0" w:line="26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3914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3">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Kenneth Galbraith</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Alessandra Cesano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Alessandra Cesano</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Susan Mahony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Susan Mahony</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Kelvin Neu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6">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Kelvin Neu</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Carlos Campoy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Carlos Campoy</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3914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6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Gregory A. Ciongoli</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Robert E. Landry</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Brian N. Cherry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0">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Brian N. Cherry</w:t>
      </w:r>
    </w:p>
    <w:p>
      <w:pPr>
        <w:spacing w:after="0" w:line="17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Oleg Nodelman</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41910</wp:posOffset>
            </wp:positionV>
            <wp:extent cx="33515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Chair of the Board of Directors, President and Chief Executive Officer (Principal Executive Officer) and Interim Chief Financial Officer (Principal Financial Officer and Principal Accounting Officer)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41910</wp:posOffset>
            </wp:positionV>
            <wp:extent cx="125158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483" w:lineRule="exact"/>
        <w:rPr>
          <w:sz w:val="20"/>
          <w:szCs w:val="20"/>
          <w:color w:val="auto"/>
        </w:rPr>
      </w:pPr>
    </w:p>
    <w:p>
      <w:pPr>
        <w:sectPr>
          <w:pgSz w:w="11900" w:h="16838" w:orient="portrait"/>
          <w:cols w:equalWidth="0" w:num="3">
            <w:col w:w="3180" w:space="720"/>
            <w:col w:w="5100" w:space="720"/>
            <w:col w:w="1460"/>
          </w:cols>
          <w:pgMar w:left="320" w:top="2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80"/>
          </w:cols>
          <w:pgMar w:left="320" w:top="225" w:right="399" w:bottom="1440" w:gutter="0" w:footer="0" w:header="0"/>
          <w:type w:val="continuous"/>
        </w:sectPr>
      </w:pPr>
    </w:p>
    <w:bookmarkStart w:id="168" w:name="page169"/>
    <w:bookmarkEnd w:id="168"/>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terms of the capital stock of Zymeworks Inc., a Delaware corporation (the “Company”). This summary does not purport to be complete and is subject to, and qualified in its entirety by express reference to, the provisions of the Company’s amended and restated certificate of incorporation (the “Certificate of Incorporation”), the Company’s amended and restated bylaws (the “Bylaws”), the Company’s Certificate of Designations of Special Voting Preferred Stock (the “Special Voting Certificate of Designations”), and the Company’s Certificate of Elimination of Series B Participating Preferred Stock (the “Certificate of Elimination”), each of which is included as an exhibit to the Company’s Annual Report on Form 10-K for the year ended December 31, 2025, and each of which may be amended from time to time, and the laws of the state of Delaware. You are encouraged to read the Company’s Certificate of Incorporation, Bylaws, Special Voting Certificate of Designations and Certificate of Elimination, and the applicable provisions of the General Corporation Law of the State of Delaware (the “DGCL”), for additional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authorized capital stock consists of 1,000,000,000 shares of capital stock, $0.00001 par value per share, of which:</w:t>
      </w:r>
    </w:p>
    <w:p>
      <w:pPr>
        <w:spacing w:after="0" w:line="117" w:lineRule="exact"/>
        <w:rPr>
          <w:sz w:val="20"/>
          <w:szCs w:val="20"/>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900,000,000 shares are designated as “Common Stock”;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designated as preferred stock, of which one share is designated as “Special Voting Preferred Stock”.</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February 26, 2026, there are 73,749,607 shares of Common Stock outstanding, held by approximately 72 stockholders of record, and there is one share of Special Voting Preferred Stock outstanding, held by one stockholder of record.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Common Stock are entitled to receive dividends out of funds legally available if the board of directors of the Company (the “Board”), in its discretion, determines to issue dividends and then only at the times and in the amounts that the Board may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not entitled to preemptive rights, and is not subject to conversion, redemption or sinking fund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as of the applicable record date on all matters submitted to a vote of the Company stockholders.</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Company stockholders at</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which a quorum is present or represented, the affirmative vote of a majority of the voting power of the shares cast for or against a proposal shall be the act of the stockholders and broker non-votes and abstentions will be considered for purposes of establishing a quorum, but will not be considered as votes cast for or against a proposal, except as otherwise provided by law, the Company’s governing documents or the rules of the stock exchange on which the Company’s securities are listed. The holders of 33 1/3% of the voting power of the capital stock issued and outstanding and entitled to vote as of the applicable record date, present in person or represented by proxy, shall constitute a quorum for the transaction of business at all meetings of the stockholders.</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and the Bylaws provide that members of the Board will be elected to one of three staggered three-year terms. Only the directors serving one term will be elected at each annual meeting of its stockholders, with the directors serving under the remaining two terms continuing for the remainder of their respective three-year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the Company becomes subject to a liquidation, dissolution or winding-up, the assets legally available for distribution to the Company’s stockholders would be distributable ratably among the holders of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outstanding shares of Common Stock are fully paid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Board has the authority, subject to limitations prescribed by Delaware law, to issue shares of authorized but unissued preferred stock in one or more series, and to fix the designations, powers, preferences and rights, and the qualifications, limitations or restrictions thereof, in each case without further vote or action by the Company’s stockholders. These powers, rights, preferences and rights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 Except for the single share of Special Voting Preferred Stock described below, there are no outstanding shares of preferred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Voting Preferred Stock</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October 13, 2022, the Company (formerly known as Zymeworks Delaware Inc.) became the ultimate parent company of Zymeworks Inc., a corporation existing under the laws of the Province of British Columbia and renamed as Zymeworks BC Inc. (“Zymeworks Canada”), pursuant to a statutory plan of arrangement under the Business Corporations Act (British Columbia) as part of a series of transactions, including the corporate redomicile of Zymeworks Canada (the “Redomicile Transactions”). Pursuant to the Redomicile Transactions, certain eligible shareholders of Zymeworks Canada, at their election, were issued exchangeable shares (the “Exchangeable Shares”) in the capital of Zymeworks ExchangeCo Ltd., a company existing under the laws of the Province of British Columbia and an indirect wholly owned subsidiary of the Company (“ExchangeCo”), on a one-for-one basis in exchange for some or all of their common shares of Zymeworks Canada, together with certain contractual rights attached to such Exchangeable Shares. The Company has agreed to issue shares of Common Stock as consideration when, among other things, the holder of Exchangeable Shares calls for its Exchangeable Shares to be retracted in accordance with their terms.</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9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On October 13, 2022, one share of Special Voting Preferred Stock was issued to Computershare Trust Company of Canada (the “Share Trustee”), as trustee for and on behalf of the holders of the Exchangeable Shares (other than the Company and any affiliated entities of the Company). The holder of the Special Voting Preferred Stock will vote together with the holders of the Common Stock, as a single class (except as otherwise required under applicable law), with respect to all meetings of stockholders of the Company at which the holders of the Common Stock are entitled to vote. The Special Voting Preferred Stock entitles the holder of record to that number of votes equal to the number of Exchangeable Shares outstanding at such time (other than those owned by the Company or any affiliated entity of the Company) multiplied by the Exchangeable Share Exchange Ratio (which ratio is initially one), and in respect of each beneficial owner of the Special Voting Preferred Stock, rounded down to the nearest whole vote (and for which the Share Trustee has received voting</w:t>
      </w:r>
    </w:p>
    <w:p>
      <w:pPr>
        <w:spacing w:after="0" w:line="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instructions from such holders of Exchangeable Shares in accordance with the Voting and Exchange Trust Agreement, dated October 13, 2022, among the Company, Zymeworks ExchangeCo Ltd., Zymeworks CallCo ULC and the Share Trustee).</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holder of the Special Voting Preferred Stock is not entitled to receive any dividends declared and paid by the Company and, upon any liquidation, dissolution or winding up of the Company, whether voluntary or involuntary, shall rank senior to the Common Stock, and junior to all other or series of preferred stock of the Company, and is entitled to receive, prior to the holders of the Common Stock, an amount equal to US$1.00.</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such time as the share of Special Voting Preferred Stock has no votes attached to it, the Special Voting Preferred Stock shall be automatically cancelled for no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and Restricted and Performance Stock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26, 2026, the Company had outstanding options to purchase an aggregate of:</w:t>
      </w:r>
    </w:p>
    <w:p>
      <w:pPr>
        <w:spacing w:after="0" w:line="117" w:lineRule="exact"/>
        <w:rPr>
          <w:sz w:val="20"/>
          <w:szCs w:val="20"/>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8,563,526 shares of Common Stock, at a weighted average exercise price of $14.51 USD per share;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530,556 shares of Common Stock, at a weighted average exercise price of $25.87 CAD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26, 2026, the Company had 2,269,795 outstanding time-based restricted stock units and performance stock units.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Exchangeable Shares</w:t>
      </w:r>
    </w:p>
    <w:p>
      <w:pPr>
        <w:spacing w:after="0" w:line="2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Pursuant to the Redomicile Transactions, certain former shareholders of Zymeworks Canada were issued Exchangeable Shares in the capital of ExchangeCo., an indirect wholly owned subsidiary of the Company, together with certain contractual rights attached to the Exchangeable Shares. The Company has agreed to issue shares of Common Stock as consideration when, among other things, the holder of Exchangeable Shares calls for its Exchangeable Shares to be retracted in accordance with their terms.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February 26, 2026, there were 550,884 Exchangeable Shares held by shareholders and exchangeable on a one-to-one basis, subject to adjustment, for up to 550,884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the Certificate of Incorporation and the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will be governed by the provisions of Section 203 of the DGCL.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68" w:lineRule="exact"/>
        <w:rPr>
          <w:sz w:val="20"/>
          <w:szCs w:val="20"/>
          <w:color w:val="auto"/>
        </w:rPr>
      </w:pPr>
    </w:p>
    <w:p>
      <w:pPr>
        <w:ind w:left="340" w:right="140" w:hanging="332"/>
        <w:spacing w:after="0" w:line="282" w:lineRule="auto"/>
        <w:tabs>
          <w:tab w:leader="none" w:pos="3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transaction which resulted in the stockholder becoming an interested stockholder was approved by the Board prior to the time that the stockholder became an interested stockholder;</w:t>
      </w:r>
    </w:p>
    <w:p>
      <w:pPr>
        <w:sectPr>
          <w:pgSz w:w="11900" w:h="16838" w:orient="portrait"/>
          <w:cols w:equalWidth="0" w:num="1">
            <w:col w:w="11200"/>
          </w:cols>
          <w:pgMar w:left="320" w:top="1440" w:right="379" w:bottom="1440" w:gutter="0" w:footer="0" w:header="0"/>
        </w:sectPr>
      </w:pPr>
    </w:p>
    <w:bookmarkStart w:id="171" w:name="page172"/>
    <w:bookmarkEnd w:id="171"/>
    <w:p>
      <w:pPr>
        <w:spacing w:after="0" w:line="86" w:lineRule="exact"/>
        <w:rPr>
          <w:sz w:val="20"/>
          <w:szCs w:val="20"/>
          <w:color w:val="auto"/>
        </w:rPr>
      </w:pPr>
    </w:p>
    <w:p>
      <w:pPr>
        <w:ind w:left="340" w:hanging="332"/>
        <w:spacing w:after="0" w:line="281" w:lineRule="auto"/>
        <w:tabs>
          <w:tab w:leader="none" w:pos="335"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56" w:lineRule="exact"/>
        <w:rPr>
          <w:rFonts w:ascii="Times New Roman" w:cs="Times New Roman" w:eastAsia="Times New Roman" w:hAnsi="Times New Roman"/>
          <w:sz w:val="17"/>
          <w:szCs w:val="17"/>
          <w:color w:val="auto"/>
        </w:rPr>
      </w:pPr>
    </w:p>
    <w:p>
      <w:pPr>
        <w:ind w:left="340" w:right="140" w:hanging="332"/>
        <w:spacing w:after="0" w:line="266" w:lineRule="auto"/>
        <w:tabs>
          <w:tab w:leader="none" w:pos="3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w:t>
      </w:r>
    </w:p>
    <w:p>
      <w:pPr>
        <w:spacing w:after="0" w:line="117" w:lineRule="exact"/>
        <w:rPr>
          <w:sz w:val="20"/>
          <w:szCs w:val="20"/>
          <w:color w:val="auto"/>
        </w:rPr>
      </w:pPr>
    </w:p>
    <w:p>
      <w:pPr>
        <w:ind w:left="340" w:right="600" w:hanging="332"/>
        <w:spacing w:after="0" w:line="282" w:lineRule="auto"/>
        <w:tabs>
          <w:tab w:leader="none" w:pos="3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consolidations involving the corporation, or any direct or indirect majority-owned subsidiary of the corporation, and the interested stockholder or any other entity if the merger or consolidation is caused by the interested stockholder;</w:t>
      </w:r>
    </w:p>
    <w:p>
      <w:pPr>
        <w:spacing w:after="0" w:line="53"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 or any direct or indirect majority-owned subsidiary of the corporation;</w:t>
      </w:r>
    </w:p>
    <w:p>
      <w:pPr>
        <w:spacing w:after="0" w:line="53"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or any direct or indirect majority-owned subsidiary of the corporation, of any stock of the corporation or such subsidiary to the interested stockholder;</w:t>
      </w:r>
    </w:p>
    <w:p>
      <w:pPr>
        <w:spacing w:after="0" w:line="53" w:lineRule="exact"/>
        <w:rPr>
          <w:rFonts w:ascii="Times New Roman" w:cs="Times New Roman" w:eastAsia="Times New Roman" w:hAnsi="Times New Roman"/>
          <w:sz w:val="18"/>
          <w:szCs w:val="18"/>
          <w:color w:val="auto"/>
        </w:rPr>
      </w:pPr>
    </w:p>
    <w:p>
      <w:pPr>
        <w:ind w:left="340" w:right="120" w:hanging="332"/>
        <w:spacing w:after="0" w:line="312" w:lineRule="auto"/>
        <w:tabs>
          <w:tab w:leader="none" w:pos="33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spacing w:after="0" w:line="31" w:lineRule="exact"/>
        <w:rPr>
          <w:rFonts w:ascii="Times New Roman" w:cs="Times New Roman" w:eastAsia="Times New Roman" w:hAnsi="Times New Roman"/>
          <w:sz w:val="17"/>
          <w:szCs w:val="17"/>
          <w:color w:val="auto"/>
        </w:rPr>
      </w:pPr>
    </w:p>
    <w:p>
      <w:pPr>
        <w:ind w:left="340" w:right="140" w:hanging="332"/>
        <w:spacing w:after="0" w:line="282" w:lineRule="auto"/>
        <w:tabs>
          <w:tab w:leader="none" w:pos="3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general, Section 203 of the DGCL defines an “interested stockholder” as an entity or person who, together with such person’s affiliates and associates, beneficially owns, or is an affiliate or associate of the corporation and within three years prior to the time of determination of interested stockholder status did own, 15% or more of the outstanding voting stock of the corporation. These provisions may have the effect of delaying, deferring or preventing changes in control of the Company, even though such a transaction may offer its stockholders the opportunity to sell their stock at a price above the prevailing market price.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Bylaws Provisions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Provisions of the Certificate of Incorporation and Bylaws include a number of provisions that could deter hostile takeovers or delay or prevent changes in control of the Board or management. Among other things, the Certificate of Incorporation and Bylaws:</w:t>
      </w:r>
    </w:p>
    <w:p>
      <w:pPr>
        <w:spacing w:after="0" w:line="54" w:lineRule="exact"/>
        <w:rPr>
          <w:sz w:val="20"/>
          <w:szCs w:val="20"/>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to issue shares of preferred stock, with any powers, rights, preferences and privileges as they may designate;</w:t>
      </w:r>
    </w:p>
    <w:p>
      <w:pPr>
        <w:spacing w:after="0" w:line="117"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 provided that the size of the Board may be increased by no more than 1/3 of the number of directors in office at the conclusion of the most recent annual meeting of stockholders prior to the next annual meeting of stockholders;</w:t>
      </w:r>
    </w:p>
    <w:p>
      <w:pPr>
        <w:spacing w:after="0" w:line="67" w:lineRule="exact"/>
        <w:rPr>
          <w:rFonts w:ascii="Times New Roman" w:cs="Times New Roman" w:eastAsia="Times New Roman" w:hAnsi="Times New Roman"/>
          <w:sz w:val="18"/>
          <w:szCs w:val="18"/>
          <w:color w:val="auto"/>
        </w:rPr>
      </w:pPr>
    </w:p>
    <w:p>
      <w:pPr>
        <w:jc w:val="both"/>
        <w:ind w:left="340" w:right="560" w:hanging="332"/>
        <w:spacing w:after="0" w:line="266" w:lineRule="auto"/>
        <w:tabs>
          <w:tab w:leader="none" w:pos="3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and newly created directorships, may, except as otherwise required by law, the Company’s governing documents or resolution of the Board, and subject to the rights of holders of the Company’s preferred stock, be filled by the affirmative vote of a majority of directors then in office, even if less than a quorum, or by a sole remaining director;</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members of the Board will serve one of three staggered three-year terms;</w:t>
      </w:r>
    </w:p>
    <w:p>
      <w:pPr>
        <w:sectPr>
          <w:pgSz w:w="11900" w:h="16838" w:orient="portrait"/>
          <w:cols w:equalWidth="0" w:num="1">
            <w:col w:w="11120"/>
          </w:cols>
          <w:pgMar w:left="320" w:top="1440" w:right="459" w:bottom="1440" w:gutter="0" w:footer="0" w:header="0"/>
        </w:sectPr>
      </w:pPr>
    </w:p>
    <w:bookmarkStart w:id="172" w:name="page173"/>
    <w:bookmarkEnd w:id="172"/>
    <w:p>
      <w:pPr>
        <w:spacing w:after="0" w:line="86" w:lineRule="exact"/>
        <w:rPr>
          <w:sz w:val="20"/>
          <w:szCs w:val="20"/>
          <w:color w:val="auto"/>
        </w:rPr>
      </w:pPr>
    </w:p>
    <w:p>
      <w:pPr>
        <w:ind w:left="340" w:right="40" w:hanging="332"/>
        <w:spacing w:after="0" w:line="282" w:lineRule="auto"/>
        <w:tabs>
          <w:tab w:leader="none" w:pos="33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holders of preferred stock, provide that a director may only be removed from the Board by the stockholders with the affirmative vote of at least 66 2/3% of the voting power of the shares cast on such proposal;</w:t>
      </w:r>
    </w:p>
    <w:p>
      <w:pPr>
        <w:spacing w:after="0" w:line="53"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3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the Company’s stockholders must be effected at a duly called annual or special meeting of stockholders and not be taken by written consent;</w:t>
      </w:r>
    </w:p>
    <w:p>
      <w:pPr>
        <w:spacing w:after="0" w:line="53"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plurality of the shares of Common Stock entitled to vote in any election of directors to elect all of the directors standing for election, if they should so choose);</w:t>
      </w:r>
    </w:p>
    <w:p>
      <w:pPr>
        <w:spacing w:after="0" w:line="53"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3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Company’s stockholders may be called only by the Board, the chairperson of the Board, the Company’s chief executive officer or president or the secretary of the Company upon request from holders of no less than 20% of the Company’s outstanding voting stock, subject to the limitations and requirements set forth in the Bylaws; and</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3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are permitted to amend certain provisions of the Certificate of Incorporation and Bylaws only upon receiving at least 66 2/3% of the voting power of the then outstanding voting securities, voting together as a single class.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Bylaws provide that, unless the Company consents in writing to the selection of an alternative forum, the sole and exclusive forum for (1) any derivative action or proceeding brought on the Company’s behalf, (2) any action asserting a claim of breach of a fiduciary duty owed by any of the Company’s directors, stockholders, officers or other employees to the Company or its stockholders, (3) any action arising pursuant to any provision of the DGCL or the Certificate of Incorporation or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forum other than such court or for which such court does not have subject matter jurisdiction. The Bylaws also provide that, unless the Company consents in writing to the selection of an alternative forum, the federal district courts of the United States is the sole and exclusive forum for resolving any complaint asserting a cause of action arising under the Securities Act against any person in connection with any offering of the Company’s securities (including without limitation and for the avoidance of doubt, any underwriter, auditor, expert, control person or other defendant). Any person or entity purchasing or otherwise acquiring any interest in any of the Company’s securities shall be deemed to have notice of and consented to the foregoing bylaw provisions. This provision would not apply to any action brought to enforce a duty or liability created by the U.S. Exchange Act and the rules and regulations thereunder. The Company’s stockholders will not be deemed to have waived the Company’s compliance with the federal securities laws and the rules and regulations thereunder as a result of the Company’s exclusive forum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shares of Common Stock and Exchangeable Shares is Computershare. The transfer agent and registrar’s address is 150 Royall Street, Canton, Massachusetts 02021.</w:t>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listed on The Nasdaq Stock Market LLC under the symbol “ZYME”.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contains provisions that limit the liability of the Company’s directors and officers for monetary damages to the fullest extent permitted by the DGCL. In addition, if the DGCL is amended to authorize corporate action further eliminating or limiting the personal liability of officers or directors, then the personal liability of the Company’s officers or directors will be eliminated or limited to the fullest extent permitted by the DGCL.</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Bylaws provide that the Company will indemnify its directors and officers, and may indemnify its employees, agents and any other persons, to the fullest extent permitted by the DGCL. The Bylaws also provide that it must advance expenses incurred by or on behalf of a director or officer in advance of the final disposition of any action or proceeding, subject to limited exceptions.</w:t>
      </w:r>
    </w:p>
    <w:p>
      <w:pPr>
        <w:spacing w:after="0" w:line="17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also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the Company’s directors or officers. The coverage provided by these policies may apply whether or not the Company would have the power to indemnify such person against such liability under the provisions of the DGCL.</w:t>
      </w:r>
    </w:p>
    <w:p>
      <w:pPr>
        <w:sectPr>
          <w:pgSz w:w="11900" w:h="16838" w:orient="portrait"/>
          <w:cols w:equalWidth="0" w:num="1">
            <w:col w:w="11200"/>
          </w:cols>
          <w:pgMar w:left="320" w:top="1440" w:right="37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10.55</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877"/>
        <w:spacing w:after="0" w:line="268" w:lineRule="auto"/>
        <w:rPr>
          <w:sz w:val="20"/>
          <w:szCs w:val="20"/>
          <w:color w:val="auto"/>
        </w:rPr>
      </w:pPr>
      <w:r>
        <w:rPr>
          <w:rFonts w:ascii="Times New Roman" w:cs="Times New Roman" w:eastAsia="Times New Roman" w:hAnsi="Times New Roman"/>
          <w:sz w:val="21"/>
          <w:szCs w:val="21"/>
          <w:b w:val="1"/>
          <w:bCs w:val="1"/>
          <w:color w:val="auto"/>
        </w:rPr>
        <w:t>CERTAIN PORTIONS OF THIS EXHIBIT (INDICATED BY [***]) HAVE BEEN EXCLUDED PURSUANT TO ITEM 601(B)(10) OF REGULATION S-K BECAUSE THEY ARE BOTH NOT MATERIAL AND ARE THE TYPE</w:t>
      </w:r>
    </w:p>
    <w:p>
      <w:pPr>
        <w:spacing w:after="0" w:line="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b w:val="1"/>
          <w:bCs w:val="1"/>
          <w:color w:val="auto"/>
        </w:rPr>
        <w:t>THAT THE COMPANY TREATS AS PRIVATE AND CONFIDENTIAL.</w:t>
      </w:r>
    </w:p>
    <w:p>
      <w:pPr>
        <w:spacing w:after="0" w:line="16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THREE-PARTY ROYALTY PAYMENT AGREEMENT</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THREE-PARTY ROYALTY PAYMENT AGREEMENT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by and among</w:t>
      </w:r>
    </w:p>
    <w:p>
      <w:pPr>
        <w:spacing w:after="0" w:line="85" w:lineRule="exact"/>
        <w:rPr>
          <w:sz w:val="20"/>
          <w:szCs w:val="20"/>
          <w:color w:val="auto"/>
        </w:rPr>
      </w:pPr>
    </w:p>
    <w:p>
      <w:pPr>
        <w:jc w:val="both"/>
        <w:ind w:left="300"/>
        <w:spacing w:after="0" w:line="322" w:lineRule="auto"/>
        <w:rPr>
          <w:sz w:val="20"/>
          <w:szCs w:val="20"/>
          <w:color w:val="auto"/>
        </w:rPr>
      </w:pPr>
      <w:r>
        <w:rPr>
          <w:rFonts w:ascii="Times New Roman" w:cs="Times New Roman" w:eastAsia="Times New Roman" w:hAnsi="Times New Roman"/>
          <w:sz w:val="22"/>
          <w:szCs w:val="22"/>
          <w:b w:val="1"/>
          <w:bCs w:val="1"/>
          <w:color w:val="auto"/>
        </w:rPr>
        <w:t>ZYMEWORKS BC INC.</w:t>
      </w:r>
      <w:r>
        <w:rPr>
          <w:rFonts w:ascii="Times New Roman" w:cs="Times New Roman" w:eastAsia="Times New Roman" w:hAnsi="Times New Roman"/>
          <w:sz w:val="22"/>
          <w:szCs w:val="22"/>
          <w:color w:val="auto"/>
        </w:rPr>
        <w:t>, a corporation organized and existing under the laws of British Columbia (“</w:t>
      </w:r>
      <w:r>
        <w:rPr>
          <w:rFonts w:ascii="Times New Roman" w:cs="Times New Roman" w:eastAsia="Times New Roman" w:hAnsi="Times New Roman"/>
          <w:sz w:val="22"/>
          <w:szCs w:val="22"/>
          <w:b w:val="1"/>
          <w:bCs w:val="1"/>
          <w:color w:val="auto"/>
        </w:rPr>
        <w:t>Zymeworks</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Licensor</w:t>
      </w:r>
      <w:r>
        <w:rPr>
          <w:rFonts w:ascii="Times New Roman" w:cs="Times New Roman" w:eastAsia="Times New Roman" w:hAnsi="Times New Roman"/>
          <w:sz w:val="22"/>
          <w:szCs w:val="22"/>
          <w:color w:val="auto"/>
        </w:rPr>
        <w:t xml:space="preserve">”), having a place of business at 114 East 4th Avenue, Suite 800, Vancouver, BC, Canada V5T 1G4, </w:t>
      </w:r>
      <w:r>
        <w:rPr>
          <w:rFonts w:ascii="Times New Roman" w:cs="Times New Roman" w:eastAsia="Times New Roman" w:hAnsi="Times New Roman"/>
          <w:sz w:val="22"/>
          <w:szCs w:val="22"/>
          <w:b w:val="1"/>
          <w:bCs w:val="1"/>
          <w:color w:val="auto"/>
        </w:rPr>
        <w:t>BEONE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MEDICINES LTD.</w:t>
      </w:r>
      <w:r>
        <w:rPr>
          <w:rFonts w:ascii="Times New Roman" w:cs="Times New Roman" w:eastAsia="Times New Roman" w:hAnsi="Times New Roman"/>
          <w:sz w:val="22"/>
          <w:szCs w:val="22"/>
          <w:color w:val="auto"/>
        </w:rPr>
        <w:t>, (formerly known as BeiGene, Ltd., a Cayman Islands exempted company incorporated with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a corporation organized and existing under the laws of Switzerland having a registered office address at c/o BeOne Medicines I GmbH, Aeschengraben 27, 4051 Basel, Switzerland (“</w:t>
      </w:r>
      <w:r>
        <w:rPr>
          <w:rFonts w:ascii="Times New Roman" w:cs="Times New Roman" w:eastAsia="Times New Roman" w:hAnsi="Times New Roman"/>
          <w:sz w:val="22"/>
          <w:szCs w:val="22"/>
          <w:b w:val="1"/>
          <w:bCs w:val="1"/>
          <w:color w:val="auto"/>
        </w:rPr>
        <w:t>BeOne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Licensee</w:t>
      </w:r>
      <w:r>
        <w:rPr>
          <w:rFonts w:ascii="Times New Roman" w:cs="Times New Roman" w:eastAsia="Times New Roman" w:hAnsi="Times New Roman"/>
          <w:sz w:val="22"/>
          <w:szCs w:val="22"/>
          <w:color w:val="auto"/>
        </w:rPr>
        <w:t>”), and BeOne Pharmaceutical (Suzhou) Co., Ltd. (“</w:t>
      </w:r>
      <w:r>
        <w:rPr>
          <w:rFonts w:ascii="Times New Roman" w:cs="Times New Roman" w:eastAsia="Times New Roman" w:hAnsi="Times New Roman"/>
          <w:sz w:val="22"/>
          <w:szCs w:val="22"/>
          <w:b w:val="1"/>
          <w:bCs w:val="1"/>
          <w:color w:val="auto"/>
        </w:rPr>
        <w:t>BeOne Suzhou</w:t>
      </w:r>
      <w:r>
        <w:rPr>
          <w:rFonts w:ascii="Times New Roman" w:cs="Times New Roman" w:eastAsia="Times New Roman" w:hAnsi="Times New Roman"/>
          <w:sz w:val="22"/>
          <w:szCs w:val="22"/>
          <w:color w:val="auto"/>
        </w:rPr>
        <w:t>”), a corporation organized and existing under the laws of the PRC having a place of business at Building 9, Biological Industrial Park, No. 218, Sangtian Street, Suzhou Industrial Park, Suzhou, China (Jiangsu) Pilot Free Trade Zone, on the date of the last of the Parties to sign below. Licensor, Licensee and BeOne Suzhou are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left="300" w:firstLine="132"/>
        <w:spacing w:after="0" w:line="32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BeOne has signed a LICENSE AND COLLABORATION AGREEMENT (the “</w:t>
      </w:r>
      <w:r>
        <w:rPr>
          <w:rFonts w:ascii="Times New Roman" w:cs="Times New Roman" w:eastAsia="Times New Roman" w:hAnsi="Times New Roman"/>
          <w:sz w:val="22"/>
          <w:szCs w:val="22"/>
          <w:b w:val="1"/>
          <w:bCs w:val="1"/>
          <w:color w:val="auto"/>
        </w:rPr>
        <w:t>Original Agreement</w:t>
      </w:r>
      <w:r>
        <w:rPr>
          <w:rFonts w:ascii="Times New Roman" w:cs="Times New Roman" w:eastAsia="Times New Roman" w:hAnsi="Times New Roman"/>
          <w:sz w:val="22"/>
          <w:szCs w:val="22"/>
          <w:color w:val="auto"/>
        </w:rPr>
        <w: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Zymeworks, BeOne has obtained from Zymeworks an exclusive license (the “</w:t>
      </w:r>
      <w:r>
        <w:rPr>
          <w:rFonts w:ascii="Times New Roman" w:cs="Times New Roman" w:eastAsia="Times New Roman" w:hAnsi="Times New Roman"/>
          <w:sz w:val="22"/>
          <w:szCs w:val="22"/>
          <w:b w:val="1"/>
          <w:bCs w:val="1"/>
          <w:color w:val="auto"/>
        </w:rPr>
        <w:t>License</w:t>
      </w:r>
      <w:r>
        <w:rPr>
          <w:rFonts w:ascii="Times New Roman" w:cs="Times New Roman" w:eastAsia="Times New Roman" w:hAnsi="Times New Roman"/>
          <w:sz w:val="22"/>
          <w:szCs w:val="22"/>
          <w:color w:val="auto"/>
        </w:rPr>
        <w:t>”) under the Zymeworks’ Patent Rights to develop and commercialize Licensed Products (including zanidatamab), in the Field in the Territory all in accordance with the terms and conditions set forth in the Original Agreement.</w:t>
      </w:r>
    </w:p>
    <w:p>
      <w:pPr>
        <w:spacing w:after="0" w:line="110" w:lineRule="exact"/>
        <w:rPr>
          <w:sz w:val="20"/>
          <w:szCs w:val="20"/>
          <w:color w:val="auto"/>
        </w:rPr>
      </w:pPr>
    </w:p>
    <w:p>
      <w:pPr>
        <w:jc w:val="both"/>
        <w:ind w:left="300" w:firstLine="132"/>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BeOne Suzhou participates in the development, manufacturing and commercialization activities relevant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Zymeworks’ Patent Rights (“</w:t>
      </w:r>
      <w:r>
        <w:rPr>
          <w:rFonts w:ascii="Times New Roman" w:cs="Times New Roman" w:eastAsia="Times New Roman" w:hAnsi="Times New Roman"/>
          <w:sz w:val="22"/>
          <w:szCs w:val="22"/>
          <w:b w:val="1"/>
          <w:bCs w:val="1"/>
          <w:color w:val="auto"/>
        </w:rPr>
        <w:t>Operational Activities</w:t>
      </w:r>
      <w:r>
        <w:rPr>
          <w:rFonts w:ascii="Times New Roman" w:cs="Times New Roman" w:eastAsia="Times New Roman" w:hAnsi="Times New Roman"/>
          <w:sz w:val="22"/>
          <w:szCs w:val="22"/>
          <w:color w:val="auto"/>
        </w:rPr>
        <w:t>”) in the People’s Republic of China (“</w:t>
      </w:r>
      <w:r>
        <w:rPr>
          <w:rFonts w:ascii="Times New Roman" w:cs="Times New Roman" w:eastAsia="Times New Roman" w:hAnsi="Times New Roman"/>
          <w:sz w:val="22"/>
          <w:szCs w:val="22"/>
          <w:b w:val="1"/>
          <w:bCs w:val="1"/>
          <w:color w:val="auto"/>
        </w:rPr>
        <w:t>PRC</w:t>
      </w:r>
      <w:r>
        <w:rPr>
          <w:rFonts w:ascii="Times New Roman" w:cs="Times New Roman" w:eastAsia="Times New Roman" w:hAnsi="Times New Roman"/>
          <w:sz w:val="22"/>
          <w:szCs w:val="22"/>
          <w:color w:val="auto"/>
        </w:rPr>
        <w:t>”), which for purposes of this Agreement shall exclude Hong Kong, Macau and Taiwan, and has benefited from such Operational Activities.</w:t>
      </w:r>
    </w:p>
    <w:p>
      <w:pPr>
        <w:spacing w:after="0" w:line="121" w:lineRule="exact"/>
        <w:rPr>
          <w:sz w:val="20"/>
          <w:szCs w:val="20"/>
          <w:color w:val="auto"/>
        </w:rPr>
      </w:pPr>
    </w:p>
    <w:p>
      <w:pPr>
        <w:jc w:val="both"/>
        <w:ind w:left="300" w:firstLine="132"/>
        <w:spacing w:after="0" w:line="29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as of the Effective Date (as defined below), BeOne has assigned its rights and obligations under the Original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to BeOne Suzhou, but only to the extent of Operational Activities in PRC, in accordance with the terms hereof.</w:t>
      </w:r>
    </w:p>
    <w:p>
      <w:pPr>
        <w:spacing w:after="0" w:line="100" w:lineRule="exact"/>
        <w:rPr>
          <w:sz w:val="20"/>
          <w:szCs w:val="20"/>
          <w:color w:val="auto"/>
        </w:rPr>
      </w:pPr>
    </w:p>
    <w:p>
      <w:pPr>
        <w:jc w:val="both"/>
        <w:ind w:left="300" w:firstLine="132"/>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 of the Effective Date (as defined below), BeOne Suzhou wishes to pay the PRC portion of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Milestone Payments, Commercialization Milestone Payments and royalty payments payable under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of the Original Agreement (the “</w:t>
      </w:r>
      <w:r>
        <w:rPr>
          <w:rFonts w:ascii="Times New Roman" w:cs="Times New Roman" w:eastAsia="Times New Roman" w:hAnsi="Times New Roman"/>
          <w:sz w:val="22"/>
          <w:szCs w:val="22"/>
          <w:b w:val="1"/>
          <w:bCs w:val="1"/>
          <w:color w:val="auto"/>
        </w:rPr>
        <w:t>Royalties</w:t>
      </w:r>
      <w:r>
        <w:rPr>
          <w:rFonts w:ascii="Times New Roman" w:cs="Times New Roman" w:eastAsia="Times New Roman" w:hAnsi="Times New Roman"/>
          <w:sz w:val="22"/>
          <w:szCs w:val="22"/>
          <w:color w:val="auto"/>
        </w:rPr>
        <w:t>”) directly to the Licensor, in accordance with the terms hereof.</w:t>
      </w:r>
    </w:p>
    <w:p>
      <w:pPr>
        <w:sectPr>
          <w:pgSz w:w="11900" w:h="16838" w:orient="portrait"/>
          <w:cols w:equalWidth="0" w:num="1">
            <w:col w:w="11160"/>
          </w:cols>
          <w:pgMar w:left="400" w:top="364" w:right="339" w:bottom="1440" w:gutter="0" w:footer="0" w:header="0"/>
        </w:sectPr>
      </w:pPr>
    </w:p>
    <w:bookmarkStart w:id="175" w:name="page176"/>
    <w:bookmarkEnd w:id="175"/>
    <w:p>
      <w:pPr>
        <w:jc w:val="both"/>
        <w:ind w:firstLine="132"/>
        <w:spacing w:after="0" w:line="299"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unanimous covenants and agreements contained herein below, and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good and valuable consideration, the sufficiency of which is hereby acknowledged by all Parties, the Parties agree as follows:</w:t>
      </w:r>
    </w:p>
    <w:p>
      <w:pPr>
        <w:spacing w:after="0" w:line="100"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32"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2"/>
          <w:szCs w:val="22"/>
          <w:b w:val="1"/>
          <w:bCs w:val="1"/>
          <w:color w:val="auto"/>
        </w:rPr>
        <w:t>PARTIAL ASSIGNMENT AND ASSUMPTION</w:t>
      </w:r>
    </w:p>
    <w:p>
      <w:pPr>
        <w:spacing w:after="0" w:line="223" w:lineRule="exact"/>
        <w:rPr>
          <w:sz w:val="20"/>
          <w:szCs w:val="20"/>
          <w:color w:val="auto"/>
        </w:rPr>
      </w:pPr>
    </w:p>
    <w:p>
      <w:pPr>
        <w:jc w:val="both"/>
        <w:ind w:left="360" w:hanging="359"/>
        <w:spacing w:after="0" w:line="250" w:lineRule="auto"/>
        <w:rPr>
          <w:sz w:val="20"/>
          <w:szCs w:val="20"/>
          <w:color w:val="auto"/>
        </w:rPr>
      </w:pPr>
      <w:r>
        <w:rPr>
          <w:rFonts w:ascii="Times New Roman" w:cs="Times New Roman" w:eastAsia="Times New Roman" w:hAnsi="Times New Roman"/>
          <w:sz w:val="22"/>
          <w:szCs w:val="22"/>
          <w:color w:val="auto"/>
        </w:rPr>
        <w:t xml:space="preserve">1.1 BeOne and BeOne Suzhou acknowledge and confirm that i) BeOne Suzhou is the actual beneficiary of the utilization of Zymeworks’ Patent Rights in PRC by taking the functions of the Operational Activities as well as [***]; and therefore ii) BeOne has assigned to BeOne Suzhou as the actual beneficiary, and BeOne Suzhou has assumed, the rights and obligations of the Licensee under the Original Agreement to the extent of its Operational Activities in the PRC, including the obligation of paying the PRC portion of Development Milestone Payments, Commercialization Milestone Payments and Royalties according to </w:t>
      </w:r>
      <w:r>
        <w:rPr>
          <w:rFonts w:ascii="Times New Roman" w:cs="Times New Roman" w:eastAsia="Times New Roman" w:hAnsi="Times New Roman"/>
          <w:sz w:val="22"/>
          <w:szCs w:val="22"/>
          <w:u w:val="single" w:color="auto"/>
          <w:color w:val="auto"/>
        </w:rPr>
        <w:t>Section 9.2 – 9.11</w:t>
      </w:r>
      <w:r>
        <w:rPr>
          <w:rFonts w:ascii="Times New Roman" w:cs="Times New Roman" w:eastAsia="Times New Roman" w:hAnsi="Times New Roman"/>
          <w:sz w:val="22"/>
          <w:szCs w:val="22"/>
          <w:color w:val="auto"/>
        </w:rPr>
        <w:t xml:space="preserve"> of the Original Agreement (the “</w:t>
      </w:r>
      <w:r>
        <w:rPr>
          <w:rFonts w:ascii="Times New Roman" w:cs="Times New Roman" w:eastAsia="Times New Roman" w:hAnsi="Times New Roman"/>
          <w:sz w:val="22"/>
          <w:szCs w:val="22"/>
          <w:b w:val="1"/>
          <w:bCs w:val="1"/>
          <w:color w:val="auto"/>
        </w:rPr>
        <w:t>PRC Payment Assignment</w:t>
      </w:r>
      <w:r>
        <w:rPr>
          <w:rFonts w:ascii="Times New Roman" w:cs="Times New Roman" w:eastAsia="Times New Roman" w:hAnsi="Times New Roman"/>
          <w:sz w:val="22"/>
          <w:szCs w:val="22"/>
          <w:color w:val="auto"/>
        </w:rPr>
        <w:t>”). The Parties agree that all applicable terms and provisions of the Original Agreement shall apply to BeOne Suzhou to the same extent as such terms and provisions apply to BeOne. (For reference to the Original Agreement, please see APPENDIX 1 – License and Collaboration Agreement, attached).</w:t>
      </w:r>
    </w:p>
    <w:p>
      <w:pPr>
        <w:spacing w:after="0" w:line="288" w:lineRule="exact"/>
        <w:rPr>
          <w:sz w:val="20"/>
          <w:szCs w:val="20"/>
          <w:color w:val="auto"/>
        </w:rPr>
      </w:pPr>
    </w:p>
    <w:p>
      <w:pPr>
        <w:jc w:val="both"/>
        <w:ind w:left="360" w:hanging="359"/>
        <w:spacing w:after="0" w:line="249" w:lineRule="auto"/>
        <w:rPr>
          <w:sz w:val="20"/>
          <w:szCs w:val="20"/>
          <w:color w:val="auto"/>
        </w:rPr>
      </w:pPr>
      <w:r>
        <w:rPr>
          <w:rFonts w:ascii="Times New Roman" w:cs="Times New Roman" w:eastAsia="Times New Roman" w:hAnsi="Times New Roman"/>
          <w:sz w:val="22"/>
          <w:szCs w:val="22"/>
          <w:color w:val="auto"/>
        </w:rPr>
        <w:t xml:space="preserve">1.2 The PRC portion of Development Milestone Payments and Commercialization Milestone Payments shall be mutually agreed upon by BeOne and Zymeworks based on the proportionate use and benefit of the License by BeOne Suzhou within the PRC and BeOne outside the PRC in connection with each Development Milestone Payment and Commercialization Milestone Payment. The PRC portion of Royalties shall be attributable to the PRC portion of the aggregate Net Sales of Licensed Products in the Territory for each Calendar Year, at the percentage rates set forth in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of Original Agreement. (For reference to the Original Agreement, please see APPENDIX 1 – License and Collaboration Agreement, attached). The Parties acknowledge that on or around June 20, 2025, BeOne paid Zymeworks a USD $20 Million Development Milestone Payment for the achievement of Development Milestone Event (as defined in the Original Agreement) #[***] on or around May 30, 2025. The Parties agree that the PRC portion of such Development Milestone Payment is attributed in full to BeOne.</w:t>
      </w:r>
    </w:p>
    <w:p>
      <w:pPr>
        <w:spacing w:after="0" w:line="291" w:lineRule="exact"/>
        <w:rPr>
          <w:sz w:val="20"/>
          <w:szCs w:val="20"/>
          <w:color w:val="auto"/>
        </w:rPr>
      </w:pPr>
    </w:p>
    <w:p>
      <w:pPr>
        <w:jc w:val="both"/>
        <w:ind w:left="360" w:hanging="362"/>
        <w:spacing w:after="0" w:line="250" w:lineRule="auto"/>
        <w:rPr>
          <w:sz w:val="20"/>
          <w:szCs w:val="20"/>
          <w:color w:val="auto"/>
        </w:rPr>
      </w:pPr>
      <w:r>
        <w:rPr>
          <w:rFonts w:ascii="Times New Roman" w:cs="Times New Roman" w:eastAsia="Times New Roman" w:hAnsi="Times New Roman"/>
          <w:sz w:val="22"/>
          <w:szCs w:val="22"/>
          <w:color w:val="auto"/>
        </w:rPr>
        <w:t xml:space="preserve">1.3 BeOne Suzhou should be responsible for development, manufacturing and commercialization in the PRC of the Licensed Products in accordance with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of the Original Agreement and shall book sales of such Licensed Product that obtains Regulatory Approval in the PRC in accordance with the Commercialization Plan for such Licensed Product and all Applicable Laws, [***]. (For reference to the Original Agreement, please see APPENDIX 1 – License and Collaboration Agreement, attached).</w:t>
      </w:r>
    </w:p>
    <w:p>
      <w:pPr>
        <w:spacing w:after="0" w:line="154" w:lineRule="exact"/>
        <w:rPr>
          <w:sz w:val="20"/>
          <w:szCs w:val="20"/>
          <w:color w:val="auto"/>
        </w:rPr>
      </w:pPr>
    </w:p>
    <w:p>
      <w:pPr>
        <w:jc w:val="both"/>
        <w:ind w:left="360" w:hanging="362"/>
        <w:spacing w:after="0" w:line="257" w:lineRule="auto"/>
        <w:rPr>
          <w:sz w:val="20"/>
          <w:szCs w:val="20"/>
          <w:color w:val="auto"/>
        </w:rPr>
      </w:pPr>
      <w:r>
        <w:rPr>
          <w:rFonts w:ascii="Times New Roman" w:cs="Times New Roman" w:eastAsia="Times New Roman" w:hAnsi="Times New Roman"/>
          <w:sz w:val="22"/>
          <w:szCs w:val="22"/>
          <w:color w:val="auto"/>
        </w:rPr>
        <w:t xml:space="preserve">1.4 The Licensor acknowledges this payment arrangement and hereby confirms that such direct payment by BeOne Suzhou shall be treated as if made by BeOne under the Original Agreement and as a result, in line with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of the Original</w:t>
      </w:r>
    </w:p>
    <w:p>
      <w:pPr>
        <w:spacing w:after="0" w:line="200" w:lineRule="exact"/>
        <w:rPr>
          <w:sz w:val="20"/>
          <w:szCs w:val="20"/>
          <w:color w:val="auto"/>
        </w:rPr>
      </w:pPr>
    </w:p>
    <w:p>
      <w:pPr>
        <w:spacing w:after="0" w:line="310" w:lineRule="exact"/>
        <w:rPr>
          <w:sz w:val="20"/>
          <w:szCs w:val="20"/>
          <w:color w:val="auto"/>
        </w:rPr>
      </w:pPr>
    </w:p>
    <w:p>
      <w:pPr>
        <w:ind w:left="1076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860"/>
          </w:cols>
          <w:pgMar w:left="700" w:top="1391" w:right="339" w:bottom="1440" w:gutter="0" w:footer="0" w:header="0"/>
        </w:sectPr>
      </w:pPr>
    </w:p>
    <w:bookmarkStart w:id="176" w:name="page177"/>
    <w:bookmarkEnd w:id="176"/>
    <w:p>
      <w:pPr>
        <w:jc w:val="both"/>
        <w:ind w:left="360"/>
        <w:spacing w:after="0" w:line="248" w:lineRule="auto"/>
        <w:rPr>
          <w:sz w:val="20"/>
          <w:szCs w:val="20"/>
          <w:color w:val="auto"/>
        </w:rPr>
      </w:pPr>
      <w:r>
        <w:rPr>
          <w:rFonts w:ascii="Times New Roman" w:cs="Times New Roman" w:eastAsia="Times New Roman" w:hAnsi="Times New Roman"/>
          <w:sz w:val="22"/>
          <w:szCs w:val="22"/>
          <w:color w:val="auto"/>
        </w:rPr>
        <w:t xml:space="preserve">Agreement, each Party shall be responsible for its own tax liabilities arising under the Original Agreements and this Agreement. For the avoidance of doubt, if BeOne Suzhou is required by Applicable Law to deduct or withhold any Taxes from or in respect of any Development Milestone Payments, Commercialization Milestone Payments or Royalties as a result of the PRC Payment Assignment, BeOne Suzhou shall [***], Commercialization Milestone Payments or Royalties. BeOne Suzhou shall [***] submit to Zymeworks appropriate proof of payment of the withheld Taxes as well as the official receipts within a [***] . BeOne Suzhou shall provide Zymeworks [***] assistance in order to allow Zymeworks to obtain the benefit of any present or future treaty against [***] in Taxes which may apply to the amount payable by BeOne Suzhou to Zymeworks;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should (a) Zymeworks not be able to obtain the benefit of any present or future treaty against [***] in Taxes which may apply to the amount payable by BeOne Suzhou to Zymeworks, or (b) BeOne Suzhou, despite Zymeworks’ receiving the benefit of any such treaty, nevertheless be obligated to withhold Taxes from any amount payable to Zymeworks under the Agreement that are not recovered by Zymeworks, then such amount payable to Zymeworks will be [***] so that, after deducting or withholding such Taxes, Zymeworks receives an amount equal to [***] had no such deduction or withholding been required as a result of the PRC Payment Assignment. (For reference to the Original Agreement, please see APPENDIX 1 – License and Collaboration Agreement, attached).</w:t>
      </w:r>
    </w:p>
    <w:p>
      <w:pPr>
        <w:spacing w:after="0" w:line="13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3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PAYMENTS</w:t>
      </w:r>
    </w:p>
    <w:p>
      <w:pPr>
        <w:spacing w:after="0" w:line="236" w:lineRule="exact"/>
        <w:rPr>
          <w:sz w:val="20"/>
          <w:szCs w:val="20"/>
          <w:color w:val="auto"/>
        </w:rPr>
      </w:pPr>
    </w:p>
    <w:p>
      <w:pPr>
        <w:jc w:val="both"/>
        <w:ind w:left="440" w:hanging="404"/>
        <w:spacing w:after="0" w:line="257" w:lineRule="auto"/>
        <w:rPr>
          <w:sz w:val="20"/>
          <w:szCs w:val="20"/>
          <w:color w:val="auto"/>
        </w:rPr>
      </w:pPr>
      <w:r>
        <w:rPr>
          <w:rFonts w:ascii="Times New Roman" w:cs="Times New Roman" w:eastAsia="Times New Roman" w:hAnsi="Times New Roman"/>
          <w:sz w:val="22"/>
          <w:szCs w:val="22"/>
          <w:color w:val="auto"/>
        </w:rPr>
        <w:t xml:space="preserve">2.1 The method and timing of the payments by BeOne Suzhou to Zymeworks under this Agreement shall be governed by </w:t>
      </w:r>
      <w:r>
        <w:rPr>
          <w:rFonts w:ascii="Times New Roman" w:cs="Times New Roman" w:eastAsia="Times New Roman" w:hAnsi="Times New Roman"/>
          <w:sz w:val="22"/>
          <w:szCs w:val="22"/>
          <w:u w:val="single" w:color="auto"/>
          <w:color w:val="auto"/>
        </w:rPr>
        <w:t>Section 9.2 – 9.11</w:t>
      </w:r>
      <w:r>
        <w:rPr>
          <w:rFonts w:ascii="Times New Roman" w:cs="Times New Roman" w:eastAsia="Times New Roman" w:hAnsi="Times New Roman"/>
          <w:sz w:val="22"/>
          <w:szCs w:val="22"/>
          <w:color w:val="auto"/>
        </w:rPr>
        <w:t xml:space="preserve"> of the Original Agreement as supplemented by this Agreement. (For reference to the Original Agreement, please see APPENDIX 1 – License and Collaboration Agreement, attached).</w:t>
      </w:r>
    </w:p>
    <w:p>
      <w:pPr>
        <w:spacing w:after="0" w:line="132" w:lineRule="exact"/>
        <w:rPr>
          <w:sz w:val="20"/>
          <w:szCs w:val="20"/>
          <w:color w:val="auto"/>
        </w:rPr>
      </w:pPr>
    </w:p>
    <w:p>
      <w:pPr>
        <w:jc w:val="both"/>
        <w:ind w:left="360" w:hanging="362"/>
        <w:spacing w:after="0" w:line="256" w:lineRule="auto"/>
        <w:rPr>
          <w:sz w:val="20"/>
          <w:szCs w:val="20"/>
          <w:color w:val="auto"/>
        </w:rPr>
      </w:pPr>
      <w:r>
        <w:rPr>
          <w:rFonts w:ascii="Times New Roman" w:cs="Times New Roman" w:eastAsia="Times New Roman" w:hAnsi="Times New Roman"/>
          <w:sz w:val="22"/>
          <w:szCs w:val="22"/>
          <w:color w:val="auto"/>
        </w:rPr>
        <w:t xml:space="preserve">2.2 For each time of the payment under this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in order to facilitate BeOne Suzhou’s performance of the payment obligations, if the remitting bank of BeOne Suzhou or the competent foreign exchange / tax authorities request it, Licensor should issue a written payment request, which can take the form of an invoice, to BeOne Suzhou stating the amount payable under the Agreement.</w:t>
      </w:r>
    </w:p>
    <w:p>
      <w:pPr>
        <w:spacing w:after="0" w:line="200" w:lineRule="exact"/>
        <w:rPr>
          <w:sz w:val="20"/>
          <w:szCs w:val="20"/>
          <w:color w:val="auto"/>
        </w:rPr>
      </w:pPr>
    </w:p>
    <w:p>
      <w:pPr>
        <w:spacing w:after="0" w:line="36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3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23" w:lineRule="exact"/>
        <w:rPr>
          <w:sz w:val="20"/>
          <w:szCs w:val="20"/>
          <w:color w:val="auto"/>
        </w:rPr>
      </w:pPr>
    </w:p>
    <w:p>
      <w:pPr>
        <w:jc w:val="both"/>
        <w:ind w:left="360" w:right="20" w:hanging="362"/>
        <w:spacing w:after="0" w:line="271" w:lineRule="auto"/>
        <w:rPr>
          <w:sz w:val="20"/>
          <w:szCs w:val="20"/>
          <w:color w:val="auto"/>
        </w:rPr>
      </w:pPr>
      <w:r>
        <w:rPr>
          <w:rFonts w:ascii="Times New Roman" w:cs="Times New Roman" w:eastAsia="Times New Roman" w:hAnsi="Times New Roman"/>
          <w:sz w:val="22"/>
          <w:szCs w:val="22"/>
          <w:color w:val="auto"/>
        </w:rPr>
        <w:t>3.1 The Parties confirm that each Party is an independent legal entity. Nothing in this Agreement shall be deemed to constitute a partnership, joint venture, or agency relationship among them.</w:t>
      </w:r>
    </w:p>
    <w:p>
      <w:pPr>
        <w:spacing w:after="0" w:line="131" w:lineRule="exact"/>
        <w:rPr>
          <w:sz w:val="20"/>
          <w:szCs w:val="20"/>
          <w:color w:val="auto"/>
        </w:rPr>
      </w:pPr>
    </w:p>
    <w:p>
      <w:pPr>
        <w:jc w:val="both"/>
        <w:ind w:left="360" w:right="20" w:hanging="362"/>
        <w:spacing w:after="0" w:line="271" w:lineRule="auto"/>
        <w:rPr>
          <w:sz w:val="20"/>
          <w:szCs w:val="20"/>
          <w:color w:val="auto"/>
        </w:rPr>
      </w:pPr>
      <w:r>
        <w:rPr>
          <w:rFonts w:ascii="Times New Roman" w:cs="Times New Roman" w:eastAsia="Times New Roman" w:hAnsi="Times New Roman"/>
          <w:sz w:val="22"/>
          <w:szCs w:val="22"/>
          <w:color w:val="auto"/>
        </w:rPr>
        <w:t>3.2 Each Party represents and warrants that it is duly organized, validly existing, and in good standing under the laws of its place of incorporation, and has full power and authority to enter into this Agreement.</w:t>
      </w:r>
    </w:p>
    <w:p>
      <w:pPr>
        <w:spacing w:after="0" w:line="200" w:lineRule="exact"/>
        <w:rPr>
          <w:sz w:val="20"/>
          <w:szCs w:val="20"/>
          <w:color w:val="auto"/>
        </w:rPr>
      </w:pPr>
    </w:p>
    <w:p>
      <w:pPr>
        <w:spacing w:after="0" w:line="295" w:lineRule="exact"/>
        <w:rPr>
          <w:sz w:val="20"/>
          <w:szCs w:val="20"/>
          <w:color w:val="auto"/>
        </w:rPr>
      </w:pPr>
    </w:p>
    <w:p>
      <w:pPr>
        <w:ind w:left="1076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860"/>
          </w:cols>
          <w:pgMar w:left="700" w:top="1395" w:right="339" w:bottom="1440" w:gutter="0" w:footer="0" w:header="0"/>
        </w:sectPr>
      </w:pPr>
    </w:p>
    <w:bookmarkStart w:id="177" w:name="page178"/>
    <w:bookmarkEnd w:id="177"/>
    <w:p>
      <w:pPr>
        <w:spacing w:after="0" w:line="37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3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NOTICE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agree that Parties’ address and other contact information for purposes of all notices, consents or waivers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are set forth below:</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BeOne Medicines, Ltd.</w:t>
      </w:r>
    </w:p>
    <w:p>
      <w:pPr>
        <w:spacing w:after="0" w:line="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c/o BeOne Medicines I GmbH</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Aeschengraben 27</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4051 Basel, Switzerland</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Attention: Managing Director</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BeOne Medicines</w:t>
      </w:r>
    </w:p>
    <w:p>
      <w:pPr>
        <w:spacing w:after="0" w:line="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c/o Norma Avelar</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BeOne Medicines USA, Inc.</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55 Cambridge Parkway, Suite 700W</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Cambridge, MA 02142, U.S.A.</w:t>
      </w:r>
    </w:p>
    <w:p>
      <w:pPr>
        <w:spacing w:after="0" w:line="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Attention: Chan Lee, Senior Vice President, General Counsel &amp; Corporate Secretary</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Email: [***]</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BeOne Pharmaceutical (Suzhou) Co., Ltd.</w:t>
      </w:r>
    </w:p>
    <w:p>
      <w:pPr>
        <w:spacing w:after="0" w:line="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Building 9</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Biological Industrial Park</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No. 218, Sangtian Street</w:t>
      </w:r>
    </w:p>
    <w:p>
      <w:pPr>
        <w:spacing w:after="0" w:line="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Suzhou Industrial Park</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Suzhou, China (Jiangsu) Pilot Free Trade Zone</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Attention: Managing Director</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Zymeworks BC Inc.</w:t>
      </w:r>
    </w:p>
    <w:p>
      <w:pPr>
        <w:spacing w:after="0" w:line="28" w:lineRule="exact"/>
        <w:rPr>
          <w:sz w:val="20"/>
          <w:szCs w:val="20"/>
          <w:color w:val="auto"/>
        </w:rPr>
      </w:pPr>
    </w:p>
    <w:p>
      <w:pPr>
        <w:ind w:left="380" w:right="4720"/>
        <w:spacing w:after="0" w:line="249" w:lineRule="auto"/>
        <w:rPr>
          <w:sz w:val="20"/>
          <w:szCs w:val="20"/>
          <w:color w:val="auto"/>
        </w:rPr>
      </w:pPr>
      <w:r>
        <w:rPr>
          <w:rFonts w:ascii="Times New Roman" w:cs="Times New Roman" w:eastAsia="Times New Roman" w:hAnsi="Times New Roman"/>
          <w:sz w:val="22"/>
          <w:szCs w:val="22"/>
          <w:color w:val="auto"/>
        </w:rPr>
        <w:t>114 East 4th Avenue, Suite 800, Vancouver, BC, Canada V5T 1G4 E-mail addresses: [***]</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Attention: Legal Department</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Wilson Sonsini Goodrich &amp; Rosati</w:t>
      </w:r>
    </w:p>
    <w:p>
      <w:pPr>
        <w:spacing w:after="0" w:line="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One Boston Place</w:t>
      </w:r>
    </w:p>
    <w:p>
      <w:pPr>
        <w:spacing w:after="0" w:line="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201 Washington, St., Suite 2000</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Boston, MA 02108</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Attention: Farah B. Gerdes, Esq.</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E-mail address: [***]</w:t>
      </w:r>
    </w:p>
    <w:p>
      <w:pPr>
        <w:sectPr>
          <w:pgSz w:w="11900" w:h="16838" w:orient="portrait"/>
          <w:cols w:equalWidth="0" w:num="1">
            <w:col w:w="10860"/>
          </w:cols>
          <w:pgMar w:left="7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76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60"/>
          </w:cols>
          <w:pgMar w:left="700" w:top="1440" w:right="339" w:bottom="1440" w:gutter="0" w:footer="0" w:header="0"/>
          <w:type w:val="continuous"/>
        </w:sectPr>
      </w:pPr>
    </w:p>
    <w:bookmarkStart w:id="178" w:name="page179"/>
    <w:bookmarkEnd w:id="178"/>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3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19" w:lineRule="exact"/>
        <w:rPr>
          <w:sz w:val="20"/>
          <w:szCs w:val="20"/>
          <w:color w:val="auto"/>
        </w:rPr>
      </w:pPr>
    </w:p>
    <w:p>
      <w:pPr>
        <w:jc w:val="both"/>
        <w:ind w:left="360" w:hanging="362"/>
        <w:spacing w:after="0" w:line="249" w:lineRule="auto"/>
        <w:rPr>
          <w:sz w:val="20"/>
          <w:szCs w:val="20"/>
          <w:color w:val="auto"/>
        </w:rPr>
      </w:pPr>
      <w:r>
        <w:rPr>
          <w:rFonts w:ascii="Times New Roman" w:cs="Times New Roman" w:eastAsia="Times New Roman" w:hAnsi="Times New Roman"/>
          <w:sz w:val="22"/>
          <w:szCs w:val="22"/>
          <w:color w:val="auto"/>
        </w:rPr>
        <w:t>5.1 This Agreement (a) shall be effective as of December 6, 2024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and shall continue in effect, unless otherwise terminated by the Parties, (b) shall be governed by and construed in accordance with the laws of the State of New York without reference to any rules of conflict of laws, (c) shall be binding upon and inure to the benefit of the Parties and their respective legal representatives, successors and permitted assigns, (d) shall not be amended, modified, supplemented or waived except in a writing signed by each Party, and (e) may be executed in one (1) or more counterparts, including counterparts by facsimile and electronic delivery in portable document format, each of which shall be deemed to be an original, but all of which together shall constitute and be one and the same instrument. The failure of any Party to strictly enforce any of the terms or conditions of this Agreement will not be considered as a waiver of any right hereunder nor will it deprive that Party of the right at some other time to insist upon strict adherence to that term or condition or to any other terms or conditions.</w:t>
      </w:r>
    </w:p>
    <w:p>
      <w:pPr>
        <w:spacing w:after="0" w:line="160" w:lineRule="exact"/>
        <w:rPr>
          <w:sz w:val="20"/>
          <w:szCs w:val="20"/>
          <w:color w:val="auto"/>
        </w:rPr>
      </w:pPr>
    </w:p>
    <w:p>
      <w:pPr>
        <w:jc w:val="both"/>
        <w:ind w:left="360" w:hanging="362"/>
        <w:spacing w:after="0" w:line="271" w:lineRule="auto"/>
        <w:rPr>
          <w:sz w:val="20"/>
          <w:szCs w:val="20"/>
          <w:color w:val="auto"/>
        </w:rPr>
      </w:pPr>
      <w:r>
        <w:rPr>
          <w:rFonts w:ascii="Times New Roman" w:cs="Times New Roman" w:eastAsia="Times New Roman" w:hAnsi="Times New Roman"/>
          <w:sz w:val="22"/>
          <w:szCs w:val="22"/>
          <w:color w:val="auto"/>
        </w:rPr>
        <w:t>5.2 The section headings contained in this Agreement are for reference purposes only and shall not affect in any way the meaning or interpretation of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Capitalized terms used herein and not otherwise defined have the meanings set forth in the Original Agreement.</w:t>
      </w:r>
    </w:p>
    <w:p>
      <w:pPr>
        <w:spacing w:after="0" w:line="193" w:lineRule="exact"/>
        <w:rPr>
          <w:sz w:val="20"/>
          <w:szCs w:val="20"/>
          <w:color w:val="auto"/>
        </w:rPr>
      </w:pPr>
    </w:p>
    <w:p>
      <w:pPr>
        <w:jc w:val="both"/>
        <w:ind w:left="360" w:hanging="362"/>
        <w:spacing w:after="0" w:line="253" w:lineRule="auto"/>
        <w:rPr>
          <w:sz w:val="20"/>
          <w:szCs w:val="20"/>
          <w:color w:val="auto"/>
        </w:rPr>
      </w:pPr>
      <w:r>
        <w:rPr>
          <w:rFonts w:ascii="Times New Roman" w:cs="Times New Roman" w:eastAsia="Times New Roman" w:hAnsi="Times New Roman"/>
          <w:sz w:val="22"/>
          <w:szCs w:val="22"/>
          <w:color w:val="auto"/>
        </w:rPr>
        <w:t>5.4 Except as specifically set forth in this Agreement, the Original Agreement shall remain in full force and effect. The validity of any performance, claims, and demands made by Zymeworks to BeOne based on the Original Agreement prior to the execution date of this Agreement shall not be affected by the execution or effectiveness of this Agreement. This Agreement shall automatically terminate upon expiration or termination of the Original Agreement, provided that termination of this Agreement shall not relieve the Parties of any obligation accruing prior to such termination.</w:t>
      </w:r>
    </w:p>
    <w:p>
      <w:pPr>
        <w:spacing w:after="0" w:line="138" w:lineRule="exact"/>
        <w:rPr>
          <w:sz w:val="20"/>
          <w:szCs w:val="20"/>
          <w:color w:val="auto"/>
        </w:rPr>
      </w:pPr>
    </w:p>
    <w:p>
      <w:pPr>
        <w:jc w:val="both"/>
        <w:ind w:left="360" w:hanging="362"/>
        <w:spacing w:after="0" w:line="271" w:lineRule="auto"/>
        <w:rPr>
          <w:sz w:val="20"/>
          <w:szCs w:val="20"/>
          <w:color w:val="auto"/>
        </w:rPr>
      </w:pPr>
      <w:r>
        <w:rPr>
          <w:rFonts w:ascii="Times New Roman" w:cs="Times New Roman" w:eastAsia="Times New Roman" w:hAnsi="Times New Roman"/>
          <w:sz w:val="22"/>
          <w:szCs w:val="22"/>
          <w:color w:val="auto"/>
        </w:rPr>
        <w:t>5.5 This Agreement was prepared in the English language, which language shall govern the interpretation of, and any dispute regarding, the terms of this Agreement.</w:t>
      </w:r>
    </w:p>
    <w:p>
      <w:pPr>
        <w:spacing w:after="0" w:line="1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i w:val="1"/>
          <w:iCs w:val="1"/>
          <w:color w:val="auto"/>
        </w:rPr>
        <w:t>[Remainder of the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76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860"/>
          </w:cols>
          <w:pgMar w:left="700" w:top="1391" w:right="339" w:bottom="1440" w:gutter="0" w:footer="0" w:header="0"/>
        </w:sectPr>
      </w:pPr>
    </w:p>
    <w:bookmarkStart w:id="179" w:name="page180"/>
    <w:bookmarkEnd w:id="179"/>
    <w:p>
      <w:pPr>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Agreement to be duly executed and delivered by their proper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signatories as of the date indicated below.</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ZYMEWORKS BC INC.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Daniel Dex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Daniel Dex</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10/30/2025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BEONE MEDICINES LTD.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Chan Lee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Chan Lee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Vice President, General Counsel and Assistant Secretary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10/27/2025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BEONE PHARMACEUTICAL (SUZHOU) CO., LTD.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Dr. Xiaobin Wu</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Dr. Xiaobin Wu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Chairman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10/29/2025</w:t>
      </w:r>
    </w:p>
    <w:p>
      <w:pPr>
        <w:spacing w:after="0" w:line="200" w:lineRule="exact"/>
        <w:rPr>
          <w:sz w:val="20"/>
          <w:szCs w:val="20"/>
          <w:color w:val="auto"/>
        </w:rPr>
      </w:pPr>
    </w:p>
    <w:p>
      <w:pPr>
        <w:spacing w:after="0" w:line="357" w:lineRule="exact"/>
        <w:rPr>
          <w:sz w:val="20"/>
          <w:szCs w:val="20"/>
          <w:color w:val="auto"/>
        </w:rPr>
      </w:pPr>
    </w:p>
    <w:p>
      <w:pPr>
        <w:ind w:left="1076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860"/>
          </w:cols>
          <w:pgMar w:left="700" w:top="1391" w:right="339" w:bottom="1440" w:gutter="0" w:footer="0" w:header="0"/>
        </w:sectPr>
      </w:pPr>
    </w:p>
    <w:bookmarkStart w:id="180" w:name="page181"/>
    <w:bookmarkEnd w:id="180"/>
    <w:p>
      <w:pPr>
        <w:spacing w:after="0" w:line="37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APPENDIX 1</w:t>
      </w:r>
    </w:p>
    <w:p>
      <w:pPr>
        <w:spacing w:after="0" w:line="19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License and Collaboration Agreement</w:t>
      </w:r>
    </w:p>
    <w:p>
      <w:pPr>
        <w:spacing w:after="0" w:line="210" w:lineRule="exact"/>
        <w:rPr>
          <w:sz w:val="20"/>
          <w:szCs w:val="20"/>
          <w:color w:val="auto"/>
        </w:rPr>
      </w:pPr>
    </w:p>
    <w:p>
      <w:pPr>
        <w:spacing w:after="0" w:line="348" w:lineRule="auto"/>
        <w:rPr>
          <w:sz w:val="20"/>
          <w:szCs w:val="20"/>
          <w:color w:val="auto"/>
        </w:rPr>
      </w:pPr>
      <w:r>
        <w:rPr>
          <w:rFonts w:ascii="Times New Roman" w:cs="Times New Roman" w:eastAsia="Times New Roman" w:hAnsi="Times New Roman"/>
          <w:sz w:val="22"/>
          <w:szCs w:val="22"/>
          <w:color w:val="auto"/>
        </w:rPr>
        <w:t>[The Original Agreement has been previously filed with the Securities and Exchange Commission. For additional information, please refer to Exhibit 10.20 to Zymeworks Inc.’s Annual Report on Form 10-K filed on March 5, 2025.]</w:t>
      </w:r>
    </w:p>
    <w:p>
      <w:pPr>
        <w:spacing w:after="0" w:line="200" w:lineRule="exact"/>
        <w:rPr>
          <w:sz w:val="20"/>
          <w:szCs w:val="20"/>
          <w:color w:val="auto"/>
        </w:rPr>
      </w:pPr>
    </w:p>
    <w:p>
      <w:pPr>
        <w:spacing w:after="0" w:line="268" w:lineRule="exact"/>
        <w:rPr>
          <w:sz w:val="20"/>
          <w:szCs w:val="20"/>
          <w:color w:val="auto"/>
        </w:rPr>
      </w:pPr>
    </w:p>
    <w:p>
      <w:pPr>
        <w:ind w:left="1076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860"/>
          </w:cols>
          <w:pgMar w:left="700" w:top="1440" w:right="339" w:bottom="1440" w:gutter="0" w:footer="0" w:header="0"/>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10.56</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is made and effective as of the March 25, 2019 (the “Effective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BETWEEN: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Mr. Mark Hollywood, </w:t>
      </w:r>
      <w:r>
        <w:rPr>
          <w:rFonts w:ascii="Times New Roman" w:cs="Times New Roman" w:eastAsia="Times New Roman" w:hAnsi="Times New Roman"/>
          <w:sz w:val="22"/>
          <w:szCs w:val="22"/>
          <w:color w:val="auto"/>
        </w:rPr>
        <w:t>having a residence at [***].</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151716"/>
        </w:rPr>
        <w:t>(the “Employee”)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jc w:val="both"/>
        <w:ind w:left="1300" w:right="1300"/>
        <w:spacing w:after="0" w:line="231" w:lineRule="auto"/>
        <w:rPr>
          <w:sz w:val="20"/>
          <w:szCs w:val="20"/>
          <w:color w:val="auto"/>
        </w:rPr>
      </w:pPr>
      <w:r>
        <w:rPr>
          <w:rFonts w:ascii="Times New Roman" w:cs="Times New Roman" w:eastAsia="Times New Roman" w:hAnsi="Times New Roman"/>
          <w:sz w:val="22"/>
          <w:szCs w:val="22"/>
          <w:b w:val="1"/>
          <w:bCs w:val="1"/>
          <w:color w:val="151716"/>
        </w:rPr>
        <w:t xml:space="preserve">ZYMEWORKS BIOPHARMACEUTICALS INC., </w:t>
      </w:r>
      <w:r>
        <w:rPr>
          <w:rFonts w:ascii="Times New Roman" w:cs="Times New Roman" w:eastAsia="Times New Roman" w:hAnsi="Times New Roman"/>
          <w:sz w:val="22"/>
          <w:szCs w:val="22"/>
          <w:color w:val="151716"/>
        </w:rPr>
        <w:t>a corporation registered in the</w:t>
      </w:r>
      <w:r>
        <w:rPr>
          <w:rFonts w:ascii="Times New Roman" w:cs="Times New Roman" w:eastAsia="Times New Roman" w:hAnsi="Times New Roman"/>
          <w:sz w:val="22"/>
          <w:szCs w:val="22"/>
          <w:b w:val="1"/>
          <w:bCs w:val="1"/>
          <w:color w:val="151716"/>
        </w:rPr>
        <w:t xml:space="preserve"> </w:t>
      </w:r>
      <w:r>
        <w:rPr>
          <w:rFonts w:ascii="Times New Roman" w:cs="Times New Roman" w:eastAsia="Times New Roman" w:hAnsi="Times New Roman"/>
          <w:sz w:val="22"/>
          <w:szCs w:val="22"/>
          <w:color w:val="000000"/>
        </w:rPr>
        <w:t>State</w:t>
      </w:r>
      <w:r>
        <w:rPr>
          <w:rFonts w:ascii="Times New Roman" w:cs="Times New Roman" w:eastAsia="Times New Roman" w:hAnsi="Times New Roman"/>
          <w:sz w:val="22"/>
          <w:szCs w:val="22"/>
          <w:b w:val="1"/>
          <w:bCs w:val="1"/>
          <w:color w:val="151716"/>
        </w:rPr>
        <w:t xml:space="preserve"> </w:t>
      </w:r>
      <w:r>
        <w:rPr>
          <w:rFonts w:ascii="Times New Roman" w:cs="Times New Roman" w:eastAsia="Times New Roman" w:hAnsi="Times New Roman"/>
          <w:sz w:val="22"/>
          <w:szCs w:val="22"/>
          <w:color w:val="151716"/>
        </w:rPr>
        <w:t>of</w:t>
      </w:r>
      <w:r>
        <w:rPr>
          <w:rFonts w:ascii="Times New Roman" w:cs="Times New Roman" w:eastAsia="Times New Roman" w:hAnsi="Times New Roman"/>
          <w:sz w:val="22"/>
          <w:szCs w:val="22"/>
          <w:b w:val="1"/>
          <w:bCs w:val="1"/>
          <w:color w:val="151716"/>
        </w:rPr>
        <w:t xml:space="preserve"> </w:t>
      </w:r>
      <w:r>
        <w:rPr>
          <w:rFonts w:ascii="Times New Roman" w:cs="Times New Roman" w:eastAsia="Times New Roman" w:hAnsi="Times New Roman"/>
          <w:sz w:val="22"/>
          <w:szCs w:val="22"/>
          <w:color w:val="151716"/>
        </w:rPr>
        <w:t>Washington and having its principal place of business at 350-2400 3</w:t>
      </w:r>
      <w:r>
        <w:rPr>
          <w:rFonts w:ascii="Times New Roman" w:cs="Times New Roman" w:eastAsia="Times New Roman" w:hAnsi="Times New Roman"/>
          <w:sz w:val="28"/>
          <w:szCs w:val="28"/>
          <w:color w:val="151716"/>
          <w:vertAlign w:val="superscript"/>
        </w:rPr>
        <w:t>rd</w:t>
      </w:r>
      <w:r>
        <w:rPr>
          <w:rFonts w:ascii="Times New Roman" w:cs="Times New Roman" w:eastAsia="Times New Roman" w:hAnsi="Times New Roman"/>
          <w:sz w:val="22"/>
          <w:szCs w:val="22"/>
          <w:color w:val="151716"/>
        </w:rPr>
        <w:t xml:space="preserve"> Avenue, Seattle, WA, 98121, USA</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151716"/>
        </w:rPr>
        <w:t>(the “Company”)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w:t>
      </w:r>
    </w:p>
    <w:p>
      <w:pPr>
        <w:spacing w:after="0" w:line="193" w:lineRule="exact"/>
        <w:rPr>
          <w:sz w:val="20"/>
          <w:szCs w:val="20"/>
          <w:color w:val="auto"/>
        </w:rPr>
      </w:pPr>
    </w:p>
    <w:p>
      <w:pPr>
        <w:ind w:right="20" w:firstLine="8"/>
        <w:spacing w:after="0" w:line="236" w:lineRule="auto"/>
        <w:tabs>
          <w:tab w:leader="none" w:pos="64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protein engineering company engaged in the business of researching, developing and commercializing proteins for pharmaceutical applications;</w:t>
      </w:r>
    </w:p>
    <w:p>
      <w:pPr>
        <w:spacing w:after="0" w:line="150" w:lineRule="exact"/>
        <w:rPr>
          <w:rFonts w:ascii="Times New Roman" w:cs="Times New Roman" w:eastAsia="Times New Roman" w:hAnsi="Times New Roman"/>
          <w:sz w:val="22"/>
          <w:szCs w:val="22"/>
          <w:color w:val="auto"/>
        </w:rPr>
      </w:pPr>
    </w:p>
    <w:p>
      <w:pPr>
        <w:ind w:firstLine="8"/>
        <w:spacing w:after="0" w:line="236" w:lineRule="auto"/>
        <w:tabs>
          <w:tab w:leader="none" w:pos="6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has experience in technical and manufacturing operations, and/or related skills and expertise and wishes to contribute such experiences to the development and growth of the Company’s business; and</w:t>
      </w:r>
    </w:p>
    <w:p>
      <w:pPr>
        <w:spacing w:after="0" w:line="150" w:lineRule="exact"/>
        <w:rPr>
          <w:rFonts w:ascii="Times New Roman" w:cs="Times New Roman" w:eastAsia="Times New Roman" w:hAnsi="Times New Roman"/>
          <w:sz w:val="22"/>
          <w:szCs w:val="22"/>
          <w:color w:val="auto"/>
        </w:rPr>
      </w:pPr>
    </w:p>
    <w:p>
      <w:pPr>
        <w:ind w:firstLine="8"/>
        <w:spacing w:after="0" w:line="236" w:lineRule="auto"/>
        <w:tabs>
          <w:tab w:leader="none" w:pos="6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agreed to offer employment to the Employee, and the employee has agreed to accept employment with the Company on the terms and conditions set out in this Agreement and Appendices hereto.</w:t>
      </w:r>
    </w:p>
    <w:p>
      <w:pPr>
        <w:spacing w:after="0" w:line="17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NOW THEREFORE THIS AGREEMENT WITNESSES that for and in consideration of the premises and mutual covenants and agreements hereinafter contained, the parties hereto covenant and agree as follows: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  - GENERAL</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Unless otherwise defined, all capitalized terms used in this Agreement will have the meanings given below:</w:t>
      </w:r>
    </w:p>
    <w:p>
      <w:pPr>
        <w:spacing w:after="0" w:line="179" w:lineRule="exact"/>
        <w:rPr>
          <w:sz w:val="20"/>
          <w:szCs w:val="20"/>
          <w:color w:val="auto"/>
        </w:rPr>
      </w:pPr>
    </w:p>
    <w:p>
      <w:pPr>
        <w:jc w:val="both"/>
        <w:ind w:left="1300" w:hanging="644"/>
        <w:spacing w:after="0" w:line="225" w:lineRule="auto"/>
        <w:tabs>
          <w:tab w:leader="none" w:pos="1297" w:val="left"/>
        </w:tabs>
        <w:numPr>
          <w:ilvl w:val="0"/>
          <w:numId w:val="99"/>
        </w:numPr>
        <w:rPr>
          <w:rFonts w:ascii="Times New Roman" w:cs="Times New Roman" w:eastAsia="Times New Roman" w:hAnsi="Times New Roman"/>
          <w:sz w:val="22"/>
          <w:szCs w:val="22"/>
          <w:color w:val="151716"/>
        </w:rPr>
      </w:pPr>
      <w:r>
        <w:rPr>
          <w:rFonts w:ascii="Times New Roman" w:cs="Times New Roman" w:eastAsia="Times New Roman" w:hAnsi="Times New Roman"/>
          <w:sz w:val="22"/>
          <w:szCs w:val="22"/>
          <w:color w:val="auto"/>
        </w:rPr>
        <w:t>“Business” means the business of researching, developing and commercializing therapeutic proteins, antibodies, and any other research, development and manufacturing work considered, planned or undertaken by the Company during the Employee’s employment;</w:t>
      </w:r>
    </w:p>
    <w:p>
      <w:pPr>
        <w:spacing w:after="0" w:line="152" w:lineRule="exact"/>
        <w:rPr>
          <w:rFonts w:ascii="Times New Roman" w:cs="Times New Roman" w:eastAsia="Times New Roman" w:hAnsi="Times New Roman"/>
          <w:sz w:val="22"/>
          <w:szCs w:val="22"/>
          <w:color w:val="151716"/>
        </w:rPr>
      </w:pPr>
    </w:p>
    <w:p>
      <w:pPr>
        <w:ind w:left="1300" w:hanging="644"/>
        <w:spacing w:after="0" w:line="236" w:lineRule="auto"/>
        <w:tabs>
          <w:tab w:leader="none" w:pos="1295" w:val="left"/>
        </w:tabs>
        <w:numPr>
          <w:ilvl w:val="0"/>
          <w:numId w:val="99"/>
        </w:numPr>
        <w:rPr>
          <w:rFonts w:ascii="Times New Roman" w:cs="Times New Roman" w:eastAsia="Times New Roman" w:hAnsi="Times New Roman"/>
          <w:sz w:val="22"/>
          <w:szCs w:val="22"/>
          <w:color w:val="151716"/>
        </w:rPr>
      </w:pPr>
      <w:r>
        <w:rPr>
          <w:rFonts w:ascii="Times New Roman" w:cs="Times New Roman" w:eastAsia="Times New Roman" w:hAnsi="Times New Roman"/>
          <w:sz w:val="22"/>
          <w:szCs w:val="22"/>
          <w:color w:val="auto"/>
        </w:rPr>
        <w:t>“Confidential Information” means trade secrets and other information, in whatever form or media, in the possession or control of the Company, which is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820"/>
        <w:spacing w:after="0"/>
        <w:tabs>
          <w:tab w:leader="none" w:pos="9360" w:val="left"/>
        </w:tabs>
        <w:rPr>
          <w:sz w:val="20"/>
          <w:szCs w:val="20"/>
          <w:color w:val="auto"/>
        </w:rPr>
      </w:pPr>
      <w:r>
        <w:rPr>
          <w:rFonts w:ascii="Times New Roman" w:cs="Times New Roman" w:eastAsia="Times New Roman" w:hAnsi="Times New Roman"/>
          <w:sz w:val="16"/>
          <w:szCs w:val="16"/>
          <w:color w:val="auto"/>
        </w:rPr>
        <w:t>Zymeworks – Private &amp; Confidential</w:t>
        <w:tab/>
        <w:t>Page 1 - 20#NUM_PAGES#</w:t>
      </w:r>
    </w:p>
    <w:p>
      <w:pPr>
        <w:sectPr>
          <w:pgSz w:w="11900" w:h="16838" w:orient="portrait"/>
          <w:cols w:equalWidth="0" w:num="1">
            <w:col w:w="11240"/>
          </w:cols>
          <w:pgMar w:left="320" w:top="1440" w:right="339" w:bottom="1440" w:gutter="0" w:footer="0" w:header="0"/>
          <w:type w:val="continuous"/>
        </w:sectPr>
      </w:pPr>
    </w:p>
    <w:bookmarkStart w:id="182" w:name="page183"/>
    <w:bookmarkEnd w:id="1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95" w:lineRule="exact"/>
        <w:rPr>
          <w:sz w:val="20"/>
          <w:szCs w:val="20"/>
          <w:color w:val="auto"/>
        </w:rPr>
      </w:pPr>
    </w:p>
    <w:p>
      <w:pPr>
        <w:jc w:val="both"/>
        <w:ind w:left="644"/>
        <w:spacing w:after="0" w:line="215" w:lineRule="auto"/>
        <w:rPr>
          <w:sz w:val="20"/>
          <w:szCs w:val="20"/>
          <w:color w:val="auto"/>
        </w:rPr>
      </w:pPr>
      <w:r>
        <w:rPr>
          <w:rFonts w:ascii="Times New Roman" w:cs="Times New Roman" w:eastAsia="Times New Roman" w:hAnsi="Times New Roman"/>
          <w:sz w:val="22"/>
          <w:szCs w:val="22"/>
          <w:color w:val="auto"/>
        </w:rPr>
        <w:t>owned by the Company or by one of its clients or suppliers or a third party with whom the Company has a business relationship (collectively, the “Associates”), and which is not generally known to the public and has been specifically identified as confidential or proprietary by the Company, or its nature is such that it would generally be considered confidential in the industry in which the Company or its Associates operate, or which the Company is obligated to treat as confidential or proprietary. Confidential Information includes, without limitation, the following:</w:t>
      </w:r>
    </w:p>
    <w:p>
      <w:pPr>
        <w:spacing w:after="0" w:line="152" w:lineRule="exact"/>
        <w:rPr>
          <w:sz w:val="20"/>
          <w:szCs w:val="20"/>
          <w:color w:val="auto"/>
        </w:rPr>
      </w:pPr>
    </w:p>
    <w:p>
      <w:pPr>
        <w:jc w:val="both"/>
        <w:ind w:left="1304" w:hanging="656"/>
        <w:spacing w:after="0" w:line="215" w:lineRule="auto"/>
        <w:tabs>
          <w:tab w:leader="none" w:pos="1292" w:val="left"/>
        </w:tabs>
        <w:numPr>
          <w:ilvl w:val="1"/>
          <w:numId w:val="100"/>
        </w:numPr>
        <w:rPr>
          <w:rFonts w:ascii="Times New Roman" w:cs="Times New Roman" w:eastAsia="Times New Roman" w:hAnsi="Times New Roman"/>
          <w:sz w:val="22"/>
          <w:szCs w:val="22"/>
          <w:color w:val="151716"/>
        </w:rPr>
      </w:pPr>
      <w:r>
        <w:rPr>
          <w:rFonts w:ascii="Times New Roman" w:cs="Times New Roman" w:eastAsia="Times New Roman" w:hAnsi="Times New Roman"/>
          <w:sz w:val="22"/>
          <w:szCs w:val="22"/>
          <w:color w:val="auto"/>
        </w:rPr>
        <w:t>the products and confidential or proprietary facts, data, techniques, materials and other information related to the business of the Company, including all related development or experimental work or research, related documentation owned or marketed by the Company and related formulas, algorithms, patent applications, concepts, designs, flowcharts, ideas, programming techniques, specifications and software programs (including source code listings), methods, processes, inventions, sources, drawings, computer models, prototypes and patterns;</w:t>
      </w:r>
    </w:p>
    <w:p>
      <w:pPr>
        <w:spacing w:after="0" w:line="152" w:lineRule="exact"/>
        <w:rPr>
          <w:rFonts w:ascii="Times New Roman" w:cs="Times New Roman" w:eastAsia="Times New Roman" w:hAnsi="Times New Roman"/>
          <w:sz w:val="22"/>
          <w:szCs w:val="22"/>
          <w:color w:val="151716"/>
        </w:rPr>
      </w:pPr>
    </w:p>
    <w:p>
      <w:pPr>
        <w:jc w:val="both"/>
        <w:ind w:left="1304" w:hanging="656"/>
        <w:spacing w:after="0" w:line="225" w:lineRule="auto"/>
        <w:tabs>
          <w:tab w:leader="none" w:pos="1298" w:val="left"/>
        </w:tabs>
        <w:numPr>
          <w:ilvl w:val="1"/>
          <w:numId w:val="100"/>
        </w:numPr>
        <w:rPr>
          <w:rFonts w:ascii="Times New Roman" w:cs="Times New Roman" w:eastAsia="Times New Roman" w:hAnsi="Times New Roman"/>
          <w:sz w:val="22"/>
          <w:szCs w:val="22"/>
          <w:color w:val="151716"/>
        </w:rPr>
      </w:pPr>
      <w:r>
        <w:rPr>
          <w:rFonts w:ascii="Times New Roman" w:cs="Times New Roman" w:eastAsia="Times New Roman" w:hAnsi="Times New Roman"/>
          <w:sz w:val="22"/>
          <w:szCs w:val="22"/>
          <w:color w:val="auto"/>
        </w:rPr>
        <w:t>information regarding the Company’s business operations, methods and practices, including market strategies, product pricing, margins and hourly rates for staff and information regarding the financial, legal and corporate affairs of the Company;</w:t>
      </w:r>
    </w:p>
    <w:p>
      <w:pPr>
        <w:spacing w:after="0" w:line="152" w:lineRule="exact"/>
        <w:rPr>
          <w:rFonts w:ascii="Times New Roman" w:cs="Times New Roman" w:eastAsia="Times New Roman" w:hAnsi="Times New Roman"/>
          <w:sz w:val="22"/>
          <w:szCs w:val="22"/>
          <w:color w:val="151716"/>
        </w:rPr>
      </w:pPr>
    </w:p>
    <w:p>
      <w:pPr>
        <w:ind w:left="1304" w:hanging="656"/>
        <w:spacing w:after="0" w:line="236" w:lineRule="auto"/>
        <w:tabs>
          <w:tab w:leader="none" w:pos="1304" w:val="left"/>
        </w:tabs>
        <w:numPr>
          <w:ilvl w:val="1"/>
          <w:numId w:val="100"/>
        </w:numPr>
        <w:rPr>
          <w:rFonts w:ascii="Times New Roman" w:cs="Times New Roman" w:eastAsia="Times New Roman" w:hAnsi="Times New Roman"/>
          <w:sz w:val="22"/>
          <w:szCs w:val="22"/>
          <w:color w:val="151716"/>
        </w:rPr>
      </w:pPr>
      <w:r>
        <w:rPr>
          <w:rFonts w:ascii="Times New Roman" w:cs="Times New Roman" w:eastAsia="Times New Roman" w:hAnsi="Times New Roman"/>
          <w:sz w:val="22"/>
          <w:szCs w:val="22"/>
          <w:color w:val="auto"/>
        </w:rPr>
        <w:t>the names of the Company’s Associates and the nature of the Company’s relationships with such Associates; and</w:t>
      </w:r>
    </w:p>
    <w:p>
      <w:pPr>
        <w:spacing w:after="0" w:line="150" w:lineRule="exact"/>
        <w:rPr>
          <w:rFonts w:ascii="Times New Roman" w:cs="Times New Roman" w:eastAsia="Times New Roman" w:hAnsi="Times New Roman"/>
          <w:sz w:val="22"/>
          <w:szCs w:val="22"/>
          <w:color w:val="151716"/>
        </w:rPr>
      </w:pPr>
    </w:p>
    <w:p>
      <w:pPr>
        <w:ind w:left="1284" w:hanging="636"/>
        <w:spacing w:after="0"/>
        <w:tabs>
          <w:tab w:leader="none" w:pos="1284" w:val="left"/>
        </w:tabs>
        <w:numPr>
          <w:ilvl w:val="1"/>
          <w:numId w:val="100"/>
        </w:numPr>
        <w:rPr>
          <w:rFonts w:ascii="Times New Roman" w:cs="Times New Roman" w:eastAsia="Times New Roman" w:hAnsi="Times New Roman"/>
          <w:sz w:val="22"/>
          <w:szCs w:val="22"/>
          <w:color w:val="151716"/>
        </w:rPr>
      </w:pPr>
      <w:r>
        <w:rPr>
          <w:rFonts w:ascii="Times New Roman" w:cs="Times New Roman" w:eastAsia="Times New Roman" w:hAnsi="Times New Roman"/>
          <w:sz w:val="22"/>
          <w:szCs w:val="22"/>
          <w:color w:val="auto"/>
        </w:rPr>
        <w:t>technical and business information of, or regarding, the Company’s Associates.</w:t>
      </w:r>
    </w:p>
    <w:p>
      <w:pPr>
        <w:spacing w:after="0" w:line="179" w:lineRule="exact"/>
        <w:rPr>
          <w:rFonts w:ascii="Times New Roman" w:cs="Times New Roman" w:eastAsia="Times New Roman" w:hAnsi="Times New Roman"/>
          <w:sz w:val="22"/>
          <w:szCs w:val="22"/>
          <w:color w:val="151716"/>
        </w:rPr>
      </w:pPr>
    </w:p>
    <w:p>
      <w:pPr>
        <w:jc w:val="both"/>
        <w:ind w:left="644" w:hanging="644"/>
        <w:spacing w:after="0" w:line="217" w:lineRule="auto"/>
        <w:tabs>
          <w:tab w:leader="none" w:pos="641" w:val="left"/>
        </w:tabs>
        <w:numPr>
          <w:ilvl w:val="0"/>
          <w:numId w:val="101"/>
        </w:numPr>
        <w:rPr>
          <w:rFonts w:ascii="Times New Roman" w:cs="Times New Roman" w:eastAsia="Times New Roman" w:hAnsi="Times New Roman"/>
          <w:sz w:val="22"/>
          <w:szCs w:val="22"/>
          <w:color w:val="151716"/>
        </w:rPr>
      </w:pPr>
      <w:r>
        <w:rPr>
          <w:rFonts w:ascii="Times New Roman" w:cs="Times New Roman" w:eastAsia="Times New Roman" w:hAnsi="Times New Roman"/>
          <w:sz w:val="22"/>
          <w:szCs w:val="22"/>
          <w:color w:val="auto"/>
        </w:rPr>
        <w:t>“Developments” means all inventions, ideas, concepts, designs, improvements, discoveries, modifications, computer software, and other results which are or have been conceived of, developed by, written, or reduced to practice by the Employee, alone or jointly with others (including, where applicable, all modifications, derivatives, progeny, models, specifications, source code, design documents, creations, scripts, artwork, text, graphics, photos and pictures) at any time;</w:t>
      </w:r>
    </w:p>
    <w:p>
      <w:pPr>
        <w:spacing w:after="0" w:line="152" w:lineRule="exact"/>
        <w:rPr>
          <w:rFonts w:ascii="Times New Roman" w:cs="Times New Roman" w:eastAsia="Times New Roman" w:hAnsi="Times New Roman"/>
          <w:sz w:val="22"/>
          <w:szCs w:val="22"/>
          <w:color w:val="151716"/>
        </w:rPr>
      </w:pPr>
    </w:p>
    <w:p>
      <w:pPr>
        <w:ind w:left="644" w:hanging="644"/>
        <w:spacing w:after="0"/>
        <w:tabs>
          <w:tab w:leader="none" w:pos="644" w:val="left"/>
        </w:tabs>
        <w:numPr>
          <w:ilvl w:val="0"/>
          <w:numId w:val="101"/>
        </w:numPr>
        <w:rPr>
          <w:rFonts w:ascii="Times New Roman" w:cs="Times New Roman" w:eastAsia="Times New Roman" w:hAnsi="Times New Roman"/>
          <w:sz w:val="22"/>
          <w:szCs w:val="22"/>
          <w:color w:val="151716"/>
        </w:rPr>
      </w:pPr>
      <w:r>
        <w:rPr>
          <w:rFonts w:ascii="Times New Roman" w:cs="Times New Roman" w:eastAsia="Times New Roman" w:hAnsi="Times New Roman"/>
          <w:sz w:val="22"/>
          <w:szCs w:val="22"/>
          <w:color w:val="auto"/>
        </w:rPr>
        <w:t>“Excluded Developments” means any Development that the Employee establishes:</w:t>
      </w:r>
    </w:p>
    <w:p>
      <w:pPr>
        <w:spacing w:after="0" w:line="179" w:lineRule="exact"/>
        <w:rPr>
          <w:rFonts w:ascii="Times New Roman" w:cs="Times New Roman" w:eastAsia="Times New Roman" w:hAnsi="Times New Roman"/>
          <w:sz w:val="22"/>
          <w:szCs w:val="22"/>
          <w:color w:val="151716"/>
        </w:rPr>
      </w:pPr>
    </w:p>
    <w:p>
      <w:pPr>
        <w:ind w:left="1284" w:hanging="636"/>
        <w:spacing w:after="0"/>
        <w:tabs>
          <w:tab w:leader="none" w:pos="1284" w:val="left"/>
        </w:tabs>
        <w:numPr>
          <w:ilvl w:val="1"/>
          <w:numId w:val="101"/>
        </w:numPr>
        <w:rPr>
          <w:rFonts w:ascii="Times New Roman" w:cs="Times New Roman" w:eastAsia="Times New Roman" w:hAnsi="Times New Roman"/>
          <w:sz w:val="22"/>
          <w:szCs w:val="22"/>
          <w:color w:val="151716"/>
        </w:rPr>
      </w:pPr>
      <w:r>
        <w:rPr>
          <w:rFonts w:ascii="Times New Roman" w:cs="Times New Roman" w:eastAsia="Times New Roman" w:hAnsi="Times New Roman"/>
          <w:sz w:val="22"/>
          <w:szCs w:val="22"/>
          <w:color w:val="auto"/>
        </w:rPr>
        <w:t>was developed entirely on the Employee’s own time;</w:t>
      </w:r>
    </w:p>
    <w:p>
      <w:pPr>
        <w:spacing w:after="0" w:line="179" w:lineRule="exact"/>
        <w:rPr>
          <w:rFonts w:ascii="Times New Roman" w:cs="Times New Roman" w:eastAsia="Times New Roman" w:hAnsi="Times New Roman"/>
          <w:sz w:val="22"/>
          <w:szCs w:val="22"/>
          <w:color w:val="151716"/>
        </w:rPr>
      </w:pPr>
    </w:p>
    <w:p>
      <w:pPr>
        <w:ind w:left="1304" w:hanging="656"/>
        <w:spacing w:after="0" w:line="236" w:lineRule="auto"/>
        <w:tabs>
          <w:tab w:leader="none" w:pos="129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developed without the use of any equipment, supplies, facilities, services or trade secret information of the Company;</w:t>
      </w:r>
    </w:p>
    <w:p>
      <w:pPr>
        <w:spacing w:after="0" w:line="150" w:lineRule="exact"/>
        <w:rPr>
          <w:rFonts w:ascii="Times New Roman" w:cs="Times New Roman" w:eastAsia="Times New Roman" w:hAnsi="Times New Roman"/>
          <w:sz w:val="22"/>
          <w:szCs w:val="22"/>
          <w:color w:val="auto"/>
        </w:rPr>
      </w:pPr>
    </w:p>
    <w:p>
      <w:pPr>
        <w:ind w:left="1304" w:hanging="656"/>
        <w:spacing w:after="0" w:line="236" w:lineRule="auto"/>
        <w:tabs>
          <w:tab w:leader="none" w:pos="130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relate directly to the Business or affairs of the Company or to the actual or demonstrably anticipated research or development of the Company; and</w:t>
      </w:r>
    </w:p>
    <w:p>
      <w:pPr>
        <w:spacing w:after="0" w:line="150"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result from any work performed by the Employee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tabs>
          <w:tab w:leader="none" w:pos="720" w:val="left"/>
        </w:tabs>
        <w:rPr>
          <w:sz w:val="20"/>
          <w:szCs w:val="20"/>
          <w:color w:val="auto"/>
        </w:rPr>
      </w:pPr>
      <w:r>
        <w:rPr>
          <w:rFonts w:ascii="Times New Roman" w:cs="Times New Roman" w:eastAsia="Times New Roman" w:hAnsi="Times New Roman"/>
          <w:sz w:val="16"/>
          <w:szCs w:val="16"/>
          <w:color w:val="auto"/>
        </w:rPr>
        <w:t>Zymeworks – Private &amp; Confidential</w:t>
        <w:tab/>
        <w:t>Page 2 - 20</w:t>
      </w:r>
    </w:p>
    <w:p>
      <w:pPr>
        <w:sectPr>
          <w:pgSz w:w="11900" w:h="16838" w:orient="portrait"/>
          <w:cols w:equalWidth="0" w:num="1">
            <w:col w:w="10584"/>
          </w:cols>
          <w:pgMar w:left="976" w:top="1440" w:right="339"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95" w:lineRule="exact"/>
        <w:rPr>
          <w:sz w:val="20"/>
          <w:szCs w:val="20"/>
          <w:color w:val="auto"/>
        </w:rPr>
      </w:pPr>
    </w:p>
    <w:p>
      <w:pPr>
        <w:jc w:val="both"/>
        <w:ind w:left="1300" w:hanging="644"/>
        <w:spacing w:after="0" w:line="225" w:lineRule="auto"/>
        <w:tabs>
          <w:tab w:leader="none" w:pos="129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Developments” means any Development that the Employee establishes was developed prior to the Employee performing such services for the Company and precedes the Employee’s initial engagement with the Company.</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Sections and Headings</w:t>
      </w:r>
      <w:r>
        <w:rPr>
          <w:rFonts w:ascii="Times New Roman" w:cs="Times New Roman" w:eastAsia="Times New Roman" w:hAnsi="Times New Roman"/>
          <w:sz w:val="22"/>
          <w:szCs w:val="22"/>
          <w:color w:val="auto"/>
        </w:rPr>
        <w:t>. The division of this Agreement into Articles and Sections and the insertion of headings are for the convenience of reference only and do not affect the construction or interpretation of this Agreement. The terms “hereof’, “hereunder” and similar expressions refer to this Agreement and not to any particular Article, Section or other portion hereof and include any agreement supplemental hereto. Unless something in the subject matter or context is inconsistent therewith, references herein to Articles and Sections are to Articles and Sections of this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51716"/>
        </w:rPr>
        <w:t xml:space="preserve">ARTICLE 2  </w:t>
      </w:r>
      <w:r>
        <w:rPr>
          <w:rFonts w:ascii="Times New Roman" w:cs="Times New Roman" w:eastAsia="Times New Roman" w:hAnsi="Times New Roman"/>
          <w:sz w:val="22"/>
          <w:szCs w:val="22"/>
          <w:b w:val="1"/>
          <w:bCs w:val="1"/>
          <w:color w:val="000000"/>
        </w:rPr>
        <w:t>- EMPLOYMENT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Services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On the Effective Date, the Employee will commence employment with the Company in the position of Senior Vice President, Technical and Manufacturing Operations on the terms and conditions set out in this Agreement.</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Qualifications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1300" w:right="20" w:hanging="644"/>
        <w:spacing w:after="0" w:line="220" w:lineRule="auto"/>
        <w:tabs>
          <w:tab w:leader="none" w:pos="129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acknowledges that the falsification or misrepresentation of qualifications, including but not limited to education, skills, prior experience, depth and/or breadth of knowledge, references or similar matters, used to secure the position of Senior Vice President, Technical and Manufacturing Operations, represents a breach of this contract.</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20" w:lineRule="auto"/>
        <w:tabs>
          <w:tab w:leader="none" w:pos="129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Duties</w:t>
      </w:r>
      <w:r>
        <w:rPr>
          <w:rFonts w:ascii="Times New Roman" w:cs="Times New Roman" w:eastAsia="Times New Roman" w:hAnsi="Times New Roman"/>
          <w:sz w:val="22"/>
          <w:szCs w:val="22"/>
          <w:color w:val="auto"/>
        </w:rPr>
        <w:t>. Subject to the direction and control of the senior management of the Company (“Management”), the Employee will perform the duties set out in Appendix “A” to this Agreement and any other duties that may be reasonably assigned to him/her by Management from time to time. Management may alter the duties Employee is expected to perform for the Company at any time with or without notice.</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Throughout the term of this Agreement, the Employee will:</w:t>
      </w:r>
    </w:p>
    <w:p>
      <w:pPr>
        <w:spacing w:after="0" w:line="179" w:lineRule="exact"/>
        <w:rPr>
          <w:sz w:val="20"/>
          <w:szCs w:val="20"/>
          <w:color w:val="auto"/>
        </w:rPr>
      </w:pPr>
    </w:p>
    <w:p>
      <w:pPr>
        <w:ind w:left="1300" w:hanging="644"/>
        <w:spacing w:after="0" w:line="236" w:lineRule="auto"/>
        <w:tabs>
          <w:tab w:leader="none" w:pos="129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diligently, honestly and faithfully serve the Company and will use all reasonable efforts to promote and advance the interests and goodwill of the Company;</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him/herself in adherence to the Code of Conduct in the Zymeworks Employee Handbook;</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devote him/herself in a full-time capacity to the business and affairs of the Company;</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adhere to all applicable policies of the Company as in effect and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720" w:val="left"/>
        </w:tabs>
        <w:rPr>
          <w:sz w:val="20"/>
          <w:szCs w:val="20"/>
          <w:color w:val="auto"/>
        </w:rPr>
      </w:pPr>
      <w:r>
        <w:rPr>
          <w:rFonts w:ascii="Times New Roman" w:cs="Times New Roman" w:eastAsia="Times New Roman" w:hAnsi="Times New Roman"/>
          <w:sz w:val="16"/>
          <w:szCs w:val="16"/>
          <w:color w:val="auto"/>
        </w:rPr>
        <w:t>Zymeworks – Private &amp; Confidential</w:t>
        <w:tab/>
        <w:t>Page 3 - 20</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95" w:lineRule="exact"/>
        <w:rPr>
          <w:sz w:val="20"/>
          <w:szCs w:val="20"/>
          <w:color w:val="auto"/>
        </w:rPr>
      </w:pPr>
    </w:p>
    <w:p>
      <w:pPr>
        <w:ind w:left="1300" w:hanging="644"/>
        <w:spacing w:after="0" w:line="236" w:lineRule="auto"/>
        <w:tabs>
          <w:tab w:leader="none" w:pos="129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the degree, diligence and skill that a reasonably prudent Senior Vice President, Technical and Manufacturing Operations would exercise in comparable circumstances;</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refrain from engaging in any activity which will in any manner, directly or indirectly, compete with the trade or business of the Company except in accordance with Sections 2.4 and 2.6 herein and as outlined under the Conflict of Interest guidelines in the Zymeworks Employee Handbook; and</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20" w:lineRule="auto"/>
        <w:tabs>
          <w:tab w:leader="none" w:pos="129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acquire, directly or indirectly, any interest that constitutes 5% or more of the voting rights attached to the outstanding shares of any corporation or 5% or more of the equity or assets in any firm, partnership or association, the business and operations of which in any manner, directly or indirectly, compete with the trade or business of the Company.</w:t>
      </w:r>
    </w:p>
    <w:p>
      <w:pPr>
        <w:spacing w:after="0" w:line="15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2.4 The Employee will disclose to Management all potential conflicts of interest and activities which could reasonably be seen to compete, indirectly or directly, with the trade or business of the Company. Management will determine, in its sole discretion, whether the activity in question constitutes a conflict of interest or competition with the Company. To the extent that Management, acting reasonably, determines a conflict of interest or competition exists, the Employee will discontinue such activity forthwith or within such longer period as Management agrees. The Employee will immediately certify in writing to the Company that he/she has discontinued such activity and that he/she has, as required by Management, cancelled any contracts or sold or otherwise disposed of any interest or assets over the 5% threshold described in 2.3(g) herein acquired by the Employee by virtue of engaging in the impugned activity, or where no market exists to enable such sale or disposition, by transfer of the Employee’s beneficial interest into blind trust or other fiduciary arrangements over which the Employee has no control or direction, or other action that is acceptable to the Board.</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2.5 The Employee will not be employed by another company or provide consulting or other services to other companies or commercial entities while employed by the Company, without the expressed written permission of the Company. By seeking and accepting employment with the Company, the Employee recognizes that the Employee is employed by the Company for the expressed benefit of advancing the scientific, development and business objectives of the Company and that concurrent employment outside the Company detracts from those objectives.</w:t>
      </w:r>
    </w:p>
    <w:p>
      <w:pPr>
        <w:spacing w:after="0" w:line="152"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2.6 Notwithstanding Sections 2.3, 2.4 and 6.2, the Employee is not restricted from nor is required to obtain the consent of the Company to make investments in any company which is involved in pharmaceuticals or biotechnology with securities listed for trading on any Canadian or U.S. stock exchange, quotation system or the over-the-counter market.</w:t>
      </w:r>
    </w:p>
    <w:p>
      <w:pPr>
        <w:spacing w:after="0" w:line="15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2.7 For the purposes of Sections 2.3 2.4 and 2.6 herein, “Employee” includes any entity or company owned or controlled by the Employee.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ARTICLE 3  </w:t>
      </w:r>
      <w:r>
        <w:rPr>
          <w:rFonts w:ascii="Times New Roman" w:cs="Times New Roman" w:eastAsia="Times New Roman" w:hAnsi="Times New Roman"/>
          <w:sz w:val="22"/>
          <w:szCs w:val="22"/>
          <w:b w:val="1"/>
          <w:bCs w:val="1"/>
          <w:color w:val="2A2D2C"/>
        </w:rPr>
        <w:t>-</w:t>
      </w:r>
      <w:r>
        <w:rPr>
          <w:rFonts w:ascii="Times New Roman" w:cs="Times New Roman" w:eastAsia="Times New Roman" w:hAnsi="Times New Roman"/>
          <w:sz w:val="22"/>
          <w:szCs w:val="22"/>
          <w:b w:val="1"/>
          <w:bCs w:val="1"/>
          <w:color w:val="auto"/>
        </w:rPr>
        <w:t xml:space="preserve"> COMPENSATION</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compensation for all services rendered under this Agreement, the Company will pay to the Employee and the Employee will accept from the Company a base salary of $334,000 (USD) per annum. The base salary will be paid semi-monthly, in arrears, in equal instalments, less statutory and other authorized deductions.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tabs>
          <w:tab w:leader="none" w:pos="720" w:val="left"/>
        </w:tabs>
        <w:rPr>
          <w:sz w:val="20"/>
          <w:szCs w:val="20"/>
          <w:color w:val="auto"/>
        </w:rPr>
      </w:pPr>
      <w:r>
        <w:rPr>
          <w:rFonts w:ascii="Times New Roman" w:cs="Times New Roman" w:eastAsia="Times New Roman" w:hAnsi="Times New Roman"/>
          <w:sz w:val="16"/>
          <w:szCs w:val="16"/>
          <w:color w:val="auto"/>
        </w:rPr>
        <w:t>Zymeworks – Private &amp; Confidential</w:t>
        <w:tab/>
        <w:t>Page 4 - 20</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9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 The Employee shall be granted 80,000 options to acquire shares of common stock of Zymeworks Inc. (the “Shares”), provided the Employee is employed by the Company on the grant date (the “Options”). The exercise price of the Options will be set in accordance with the terms of the Company’s Stock Option Plan on the grant date. The Options will vest and become exercisable in accordance with the terms of the Zymeworks Inc. Stock Option Plan, a copy of which is attached hereto as Appendix “C”.</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Incentive Plans</w:t>
      </w:r>
      <w:r>
        <w:rPr>
          <w:rFonts w:ascii="Times New Roman" w:cs="Times New Roman" w:eastAsia="Times New Roman" w:hAnsi="Times New Roman"/>
          <w:sz w:val="22"/>
          <w:szCs w:val="22"/>
          <w:color w:val="auto"/>
        </w:rPr>
        <w:t>. The Employee shall be entitled to participate in certain incentive programs for the Company’s Employees, including, without limiting the generality of the foregoing, share option plans, share purchase plans, profit-sharing or bonus plans (collectively, the “Incentive Plans”). Such Participation shall be on the terms and conditions of such Incentive Plans as at the date hereof or as may from time to time be amended or implemented by the Company in its sole discretion.</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The Employee’s target annual bonus will be 30% of base salary, with bonus eligibility starting March 25, 2019.</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Performance and Salary Review</w:t>
      </w:r>
      <w:r>
        <w:rPr>
          <w:rFonts w:ascii="Times New Roman" w:cs="Times New Roman" w:eastAsia="Times New Roman" w:hAnsi="Times New Roman"/>
          <w:sz w:val="22"/>
          <w:szCs w:val="22"/>
          <w:color w:val="auto"/>
        </w:rPr>
        <w:t>. Management will review the Employee’s performance, base salary, and equity participation level under the terms of any Incentive Plans annually beginning in December 2019. The timing of performance and salary reviews as at the date hereof, or as may from time to time be amended by the Company in its sole discretion.</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will reimburse the Employee for all ordinary and necessary expenses incurred by the Employee in the performance of the Employee’s duties under this Agreement. Reimbursement of such expenses will be made in accordance with the Company’s policies.</w:t>
      </w:r>
    </w:p>
    <w:p>
      <w:pPr>
        <w:spacing w:after="0" w:line="15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Professional Fees</w:t>
      </w:r>
      <w:r>
        <w:rPr>
          <w:rFonts w:ascii="Times New Roman" w:cs="Times New Roman" w:eastAsia="Times New Roman" w:hAnsi="Times New Roman"/>
          <w:sz w:val="22"/>
          <w:szCs w:val="22"/>
          <w:color w:val="auto"/>
        </w:rPr>
        <w:t>. The Company will reimburse the Employee for annual registration and/or licensing fees required to maintain the Employee’s status as a member in good standing with the appropriate professional bodies required to continue effective employment, and which were held by the Employee as of the effective date. The Company will reimburse reasonable costs incurred by the Employee to complete the minimum annual continuing professional development requirements required to maintain such status.</w:t>
      </w:r>
    </w:p>
    <w:p>
      <w:pPr>
        <w:spacing w:after="0" w:line="1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The Employee will be eligible for Twenty (20) days’ paid vacation per calendar year, earned pro rata at a rate of</w:t>
      </w:r>
    </w:p>
    <w:p>
      <w:pPr>
        <w:jc w:val="both"/>
        <w:spacing w:after="0" w:line="211" w:lineRule="auto"/>
        <w:rPr>
          <w:sz w:val="20"/>
          <w:szCs w:val="20"/>
          <w:color w:val="auto"/>
        </w:rPr>
      </w:pPr>
      <w:r>
        <w:rPr>
          <w:rFonts w:ascii="Times New Roman" w:cs="Times New Roman" w:eastAsia="Times New Roman" w:hAnsi="Times New Roman"/>
          <w:sz w:val="22"/>
          <w:szCs w:val="22"/>
          <w:color w:val="auto"/>
        </w:rPr>
        <w:t>1.66 days per completed month of service. In accordance with the Company’s human resources policies, new employees are not permitted to take vacation during the initial three-month probationary period, without the express permission of Management. Vacation time in excess of ten (10) days not taken during the year in which it is earned may not be carried forward into the subsequent year without the written pre-approval of Management. Unused vacation time will not be paid out at the end of the fiscal year. Upon termination, vacation not taken in the calendar year will be paid out according to the Employees’ annual salary rate pro rated to the number of days’ vacation not taken.</w:t>
      </w:r>
    </w:p>
    <w:p>
      <w:pPr>
        <w:spacing w:after="0" w:line="1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The Employee will be eligible to participate in all benefit plans generally available to Employees of the Company, subject to meeting applicable eligibility requirements of such plans.</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u w:val="single" w:color="auto"/>
          <w:color w:val="auto"/>
        </w:rPr>
        <w:t>Sick Leave</w:t>
      </w:r>
      <w:r>
        <w:rPr>
          <w:rFonts w:ascii="Times New Roman" w:cs="Times New Roman" w:eastAsia="Times New Roman" w:hAnsi="Times New Roman"/>
          <w:sz w:val="22"/>
          <w:szCs w:val="22"/>
          <w:color w:val="auto"/>
        </w:rPr>
        <w:t>. The Employee will be entitled to take up to ten (10) days paid sick leave per calendar year, earned pro rata at a rate of 0.83 days per month of service; however, employees may use Sick Leave on a pro-rata basis following the completion of their first 40 hours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tabs>
          <w:tab w:leader="none" w:pos="720" w:val="left"/>
        </w:tabs>
        <w:rPr>
          <w:sz w:val="20"/>
          <w:szCs w:val="20"/>
          <w:color w:val="auto"/>
        </w:rPr>
      </w:pPr>
      <w:r>
        <w:rPr>
          <w:rFonts w:ascii="Times New Roman" w:cs="Times New Roman" w:eastAsia="Times New Roman" w:hAnsi="Times New Roman"/>
          <w:sz w:val="16"/>
          <w:szCs w:val="16"/>
          <w:color w:val="auto"/>
        </w:rPr>
        <w:t>Zymeworks – Private &amp; Confidential</w:t>
        <w:tab/>
        <w:t>Page 5 - 20</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9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service. Unused sick days will not be paid out or carried forward into the subsequent year. For employees based in Seattle, Sick Leave may be used for any purpose authorized by the Seattle Paid Sick and Safe Time (“PSST”) ordinance. This benefit is intended to comply with the PSST ordinance and should be interpreted in accordance with its requirements.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4  - TERM AND TERMINATION</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will commence on the Effective Date and will terminate on the effective date of termination by either the Employee or the Company in accordance with Section 4.2 of this Agreement.</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1300" w:hanging="644"/>
        <w:spacing w:after="0" w:line="238" w:lineRule="auto"/>
        <w:tabs>
          <w:tab w:leader="none" w:pos="129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for Cause. </w:t>
      </w:r>
      <w:r>
        <w:rPr>
          <w:rFonts w:ascii="Times New Roman" w:cs="Times New Roman" w:eastAsia="Times New Roman" w:hAnsi="Times New Roman"/>
          <w:sz w:val="22"/>
          <w:szCs w:val="22"/>
          <w:color w:val="auto"/>
        </w:rPr>
        <w:t>The Company may terminate the employment of the Employee for cause at any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without notice, damages or compensation of any kind.</w:t>
      </w:r>
    </w:p>
    <w:p>
      <w:pPr>
        <w:spacing w:after="0" w:line="146" w:lineRule="exact"/>
        <w:rPr>
          <w:rFonts w:ascii="Times New Roman" w:cs="Times New Roman" w:eastAsia="Times New Roman" w:hAnsi="Times New Roman"/>
          <w:sz w:val="22"/>
          <w:szCs w:val="22"/>
          <w:color w:val="auto"/>
        </w:rPr>
      </w:pPr>
    </w:p>
    <w:p>
      <w:pPr>
        <w:ind w:left="1300" w:hanging="644"/>
        <w:spacing w:after="0" w:line="238" w:lineRule="auto"/>
        <w:tabs>
          <w:tab w:leader="none" w:pos="129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Without Cause. </w:t>
      </w:r>
      <w:r>
        <w:rPr>
          <w:rFonts w:ascii="Times New Roman" w:cs="Times New Roman" w:eastAsia="Times New Roman" w:hAnsi="Times New Roman"/>
          <w:sz w:val="22"/>
          <w:szCs w:val="22"/>
          <w:color w:val="auto"/>
        </w:rPr>
        <w:t>The Company may terminate the employment of the Employee without cause at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by providing written notice or payment in lieu of notice to the Employee as follows:</w:t>
      </w:r>
    </w:p>
    <w:p>
      <w:pPr>
        <w:spacing w:after="0" w:line="150" w:lineRule="exact"/>
        <w:rPr>
          <w:rFonts w:ascii="Times New Roman" w:cs="Times New Roman" w:eastAsia="Times New Roman" w:hAnsi="Times New Roman"/>
          <w:sz w:val="22"/>
          <w:szCs w:val="22"/>
          <w:color w:val="auto"/>
        </w:rPr>
      </w:pPr>
    </w:p>
    <w:p>
      <w:pPr>
        <w:jc w:val="both"/>
        <w:ind w:left="1960" w:hanging="656"/>
        <w:spacing w:after="0" w:line="225" w:lineRule="auto"/>
        <w:tabs>
          <w:tab w:leader="none" w:pos="1948" w:val="left"/>
        </w:tabs>
        <w:numPr>
          <w:ilvl w:val="1"/>
          <w:numId w:val="106"/>
        </w:numPr>
        <w:rPr>
          <w:rFonts w:ascii="Times New Roman" w:cs="Times New Roman" w:eastAsia="Times New Roman" w:hAnsi="Times New Roman"/>
          <w:sz w:val="22"/>
          <w:szCs w:val="22"/>
          <w:color w:val="151716"/>
        </w:rPr>
      </w:pPr>
      <w:r>
        <w:rPr>
          <w:rFonts w:ascii="Times New Roman" w:cs="Times New Roman" w:eastAsia="Times New Roman" w:hAnsi="Times New Roman"/>
          <w:sz w:val="22"/>
          <w:szCs w:val="22"/>
          <w:color w:val="auto"/>
        </w:rPr>
        <w:t>twelve (12) months of notice or the equivalent of twelve (12) months of base salary and benefits continuation as at that date, or any combination thereof, if termination of employment occurs during the first three years of employment measured from the Start Date; and</w:t>
      </w:r>
    </w:p>
    <w:p>
      <w:pPr>
        <w:spacing w:after="0" w:line="152" w:lineRule="exact"/>
        <w:rPr>
          <w:rFonts w:ascii="Times New Roman" w:cs="Times New Roman" w:eastAsia="Times New Roman" w:hAnsi="Times New Roman"/>
          <w:sz w:val="22"/>
          <w:szCs w:val="22"/>
          <w:color w:val="151716"/>
        </w:rPr>
      </w:pPr>
    </w:p>
    <w:p>
      <w:pPr>
        <w:jc w:val="both"/>
        <w:ind w:left="1960" w:hanging="656"/>
        <w:spacing w:after="0" w:line="220" w:lineRule="auto"/>
        <w:tabs>
          <w:tab w:leader="none" w:pos="1954" w:val="left"/>
        </w:tabs>
        <w:numPr>
          <w:ilvl w:val="1"/>
          <w:numId w:val="106"/>
        </w:numPr>
        <w:rPr>
          <w:rFonts w:ascii="Times New Roman" w:cs="Times New Roman" w:eastAsia="Times New Roman" w:hAnsi="Times New Roman"/>
          <w:sz w:val="22"/>
          <w:szCs w:val="22"/>
          <w:color w:val="151716"/>
        </w:rPr>
      </w:pPr>
      <w:r>
        <w:rPr>
          <w:rFonts w:ascii="Times New Roman" w:cs="Times New Roman" w:eastAsia="Times New Roman" w:hAnsi="Times New Roman"/>
          <w:sz w:val="22"/>
          <w:szCs w:val="22"/>
          <w:color w:val="auto"/>
        </w:rPr>
        <w:t>commencing in the fourth year of employment measured from the Start Date, an additional one (1) month of notice or the equivalent of one (1) month of base salary and benefits continuation as at that date, or any combination thereof, for each additional completed year of service, up to a total maximum of eighteen (18) months.</w:t>
      </w:r>
    </w:p>
    <w:p>
      <w:pPr>
        <w:spacing w:after="0" w:line="148" w:lineRule="exact"/>
        <w:rPr>
          <w:rFonts w:ascii="Times New Roman" w:cs="Times New Roman" w:eastAsia="Times New Roman" w:hAnsi="Times New Roman"/>
          <w:sz w:val="22"/>
          <w:szCs w:val="22"/>
          <w:color w:val="151716"/>
        </w:rPr>
      </w:pPr>
    </w:p>
    <w:p>
      <w:pPr>
        <w:jc w:val="both"/>
        <w:ind w:left="1300" w:hanging="644"/>
        <w:spacing w:after="0" w:line="216" w:lineRule="auto"/>
        <w:tabs>
          <w:tab w:leader="none" w:pos="1297" w:val="left"/>
        </w:tabs>
        <w:numPr>
          <w:ilvl w:val="0"/>
          <w:numId w:val="106"/>
        </w:numPr>
        <w:rPr>
          <w:rFonts w:ascii="Times New Roman" w:cs="Times New Roman" w:eastAsia="Times New Roman" w:hAnsi="Times New Roman"/>
          <w:sz w:val="22"/>
          <w:szCs w:val="22"/>
          <w:color w:val="151716"/>
        </w:rPr>
      </w:pPr>
      <w:r>
        <w:rPr>
          <w:rFonts w:ascii="Times New Roman" w:cs="Times New Roman" w:eastAsia="Times New Roman" w:hAnsi="Times New Roman"/>
          <w:sz w:val="22"/>
          <w:szCs w:val="22"/>
          <w:i w:val="1"/>
          <w:iCs w:val="1"/>
          <w:color w:val="auto"/>
        </w:rPr>
        <w:t xml:space="preserve">Resignation. </w:t>
      </w:r>
      <w:r>
        <w:rPr>
          <w:rFonts w:ascii="Times New Roman" w:cs="Times New Roman" w:eastAsia="Times New Roman" w:hAnsi="Times New Roman"/>
          <w:sz w:val="22"/>
          <w:szCs w:val="22"/>
          <w:color w:val="auto"/>
        </w:rPr>
        <w:t>The Employee may terminate his/her employment with the Company by giving prior written notice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Management of not less than thirty (30) days or such shorter period as the Employee and Management may agree. The Company may choose to waive all or part of the notice period and pay to the Employee the base salary to be earned during the balance of the notice period in full and adequate compensation to the Employee with respect to any claim relating to the Employee’s employment, and the Employee waives any right that he/she may have to claim further payment, compensation or damages from the Company.</w:t>
      </w:r>
    </w:p>
    <w:p>
      <w:pPr>
        <w:spacing w:after="0" w:line="145" w:lineRule="exact"/>
        <w:rPr>
          <w:rFonts w:ascii="Times New Roman" w:cs="Times New Roman" w:eastAsia="Times New Roman" w:hAnsi="Times New Roman"/>
          <w:sz w:val="22"/>
          <w:szCs w:val="22"/>
          <w:color w:val="151716"/>
        </w:rPr>
      </w:pPr>
    </w:p>
    <w:p>
      <w:pPr>
        <w:jc w:val="both"/>
        <w:ind w:left="1300" w:hanging="644"/>
        <w:spacing w:after="0" w:line="216" w:lineRule="auto"/>
        <w:tabs>
          <w:tab w:leader="none" w:pos="1295" w:val="left"/>
        </w:tabs>
        <w:numPr>
          <w:ilvl w:val="0"/>
          <w:numId w:val="106"/>
        </w:numPr>
        <w:rPr>
          <w:rFonts w:ascii="Times New Roman" w:cs="Times New Roman" w:eastAsia="Times New Roman" w:hAnsi="Times New Roman"/>
          <w:sz w:val="22"/>
          <w:szCs w:val="22"/>
          <w:color w:val="151716"/>
        </w:rPr>
      </w:pPr>
      <w:r>
        <w:rPr>
          <w:rFonts w:ascii="Times New Roman" w:cs="Times New Roman" w:eastAsia="Times New Roman" w:hAnsi="Times New Roman"/>
          <w:sz w:val="22"/>
          <w:szCs w:val="22"/>
          <w:i w:val="1"/>
          <w:iCs w:val="1"/>
          <w:color w:val="auto"/>
        </w:rPr>
        <w:t xml:space="preserve">Termination following Change of Control. </w:t>
      </w:r>
      <w:r>
        <w:rPr>
          <w:rFonts w:ascii="Times New Roman" w:cs="Times New Roman" w:eastAsia="Times New Roman" w:hAnsi="Times New Roman"/>
          <w:sz w:val="22"/>
          <w:szCs w:val="22"/>
          <w:color w:val="auto"/>
        </w:rPr>
        <w:t>Notwithstanding any other provision in this Agreement, if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twelve (12) months following a Change of Control of the Company (as defined below), the Employee’s employment is terminated by the Company without cause, the Employee shall receive as severance eighteen (18) months of base salary and benefits continuation as at that date, and full vesting acceleration of all unvested stock options or other equity grants made to the Employee as at that date. For all purposes of this Agreement, “Change of Control”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tabs>
          <w:tab w:leader="none" w:pos="720" w:val="left"/>
        </w:tabs>
        <w:rPr>
          <w:sz w:val="20"/>
          <w:szCs w:val="20"/>
          <w:color w:val="auto"/>
        </w:rPr>
      </w:pPr>
      <w:r>
        <w:rPr>
          <w:rFonts w:ascii="Times New Roman" w:cs="Times New Roman" w:eastAsia="Times New Roman" w:hAnsi="Times New Roman"/>
          <w:sz w:val="16"/>
          <w:szCs w:val="16"/>
          <w:color w:val="auto"/>
        </w:rPr>
        <w:t>Zymeworks – Private &amp; Confidential</w:t>
        <w:tab/>
        <w:t>Page 6 - 20</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95" w:lineRule="exact"/>
        <w:rPr>
          <w:sz w:val="20"/>
          <w:szCs w:val="20"/>
          <w:color w:val="auto"/>
        </w:rPr>
      </w:pPr>
    </w:p>
    <w:p>
      <w:pPr>
        <w:jc w:val="both"/>
        <w:ind w:left="1960" w:hanging="656"/>
        <w:spacing w:after="0" w:line="225" w:lineRule="auto"/>
        <w:tabs>
          <w:tab w:leader="none" w:pos="1948" w:val="left"/>
        </w:tabs>
        <w:numPr>
          <w:ilvl w:val="0"/>
          <w:numId w:val="107"/>
        </w:numPr>
        <w:rPr>
          <w:rFonts w:ascii="Times New Roman" w:cs="Times New Roman" w:eastAsia="Times New Roman" w:hAnsi="Times New Roman"/>
          <w:sz w:val="21"/>
          <w:szCs w:val="21"/>
          <w:color w:val="151716"/>
        </w:rPr>
      </w:pPr>
      <w:r>
        <w:rPr>
          <w:rFonts w:ascii="Times New Roman" w:cs="Times New Roman" w:eastAsia="Times New Roman" w:hAnsi="Times New Roman"/>
          <w:sz w:val="21"/>
          <w:szCs w:val="21"/>
          <w:color w:val="auto"/>
        </w:rPr>
        <w:t>the acquisition, directly or indirectly, by any person or group of persons acting jointly or in concert, as such terms are defined in the Securities Act, British Columbia, of common shares of the Company which, when added to all other common shares of the Company at the time held directly or indirectly by such person or persons acting jointly or in concert constitutes for the first time in the aggregate 40% of more of the outstanding common shares of the Company and such shareholding exceeds the collective shareholding of the current directors of the Company, excluding any directors acting in concert with the acquiring party; or</w:t>
      </w:r>
    </w:p>
    <w:p>
      <w:pPr>
        <w:spacing w:after="0" w:line="153" w:lineRule="exact"/>
        <w:rPr>
          <w:rFonts w:ascii="Times New Roman" w:cs="Times New Roman" w:eastAsia="Times New Roman" w:hAnsi="Times New Roman"/>
          <w:sz w:val="21"/>
          <w:szCs w:val="21"/>
          <w:color w:val="151716"/>
        </w:rPr>
      </w:pPr>
    </w:p>
    <w:p>
      <w:pPr>
        <w:jc w:val="both"/>
        <w:ind w:left="1960" w:hanging="656"/>
        <w:spacing w:after="0" w:line="220" w:lineRule="auto"/>
        <w:tabs>
          <w:tab w:leader="none" w:pos="1954" w:val="left"/>
        </w:tabs>
        <w:numPr>
          <w:ilvl w:val="0"/>
          <w:numId w:val="107"/>
        </w:numPr>
        <w:rPr>
          <w:rFonts w:ascii="Times New Roman" w:cs="Times New Roman" w:eastAsia="Times New Roman" w:hAnsi="Times New Roman"/>
          <w:sz w:val="22"/>
          <w:szCs w:val="22"/>
          <w:color w:val="151716"/>
        </w:rPr>
      </w:pPr>
      <w:r>
        <w:rPr>
          <w:rFonts w:ascii="Times New Roman" w:cs="Times New Roman" w:eastAsia="Times New Roman" w:hAnsi="Times New Roman"/>
          <w:sz w:val="22"/>
          <w:szCs w:val="22"/>
          <w:color w:val="auto"/>
        </w:rPr>
        <w:t>the removal, by extraordinary resolution of the shareholders of the Company, of more than 51% of the then incumbent Board of the Company, or the election of a majority of Board members to the Company’s board who were not nominees of the Company’s incumbent board at the time immediately preceding such election; or</w:t>
      </w:r>
    </w:p>
    <w:p>
      <w:pPr>
        <w:spacing w:after="0" w:line="152" w:lineRule="exact"/>
        <w:rPr>
          <w:rFonts w:ascii="Times New Roman" w:cs="Times New Roman" w:eastAsia="Times New Roman" w:hAnsi="Times New Roman"/>
          <w:sz w:val="22"/>
          <w:szCs w:val="22"/>
          <w:color w:val="151716"/>
        </w:rPr>
      </w:pPr>
    </w:p>
    <w:p>
      <w:pPr>
        <w:ind w:left="1960" w:hanging="656"/>
        <w:spacing w:after="0"/>
        <w:tabs>
          <w:tab w:leader="none" w:pos="19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sale of all or substantially all of the assets of the Company; or</w:t>
      </w:r>
    </w:p>
    <w:p>
      <w:pPr>
        <w:spacing w:after="0" w:line="179" w:lineRule="exact"/>
        <w:rPr>
          <w:rFonts w:ascii="Times New Roman" w:cs="Times New Roman" w:eastAsia="Times New Roman" w:hAnsi="Times New Roman"/>
          <w:sz w:val="22"/>
          <w:szCs w:val="22"/>
          <w:color w:val="auto"/>
        </w:rPr>
      </w:pPr>
    </w:p>
    <w:p>
      <w:pPr>
        <w:ind w:left="1960" w:hanging="656"/>
        <w:spacing w:after="0" w:line="236" w:lineRule="auto"/>
        <w:tabs>
          <w:tab w:leader="none" w:pos="194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plan of arrangement, merger, or other transaction which has substantially the same effect as to above.</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Payment under section 4.2(d) herein will be in lieu of and not in addition payment under section 4.2(b).</w:t>
      </w:r>
    </w:p>
    <w:p>
      <w:pPr>
        <w:spacing w:after="0" w:line="20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Stock Options on Termination</w:t>
      </w:r>
      <w:r>
        <w:rPr>
          <w:rFonts w:ascii="Times New Roman" w:cs="Times New Roman" w:eastAsia="Times New Roman" w:hAnsi="Times New Roman"/>
          <w:sz w:val="22"/>
          <w:szCs w:val="22"/>
          <w:color w:val="auto"/>
        </w:rPr>
        <w:t>. Except as provided by section 4.2(d), the vesting and exercise of any stock options granted to the Employee in the event the Employee’s employment with the Company or this Agreement is terminated, for any reason, shall be governed by the terms of the Stock Option Plan and any applicable stock option agreement in effect between the Company and the Employee at the time of termination.</w:t>
      </w:r>
    </w:p>
    <w:p>
      <w:pPr>
        <w:spacing w:after="0" w:line="15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Benefits Continuation and No Mitigation</w:t>
      </w:r>
      <w:r>
        <w:rPr>
          <w:rFonts w:ascii="Times New Roman" w:cs="Times New Roman" w:eastAsia="Times New Roman" w:hAnsi="Times New Roman"/>
          <w:sz w:val="22"/>
          <w:szCs w:val="22"/>
          <w:color w:val="auto"/>
        </w:rPr>
        <w:t>. The Employee shall not be required to mitigate the amount of any payments provided for in this section by seeking other employment or otherwise, nor shall the amount of any payment provided for in this section be reduced by any compensation earned by the Employee as the result of employment by another employer after the date of termination, or otherwise. Notwithstanding the forgoing, the Employee is required to report to the Company if he/she obtains replacement benefits coverage through new employment during any period of benefits continuation contemplated by this Article 4 and benefits coverage by the Company will cease effective the date the Employee receives such new coverage and the Employee will not be entitled to any payment in respect of benefits coverage from the Company in respect of any notice period or severance payment contemplated in this Article 4.</w:t>
      </w:r>
    </w:p>
    <w:p>
      <w:pPr>
        <w:spacing w:after="0" w:line="15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No Additional Payments.</w:t>
      </w:r>
      <w:r>
        <w:rPr>
          <w:rFonts w:ascii="Times New Roman" w:cs="Times New Roman" w:eastAsia="Times New Roman" w:hAnsi="Times New Roman"/>
          <w:sz w:val="22"/>
          <w:szCs w:val="22"/>
          <w:color w:val="auto"/>
        </w:rPr>
        <w:t xml:space="preserve"> Payment of severance, in accordance with 4.2(b) or 4.2(d) above, to the Employee by the Company will be full and adequate compensation to the Employee with respect to any claim relating to the Employee’s employment or termination or manner of termination of the Employee’s employment, and the Employee waives any right that he/she may have to claim further payment, compensation or damages from the Company.</w:t>
      </w:r>
    </w:p>
    <w:p>
      <w:pPr>
        <w:spacing w:after="0" w:line="152"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Condition to Payment</w:t>
      </w:r>
      <w:r>
        <w:rPr>
          <w:rFonts w:ascii="Times New Roman" w:cs="Times New Roman" w:eastAsia="Times New Roman" w:hAnsi="Times New Roman"/>
          <w:sz w:val="22"/>
          <w:szCs w:val="22"/>
          <w:color w:val="auto"/>
        </w:rPr>
        <w:t xml:space="preserve">. Payment of any amount of severance under this Agreement in excess of any minimum required by the </w:t>
      </w:r>
      <w:r>
        <w:rPr>
          <w:rFonts w:ascii="Times New Roman" w:cs="Times New Roman" w:eastAsia="Times New Roman" w:hAnsi="Times New Roman"/>
          <w:sz w:val="22"/>
          <w:szCs w:val="22"/>
          <w:i w:val="1"/>
          <w:iCs w:val="1"/>
          <w:color w:val="auto"/>
        </w:rPr>
        <w:t>Employment Standards Act</w:t>
      </w:r>
      <w:r>
        <w:rPr>
          <w:rFonts w:ascii="Times New Roman" w:cs="Times New Roman" w:eastAsia="Times New Roman" w:hAnsi="Times New Roman"/>
          <w:sz w:val="22"/>
          <w:szCs w:val="22"/>
          <w:color w:val="auto"/>
        </w:rPr>
        <w:t xml:space="preserve"> is conditional upon execution by the Employee of a release of all claims, satisfactory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tabs>
          <w:tab w:leader="none" w:pos="720" w:val="left"/>
        </w:tabs>
        <w:rPr>
          <w:sz w:val="20"/>
          <w:szCs w:val="20"/>
          <w:color w:val="auto"/>
        </w:rPr>
      </w:pPr>
      <w:r>
        <w:rPr>
          <w:rFonts w:ascii="Times New Roman" w:cs="Times New Roman" w:eastAsia="Times New Roman" w:hAnsi="Times New Roman"/>
          <w:sz w:val="16"/>
          <w:szCs w:val="16"/>
          <w:color w:val="auto"/>
        </w:rPr>
        <w:t>Zymeworks – Private &amp; Confidential</w:t>
        <w:tab/>
        <w:t>Page 7 - 20</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9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Upon a termination of this Agreement for any reason, the Employee will continue to be bound by the provisions of Article 4, Article 5, Article 6, Article 7, and Article 9.</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51716"/>
        </w:rPr>
        <w:t xml:space="preserve">ARTICLE 5  </w:t>
      </w:r>
      <w:r>
        <w:rPr>
          <w:rFonts w:ascii="Times New Roman" w:cs="Times New Roman" w:eastAsia="Times New Roman" w:hAnsi="Times New Roman"/>
          <w:sz w:val="22"/>
          <w:szCs w:val="22"/>
          <w:b w:val="1"/>
          <w:bCs w:val="1"/>
          <w:color w:val="000000"/>
        </w:rPr>
        <w:t>- CONFIDENTIALITY</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left="1300" w:hanging="644"/>
        <w:spacing w:after="0" w:line="227" w:lineRule="auto"/>
        <w:tabs>
          <w:tab w:leader="none" w:pos="1297"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Ownership of Confidential Information - </w:t>
      </w:r>
      <w:r>
        <w:rPr>
          <w:rFonts w:ascii="Times New Roman" w:cs="Times New Roman" w:eastAsia="Times New Roman" w:hAnsi="Times New Roman"/>
          <w:sz w:val="22"/>
          <w:szCs w:val="22"/>
          <w:color w:val="auto"/>
        </w:rPr>
        <w:t>The Employee acknowledges that the Confidential Information is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be the sole and exclusive property of the Company. The Employee acknowledges that the Employee has not, and will not, acquire any right, title or interest in or to any of the Confidential Information.</w:t>
      </w:r>
    </w:p>
    <w:p>
      <w:pPr>
        <w:spacing w:after="0" w:line="146" w:lineRule="exact"/>
        <w:rPr>
          <w:rFonts w:ascii="Times New Roman" w:cs="Times New Roman" w:eastAsia="Times New Roman" w:hAnsi="Times New Roman"/>
          <w:sz w:val="22"/>
          <w:szCs w:val="22"/>
          <w:color w:val="auto"/>
        </w:rPr>
      </w:pPr>
    </w:p>
    <w:p>
      <w:pPr>
        <w:jc w:val="both"/>
        <w:ind w:left="1300" w:hanging="644"/>
        <w:spacing w:after="0" w:line="216" w:lineRule="auto"/>
        <w:tabs>
          <w:tab w:leader="none" w:pos="129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 Disclosure, Use and Reproduction of Confidential Information </w:t>
      </w:r>
      <w:r>
        <w:rPr>
          <w:rFonts w:ascii="Times New Roman" w:cs="Times New Roman" w:eastAsia="Times New Roman" w:hAnsi="Times New Roman"/>
          <w:sz w:val="22"/>
          <w:szCs w:val="22"/>
          <w:color w:val="auto"/>
        </w:rPr>
        <w:t>- The Employee will keep all the Confidential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strictly confidential, and will not, either directly or indirectly, either during or subsequent to employment with the Company, disclose, allow access to, transmit, transfer, use or reproduce any of the Confidential Information in any manner except as required to perform the duties of the Employee for the Company and in accordance with all procedures established by the Company for the protection of the Confidential Information. Without limiting the foregoing, the Employee:</w:t>
      </w:r>
    </w:p>
    <w:p>
      <w:pPr>
        <w:spacing w:after="0" w:line="149" w:lineRule="exact"/>
        <w:rPr>
          <w:rFonts w:ascii="Times New Roman" w:cs="Times New Roman" w:eastAsia="Times New Roman" w:hAnsi="Times New Roman"/>
          <w:sz w:val="22"/>
          <w:szCs w:val="22"/>
          <w:color w:val="auto"/>
        </w:rPr>
      </w:pPr>
    </w:p>
    <w:p>
      <w:pPr>
        <w:jc w:val="both"/>
        <w:ind w:left="1960" w:hanging="656"/>
        <w:spacing w:after="0" w:line="220" w:lineRule="auto"/>
        <w:tabs>
          <w:tab w:leader="none" w:pos="1948"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ensure that all the Confidential Information and all copies thereof, are clearly marked, or otherwise identified as confidential to the Company and proprietary to the person or entity that first provided the Confidential Information, and are stored in a secure place while in the Employee’s possession, custody, charge or control;</w:t>
      </w:r>
    </w:p>
    <w:p>
      <w:pPr>
        <w:spacing w:after="0" w:line="152" w:lineRule="exact"/>
        <w:rPr>
          <w:rFonts w:ascii="Times New Roman" w:cs="Times New Roman" w:eastAsia="Times New Roman" w:hAnsi="Times New Roman"/>
          <w:sz w:val="22"/>
          <w:szCs w:val="22"/>
          <w:color w:val="auto"/>
        </w:rPr>
      </w:pPr>
    </w:p>
    <w:p>
      <w:pPr>
        <w:jc w:val="both"/>
        <w:ind w:left="1960" w:hanging="656"/>
        <w:spacing w:after="0" w:line="225" w:lineRule="auto"/>
        <w:tabs>
          <w:tab w:leader="none" w:pos="195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either directly or indirectly, disclose, allow access to, transmit or transfer any of the Confidential Information to any person other than to an employee, officer, or director of the Company but only upon a “need to know” basis, without the prior written authorization of Management; and</w:t>
      </w:r>
    </w:p>
    <w:p>
      <w:pPr>
        <w:spacing w:after="0" w:line="152" w:lineRule="exact"/>
        <w:rPr>
          <w:rFonts w:ascii="Times New Roman" w:cs="Times New Roman" w:eastAsia="Times New Roman" w:hAnsi="Times New Roman"/>
          <w:sz w:val="22"/>
          <w:szCs w:val="22"/>
          <w:color w:val="auto"/>
        </w:rPr>
      </w:pPr>
    </w:p>
    <w:p>
      <w:pPr>
        <w:jc w:val="both"/>
        <w:ind w:left="1960" w:hanging="656"/>
        <w:spacing w:after="0" w:line="236" w:lineRule="auto"/>
        <w:tabs>
          <w:tab w:leader="none" w:pos="1960"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not, except as required by the Employee’s position, use any of the Confidential Information to create, maintain or market any product or service which is competitive with any product or service produced, marketed, licensed, sold or otherwise dealt in by the Company, or assist any other person to do so.</w:t>
      </w:r>
    </w:p>
    <w:p>
      <w:pPr>
        <w:spacing w:after="0" w:line="147" w:lineRule="exact"/>
        <w:rPr>
          <w:rFonts w:ascii="Times New Roman" w:cs="Times New Roman" w:eastAsia="Times New Roman" w:hAnsi="Times New Roman"/>
          <w:sz w:val="21"/>
          <w:szCs w:val="21"/>
          <w:color w:val="auto"/>
        </w:rPr>
      </w:pPr>
    </w:p>
    <w:p>
      <w:pPr>
        <w:jc w:val="both"/>
        <w:ind w:left="1300" w:hanging="644"/>
        <w:spacing w:after="0" w:line="221" w:lineRule="auto"/>
        <w:tabs>
          <w:tab w:leader="none" w:pos="1297"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Legally Required Disclosure - </w:t>
      </w:r>
      <w:r>
        <w:rPr>
          <w:rFonts w:ascii="Times New Roman" w:cs="Times New Roman" w:eastAsia="Times New Roman" w:hAnsi="Times New Roman"/>
          <w:sz w:val="22"/>
          <w:szCs w:val="22"/>
          <w:color w:val="auto"/>
        </w:rPr>
        <w:t>Notwithstanding the foregoing, to the extent the Employee is required by law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disclose any Confidential Information, the Employee will be permitted to do so, provided that notice of this requirement is delivered to the Company in a timely manner, so that the Company may contest such potential disclosure.</w:t>
      </w:r>
    </w:p>
    <w:p>
      <w:pPr>
        <w:spacing w:after="0" w:line="148" w:lineRule="exact"/>
        <w:rPr>
          <w:rFonts w:ascii="Times New Roman" w:cs="Times New Roman" w:eastAsia="Times New Roman" w:hAnsi="Times New Roman"/>
          <w:sz w:val="22"/>
          <w:szCs w:val="22"/>
          <w:color w:val="auto"/>
        </w:rPr>
      </w:pPr>
    </w:p>
    <w:p>
      <w:pPr>
        <w:jc w:val="both"/>
        <w:ind w:left="1300" w:hanging="644"/>
        <w:spacing w:after="0" w:line="228" w:lineRule="auto"/>
        <w:tabs>
          <w:tab w:leader="none" w:pos="1295"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Return of Materials, Equipment and Confidential Information - </w:t>
      </w:r>
      <w:r>
        <w:rPr>
          <w:rFonts w:ascii="Times New Roman" w:cs="Times New Roman" w:eastAsia="Times New Roman" w:hAnsi="Times New Roman"/>
          <w:sz w:val="21"/>
          <w:szCs w:val="21"/>
          <w:color w:val="auto"/>
        </w:rPr>
        <w:t>Upon request by the Company, and in any event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when the Employee leaves the employ of the Company, the Employee will immediately return to the Company all the Confidential Information and all other materials, computer programs, documents, memoranda, notes, papers, reports, lists, manuals, specifications, designs, devices, drawings, notebooks, correspondence, equipment, keys, pass cards, and property, and all copies thereof, in any medium, in the Employee’s possession,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tabs>
          <w:tab w:leader="none" w:pos="720" w:val="left"/>
        </w:tabs>
        <w:rPr>
          <w:sz w:val="20"/>
          <w:szCs w:val="20"/>
          <w:color w:val="auto"/>
        </w:rPr>
      </w:pPr>
      <w:r>
        <w:rPr>
          <w:rFonts w:ascii="Times New Roman" w:cs="Times New Roman" w:eastAsia="Times New Roman" w:hAnsi="Times New Roman"/>
          <w:sz w:val="16"/>
          <w:szCs w:val="16"/>
          <w:color w:val="auto"/>
        </w:rPr>
        <w:t>Zymeworks – Private &amp; Confidential</w:t>
        <w:tab/>
        <w:t>Page 8 - 20</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control or custody, which are owned by, or relate in any way to the Business or affairs of the Company.</w:t>
      </w:r>
    </w:p>
    <w:p>
      <w:pPr>
        <w:spacing w:after="0" w:line="175" w:lineRule="exact"/>
        <w:rPr>
          <w:sz w:val="20"/>
          <w:szCs w:val="20"/>
          <w:color w:val="auto"/>
        </w:rPr>
      </w:pPr>
    </w:p>
    <w:p>
      <w:pPr>
        <w:ind w:left="1300" w:hanging="644"/>
        <w:spacing w:after="0" w:line="238" w:lineRule="auto"/>
        <w:tabs>
          <w:tab w:leader="none" w:pos="129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Exceptions </w:t>
      </w:r>
      <w:r>
        <w:rPr>
          <w:rFonts w:ascii="Times New Roman" w:cs="Times New Roman" w:eastAsia="Times New Roman" w:hAnsi="Times New Roman"/>
          <w:sz w:val="22"/>
          <w:szCs w:val="22"/>
          <w:i w:val="1"/>
          <w:iCs w:val="1"/>
          <w:color w:val="2A2D2C"/>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non-disclosure obligations of Employee under this Agreement shall not apply to Confidential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which the Employee can establish:</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or becomes, readily available to the public other than through a breach of this Agreement;</w:t>
      </w:r>
    </w:p>
    <w:p>
      <w:pPr>
        <w:spacing w:after="0" w:line="179" w:lineRule="exact"/>
        <w:rPr>
          <w:rFonts w:ascii="Times New Roman" w:cs="Times New Roman" w:eastAsia="Times New Roman" w:hAnsi="Times New Roman"/>
          <w:sz w:val="22"/>
          <w:szCs w:val="22"/>
          <w:color w:val="auto"/>
        </w:rPr>
      </w:pPr>
    </w:p>
    <w:p>
      <w:pPr>
        <w:ind w:left="1960" w:right="20" w:hanging="656"/>
        <w:spacing w:after="0" w:line="236" w:lineRule="auto"/>
        <w:tabs>
          <w:tab w:leader="none" w:pos="1954"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disclosed, lawfully and not in breach of any contractual or other legal obligation, to Employee by a third party; or</w:t>
      </w:r>
    </w:p>
    <w:p>
      <w:pPr>
        <w:spacing w:after="0" w:line="150" w:lineRule="exact"/>
        <w:rPr>
          <w:rFonts w:ascii="Times New Roman" w:cs="Times New Roman" w:eastAsia="Times New Roman" w:hAnsi="Times New Roman"/>
          <w:sz w:val="22"/>
          <w:szCs w:val="22"/>
          <w:color w:val="auto"/>
        </w:rPr>
      </w:pPr>
    </w:p>
    <w:p>
      <w:pPr>
        <w:ind w:left="1960" w:hanging="656"/>
        <w:spacing w:after="0" w:line="236" w:lineRule="auto"/>
        <w:tabs>
          <w:tab w:leader="none" w:pos="196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written records, was known to Employee, prior to the date of first disclosure of the Confidential Information to Employee by the Company</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Ownership of Developments</w:t>
      </w:r>
    </w:p>
    <w:p>
      <w:pPr>
        <w:spacing w:after="0" w:line="175" w:lineRule="exact"/>
        <w:rPr>
          <w:sz w:val="20"/>
          <w:szCs w:val="20"/>
          <w:color w:val="auto"/>
        </w:rPr>
      </w:pPr>
    </w:p>
    <w:p>
      <w:pPr>
        <w:jc w:val="both"/>
        <w:ind w:left="1300" w:hanging="644"/>
        <w:spacing w:after="0" w:line="213" w:lineRule="auto"/>
        <w:tabs>
          <w:tab w:leader="none" w:pos="129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Acknowledgment of Company Ownership - </w:t>
      </w:r>
      <w:r>
        <w:rPr>
          <w:rFonts w:ascii="Times New Roman" w:cs="Times New Roman" w:eastAsia="Times New Roman" w:hAnsi="Times New Roman"/>
          <w:sz w:val="22"/>
          <w:szCs w:val="22"/>
          <w:color w:val="auto"/>
        </w:rPr>
        <w:t>The Employee acknowledges that the Company will be the exclusive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owner of all the Developments made during the term of the Employee’s employment by the Company except Excluded Developments and to all intellectual property rights in and to such Developments. The Employee hereby assigns all right, title and interest in and to such Developments and their associated intellectual property rights throughout the world and universe to the Company, including without limitation, all trade secrets, patent rights, copyrights, mask works, industrial designs and any other intellectual property rights in and to each such Development, effective at the time each is created. Further, the Employee irrevocably waives all moral rights the Employee may have in such Developments.</w:t>
      </w:r>
    </w:p>
    <w:p>
      <w:pPr>
        <w:spacing w:after="0" w:line="147" w:lineRule="exact"/>
        <w:rPr>
          <w:rFonts w:ascii="Times New Roman" w:cs="Times New Roman" w:eastAsia="Times New Roman" w:hAnsi="Times New Roman"/>
          <w:sz w:val="22"/>
          <w:szCs w:val="22"/>
          <w:color w:val="auto"/>
        </w:rPr>
      </w:pPr>
    </w:p>
    <w:p>
      <w:pPr>
        <w:ind w:left="1300" w:hanging="644"/>
        <w:spacing w:after="0" w:line="238" w:lineRule="auto"/>
        <w:tabs>
          <w:tab w:leader="none" w:pos="129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Excluded Developments and Prior Developments </w:t>
      </w:r>
      <w:r>
        <w:rPr>
          <w:rFonts w:ascii="Times New Roman" w:cs="Times New Roman" w:eastAsia="Times New Roman" w:hAnsi="Times New Roman"/>
          <w:sz w:val="22"/>
          <w:szCs w:val="22"/>
          <w:color w:val="auto"/>
        </w:rPr>
        <w:t>- The Company acknowledges that it will not own any Excluded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Developments or Prior Developments.</w:t>
      </w:r>
    </w:p>
    <w:p>
      <w:pPr>
        <w:spacing w:after="0" w:line="146" w:lineRule="exact"/>
        <w:rPr>
          <w:rFonts w:ascii="Times New Roman" w:cs="Times New Roman" w:eastAsia="Times New Roman" w:hAnsi="Times New Roman"/>
          <w:sz w:val="22"/>
          <w:szCs w:val="22"/>
          <w:color w:val="auto"/>
        </w:rPr>
      </w:pPr>
    </w:p>
    <w:p>
      <w:pPr>
        <w:jc w:val="both"/>
        <w:ind w:left="1300" w:hanging="644"/>
        <w:spacing w:after="0" w:line="214" w:lineRule="auto"/>
        <w:tabs>
          <w:tab w:leader="none" w:pos="129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Disclosure of Developments </w:t>
      </w:r>
      <w:r>
        <w:rPr>
          <w:rFonts w:ascii="Times New Roman" w:cs="Times New Roman" w:eastAsia="Times New Roman" w:hAnsi="Times New Roman"/>
          <w:sz w:val="22"/>
          <w:szCs w:val="22"/>
          <w:i w:val="1"/>
          <w:iCs w:val="1"/>
          <w:color w:val="2A2D2C"/>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avoid any disputes over the ownership of Developments, the Employee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provide the Company with a general written description of any of the Developments the Employee believes the Company does not own because they are Excluded Developments or Prior Developments. Thereafter, the Employee agrees to make full and prompt disclosure to the Company of all Developments, including, without limitation, Excluded Developments, made during the term of the Employee’s employment with the Company. The Company will hold any information it receives regarding Excluded Developments and Prior Developments in confidence.</w:t>
      </w:r>
    </w:p>
    <w:p>
      <w:pPr>
        <w:spacing w:after="0" w:line="148" w:lineRule="exact"/>
        <w:rPr>
          <w:rFonts w:ascii="Times New Roman" w:cs="Times New Roman" w:eastAsia="Times New Roman" w:hAnsi="Times New Roman"/>
          <w:sz w:val="22"/>
          <w:szCs w:val="22"/>
          <w:color w:val="auto"/>
        </w:rPr>
      </w:pPr>
    </w:p>
    <w:p>
      <w:pPr>
        <w:jc w:val="both"/>
        <w:ind w:left="1300" w:hanging="644"/>
        <w:spacing w:after="0" w:line="214" w:lineRule="auto"/>
        <w:tabs>
          <w:tab w:leader="none" w:pos="129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Further Acts - </w:t>
      </w:r>
      <w:r>
        <w:rPr>
          <w:rFonts w:ascii="Times New Roman" w:cs="Times New Roman" w:eastAsia="Times New Roman" w:hAnsi="Times New Roman"/>
          <w:sz w:val="22"/>
          <w:szCs w:val="22"/>
          <w:color w:val="auto"/>
        </w:rPr>
        <w:t>The Employee agrees to cooperate fully with the Company both during and after the Employee’s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employment by the Company, with respect to (i) signing further documents and doing such acts and other things reasonably requested by the Company to confirm the Company’s ownership of the Developments other than Excluded Developments and Prior Developments, the transfer of ownership of such Developments to the Company, and the waiver of the Employee’s moral rights therein, and (ii) obtaining or enforcing patent, copyright, trade secret or other protection for such Developments; provided that the Company pays all the Employee’s expenses in doing so, and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tabs>
          <w:tab w:leader="none" w:pos="720" w:val="left"/>
        </w:tabs>
        <w:rPr>
          <w:sz w:val="20"/>
          <w:szCs w:val="20"/>
          <w:color w:val="auto"/>
        </w:rPr>
      </w:pPr>
      <w:r>
        <w:rPr>
          <w:rFonts w:ascii="Times New Roman" w:cs="Times New Roman" w:eastAsia="Times New Roman" w:hAnsi="Times New Roman"/>
          <w:sz w:val="16"/>
          <w:szCs w:val="16"/>
          <w:color w:val="auto"/>
        </w:rPr>
        <w:t>Zymeworks – Private &amp; Confidential</w:t>
        <w:tab/>
        <w:t>Page 9 - 20</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compensation if such acts are required after the Employee leaves the employment by the Company.</w:t>
      </w:r>
    </w:p>
    <w:p>
      <w:pPr>
        <w:spacing w:after="0" w:line="175" w:lineRule="exact"/>
        <w:rPr>
          <w:sz w:val="20"/>
          <w:szCs w:val="20"/>
          <w:color w:val="auto"/>
        </w:rPr>
      </w:pPr>
    </w:p>
    <w:p>
      <w:pPr>
        <w:jc w:val="both"/>
        <w:ind w:left="1300" w:hanging="644"/>
        <w:spacing w:after="0" w:line="223" w:lineRule="auto"/>
        <w:tabs>
          <w:tab w:leader="none" w:pos="1297"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Employee-owned Inventions - </w:t>
      </w:r>
      <w:r>
        <w:rPr>
          <w:rFonts w:ascii="Times New Roman" w:cs="Times New Roman" w:eastAsia="Times New Roman" w:hAnsi="Times New Roman"/>
          <w:sz w:val="21"/>
          <w:szCs w:val="21"/>
          <w:color w:val="auto"/>
        </w:rPr>
        <w:t>The Employee hereby covenants and agrees with the Company that, unless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agrees in writing otherwise, the Employee will not use or incorporate any Excluded Development or Prior Development in its work product, services, or other deliverables the Employee provides to the Company. If the Employee uses or incorporates any Excluded Development or Prior Development with the Company’s permission, as provided above, the Employee (i) represents and warrants that he or she owns all proprietary interest in such Excluded Development or Prior Development and (ii) grants to the Company, at no charge, a non-exclusive, irrevocable, perpetual, worldwide license to use, distribute, transmit, broadcast, sub-license, produce, reproduce, perform, publish, practice, make, and modify such Excluded Development or Prior Development.</w:t>
      </w:r>
    </w:p>
    <w:p>
      <w:pPr>
        <w:spacing w:after="0" w:line="148" w:lineRule="exact"/>
        <w:rPr>
          <w:rFonts w:ascii="Times New Roman" w:cs="Times New Roman" w:eastAsia="Times New Roman" w:hAnsi="Times New Roman"/>
          <w:sz w:val="21"/>
          <w:szCs w:val="21"/>
          <w:color w:val="auto"/>
        </w:rPr>
      </w:pPr>
    </w:p>
    <w:p>
      <w:pPr>
        <w:jc w:val="both"/>
        <w:ind w:left="1300" w:hanging="644"/>
        <w:spacing w:after="0" w:line="212" w:lineRule="auto"/>
        <w:tabs>
          <w:tab w:leader="none" w:pos="13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Prior Employer Information - </w:t>
      </w:r>
      <w:r>
        <w:rPr>
          <w:rFonts w:ascii="Times New Roman" w:cs="Times New Roman" w:eastAsia="Times New Roman" w:hAnsi="Times New Roman"/>
          <w:sz w:val="22"/>
          <w:szCs w:val="22"/>
          <w:color w:val="auto"/>
        </w:rPr>
        <w:t>The Employee hereby covenants and agrees with the Company that during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Employee’s employment by the Company, the Employee will not improperly use or disclose any confidential or proprietary information of any former employer, partner, principal, co-venturer, customer, or independent contractor of the Employee and that the Employee will not bring onto the Company’s premises any unpublished documents or any property belonging to any such persons or entities unless such persons or entities have given their consent. In addition, the Employee will not violate any nondisclosure, non-compete or proprietary rights agreement the Employee has signed with any person or entity prior to the Employee’s execution of this Agreement, or knowingly infringe the intellectual property rights of any third party while employed by the Company.</w:t>
      </w:r>
    </w:p>
    <w:p>
      <w:pPr>
        <w:spacing w:after="0" w:line="148" w:lineRule="exact"/>
        <w:rPr>
          <w:rFonts w:ascii="Times New Roman" w:cs="Times New Roman" w:eastAsia="Times New Roman" w:hAnsi="Times New Roman"/>
          <w:sz w:val="22"/>
          <w:szCs w:val="22"/>
          <w:color w:val="auto"/>
        </w:rPr>
      </w:pPr>
    </w:p>
    <w:p>
      <w:pPr>
        <w:jc w:val="both"/>
        <w:ind w:left="1300" w:hanging="644"/>
        <w:spacing w:after="0" w:line="227" w:lineRule="auto"/>
        <w:tabs>
          <w:tab w:leader="none" w:pos="1295"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Protection of Computer Systems and Software - </w:t>
      </w:r>
      <w:r>
        <w:rPr>
          <w:rFonts w:ascii="Times New Roman" w:cs="Times New Roman" w:eastAsia="Times New Roman" w:hAnsi="Times New Roman"/>
          <w:sz w:val="22"/>
          <w:szCs w:val="22"/>
          <w:color w:val="auto"/>
        </w:rPr>
        <w:t>The Employee agrees to take all necessary precautions to protect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computer systems and software of the Company, including, without limitation, complying with the obligations set out in the Company’s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6  - RESTRICTIVE COVENANTS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Non-solicitation by the Employee</w:t>
      </w:r>
      <w:r>
        <w:rPr>
          <w:rFonts w:ascii="Times New Roman" w:cs="Times New Roman" w:eastAsia="Times New Roman" w:hAnsi="Times New Roman"/>
          <w:sz w:val="22"/>
          <w:szCs w:val="22"/>
          <w:color w:val="auto"/>
        </w:rPr>
        <w:t>. The Employee agrees that at any time, while employed by the Company and for a period of one (1) year thereafter the Employee will not, without the prior written consent of the Company induce or attempt to influence, directly or indirectly, an employee of the Company to leave the employ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16"/>
          <w:szCs w:val="16"/>
          <w:color w:val="auto"/>
        </w:rPr>
        <w:t>Zymeworks – Private &amp; Confidential</w:t>
        <w:tab/>
        <w:t>Page 10 - 20</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The Employee agrees that while employed by the Company and for a period of six (6) months thereafter, the Employee will not, without the prior written consent of the Company, directly or indirectly, anywhere in Canada, the United States or any country within the European Union, provide any professional services to any person or entity that can be reasonably viewed as a competitor to the Business of the Company, while the Employee was employed by the Company, which relate to therapeutic antibody modeling, design, modification and commercialization for industrial and pharmaceutical applications.</w:t>
      </w:r>
    </w:p>
    <w:p>
      <w:pPr>
        <w:spacing w:after="0" w:line="1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u w:val="single" w:color="auto"/>
          <w:color w:val="auto"/>
        </w:rPr>
        <w:t>Reasonableness of Non-competition and Non-solicitation Obligations</w:t>
      </w:r>
      <w:r>
        <w:rPr>
          <w:rFonts w:ascii="Times New Roman" w:cs="Times New Roman" w:eastAsia="Times New Roman" w:hAnsi="Times New Roman"/>
          <w:sz w:val="22"/>
          <w:szCs w:val="22"/>
          <w:color w:val="auto"/>
        </w:rPr>
        <w:t>. The Employee confirms that the obligations in</w:t>
      </w:r>
    </w:p>
    <w:p>
      <w:pPr>
        <w:spacing w:after="0"/>
        <w:rPr>
          <w:sz w:val="20"/>
          <w:szCs w:val="20"/>
          <w:color w:val="auto"/>
        </w:rPr>
      </w:pPr>
      <w:r>
        <w:rPr>
          <w:rFonts w:ascii="Times New Roman" w:cs="Times New Roman" w:eastAsia="Times New Roman" w:hAnsi="Times New Roman"/>
          <w:sz w:val="22"/>
          <w:szCs w:val="22"/>
          <w:color w:val="auto"/>
        </w:rPr>
        <w:t>Sections 6.1 and 6.2 are fair and reasonable given that, among other reasons:</w:t>
      </w:r>
    </w:p>
    <w:p>
      <w:pPr>
        <w:spacing w:after="0" w:line="155" w:lineRule="exact"/>
        <w:rPr>
          <w:sz w:val="20"/>
          <w:szCs w:val="20"/>
          <w:color w:val="auto"/>
        </w:rPr>
      </w:pPr>
    </w:p>
    <w:p>
      <w:pPr>
        <w:jc w:val="both"/>
        <w:ind w:left="1300" w:hanging="644"/>
        <w:spacing w:after="0" w:line="220" w:lineRule="auto"/>
        <w:tabs>
          <w:tab w:leader="none" w:pos="129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sustained contact the Employee will have with the clients of the Company will expose the Employee to the Confidential Information regarding the particular requirements of these clients and the Company’s unique methods of satisfying the needs of these clients, all of which the Employee agrees not to act upon to the detriment of the Company; and/or</w:t>
      </w:r>
    </w:p>
    <w:p>
      <w:pPr>
        <w:spacing w:after="0" w:line="152" w:lineRule="exact"/>
        <w:rPr>
          <w:rFonts w:ascii="Times New Roman" w:cs="Times New Roman" w:eastAsia="Times New Roman" w:hAnsi="Times New Roman"/>
          <w:sz w:val="22"/>
          <w:szCs w:val="22"/>
          <w:color w:val="auto"/>
        </w:rPr>
      </w:pPr>
    </w:p>
    <w:p>
      <w:pPr>
        <w:ind w:left="1300" w:right="20" w:hanging="644"/>
        <w:spacing w:after="0" w:line="236" w:lineRule="auto"/>
        <w:tabs>
          <w:tab w:leader="none" w:pos="1295"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will be performing important development work on the products or services owned, developed or marketed by the Company;</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and the Employee agrees that the obligations in Sections 6.1 and 6.2, together with the Employee’s other obligations under this Agreement, are reasonably necessary for the protection of the Company’s good will, trade secrets and proprietary interests and that given the Employee’s general knowledge and experience they would not prevent the Employee from being gainfully employed if the employment relationship between the Employee and the Company were to end. The Employee further confirms that the geographic scope of the obligation in Section 6.2 is reasonable given the nature of the market for the products and business of the Company. The Employee also agrees that the obligations in Sections 6.1 and 6.2 are in addition to the confidentiality and non-disclosure obligations provided for in this Agreement and acknowledges that the Company would not have entered into this Agreement but for the protections provided to the Company by all of the aforementioned obligations.</w:t>
      </w:r>
    </w:p>
    <w:p>
      <w:pPr>
        <w:spacing w:after="0" w:line="16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Conflict of Interest</w:t>
      </w:r>
      <w:r>
        <w:rPr>
          <w:rFonts w:ascii="Times New Roman" w:cs="Times New Roman" w:eastAsia="Times New Roman" w:hAnsi="Times New Roman"/>
          <w:sz w:val="21"/>
          <w:szCs w:val="21"/>
          <w:color w:val="auto"/>
        </w:rPr>
        <w:t>. The Employee recognizes that the Employee is employed by the Company in a position of responsibility and trust and agrees that during the Employee’s employment with the Company, the Employee will not engage in any activity or otherwise put the Employee in a position which conflicts with the Company’s interests. Without limiting this general statement, the Employee agrees that during the Employee’s employment with the Company, the Employee will not knowingly lend money to, guarantee the debts or obligations of or permit the name of the Employee or any part thereof to be used or employed by any corporation or firm which directly or indirectly is engaged in or concerned with or interested in any Business in competition with the Business of the Company unless the Employee receives prior written authorization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780" w:val="left"/>
        </w:tabs>
        <w:rPr>
          <w:sz w:val="20"/>
          <w:szCs w:val="20"/>
          <w:color w:val="auto"/>
        </w:rPr>
      </w:pPr>
      <w:r>
        <w:rPr>
          <w:rFonts w:ascii="Times New Roman" w:cs="Times New Roman" w:eastAsia="Times New Roman" w:hAnsi="Times New Roman"/>
          <w:sz w:val="16"/>
          <w:szCs w:val="16"/>
          <w:color w:val="auto"/>
        </w:rPr>
        <w:t>Zymeworks – Private &amp; Confidential</w:t>
      </w:r>
      <w:r>
        <w:rPr>
          <w:sz w:val="20"/>
          <w:szCs w:val="20"/>
          <w:color w:val="auto"/>
        </w:rPr>
        <w:tab/>
      </w:r>
      <w:r>
        <w:rPr>
          <w:rFonts w:ascii="Times New Roman" w:cs="Times New Roman" w:eastAsia="Times New Roman" w:hAnsi="Times New Roman"/>
          <w:sz w:val="15"/>
          <w:szCs w:val="15"/>
          <w:color w:val="auto"/>
        </w:rPr>
        <w:t>Page 11 - 20</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Acknowledgments</w:t>
      </w:r>
      <w:r>
        <w:rPr>
          <w:rFonts w:ascii="Times New Roman" w:cs="Times New Roman" w:eastAsia="Times New Roman" w:hAnsi="Times New Roman"/>
          <w:sz w:val="22"/>
          <w:szCs w:val="22"/>
          <w:color w:val="auto"/>
        </w:rPr>
        <w:t>. In the event the Employee breaches any covenant contained herein, the one (1) year periods provided for in Sections 6.1 and 6.2 will be extended for a period of three (3) months from the date any such breach is cured. In the event it is necessary for the either party to retain legal counsel to enforce any of the terms and conditions of this Agreement, the prevailing party will pay the other parties’ reasonable legal fees, court costs and other related expenses.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51716"/>
        </w:rPr>
        <w:t xml:space="preserve">ARTICLE 7  </w:t>
      </w:r>
      <w:r>
        <w:rPr>
          <w:rFonts w:ascii="Times New Roman" w:cs="Times New Roman" w:eastAsia="Times New Roman" w:hAnsi="Times New Roman"/>
          <w:sz w:val="22"/>
          <w:szCs w:val="22"/>
          <w:b w:val="1"/>
          <w:bCs w:val="1"/>
          <w:color w:val="000000"/>
        </w:rPr>
        <w:t>- ENFORCEMENT</w:t>
      </w:r>
    </w:p>
    <w:p>
      <w:pPr>
        <w:spacing w:after="0" w:line="18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Consent to Personal Jurisdiction</w:t>
      </w:r>
      <w:r>
        <w:rPr>
          <w:rFonts w:ascii="Times New Roman" w:cs="Times New Roman" w:eastAsia="Times New Roman" w:hAnsi="Times New Roman"/>
          <w:sz w:val="22"/>
          <w:szCs w:val="22"/>
          <w:color w:val="auto"/>
        </w:rPr>
        <w:t>. This Agreement will be governed by the laws of the State of Washington without regards to Washington’s conflicts of law rules that may result in the application of the laws of any jurisdiction other than Washington. To the extent that any lawsuit is permitted under this Agreement, Employee expressly consents to the personal and exclusive jurisdiction and venue of the State and Federal Courts located in Washington for any lawsuit filed against me by the Company. In the event of a breach or threatened breach by the Employee of any of the provisions of Article 5 or Article 6 of this Agreement, nothing in this Agreement precludes the Company from applying to a court of competent jurisdiction to seek injunctive relief or otherwise protect or enforce its intellectual property rights, or enforce the Employee’s fiduciary, non-competition, non-solicitation, confidentiality or any other post-employment obligations.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Severability and Limitation</w:t>
      </w:r>
      <w:r>
        <w:rPr>
          <w:rFonts w:ascii="Times New Roman" w:cs="Times New Roman" w:eastAsia="Times New Roman" w:hAnsi="Times New Roman"/>
          <w:sz w:val="22"/>
          <w:szCs w:val="22"/>
          <w:color w:val="auto"/>
        </w:rPr>
        <w:t>. All agreements and covenants contained herein are severable and, in the event any of them will be held to be invalid by any competent court, this Agreement will be interpreted as if such invalid agreements or covenants were not contained herein. Should any court or other legally constituted authority determine that for any such agreement or covenant to be effective that it must be modified to limit its duration or scope, the parties hereto will consider such agreement or covenant to be amended or modified with respect to duration and scope so as to comply with the orders of any such court or other legally constituted authority or to be enforceable under the laws of the State of Washington, and as to all other portions of such agreement or covenants they will remain in full force and effect as originally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16"/>
          <w:szCs w:val="16"/>
          <w:color w:val="auto"/>
        </w:rPr>
        <w:t>Zymeworks – Private &amp; Confidential</w:t>
        <w:tab/>
        <w:t>Page 12 - 20</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51716"/>
        </w:rPr>
        <w:t xml:space="preserve">ARTICLE 9  </w:t>
      </w:r>
      <w:r>
        <w:rPr>
          <w:rFonts w:ascii="Times New Roman" w:cs="Times New Roman" w:eastAsia="Times New Roman" w:hAnsi="Times New Roman"/>
          <w:sz w:val="22"/>
          <w:szCs w:val="22"/>
          <w:b w:val="1"/>
          <w:bCs w:val="1"/>
          <w:color w:val="000000"/>
        </w:rPr>
        <w:t>- ARBITRATION</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Arbitration and Equitable Relief</w:t>
      </w:r>
      <w:r>
        <w:rPr>
          <w:rFonts w:ascii="Times New Roman" w:cs="Times New Roman" w:eastAsia="Times New Roman" w:hAnsi="Times New Roman"/>
          <w:sz w:val="21"/>
          <w:szCs w:val="21"/>
          <w:color w:val="auto"/>
        </w:rPr>
        <w:t xml:space="preserve">. IN CONSIDERATION OF EMPLOYEE’S EMPLOYMENT WITH THE COMPANY, ITS PROMISE TO ARBITRATE ALL EMPLOYMENT-RELATED DISPUTES, AND EMPLOYEE’S RECEIPT OF THE COMPENSATION, PAY RAISES, AND OTHER BENEFITS PAID TO EMPLOYEE BY THE COMPANY, AT PRESENT AND IN THE FUTURE, EMPLOYEE AGREES THAT ANY AND ALL CONTROVERSIES, CLAIMS, OR DISPUTES WITH ANYONE (INCLUDING THE COMPANY AND ANY EMPLOYEE, OFFICER, DIRECTOR, SHAREHOLDER, OR BENEFIT PLAN OF THE COMPANY, IN THEIR CAPACITY AS SUCH OR OTHERWISE), ARISING OUT OF, RELATING TO, OR RESULTING FROMEMPLOYEE’S EMPLOYMENT WITH THE COMPANY OR THE TERMINATION OF EMPLOYEE’S EMPLOYMENT WITH THE COMPANY, INCLUDING ANY BREACH OF THIS AGREEMENT, SHALL BE SUBJECT TO BINDING ARBITRATION UNDER THE ARBITRATION PROVISIONS SET FORTH IN THE WASHINGTON UNIFORM ARBITRATION ACT (THE </w:t>
      </w:r>
      <w:r>
        <w:rPr>
          <w:rFonts w:ascii="Times New Roman" w:cs="Times New Roman" w:eastAsia="Times New Roman" w:hAnsi="Times New Roman"/>
          <w:sz w:val="21"/>
          <w:szCs w:val="21"/>
          <w:b w:val="1"/>
          <w:bCs w:val="1"/>
          <w:color w:val="auto"/>
        </w:rPr>
        <w:t>“ACT”),</w:t>
      </w:r>
      <w:r>
        <w:rPr>
          <w:rFonts w:ascii="Times New Roman" w:cs="Times New Roman" w:eastAsia="Times New Roman" w:hAnsi="Times New Roman"/>
          <w:sz w:val="21"/>
          <w:szCs w:val="21"/>
          <w:color w:val="auto"/>
        </w:rPr>
        <w:t xml:space="preserve"> AND PURSUANT TO WASHINGTON LAW, AND SHALL BE BROUGHT IN EMPLOYEE’S INDIVIDUAL CAPACITY, AND NOT AS A PLAINTIFF OR CLASS MEMBER IN ANY PURPORTED CLASS OR REPRESENTATIVE PROCEEDING. THE FEDERAL ARBITRATION ACT SHALL CONTINUE TO APPLY WITH FULL FORCE AND EFFECT NOTWITHSTANDING THE APPLICATION OF PROCEDURAL RULES SET FORTH IN THE ACT. DISPUTES THAT EMPLOYEE AGREES TO ARBITRATE, AND THEREBY AGREES TO WAIVE ANY RIGHT TO A TRIAL BY JURY, 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SARBANES-OXLEY ACT, THE WORKER ADJUSTMENT AND RETRAINING NOTIFICATION ACT, THE CALIFORNIA FAIR EMPLOYMENT AND HOUSING ACT, THE FAMILY AND MEDICAL LEAVE ACT, ANY AND ALL CLAIMS UNDER THE REVISED CODE OF WASHINGTON OR ANY OTHER WASHINGTON STATE LABOR LAW, CLAIMS OF HARASSMENT, DISCRIMINATION, AND WRONGFUL TERMINATION, AND ANY STATUTORY OR COMMON LAW CLAIMS. NOTWITHSTANDING THE FOREGOING, EMPLOYEE UNDERSTANDS THAT NOTHING IN THIS AGREEMENT CONSTITUTES A WAIVER OF EMPLOYEE’S RIGHTS UNDER SECTION 7 OF THE NATIONAL LABOR RELATIONS ACT. EMPLOYEE FURTHER UNDERSTAND THAT THIS AGREEMENT TO ARBITRATE ALSO APPLIES TO ANY DISPUTES THAT THE COMPANY MAY HAVE WITH EMPLOYEE.</w:t>
      </w:r>
    </w:p>
    <w:p>
      <w:pPr>
        <w:spacing w:after="0" w:line="17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151716"/>
        </w:rPr>
        <w:t xml:space="preserve">9.2 </w:t>
      </w:r>
      <w:r>
        <w:rPr>
          <w:rFonts w:ascii="Times New Roman" w:cs="Times New Roman" w:eastAsia="Times New Roman" w:hAnsi="Times New Roman"/>
          <w:sz w:val="21"/>
          <w:szCs w:val="21"/>
          <w:u w:val="single" w:color="auto"/>
          <w:color w:val="000000"/>
        </w:rPr>
        <w:t>Procedure</w:t>
      </w:r>
      <w:r>
        <w:rPr>
          <w:rFonts w:ascii="Times New Roman" w:cs="Times New Roman" w:eastAsia="Times New Roman" w:hAnsi="Times New Roman"/>
          <w:sz w:val="21"/>
          <w:szCs w:val="21"/>
          <w:color w:val="000000"/>
        </w:rPr>
        <w:t>. EMPLOYEE AGREES THAT ANY ARBITRATION WILL BE</w:t>
      </w:r>
      <w:r>
        <w:rPr>
          <w:rFonts w:ascii="Times New Roman" w:cs="Times New Roman" w:eastAsia="Times New Roman" w:hAnsi="Times New Roman"/>
          <w:sz w:val="21"/>
          <w:szCs w:val="21"/>
          <w:color w:val="151716"/>
        </w:rPr>
        <w:t xml:space="preserve"> ADMINISTERED BY JUDICIAL ARBITRATION &amp; MEDIATION SERVICES, INC. </w:t>
      </w:r>
      <w:r>
        <w:rPr>
          <w:rFonts w:ascii="Times New Roman" w:cs="Times New Roman" w:eastAsia="Times New Roman" w:hAnsi="Times New Roman"/>
          <w:sz w:val="21"/>
          <w:szCs w:val="21"/>
          <w:b w:val="1"/>
          <w:bCs w:val="1"/>
          <w:color w:val="151716"/>
        </w:rPr>
        <w:t>(“JAMS”),</w:t>
      </w:r>
      <w:r>
        <w:rPr>
          <w:rFonts w:ascii="Times New Roman" w:cs="Times New Roman" w:eastAsia="Times New Roman" w:hAnsi="Times New Roman"/>
          <w:sz w:val="21"/>
          <w:szCs w:val="21"/>
          <w:color w:val="151716"/>
        </w:rPr>
        <w:t xml:space="preserve"> PURSUANT TO ITS EMPLOYMENT ARBITRATION RULES &amp; PROCEDURES (THE </w:t>
      </w:r>
      <w:r>
        <w:rPr>
          <w:rFonts w:ascii="Times New Roman" w:cs="Times New Roman" w:eastAsia="Times New Roman" w:hAnsi="Times New Roman"/>
          <w:sz w:val="21"/>
          <w:szCs w:val="21"/>
          <w:b w:val="1"/>
          <w:bCs w:val="1"/>
          <w:color w:val="151716"/>
        </w:rPr>
        <w:t>“JAMS RULES”),</w:t>
      </w:r>
      <w:r>
        <w:rPr>
          <w:rFonts w:ascii="Times New Roman" w:cs="Times New Roman" w:eastAsia="Times New Roman" w:hAnsi="Times New Roman"/>
          <w:sz w:val="21"/>
          <w:szCs w:val="21"/>
          <w:color w:val="151716"/>
        </w:rPr>
        <w:t xml:space="preserve"> WHICH ARE AVAILABLE AT </w:t>
      </w:r>
      <w:r>
        <w:rPr>
          <w:rFonts w:ascii="Times New Roman" w:cs="Times New Roman" w:eastAsia="Times New Roman" w:hAnsi="Times New Roman"/>
          <w:sz w:val="21"/>
          <w:szCs w:val="21"/>
          <w:color w:val="000000"/>
        </w:rPr>
        <w:t xml:space="preserve">http://www.jmsadr.com/rules-emplovment-arbitration/ </w:t>
      </w:r>
      <w:r>
        <w:rPr>
          <w:rFonts w:ascii="Times New Roman" w:cs="Times New Roman" w:eastAsia="Times New Roman" w:hAnsi="Times New Roman"/>
          <w:sz w:val="21"/>
          <w:szCs w:val="21"/>
          <w:color w:val="151716"/>
        </w:rPr>
        <w:t>AND FROM HUMAN RESOURCES. EMPLOYEE AGREES THAT THE ARBITRATOR SHALL</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151716"/>
        </w:rPr>
        <w:t>HAVE THE POWER TO DECIDE ANY MOTIONS BROUGHT BY ANY PARTY TO THE ARBITRATION, INCLUDING MOTIONS FOR SUMMARY JUDGMENT AND/OR ADJUDICATION, AND MOTIONS TO DISMISS AND DEMURRERS, APPLYING THE STANDARDS SET FORTH UNDER THE ACT AND WASHINGTON LAW. EMPLOYEE AGREES THAT THE ARBITRATOR SHALL ISSUE A WRITTEN DECISION ON THE MERITS. EMPLOYEE ALSO AGREES THAT THE ARBITRATOR SHALL HAVE THE POWER TO AWARD ANY REMEDIES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16"/>
          <w:szCs w:val="16"/>
          <w:color w:val="auto"/>
        </w:rPr>
        <w:t>Zymeworks – Private &amp; Confidential</w:t>
        <w:tab/>
        <w:t>Page 13 - 20</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95"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151716"/>
        </w:rPr>
        <w:t>UNDER APPLICABLE LAW, AND THAT THE ARBITRATOR SHALL AWARD ATTORNEYS’ FEES AND COSTS TO THE PREVAILING PARTY, WHERE PROVIDED BY APPLICABLE LAW. EMPLOYEE AGREES THAT THE DECREE OR AWARD RENDERED BY THE ARBITRATOR MAY BE ENTERED AS A FINAL AND BINDING JUDGMENT IN ANY COURT HAVING JURISDICTION THEREOF. EMPLOYEE UNDERSTANDS THAT THE COMPANY WILL PAY FOR ANY ADMINISTRATIVE OR HEARING FEES CHARGED BY THE ARBITRATOR OR JAMS EXCEPT THAT EMPLOYEE SHALL PAY ANY FILING FEES ASSOCIATED WITH ANY ARBITRATION THAT EMPLOYEE INITIATES, BUT ONLY SO MUCH OF THE FILING FEES AS EMPLOYEE WOULD HAVE INSTEAD PAID HAD EMPLOYEE FILED A COMPLAINT IN A COURT OF LAW. EMPLOYEE AGREES THAT THE ARBITRATOR SHALL ADMINISTER AND CONDUCT ANY ARBITRATION IN ACCORDANCE WITH WASHINGTON LAW AND THAT THE ARBITRATOR SHALL APPLY SUBSTANTIVE AND PROCEDURAL WASHINGTON LAW TO ANY DISPUTE OR CLAIM, WITHOUT REFERENCE TO RULES OF CONFLICT OF LAW. TO THE EXTENT THAT THE JAMS RULES CONFLICT WITH WASHINGTON LAW, WASHINGTON LAW SHALL TAKE PRECEDENCE. EMPLOYEE AGREES THAT ANY ARBITRATION UNDER THIS AGREEMENT SHALL BE CONDUCTED IN KING COUNTY, WASHINGTON.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16"/>
          <w:szCs w:val="16"/>
          <w:color w:val="auto"/>
        </w:rPr>
        <w:t>Zymeworks – Private &amp; Confidential</w:t>
        <w:tab/>
        <w:t>Page 14 - 20</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151716"/>
        </w:rPr>
        <w:t xml:space="preserve">9.3 </w:t>
      </w:r>
      <w:r>
        <w:rPr>
          <w:rFonts w:ascii="Times New Roman" w:cs="Times New Roman" w:eastAsia="Times New Roman" w:hAnsi="Times New Roman"/>
          <w:sz w:val="22"/>
          <w:szCs w:val="22"/>
          <w:u w:val="single" w:color="auto"/>
          <w:color w:val="000000"/>
        </w:rPr>
        <w:t>Remedy</w:t>
      </w:r>
      <w:r>
        <w:rPr>
          <w:rFonts w:ascii="Times New Roman" w:cs="Times New Roman" w:eastAsia="Times New Roman" w:hAnsi="Times New Roman"/>
          <w:sz w:val="22"/>
          <w:szCs w:val="22"/>
          <w:color w:val="000000"/>
        </w:rPr>
        <w:t>. EXCEPT AS PROVIDED BY THE ACT AND THIS AGREEMENT,</w:t>
      </w:r>
      <w:r>
        <w:rPr>
          <w:rFonts w:ascii="Times New Roman" w:cs="Times New Roman" w:eastAsia="Times New Roman" w:hAnsi="Times New Roman"/>
          <w:sz w:val="22"/>
          <w:szCs w:val="22"/>
          <w:color w:val="151716"/>
        </w:rPr>
        <w:t xml:space="preserve"> ARBITRATION SHALL BE THE SOLE, EXCLUSIVE, AND FINAL REMEDY FOR ANY DISPUTE BETWEEN EMPLOYEE AND THE COMPANY. ACCORDINGLY, EXCEPT AS PROVIDED FOR BY THE ACT AND THIS AGREEMENT, NEITHER EMPLOYEE NOR THE COMPANY WILL BE PERMITTED TO PURSUE COURT ACTION REGARDING CLAIMS THAT ARE SUBJECT TO ARBITRATION.</w:t>
      </w:r>
    </w:p>
    <w:p>
      <w:pPr>
        <w:spacing w:after="0" w:line="15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151716"/>
        </w:rPr>
        <w:t xml:space="preserve">9.4 </w:t>
      </w:r>
      <w:r>
        <w:rPr>
          <w:rFonts w:ascii="Times New Roman" w:cs="Times New Roman" w:eastAsia="Times New Roman" w:hAnsi="Times New Roman"/>
          <w:sz w:val="22"/>
          <w:szCs w:val="22"/>
          <w:u w:val="single" w:color="auto"/>
          <w:color w:val="000000"/>
        </w:rPr>
        <w:t>Administrative Relief</w:t>
      </w:r>
      <w:r>
        <w:rPr>
          <w:rFonts w:ascii="Times New Roman" w:cs="Times New Roman" w:eastAsia="Times New Roman" w:hAnsi="Times New Roman"/>
          <w:sz w:val="22"/>
          <w:szCs w:val="22"/>
          <w:color w:val="000000"/>
        </w:rPr>
        <w:t>. EMPLOYEE UNDERSTANDS THAT THIS</w:t>
      </w:r>
      <w:r>
        <w:rPr>
          <w:rFonts w:ascii="Times New Roman" w:cs="Times New Roman" w:eastAsia="Times New Roman" w:hAnsi="Times New Roman"/>
          <w:sz w:val="22"/>
          <w:szCs w:val="22"/>
          <w:color w:val="151716"/>
        </w:rPr>
        <w:t xml:space="preserve"> AGREEMENT DOES NOT PROHIBIT EMPLOYEE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THIS AGREEMENT DOES, HOWEVER, PRECLUDE EMPLOYEE FROM PURSUING COURT ACTION REGARDING ANY SUCH CLAIM, EXCEPT AS PERMITTED BY LAW.</w:t>
      </w:r>
    </w:p>
    <w:p>
      <w:pPr>
        <w:spacing w:after="0" w:line="156"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151716"/>
        </w:rPr>
        <w:t xml:space="preserve">9.5 </w:t>
      </w:r>
      <w:r>
        <w:rPr>
          <w:rFonts w:ascii="Times New Roman" w:cs="Times New Roman" w:eastAsia="Times New Roman" w:hAnsi="Times New Roman"/>
          <w:sz w:val="22"/>
          <w:szCs w:val="22"/>
          <w:u w:val="single" w:color="auto"/>
          <w:color w:val="000000"/>
        </w:rPr>
        <w:t>Voluntary Nature of Agreement</w:t>
      </w:r>
      <w:r>
        <w:rPr>
          <w:rFonts w:ascii="Times New Roman" w:cs="Times New Roman" w:eastAsia="Times New Roman" w:hAnsi="Times New Roman"/>
          <w:sz w:val="22"/>
          <w:szCs w:val="22"/>
          <w:color w:val="000000"/>
        </w:rPr>
        <w:t>. EMPLOYEE ACKNOWLEDGES AND</w:t>
      </w:r>
      <w:r>
        <w:rPr>
          <w:rFonts w:ascii="Times New Roman" w:cs="Times New Roman" w:eastAsia="Times New Roman" w:hAnsi="Times New Roman"/>
          <w:sz w:val="22"/>
          <w:szCs w:val="22"/>
          <w:color w:val="151716"/>
        </w:rPr>
        <w:t xml:space="preserve"> AGREE THAT EMPLOYEE IS EXECUTING THIS AGREEMENT VOLUNTARILY AND WITHOUT ANY DURESS OR UNDUE INFLUENCE BY THE COMPANY OR ANYONE ELSE. EMPLOYEE FURTHER ACKNOWLEDGE AND AGREES THAT EMPLOYEE HAS CAREFULLY READ THIS AGREEMENT AND THAT EMPLOYEE HAS ASKED ANY QUESTIONS NEEDED FOR EMPLOYEE TO UNDERSTAND THE TERMS, CONSEQUENCES, AND BINDING EFFECT OF THIS AGREEMENT AND FULLY UNDERSTAND IT, INCLUDING </w:t>
      </w:r>
      <w:r>
        <w:rPr>
          <w:rFonts w:ascii="Times New Roman" w:cs="Times New Roman" w:eastAsia="Times New Roman" w:hAnsi="Times New Roman"/>
          <w:sz w:val="22"/>
          <w:szCs w:val="22"/>
          <w:b w:val="1"/>
          <w:bCs w:val="1"/>
          <w:i w:val="1"/>
          <w:iCs w:val="1"/>
          <w:color w:val="151716"/>
        </w:rPr>
        <w:t>THAT EMPLOYEE IS WAIVING EMPLOYEE’S RIGHT TO A JURY TRIAL.</w:t>
      </w:r>
      <w:r>
        <w:rPr>
          <w:rFonts w:ascii="Times New Roman" w:cs="Times New Roman" w:eastAsia="Times New Roman" w:hAnsi="Times New Roman"/>
          <w:sz w:val="22"/>
          <w:szCs w:val="22"/>
          <w:color w:val="151716"/>
        </w:rPr>
        <w:t xml:space="preserve"> FINALLY, EMPLOYEE AGREES THAT EMPLOYEE HAS BEEN PROVIDED AN OPPORTUNITY TO SEEK THE ADVICE OF AN ATTORNEY OF EMPLOYEE’S CHOICE BEFORE SIGNING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16"/>
          <w:szCs w:val="16"/>
          <w:color w:val="auto"/>
        </w:rPr>
        <w:t>Zymeworks – Private &amp; Confidential</w:t>
        <w:tab/>
        <w:t>Page 15 - 20</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10 - GENERAL</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to be given hereunder by either party to the other party may be effected in writing, either by personal delivery or by mail if sent certified, postage prepaid, with return receipt requested. Mailed notices will be addressed to the parties at the address set out on the first page of this Agreement, or as otherwise specified from time to time. Notice will be effective upon delivery.</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Independent Legal Advice</w:t>
      </w:r>
      <w:r>
        <w:rPr>
          <w:rFonts w:ascii="Times New Roman" w:cs="Times New Roman" w:eastAsia="Times New Roman" w:hAnsi="Times New Roman"/>
          <w:sz w:val="22"/>
          <w:szCs w:val="22"/>
          <w:color w:val="auto"/>
        </w:rPr>
        <w:t>. The Employee specifically confirms that he/she has been advised to retain his/her own independent legal advice prior to entering into this Agreement.</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parties acknowledge that each party and its respective counsel have had the opportunity to independently review and negotiate the terms and conditions of this Agreement, and that the normal rule of construction to the effect that any ambiguities are to be construed against the drafting party will not be employed in the interpretation of this Agreement or any exhibits or amendments hereto.</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The Employee cannot assign his/her interest in this Agreement.</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Benefit of Agreement</w:t>
      </w:r>
      <w:r>
        <w:rPr>
          <w:rFonts w:ascii="Times New Roman" w:cs="Times New Roman" w:eastAsia="Times New Roman" w:hAnsi="Times New Roman"/>
          <w:sz w:val="22"/>
          <w:szCs w:val="22"/>
          <w:color w:val="auto"/>
        </w:rPr>
        <w:t>. This Agreement will ensure to the benefit of and be binding upon the respective heirs, executors, administrators, successors and permitted assigns of the parties hereto.</w:t>
      </w:r>
    </w:p>
    <w:p>
      <w:pPr>
        <w:spacing w:after="0" w:line="15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Appendices to this Agreement, together with the terms and conditions contained within this Agreement constitute the entire agreement between the parties hereto with respect to the subject matter hereof and cancels and supersedes any prior employment agreements, understandings and arrangements between the parties hereto with respect thereto. There are no representations, warranties, terms, conditions, undertakings or collateral agreements, express, implied or statutory, between the parties other than as expressly set forth in this Agreement.</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amendment to this Agreement will be valid or binding unless set forth in writing and duly executed by all of the parties hereto. No waiver of any breach of any provision of this Agreement will be effective or binding unless made in writing and signed by the party purporting to give the same and, unless otherwise provided in the written waiver, will be limited to the specific breach waived.</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and construed, enforced and interpreted exclusively in accordance with the laws of the State of Washington.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16"/>
          <w:szCs w:val="16"/>
          <w:color w:val="auto"/>
        </w:rPr>
        <w:t>Zymeworks – Private &amp; Confidential</w:t>
        <w:tab/>
        <w:t>Page 16 - 20</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have executed this Agreement as of the date first above written.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ZYMEWORKS, INC.</w:t>
      </w:r>
    </w:p>
    <w:p>
      <w:pPr>
        <w:spacing w:after="0" w:line="22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Wajida Leclerc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12687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2">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286"/>
        </w:trPr>
        <w:tc>
          <w:tcPr>
            <w:tcW w:w="5620" w:type="dxa"/>
            <w:vAlign w:val="bottom"/>
            <w:gridSpan w:val="3"/>
          </w:tcPr>
          <w:p>
            <w:pPr>
              <w:ind w:left="580"/>
              <w:spacing w:after="0"/>
              <w:rPr>
                <w:sz w:val="20"/>
                <w:szCs w:val="20"/>
                <w:color w:val="auto"/>
              </w:rPr>
            </w:pPr>
            <w:r>
              <w:rPr>
                <w:rFonts w:ascii="Times New Roman" w:cs="Times New Roman" w:eastAsia="Times New Roman" w:hAnsi="Times New Roman"/>
                <w:sz w:val="22"/>
                <w:szCs w:val="22"/>
                <w:color w:val="auto"/>
              </w:rPr>
              <w:t xml:space="preserve">Wajida Leclerc, </w:t>
            </w:r>
            <w:r>
              <w:rPr>
                <w:rFonts w:ascii="Times New Roman" w:cs="Times New Roman" w:eastAsia="Times New Roman" w:hAnsi="Times New Roman"/>
                <w:sz w:val="22"/>
                <w:szCs w:val="22"/>
                <w:i w:val="1"/>
                <w:iCs w:val="1"/>
                <w:color w:val="auto"/>
              </w:rPr>
              <w:t>Vice President</w:t>
            </w:r>
            <w:r>
              <w:rPr>
                <w:rFonts w:ascii="Times New Roman" w:cs="Times New Roman" w:eastAsia="Times New Roman" w:hAnsi="Times New Roman"/>
                <w:sz w:val="22"/>
                <w:szCs w:val="22"/>
                <w:color w:val="auto"/>
              </w:rPr>
              <w:t>, Human Resources</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685"/>
        </w:trPr>
        <w:tc>
          <w:tcPr>
            <w:tcW w:w="5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SIGNED, SEALED AND DELIVERED</w:t>
            </w:r>
          </w:p>
        </w:tc>
        <w:tc>
          <w:tcPr>
            <w:tcW w:w="36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WITNESSED by:</w:t>
            </w:r>
          </w:p>
        </w:tc>
      </w:tr>
      <w:tr>
        <w:trPr>
          <w:trHeight w:val="286"/>
        </w:trPr>
        <w:tc>
          <w:tcPr>
            <w:tcW w:w="5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b w:val="1"/>
                <w:bCs w:val="1"/>
                <w:color w:val="auto"/>
              </w:rPr>
              <w:t>Employee:</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58"/>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Mark Hollywood</w:t>
            </w:r>
          </w:p>
        </w:tc>
        <w:tc>
          <w:tcPr>
            <w:tcW w:w="3660" w:type="dxa"/>
            <w:vAlign w:val="bottom"/>
          </w:tcPr>
          <w:p>
            <w:pPr>
              <w:spacing w:after="0"/>
              <w:rPr>
                <w:sz w:val="22"/>
                <w:szCs w:val="22"/>
                <w:color w:val="auto"/>
              </w:rPr>
            </w:pPr>
          </w:p>
        </w:tc>
        <w:tc>
          <w:tcPr>
            <w:tcW w:w="1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Phil Weight</w:t>
            </w:r>
          </w:p>
        </w:tc>
        <w:tc>
          <w:tcPr>
            <w:tcW w:w="2200" w:type="dxa"/>
            <w:vAlign w:val="bottom"/>
          </w:tcPr>
          <w:p>
            <w:pPr>
              <w:spacing w:after="0"/>
              <w:rPr>
                <w:sz w:val="22"/>
                <w:szCs w:val="22"/>
                <w:color w:val="auto"/>
              </w:rPr>
            </w:pPr>
          </w:p>
        </w:tc>
      </w:tr>
      <w:tr>
        <w:trPr>
          <w:trHeight w:val="289"/>
        </w:trPr>
        <w:tc>
          <w:tcPr>
            <w:tcW w:w="5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Signature</w:t>
            </w:r>
          </w:p>
        </w:tc>
        <w:tc>
          <w:tcPr>
            <w:tcW w:w="36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Signature</w:t>
            </w:r>
          </w:p>
        </w:tc>
      </w:tr>
      <w:tr>
        <w:trPr>
          <w:trHeight w:val="420"/>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March 18, 2019</w:t>
            </w:r>
          </w:p>
        </w:tc>
        <w:tc>
          <w:tcPr>
            <w:tcW w:w="4040" w:type="dxa"/>
            <w:vAlign w:val="bottom"/>
            <w:gridSpan w:val="2"/>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Phil Weight</w:t>
            </w:r>
          </w:p>
        </w:tc>
        <w:tc>
          <w:tcPr>
            <w:tcW w:w="2460" w:type="dxa"/>
            <w:vAlign w:val="bottom"/>
            <w:gridSpan w:val="3"/>
          </w:tcPr>
          <w:p>
            <w:pPr>
              <w:spacing w:after="0"/>
              <w:rPr>
                <w:sz w:val="24"/>
                <w:szCs w:val="24"/>
                <w:color w:val="auto"/>
              </w:rPr>
            </w:pPr>
          </w:p>
        </w:tc>
      </w:tr>
      <w:tr>
        <w:trPr>
          <w:trHeight w:val="302"/>
        </w:trPr>
        <w:tc>
          <w:tcPr>
            <w:tcW w:w="5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w:t>
            </w:r>
          </w:p>
        </w:tc>
        <w:tc>
          <w:tcPr>
            <w:tcW w:w="36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Print Name</w:t>
            </w:r>
          </w:p>
        </w:tc>
      </w:tr>
      <w:tr>
        <w:trPr>
          <w:trHeight w:val="420"/>
        </w:trPr>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1201 Eastlake Ave E, Seattle WA 98102</w:t>
            </w:r>
          </w:p>
        </w:tc>
      </w:tr>
      <w:tr>
        <w:trPr>
          <w:trHeight w:val="289"/>
        </w:trPr>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Address</w:t>
            </w:r>
          </w:p>
        </w:tc>
      </w:tr>
      <w:tr>
        <w:trPr>
          <w:trHeight w:val="420"/>
        </w:trPr>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Fac. &amp; Eng.</w:t>
            </w:r>
          </w:p>
        </w:tc>
        <w:tc>
          <w:tcPr>
            <w:tcW w:w="2420" w:type="dxa"/>
            <w:vAlign w:val="bottom"/>
            <w:gridSpan w:val="2"/>
          </w:tcPr>
          <w:p>
            <w:pPr>
              <w:spacing w:after="0"/>
              <w:rPr>
                <w:sz w:val="24"/>
                <w:szCs w:val="24"/>
                <w:color w:val="auto"/>
              </w:rPr>
            </w:pPr>
          </w:p>
        </w:tc>
      </w:tr>
      <w:tr>
        <w:trPr>
          <w:trHeight w:val="289"/>
        </w:trPr>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Occupation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16"/>
          <w:szCs w:val="16"/>
          <w:color w:val="auto"/>
        </w:rPr>
        <w:t>Zymeworks – Private &amp; Confidential</w:t>
        <w:tab/>
        <w:t>Page 17 - 20</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33" w:lineRule="exact"/>
        <w:rPr>
          <w:sz w:val="20"/>
          <w:szCs w:val="20"/>
          <w:color w:val="auto"/>
        </w:rPr>
      </w:pPr>
    </w:p>
    <w:p>
      <w:pPr>
        <w:ind w:right="2960" w:firstLine="648"/>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JOB DESCRIPTION: </w:t>
      </w:r>
      <w:r>
        <w:rPr>
          <w:rFonts w:ascii="Times New Roman" w:cs="Times New Roman" w:eastAsia="Times New Roman" w:hAnsi="Times New Roman"/>
          <w:sz w:val="22"/>
          <w:szCs w:val="22"/>
          <w:color w:val="auto"/>
        </w:rPr>
        <w:t>Senior Vice President, Technical and Manufacturing Operations</w:t>
      </w:r>
      <w:r>
        <w:rPr>
          <w:rFonts w:ascii="Times New Roman" w:cs="Times New Roman" w:eastAsia="Times New Roman" w:hAnsi="Times New Roman"/>
          <w:sz w:val="22"/>
          <w:szCs w:val="22"/>
          <w:b w:val="1"/>
          <w:bCs w:val="1"/>
          <w:color w:val="auto"/>
        </w:rPr>
        <w:t xml:space="preserve"> Summary</w:t>
      </w:r>
    </w:p>
    <w:p>
      <w:pPr>
        <w:spacing w:after="0" w:line="1" w:lineRule="exact"/>
        <w:rPr>
          <w:sz w:val="20"/>
          <w:szCs w:val="20"/>
          <w:color w:val="auto"/>
        </w:rPr>
      </w:pPr>
    </w:p>
    <w:p>
      <w:pPr>
        <w:ind w:left="660" w:right="140" w:hanging="652"/>
        <w:spacing w:after="0" w:line="210" w:lineRule="auto"/>
        <w:tabs>
          <w:tab w:leader="none" w:pos="65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Leads all process development and manufacturing efforts critical for the advancement of Zymeworks’ clinical drug candidates. Establishes, implements and oversees CMC strategy for all manufacturing ranging from pre-clinical, Phase I, Phase II/Phase III through commercial manufacturing ensuring that appropriate scientific, regulatory and quality standards are followed.</w:t>
      </w:r>
    </w:p>
    <w:p>
      <w:pPr>
        <w:spacing w:after="0" w:line="2" w:lineRule="exact"/>
        <w:rPr>
          <w:rFonts w:ascii="Times New Roman" w:cs="Times New Roman" w:eastAsia="Times New Roman" w:hAnsi="Times New Roman"/>
          <w:sz w:val="22"/>
          <w:szCs w:val="22"/>
          <w:color w:val="auto"/>
        </w:rPr>
      </w:pPr>
    </w:p>
    <w:p>
      <w:pPr>
        <w:ind w:left="660" w:right="480" w:hanging="652"/>
        <w:spacing w:after="0" w:line="214" w:lineRule="auto"/>
        <w:tabs>
          <w:tab w:leader="none" w:pos="655"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Develops, leads and drives the execution of quality assurance strategy for new pharmaceutical development. Ensures effectiveness of quality programs and compliance with applicable regulations and corporate quality expectations.</w:t>
      </w:r>
    </w:p>
    <w:p>
      <w:pPr>
        <w:spacing w:after="0" w:line="1" w:lineRule="exact"/>
        <w:rPr>
          <w:rFonts w:ascii="Times New Roman" w:cs="Times New Roman" w:eastAsia="Times New Roman" w:hAnsi="Times New Roman"/>
          <w:sz w:val="21"/>
          <w:szCs w:val="21"/>
          <w:color w:val="auto"/>
        </w:rPr>
      </w:pPr>
    </w:p>
    <w:p>
      <w:pPr>
        <w:ind w:left="660" w:right="640" w:hanging="652"/>
        <w:spacing w:after="0" w:line="214" w:lineRule="auto"/>
        <w:tabs>
          <w:tab w:leader="none" w:pos="655"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Provides technical oversight and project leadership on all Supply Chain and CMC development activities including formulation development, process development and transfer, manufacturing, validation, stability and data review.</w:t>
      </w:r>
    </w:p>
    <w:p>
      <w:pPr>
        <w:spacing w:after="0" w:line="1" w:lineRule="exact"/>
        <w:rPr>
          <w:rFonts w:ascii="Times New Roman" w:cs="Times New Roman" w:eastAsia="Times New Roman" w:hAnsi="Times New Roman"/>
          <w:sz w:val="21"/>
          <w:szCs w:val="21"/>
          <w:color w:val="auto"/>
        </w:rPr>
      </w:pPr>
    </w:p>
    <w:p>
      <w:pPr>
        <w:ind w:left="660" w:right="60" w:hanging="652"/>
        <w:spacing w:after="0" w:line="204" w:lineRule="auto"/>
        <w:tabs>
          <w:tab w:leader="none" w:pos="65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leadership to the CMC, Process Development, QA and QC functions, nurturing a culture of engagement, respect and high-performance within a team environment. Provides leadership, coaching and feedback; mentors and empowers personnel.</w:t>
      </w:r>
    </w:p>
    <w:p>
      <w:pPr>
        <w:spacing w:after="0" w:line="2" w:lineRule="exact"/>
        <w:rPr>
          <w:rFonts w:ascii="Times New Roman" w:cs="Times New Roman" w:eastAsia="Times New Roman" w:hAnsi="Times New Roman"/>
          <w:sz w:val="22"/>
          <w:szCs w:val="22"/>
          <w:color w:val="auto"/>
        </w:rPr>
      </w:pPr>
    </w:p>
    <w:p>
      <w:pPr>
        <w:ind w:left="660" w:right="480" w:hanging="652"/>
        <w:spacing w:after="0" w:line="204" w:lineRule="auto"/>
        <w:tabs>
          <w:tab w:leader="none" w:pos="65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Works with cross-functional program teams providing budgets, updates, and project management support required to achieve pre-clinical and clinical development goals and timelines.</w:t>
      </w:r>
    </w:p>
    <w:p>
      <w:pPr>
        <w:spacing w:after="0" w:line="1" w:lineRule="exact"/>
        <w:rPr>
          <w:rFonts w:ascii="Times New Roman" w:cs="Times New Roman" w:eastAsia="Times New Roman" w:hAnsi="Times New Roman"/>
          <w:sz w:val="22"/>
          <w:szCs w:val="22"/>
          <w:color w:val="auto"/>
        </w:rPr>
      </w:pPr>
    </w:p>
    <w:p>
      <w:pPr>
        <w:ind w:left="660" w:right="660" w:hanging="652"/>
        <w:spacing w:after="0" w:line="204" w:lineRule="auto"/>
        <w:tabs>
          <w:tab w:leader="none" w:pos="65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Drives the CMO/contractor selection process and manages the supply chain operations with CMO’s, suppliers, and internal stakeholders to ensure timely release of drug product required for all clinical studies.</w:t>
      </w:r>
    </w:p>
    <w:p>
      <w:pPr>
        <w:spacing w:after="0" w:line="1" w:lineRule="exact"/>
        <w:rPr>
          <w:rFonts w:ascii="Times New Roman" w:cs="Times New Roman" w:eastAsia="Times New Roman" w:hAnsi="Times New Roman"/>
          <w:sz w:val="22"/>
          <w:szCs w:val="22"/>
          <w:color w:val="auto"/>
        </w:rPr>
      </w:pPr>
    </w:p>
    <w:p>
      <w:pPr>
        <w:ind w:left="660" w:hanging="652"/>
        <w:spacing w:after="0" w:line="204" w:lineRule="auto"/>
        <w:tabs>
          <w:tab w:leader="none" w:pos="6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Prepares CMC documents/sections for product submissions including IND, NDA, NDS, etc. for regulatory bodies.</w:t>
      </w:r>
    </w:p>
    <w:p>
      <w:pPr>
        <w:ind w:left="660" w:hanging="652"/>
        <w:spacing w:after="0" w:line="204" w:lineRule="auto"/>
        <w:tabs>
          <w:tab w:leader="none" w:pos="6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Facilitates the preparation process for internal and external audits.</w:t>
      </w:r>
    </w:p>
    <w:p>
      <w:pPr>
        <w:ind w:left="660" w:hanging="652"/>
        <w:spacing w:after="0" w:line="204" w:lineRule="auto"/>
        <w:tabs>
          <w:tab w:leader="none" w:pos="6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Directs all aspects of clinical trials material for phase 1 thru 3 studies.</w:t>
      </w:r>
    </w:p>
    <w:p>
      <w:pPr>
        <w:ind w:left="660" w:right="320" w:hanging="652"/>
        <w:spacing w:after="0" w:line="204" w:lineRule="auto"/>
        <w:tabs>
          <w:tab w:leader="none" w:pos="65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Establishes and oversees process development strategy and translates into deliverables and milestones to ensure phase-appropriate manufacturing processes; provides informal and formal updates to senior management team.</w:t>
      </w:r>
    </w:p>
    <w:p>
      <w:pPr>
        <w:spacing w:after="0" w:line="1" w:lineRule="exact"/>
        <w:rPr>
          <w:rFonts w:ascii="Times New Roman" w:cs="Times New Roman" w:eastAsia="Times New Roman" w:hAnsi="Times New Roman"/>
          <w:sz w:val="22"/>
          <w:szCs w:val="22"/>
          <w:color w:val="auto"/>
        </w:rPr>
      </w:pPr>
    </w:p>
    <w:p>
      <w:pPr>
        <w:ind w:left="660" w:right="680" w:hanging="652"/>
        <w:spacing w:after="0" w:line="204" w:lineRule="auto"/>
        <w:tabs>
          <w:tab w:leader="none" w:pos="65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Ensures timely delivery of quality drug product to support clinical and commercial development in alignment with corporate goals and objectives.</w:t>
      </w:r>
    </w:p>
    <w:p>
      <w:pPr>
        <w:spacing w:after="0" w:line="1" w:lineRule="exact"/>
        <w:rPr>
          <w:rFonts w:ascii="Times New Roman" w:cs="Times New Roman" w:eastAsia="Times New Roman" w:hAnsi="Times New Roman"/>
          <w:sz w:val="22"/>
          <w:szCs w:val="22"/>
          <w:color w:val="auto"/>
        </w:rPr>
      </w:pPr>
    </w:p>
    <w:p>
      <w:pPr>
        <w:ind w:left="660" w:right="20" w:hanging="652"/>
        <w:spacing w:after="0" w:line="204" w:lineRule="auto"/>
        <w:tabs>
          <w:tab w:leader="none" w:pos="65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Establishes and maintains strong relationships with senior executives so as to identify business needs and seek a full range of development solutions.</w:t>
      </w:r>
    </w:p>
    <w:p>
      <w:pPr>
        <w:spacing w:after="0" w:line="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related duties as required.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Reporting Responsibilities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Reports directly to Neil Klompas,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16"/>
          <w:szCs w:val="16"/>
          <w:color w:val="auto"/>
        </w:rPr>
        <w:t>Zymeworks – Private &amp; Confidential</w:t>
        <w:tab/>
        <w:t>Page 18 - 20</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3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POLICIES AND PROCEDURES MANUAL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“Policies and Procedures Manual” and “Information Technology Systems and Security Policies” are available at:</w:t>
      </w:r>
    </w:p>
    <w:p>
      <w:pPr>
        <w:spacing w:after="0" w:line="216" w:lineRule="exact"/>
        <w:rPr>
          <w:sz w:val="20"/>
          <w:szCs w:val="20"/>
          <w:color w:val="auto"/>
        </w:rPr>
      </w:pPr>
    </w:p>
    <w:p>
      <w:pPr>
        <w:ind w:right="3000"/>
        <w:spacing w:after="0" w:line="514" w:lineRule="auto"/>
        <w:rPr>
          <w:sz w:val="20"/>
          <w:szCs w:val="20"/>
          <w:color w:val="auto"/>
        </w:rPr>
      </w:pPr>
      <w:r>
        <w:rPr>
          <w:rFonts w:ascii="Times New Roman" w:cs="Times New Roman" w:eastAsia="Times New Roman" w:hAnsi="Times New Roman"/>
          <w:sz w:val="21"/>
          <w:szCs w:val="21"/>
          <w:b w:val="1"/>
          <w:bCs w:val="1"/>
          <w:u w:val="single" w:color="auto"/>
          <w:color w:val="auto"/>
        </w:rPr>
        <w:t>https://wiki.zvmeworks.com/displav/ZG/Policies+and+Procedures+-+USA https://zvmeworks-platform.vcevavault.eom/ui/#t/0TB000000000102/0VVV000000000501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16"/>
          <w:szCs w:val="16"/>
          <w:color w:val="auto"/>
        </w:rPr>
        <w:t>Zymeworks – Private &amp; Confidential</w:t>
        <w:tab/>
        <w:t>Page 19 - 20</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5874385</wp:posOffset>
            </wp:positionH>
            <wp:positionV relativeFrom="page">
              <wp:posOffset>88900</wp:posOffset>
            </wp:positionV>
            <wp:extent cx="1465580" cy="6083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1465580" cy="608330"/>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C</w:t>
      </w:r>
    </w:p>
    <w:p>
      <w:pPr>
        <w:spacing w:after="0" w:line="233" w:lineRule="exact"/>
        <w:rPr>
          <w:sz w:val="20"/>
          <w:szCs w:val="20"/>
          <w:color w:val="auto"/>
        </w:rPr>
      </w:pPr>
    </w:p>
    <w:p>
      <w:pPr>
        <w:ind w:right="3440" w:firstLine="3449"/>
        <w:spacing w:after="0" w:line="480" w:lineRule="auto"/>
        <w:rPr>
          <w:sz w:val="20"/>
          <w:szCs w:val="20"/>
          <w:color w:val="auto"/>
        </w:rPr>
      </w:pPr>
      <w:r>
        <w:rPr>
          <w:rFonts w:ascii="Times New Roman" w:cs="Times New Roman" w:eastAsia="Times New Roman" w:hAnsi="Times New Roman"/>
          <w:sz w:val="22"/>
          <w:szCs w:val="22"/>
          <w:b w:val="1"/>
          <w:bCs w:val="1"/>
          <w:color w:val="auto"/>
        </w:rPr>
        <w:t xml:space="preserve">ZYMEWORKS INC. STOCK OPTION PLAN </w:t>
      </w:r>
      <w:r>
        <w:rPr>
          <w:rFonts w:ascii="Times New Roman" w:cs="Times New Roman" w:eastAsia="Times New Roman" w:hAnsi="Times New Roman"/>
          <w:sz w:val="22"/>
          <w:szCs w:val="22"/>
          <w:color w:val="auto"/>
        </w:rPr>
        <w:t>Please find enclosed copy of the Zymeworks Inc. Stock Option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16"/>
          <w:szCs w:val="16"/>
          <w:color w:val="auto"/>
        </w:rPr>
        <w:t>Zymeworks – Private &amp; Confidential</w:t>
        <w:tab/>
        <w:t>Page 20 - 20</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10.57</w:t>
      </w:r>
    </w:p>
    <w:p>
      <w:pPr>
        <w:spacing w:after="0" w:line="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is made and effective as of the 21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April , 2025 (the “Effective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BETWEEN:</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b w:val="1"/>
          <w:bCs w:val="1"/>
          <w:color w:val="auto"/>
        </w:rPr>
        <w:t xml:space="preserve">Dr. Sabeen Mekan, </w:t>
      </w:r>
      <w:r>
        <w:rPr>
          <w:rFonts w:ascii="Times New Roman" w:cs="Times New Roman" w:eastAsia="Times New Roman" w:hAnsi="Times New Roman"/>
          <w:sz w:val="22"/>
          <w:szCs w:val="22"/>
          <w:color w:val="auto"/>
        </w:rPr>
        <w:t>having a residence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(the “Employee”)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29" w:lineRule="exact"/>
        <w:rPr>
          <w:sz w:val="20"/>
          <w:szCs w:val="20"/>
          <w:color w:val="auto"/>
        </w:rPr>
      </w:pPr>
    </w:p>
    <w:p>
      <w:pPr>
        <w:jc w:val="both"/>
        <w:ind w:left="1300" w:right="1280"/>
        <w:spacing w:after="0" w:line="231" w:lineRule="auto"/>
        <w:rPr>
          <w:sz w:val="20"/>
          <w:szCs w:val="20"/>
          <w:color w:val="auto"/>
        </w:rPr>
      </w:pPr>
      <w:r>
        <w:rPr>
          <w:rFonts w:ascii="Times New Roman" w:cs="Times New Roman" w:eastAsia="Times New Roman" w:hAnsi="Times New Roman"/>
          <w:sz w:val="22"/>
          <w:szCs w:val="22"/>
          <w:b w:val="1"/>
          <w:bCs w:val="1"/>
          <w:color w:val="auto"/>
        </w:rPr>
        <w:t>ZYMEWORKS BIOPHARMACEUTICALS INC</w:t>
      </w:r>
      <w:r>
        <w:rPr>
          <w:rFonts w:ascii="Times New Roman" w:cs="Times New Roman" w:eastAsia="Times New Roman" w:hAnsi="Times New Roman"/>
          <w:sz w:val="22"/>
          <w:szCs w:val="22"/>
          <w:color w:val="auto"/>
        </w:rPr>
        <w:t>., a corporation registered in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Washington and having its principal place of business at 777-108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Avenue, Suite 1700, Bellevue, Washington, 98004, USA</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w:t>
      </w:r>
    </w:p>
    <w:p>
      <w:pPr>
        <w:spacing w:after="0" w:line="206" w:lineRule="exact"/>
        <w:rPr>
          <w:sz w:val="20"/>
          <w:szCs w:val="20"/>
          <w:color w:val="auto"/>
        </w:rPr>
      </w:pPr>
    </w:p>
    <w:p>
      <w:pPr>
        <w:ind w:firstLine="8"/>
        <w:spacing w:after="0" w:line="255" w:lineRule="auto"/>
        <w:tabs>
          <w:tab w:leader="none" w:pos="642"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a wholly-owned subsidiary of Zymeworks BC Inc., which is in turn an affiliate of ZYMEWORKS INC., a Delaware corporation having its principal executive offices at 108 Patriot Drive, Suite A, Middletown, Delaware, 19709;</w:t>
      </w:r>
    </w:p>
    <w:p>
      <w:pPr>
        <w:spacing w:after="0" w:line="134" w:lineRule="exact"/>
        <w:rPr>
          <w:rFonts w:ascii="Times New Roman" w:cs="Times New Roman" w:eastAsia="Times New Roman" w:hAnsi="Times New Roman"/>
          <w:sz w:val="21"/>
          <w:szCs w:val="21"/>
          <w:color w:val="auto"/>
        </w:rPr>
      </w:pPr>
    </w:p>
    <w:p>
      <w:pPr>
        <w:ind w:firstLine="8"/>
        <w:spacing w:after="0" w:line="236" w:lineRule="auto"/>
        <w:tabs>
          <w:tab w:leader="none" w:pos="64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clinical-stage biopharmaceutical company dedicated to the development of next-generation multifunctional biotherapeutics;</w:t>
      </w:r>
    </w:p>
    <w:p>
      <w:pPr>
        <w:spacing w:after="0" w:line="150" w:lineRule="exact"/>
        <w:rPr>
          <w:rFonts w:ascii="Times New Roman" w:cs="Times New Roman" w:eastAsia="Times New Roman" w:hAnsi="Times New Roman"/>
          <w:sz w:val="22"/>
          <w:szCs w:val="22"/>
          <w:color w:val="auto"/>
        </w:rPr>
      </w:pPr>
    </w:p>
    <w:p>
      <w:pPr>
        <w:ind w:firstLine="8"/>
        <w:spacing w:after="0" w:line="236" w:lineRule="auto"/>
        <w:tabs>
          <w:tab w:leader="none" w:pos="64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has experience in Clinical Development, and/or related skills and expertise and wishes to contribute such experiences to the development and growth of the Company’s business; and</w:t>
      </w:r>
    </w:p>
    <w:p>
      <w:pPr>
        <w:spacing w:after="0" w:line="150" w:lineRule="exact"/>
        <w:rPr>
          <w:rFonts w:ascii="Times New Roman" w:cs="Times New Roman" w:eastAsia="Times New Roman" w:hAnsi="Times New Roman"/>
          <w:sz w:val="22"/>
          <w:szCs w:val="22"/>
          <w:color w:val="auto"/>
        </w:rPr>
      </w:pPr>
    </w:p>
    <w:p>
      <w:pPr>
        <w:ind w:firstLine="8"/>
        <w:spacing w:after="0" w:line="236" w:lineRule="auto"/>
        <w:tabs>
          <w:tab w:leader="none" w:pos="64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agreed to offer employment to the Employee, and the Employee has agreed to accept employment with the Company on the terms and conditions set out in this Agreement.</w:t>
      </w:r>
    </w:p>
    <w:p>
      <w:pPr>
        <w:spacing w:after="0" w:line="17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NOW THEREFORE THIS AGREEMENT WITNESSES that for and in consideration of the promises and mutual covenants and agreements hereinafter contained, the parties hereto covenant and agree as follows:</w:t>
      </w:r>
    </w:p>
    <w:p>
      <w:pPr>
        <w:spacing w:after="0" w:line="12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21"/>
          <w:szCs w:val="21"/>
          <w:b w:val="1"/>
          <w:bCs w:val="1"/>
          <w:color w:val="auto"/>
        </w:rPr>
        <w:t>– GENERAL</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Unless otherwise defined, all capitalized terms used in this Agreement will have the meanings given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1 - 23</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300" w:hanging="644"/>
        <w:spacing w:after="0" w:line="225" w:lineRule="auto"/>
        <w:tabs>
          <w:tab w:leader="none" w:pos="1297"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means the business of researching, developing and commercializing therapeutic proteins, antibodies, and any other research, development and manufacturing work considered, planned or undertaken by the Company and/or Parent during the Employee’s employment;</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18" w:lineRule="auto"/>
        <w:tabs>
          <w:tab w:leader="none" w:pos="1295"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5.1(c) and Section 5.1(e), “Confidential Information” means trade secrets and other information, in whatever form or media, in the possession or control of the Company, which is owned by the Company or by one of its clients or suppliers or a third party with whom the Company has a business relationship, including, without limitation, Parent (collectively, the “Associates”), and which is not generally known to the public and has been specifically identified as confidential or proprietary by the Company, or its nature is such that it would generally be considered confidential in the industry in which the Company or its Associates operate, or which the Company is obligated to treat as confidential or proprietary. Subject to Section 5.1(c) and Section</w:t>
      </w: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5.1(e), Confidential Information includes, without limitation, the following:</w:t>
      </w:r>
    </w:p>
    <w:p>
      <w:pPr>
        <w:spacing w:after="0" w:line="155" w:lineRule="exact"/>
        <w:rPr>
          <w:rFonts w:ascii="Times New Roman" w:cs="Times New Roman" w:eastAsia="Times New Roman" w:hAnsi="Times New Roman"/>
          <w:sz w:val="21"/>
          <w:szCs w:val="21"/>
          <w:color w:val="auto"/>
        </w:rPr>
      </w:pPr>
    </w:p>
    <w:p>
      <w:pPr>
        <w:jc w:val="both"/>
        <w:ind w:left="1960" w:hanging="656"/>
        <w:spacing w:after="0" w:line="215" w:lineRule="auto"/>
        <w:tabs>
          <w:tab w:leader="none" w:pos="1948"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products and confidential or proprietary facts, data, techniques, materials and other information related to the business of the Company, including all related development or experimental work or research, related documentation owned or marketed by the Company and related formulas, algorithms, patent applications, concepts, designs, flowcharts, ideas, programming techniques, specifications and software programs (including source code listings), methods, processes, inventions, sources, drawings, computer models, prototypes and patterns;</w:t>
      </w:r>
    </w:p>
    <w:p>
      <w:pPr>
        <w:spacing w:after="0" w:line="152" w:lineRule="exact"/>
        <w:rPr>
          <w:rFonts w:ascii="Times New Roman" w:cs="Times New Roman" w:eastAsia="Times New Roman" w:hAnsi="Times New Roman"/>
          <w:sz w:val="22"/>
          <w:szCs w:val="22"/>
          <w:color w:val="auto"/>
        </w:rPr>
      </w:pPr>
    </w:p>
    <w:p>
      <w:pPr>
        <w:jc w:val="both"/>
        <w:ind w:left="1960" w:hanging="656"/>
        <w:spacing w:after="0" w:line="222" w:lineRule="auto"/>
        <w:tabs>
          <w:tab w:leader="none" w:pos="1954"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regarding the Company’s business operations, methods and practices, including corporate strategy, market research, market strategies, marketing plans, public relations strategies, product pricing and strategies, advertising sources, lists and information concerning current and prospective customers, billing information, suppliers, packaging, merchandizing, distribution, methods of production, manufacturing, pending projects or proposals, margins and hourly rates for staff and information regarding the financial, legal and corporate affairs of the Company, including business plans and projections and information regarding the Company’s financial condition, operations, assets and liabilities, financial data, business structures, business ventures, existing or contemplated businesses, products, or services;</w:t>
      </w:r>
    </w:p>
    <w:p>
      <w:pPr>
        <w:spacing w:after="0" w:line="157"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information, contacts, and wage information (other than Employee’s own);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technical and business information of, or regarding, the Company’s Associates.</w:t>
      </w:r>
    </w:p>
    <w:p>
      <w:pPr>
        <w:spacing w:after="0" w:line="206" w:lineRule="exact"/>
        <w:rPr>
          <w:sz w:val="20"/>
          <w:szCs w:val="20"/>
          <w:color w:val="auto"/>
        </w:rPr>
      </w:pPr>
    </w:p>
    <w:p>
      <w:pPr>
        <w:ind w:left="1300" w:right="20"/>
        <w:spacing w:after="0" w:line="271" w:lineRule="auto"/>
        <w:rPr>
          <w:sz w:val="20"/>
          <w:szCs w:val="20"/>
          <w:color w:val="auto"/>
        </w:rPr>
      </w:pPr>
      <w:r>
        <w:rPr>
          <w:rFonts w:ascii="Times New Roman" w:cs="Times New Roman" w:eastAsia="Times New Roman" w:hAnsi="Times New Roman"/>
          <w:sz w:val="22"/>
          <w:szCs w:val="22"/>
          <w:color w:val="auto"/>
        </w:rPr>
        <w:t>The above list is not exhaustive, and Confidential Information also includes other information that is marked or otherwise identified as confidential or proprietary, or that would otherwise appear to a reasonable person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2 - 23</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confidential or proprietary in the context and circumstances in which the information is known or used;</w:t>
      </w:r>
    </w:p>
    <w:p>
      <w:pPr>
        <w:spacing w:after="0" w:line="220" w:lineRule="exact"/>
        <w:rPr>
          <w:sz w:val="20"/>
          <w:szCs w:val="20"/>
          <w:color w:val="auto"/>
        </w:rPr>
      </w:pPr>
    </w:p>
    <w:p>
      <w:pPr>
        <w:jc w:val="both"/>
        <w:ind w:left="1300" w:hanging="644"/>
        <w:spacing w:after="0" w:line="217" w:lineRule="auto"/>
        <w:tabs>
          <w:tab w:leader="none" w:pos="129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means all inventions, ideas, concepts, designs, improvements, discoveries, modifications, computer software, and other results which are or have been conceived of, developed by, written, or reduced to practice by the Employee, alone or jointly with others (including, where applicable, all modifications, derivatives, progeny, models, specifications, source code, design documents, creations, scripts, artwork, text, graphics, photos and pictures) at any time;</w:t>
      </w:r>
    </w:p>
    <w:p>
      <w:pPr>
        <w:spacing w:after="0" w:line="152"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“Excluded Developments” means any Development that qualifies fully under the provisions of New York Labor Code Section 203-F, which states as follows:</w:t>
      </w:r>
    </w:p>
    <w:p>
      <w:pPr>
        <w:spacing w:after="0" w:line="173" w:lineRule="exact"/>
        <w:rPr>
          <w:rFonts w:ascii="Times New Roman" w:cs="Times New Roman" w:eastAsia="Times New Roman" w:hAnsi="Times New Roman"/>
          <w:sz w:val="22"/>
          <w:szCs w:val="22"/>
          <w:color w:val="auto"/>
        </w:rPr>
      </w:pPr>
    </w:p>
    <w:p>
      <w:pPr>
        <w:jc w:val="both"/>
        <w:ind w:left="130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(a) relate at the time of conception or reduction to practice of the invention to the employer’s business, or actual or demonstrably anticipated research or development of the employer; or (b) result from any work performed by the employee for the employer.</w:t>
      </w:r>
    </w:p>
    <w:p>
      <w:pPr>
        <w:spacing w:after="0" w:line="15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means Zymeworks Inc.; and</w:t>
      </w:r>
    </w:p>
    <w:p>
      <w:pPr>
        <w:spacing w:after="0" w:line="179" w:lineRule="exact"/>
        <w:rPr>
          <w:rFonts w:ascii="Times New Roman" w:cs="Times New Roman" w:eastAsia="Times New Roman" w:hAnsi="Times New Roman"/>
          <w:sz w:val="22"/>
          <w:szCs w:val="22"/>
          <w:color w:val="auto"/>
        </w:rPr>
      </w:pPr>
    </w:p>
    <w:p>
      <w:pPr>
        <w:ind w:left="1300" w:right="340" w:hanging="644"/>
        <w:spacing w:after="0" w:line="225" w:lineRule="auto"/>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Developments” means any Development that the Employee establishes was developed prior to the Employee performing such services for the Company and precedes the Employee’s initial engagement with the Company.</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Sections and Headings</w:t>
      </w:r>
      <w:r>
        <w:rPr>
          <w:rFonts w:ascii="Times New Roman" w:cs="Times New Roman" w:eastAsia="Times New Roman" w:hAnsi="Times New Roman"/>
          <w:sz w:val="22"/>
          <w:szCs w:val="22"/>
          <w:color w:val="auto"/>
        </w:rPr>
        <w:t>. The division of this Agreement into Articles and Sections and the insertion of headings are for the convenience of reference only and do not affect the construction or interpretation of this Agreement. The terms “hereof”, “hereunder” and similar expressions refer to this Agreement and not to any particular Article, Section or other portion hereof and include any agreement supplemental hereto. Unless something in the subject matter or context is inconsistent therewith, references herein to Articles and Sections are to Articles and Sections of this Agreement.</w:t>
      </w:r>
    </w:p>
    <w:p>
      <w:pPr>
        <w:spacing w:after="0" w:line="14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Article 2</w:t>
      </w:r>
      <w:r>
        <w:rPr>
          <w:sz w:val="20"/>
          <w:szCs w:val="20"/>
          <w:color w:val="auto"/>
        </w:rPr>
        <w:tab/>
      </w:r>
      <w:r>
        <w:rPr>
          <w:rFonts w:ascii="Times New Roman" w:cs="Times New Roman" w:eastAsia="Times New Roman" w:hAnsi="Times New Roman"/>
          <w:sz w:val="21"/>
          <w:szCs w:val="21"/>
          <w:b w:val="1"/>
          <w:bCs w:val="1"/>
          <w:color w:val="auto"/>
        </w:rPr>
        <w:t>– EMPLOYMENT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Services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On the Effective Date, the Employee will commence employment with the Company in the position of Senior Vice President, Clinical Development on the terms and conditions set out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3 - 23</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Qualifications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1300" w:right="20" w:hanging="644"/>
        <w:spacing w:after="0" w:line="225" w:lineRule="auto"/>
        <w:tabs>
          <w:tab w:leader="none" w:pos="129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acknowledges that the falsification or misrepresentation of qualifications, including but not limited to education, skills, prior experience, depth and/or breadth of knowledge, references or similar matters, used to secure the position of Senior Vice President, Clinical Development, represents a breach of this contract.</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12" w:lineRule="auto"/>
        <w:tabs>
          <w:tab w:leader="none" w:pos="129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Duties</w:t>
      </w:r>
      <w:r>
        <w:rPr>
          <w:rFonts w:ascii="Times New Roman" w:cs="Times New Roman" w:eastAsia="Times New Roman" w:hAnsi="Times New Roman"/>
          <w:sz w:val="22"/>
          <w:szCs w:val="22"/>
          <w:color w:val="auto"/>
        </w:rPr>
        <w:t>. Subject to the direction and control of the senior management of the Company and/or Parent (“Management”), the Employee will perform the duties set out in a job description for the Employee’s position provided by the Company and any other duties that may be reasonably assigned to Employee by Management from time to time. The Employee’s employment with the Company may involve duties to Parent. The salary, benefits, and other compensation provided to the Employee by the Company are intended to compensate the Employee for all work performed by the Employee for the Company, Parent, and their respective affiliates. Management may alter the duties Employee is expected to perform for the Company at any time with or without notice.</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Throughout the term of this Agreement, the Employee will:</w:t>
      </w:r>
    </w:p>
    <w:p>
      <w:pPr>
        <w:spacing w:after="0" w:line="179" w:lineRule="exact"/>
        <w:rPr>
          <w:sz w:val="20"/>
          <w:szCs w:val="20"/>
          <w:color w:val="auto"/>
        </w:rPr>
      </w:pPr>
    </w:p>
    <w:p>
      <w:pPr>
        <w:ind w:left="1300" w:hanging="644"/>
        <w:spacing w:after="0" w:line="236" w:lineRule="auto"/>
        <w:tabs>
          <w:tab w:leader="none" w:pos="129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diligently, honestly and faithfully serve the Company and will use all reasonable efforts to promote and advance the interests and goodwill of the Company and/or Parent;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devote Employee’s business efforts in a full-time capacity to the business and affairs of the Company;</w:t>
      </w:r>
    </w:p>
    <w:p>
      <w:pPr>
        <w:spacing w:after="0" w:line="179" w:lineRule="exact"/>
        <w:rPr>
          <w:rFonts w:ascii="Times New Roman" w:cs="Times New Roman" w:eastAsia="Times New Roman" w:hAnsi="Times New Roman"/>
          <w:sz w:val="22"/>
          <w:szCs w:val="22"/>
          <w:color w:val="auto"/>
        </w:rPr>
      </w:pPr>
    </w:p>
    <w:p>
      <w:pPr>
        <w:ind w:left="1300" w:hanging="644"/>
        <w:spacing w:after="0" w:line="236" w:lineRule="auto"/>
        <w:tabs>
          <w:tab w:leader="none" w:pos="129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adhere to all applicable policies and procedures of the Company and/or Parent as in effect and as amended from time to time, including but not limited to the Company’s and/or Parent’s Code of Business Conduct and Ethics;</w:t>
      </w:r>
    </w:p>
    <w:p>
      <w:pPr>
        <w:spacing w:after="0" w:line="150" w:lineRule="exact"/>
        <w:rPr>
          <w:rFonts w:ascii="Times New Roman" w:cs="Times New Roman" w:eastAsia="Times New Roman" w:hAnsi="Times New Roman"/>
          <w:sz w:val="22"/>
          <w:szCs w:val="22"/>
          <w:color w:val="auto"/>
        </w:rPr>
      </w:pPr>
    </w:p>
    <w:p>
      <w:pPr>
        <w:ind w:left="1300" w:right="20" w:hanging="644"/>
        <w:spacing w:after="0" w:line="236" w:lineRule="auto"/>
        <w:tabs>
          <w:tab w:leader="none" w:pos="129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the degree, diligence and skill that a reasonably prudent Senior Vice President, Clinical Development would exercise in comparable circumstances;</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20" w:lineRule="auto"/>
        <w:tabs>
          <w:tab w:leader="none" w:pos="129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refrain from engaging in any activity which will in any manner, directly or indirectly, compete with the trade or business of the Company and/or Parent except in accordance with Sections 2.4 and 2.6 herein and as outlined under the Conflict of Interest guidelines in Company’s or the Parent’s corporate policies and procedures as in effect and as amended from time to time; and</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20" w:lineRule="auto"/>
        <w:tabs>
          <w:tab w:leader="none" w:pos="13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acquire, directly or indirectly, any interest that constitutes 5% or more of the voting rights attached to the outstanding shares of any corporation or 5% or more of the equity or assets in any firm, partnership or association, the business and operations of which in any manner, directly or indirectly, compete with the trade or business of the Company.</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2.4 The Employee will disclose to Management all potential conflicts of interest and activities which could reasonably be seen to compete, indirectly or directly, with the trade or business of the Company and/or Parent. Management will determine,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4 - 23</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whether the activity in question constitutes a conflict of interest or competition with the Company and/or Parent. To the extent that Management, acting reasonably, determines a conflict of interest or competition exists, the Employee will discontinue such activity forthwith or within such longer period as Management agrees. The Employee will immediately certify in writing to the Company that Employee has discontinued such activity and that Employee has, as required by Management, cancelled any contracts or sold or otherwise disposed of any interest or assets over the 5% threshold described in Section 2.3(f) herein acquired by the Employee by virtue of engaging in the impugned activity, or where no market exists to enable such sale or disposition, by transfer of the Employee’s beneficial interest into blind trust or other fiduciary arrangements over which the Employee has no control or direction, or other action that is acceptable to the Board of Directors of the Company.</w:t>
      </w:r>
    </w:p>
    <w:p>
      <w:pPr>
        <w:spacing w:after="0" w:line="15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2.5 The Employee will not be employed by another company or provide consulting or other services to other companies or commercial entities while employed by the Company, without the expressed written permission of the Company. By seeking and accepting employment with the Company, the Employee recognizes that the Employee is employed by the Company for the expressed benefit of advancing the scientific, development and business objectives of the Company and that concurrent employment outside the Company may detract from those objectives.</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2.6 Notwithstanding Sections 2.3, 2.4 and 6.4, the Employee is not restricted from nor is required to obtain the consent of the Company to make investments constituting an ownership interest of 5% or less in any company which is involved in pharmaceuticals or biotechnology with securities listed for trading on any Canadian or U.S. stock exchange, quotation system or the over-the-counter market.</w:t>
      </w:r>
    </w:p>
    <w:p>
      <w:pPr>
        <w:spacing w:after="0" w:line="15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2.7 For the purposes of Sections 2.3 2.4 and 2.6 herein, “Employee” includes any entity or company owned or controlled by the Employee.</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2.8 To the extent applicable, the Employee’s employment with the Company shall at all times be conditional upon the Employee being in possession of all necessary permits and work passes for the Employee to work for the Company in the United States. For purposes of federal immigration law, Employee will be required to provide to the Company documentary evidence of Employee’s identity and eligibility for employment in the United States. Such valid documentation must be provided within three</w:t>
      </w:r>
    </w:p>
    <w:p>
      <w:pPr>
        <w:spacing w:after="0" w:line="3" w:lineRule="exact"/>
        <w:rPr>
          <w:sz w:val="20"/>
          <w:szCs w:val="20"/>
          <w:color w:val="auto"/>
        </w:rPr>
      </w:pPr>
    </w:p>
    <w:p>
      <w:pPr>
        <w:ind w:firstLine="8"/>
        <w:spacing w:after="0" w:line="225" w:lineRule="auto"/>
        <w:tabs>
          <w:tab w:leader="none" w:pos="33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the start of Employee’s employment, or Employee’s employment relationship with the Company may be terminated, which such termination would constitute a termination for Cause as defined in Section 4.3(b) of this Agreement.</w:t>
      </w:r>
    </w:p>
    <w:p>
      <w:pPr>
        <w:spacing w:after="0" w:line="15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Usual Place of Business</w:t>
      </w:r>
      <w:r>
        <w:rPr>
          <w:rFonts w:ascii="Times New Roman" w:cs="Times New Roman" w:eastAsia="Times New Roman" w:hAnsi="Times New Roman"/>
          <w:sz w:val="22"/>
          <w:szCs w:val="22"/>
          <w:color w:val="auto"/>
        </w:rPr>
        <w:t>. The Employee will be working out of the Employee’s home office located in New York, NY, unless another location has been designated in writing with Human Resources (the “Usual Place of Business”) in accordance with the applicable policy in effect at the time of employment. The Employee understands and agrees that the Employee is expected to travel to various HUB locations on an as needed basis as agreed and approved by their Manager. The Employee is eligible to claim travel expenses for approved travel according to the Company travel and expense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5 - 23</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Article 3</w:t>
      </w:r>
      <w:r>
        <w:rPr>
          <w:sz w:val="20"/>
          <w:szCs w:val="20"/>
          <w:color w:val="auto"/>
        </w:rPr>
        <w:tab/>
      </w:r>
      <w:r>
        <w:rPr>
          <w:rFonts w:ascii="Times New Roman" w:cs="Times New Roman" w:eastAsia="Times New Roman" w:hAnsi="Times New Roman"/>
          <w:sz w:val="21"/>
          <w:szCs w:val="21"/>
          <w:b w:val="1"/>
          <w:bCs w:val="1"/>
          <w:color w:val="auto"/>
        </w:rPr>
        <w:t>– COMPENSATION</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compensation for all services rendered under this Agreement, the Company will pay to the Employee and the Employee will accept from the Company a base salary at the rate of $470,000 (USD) per annum. The base salary will be paid semi-monthly, in equal instalments, less statutory and other authorized deductions.</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Signing Bonus</w:t>
      </w:r>
      <w:r>
        <w:rPr>
          <w:rFonts w:ascii="Times New Roman" w:cs="Times New Roman" w:eastAsia="Times New Roman" w:hAnsi="Times New Roman"/>
          <w:sz w:val="22"/>
          <w:szCs w:val="22"/>
          <w:color w:val="auto"/>
        </w:rPr>
        <w:t>. The Employee shall receive a Signing Bonus of $47,000 (USD) (less applicable withholdings) to be paid on the first scheduled pay day following the Effective Date of this Agreement. The Signing Bonus shall be repayable in full to the Company within 30 days of the Employee’s employment termination date if the Employee’s employment with the Company is terminated by the Company for Cause or by the Employee for any reason, in either case, within one (1) year of the Effective Date.</w:t>
      </w:r>
    </w:p>
    <w:p>
      <w:pPr>
        <w:spacing w:after="0" w:line="15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 Subject to approval by the Board of Directors of the Parent (or a duly authorized committee thereof), the Employee shall be granted 192,000 options to acquire shares of common stock of Parent (the “Shares”), provided the Employee is employed by the Company on the grant date (the “Options”). The exercise price of the Options will be set in accordance with the terms of Zymeworks Inc.’s Amended and Restated Stock Option and Equity Compensation Plan as it may hereafter be amended (the “Equity Compensation Plan”), and the Options will vest and become exercisable in accordance with the terms of such Equity Compensation Plan, subject to the Employee’s continued employment with the Company through the applicable vesting date.</w:t>
      </w:r>
    </w:p>
    <w:p>
      <w:pPr>
        <w:spacing w:after="0" w:line="15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Incentive Plans</w:t>
      </w:r>
      <w:r>
        <w:rPr>
          <w:rFonts w:ascii="Times New Roman" w:cs="Times New Roman" w:eastAsia="Times New Roman" w:hAnsi="Times New Roman"/>
          <w:sz w:val="22"/>
          <w:szCs w:val="22"/>
          <w:color w:val="auto"/>
        </w:rPr>
        <w:t>. The Employee shall be entitled to participate in certain incentive programs for the Company’s employees, including, without limiting the generality of the foregoing, share option plans, share purchase plans, profit-sharing or bonus plans (including target annual bonus, if applicable) (collectively, the “Incentive Plans”). Such participation shall be on the terms and conditions of such Incentive Plans as at the date hereof or as may from time to time be amended or implemented by the Company in its sole discretion.</w:t>
      </w:r>
    </w:p>
    <w:p>
      <w:pPr>
        <w:spacing w:after="0" w:line="15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Target Annual Bonus</w:t>
      </w:r>
      <w:r>
        <w:rPr>
          <w:rFonts w:ascii="Times New Roman" w:cs="Times New Roman" w:eastAsia="Times New Roman" w:hAnsi="Times New Roman"/>
          <w:sz w:val="22"/>
          <w:szCs w:val="22"/>
          <w:color w:val="auto"/>
        </w:rPr>
        <w:t>. In accordance with the Parent’s Executive Incentive Compensation Plan, and subject to Management and/or Parent Board discretion based on factors determined by Management and/or the Parent Board including Company performance, the Employee will be eligible to earn an annual cash bonus, with an initial target amount of 40% of base salary. The Employee will be eligible to receive up to a full (non-prorated bonus) if the Effective Date is on or prior to June 30 of the year of the Effective Date. The Employee will be eligible to receive a prorated bonus if the Effective Date is on or after July 1 of the year of the Effective Date. The achieved portion (if any) of the annual cash bonus will be payable, less applicable withholdings, on the date the Company pays such bonuses to other similarly-situated employees, subject to the Employee’s continued employment with the Company through the applicable payment date.</w:t>
      </w:r>
    </w:p>
    <w:p>
      <w:pPr>
        <w:spacing w:after="0" w:line="15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Performance and Salary Review</w:t>
      </w:r>
      <w:r>
        <w:rPr>
          <w:rFonts w:ascii="Times New Roman" w:cs="Times New Roman" w:eastAsia="Times New Roman" w:hAnsi="Times New Roman"/>
          <w:sz w:val="22"/>
          <w:szCs w:val="22"/>
          <w:color w:val="auto"/>
        </w:rPr>
        <w:t>. Management will review the Employee’s performance, base salary, and equity participation level under the terms of any Incentive Plans annually beginning in December 2025, or as otherwise approved by the Compensation Committee. The timing of performance and salary reviews may from time to time be amended by the Company in its sole discretion.</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will reimburse the Employee for all ordinary and necessary expenses incurred by the Employee in the performance of the Employee’s duties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6 - 23</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Reimbursement of such expenses will be made in accordance with the Company’s policies.</w:t>
      </w:r>
    </w:p>
    <w:p>
      <w:pPr>
        <w:spacing w:after="0" w:line="17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Professional Fees</w:t>
      </w:r>
      <w:r>
        <w:rPr>
          <w:rFonts w:ascii="Times New Roman" w:cs="Times New Roman" w:eastAsia="Times New Roman" w:hAnsi="Times New Roman"/>
          <w:sz w:val="22"/>
          <w:szCs w:val="22"/>
          <w:color w:val="auto"/>
        </w:rPr>
        <w:t>. The Company will reimburse the Employee for annual registration and/or licensing fees required to maintain the Employee’s status as a member in good standing with the appropriate professional bodies required to continue effective employment, and which were held by the Employee as of the Effective Date. The Company will reimburse reasonable costs incurred by the Employee to complete the minimum annual continuing professional development requirements required to maintain such status.</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The Employee will be eligible for vacation in accordance with the Company’s paid time off policies as may be in effect from time to time.</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The Employee will be eligible to participate in all benefit plans generally available to Employees of the Company, subject to meeting applicable eligibility requirements of such plans. The Company may amend, terminate, and/or replace such plans from time to time in its discretion.</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u w:val="single" w:color="auto"/>
          <w:color w:val="auto"/>
        </w:rPr>
        <w:t>Sick Leave</w:t>
      </w:r>
      <w:r>
        <w:rPr>
          <w:rFonts w:ascii="Times New Roman" w:cs="Times New Roman" w:eastAsia="Times New Roman" w:hAnsi="Times New Roman"/>
          <w:sz w:val="22"/>
          <w:szCs w:val="22"/>
          <w:color w:val="auto"/>
        </w:rPr>
        <w:t>. The Employee will be entitled to sick leave in accordance with the Company’s sick leave policy as may be in effect from time to time and applicable law.</w:t>
      </w:r>
    </w:p>
    <w:p>
      <w:pPr>
        <w:spacing w:after="0" w:line="14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4</w:t>
      </w:r>
      <w:r>
        <w:rPr>
          <w:sz w:val="20"/>
          <w:szCs w:val="20"/>
          <w:color w:val="auto"/>
        </w:rPr>
        <w:tab/>
      </w:r>
      <w:r>
        <w:rPr>
          <w:rFonts w:ascii="Times New Roman" w:cs="Times New Roman" w:eastAsia="Times New Roman" w:hAnsi="Times New Roman"/>
          <w:sz w:val="21"/>
          <w:szCs w:val="21"/>
          <w:b w:val="1"/>
          <w:bCs w:val="1"/>
          <w:color w:val="auto"/>
        </w:rPr>
        <w:t>– TERM AND TERMINATION</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will commence on the Effective Date and will terminate on the effective date of termination by either the Employee or the Company in accordance with Section 4.2 of this Agreement.</w:t>
      </w:r>
    </w:p>
    <w:p>
      <w:pPr>
        <w:spacing w:after="0" w:line="15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Employment with the Company is “at-will.” This means that either the Company or the Employee may terminate the employment relationship at any time, with or without cause, with or without notice.</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Severance upon Termination of Employment</w:t>
      </w:r>
      <w:r>
        <w:rPr>
          <w:rFonts w:ascii="Times New Roman" w:cs="Times New Roman" w:eastAsia="Times New Roman" w:hAnsi="Times New Roman"/>
          <w:sz w:val="22"/>
          <w:szCs w:val="22"/>
          <w:color w:val="auto"/>
        </w:rPr>
        <w:t>. Although Employee is employed on an at-will basis, the Employee’s eligibility for severance payments upon termination of employment is set forth in this Section 4.3.</w:t>
      </w:r>
    </w:p>
    <w:p>
      <w:pPr>
        <w:spacing w:after="0" w:line="146" w:lineRule="exact"/>
        <w:rPr>
          <w:sz w:val="20"/>
          <w:szCs w:val="20"/>
          <w:color w:val="auto"/>
        </w:rPr>
      </w:pPr>
    </w:p>
    <w:p>
      <w:pPr>
        <w:jc w:val="both"/>
        <w:ind w:left="1300" w:hanging="644"/>
        <w:spacing w:after="0" w:line="213" w:lineRule="auto"/>
        <w:tabs>
          <w:tab w:leader="none" w:pos="129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Resignation</w:t>
      </w:r>
      <w:r>
        <w:rPr>
          <w:rFonts w:ascii="Times New Roman" w:cs="Times New Roman" w:eastAsia="Times New Roman" w:hAnsi="Times New Roman"/>
          <w:sz w:val="22"/>
          <w:szCs w:val="22"/>
          <w:color w:val="auto"/>
        </w:rPr>
        <w:t>. In the event that Employee voluntarily resigns employment, the Company will pay the Employee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wages earned through the time of termination. With the exception of reimbursement for business expenses in accordance with the Company’s policies, the Employee is not entitled to any additional compensation upon resignation of employment. The Company requests – but does not require – that the Employee provide prior written notice to Management of not less than thirty (30) days prior to resignation of employment, or such shorter period as the Employee and Management may agree. If the Employee provides 30 days’ notice as requested, the Company may choose to waive all or part of the notice period and pay to the Employee the base salary to be earned during the balance of the notice period instead.</w:t>
      </w:r>
    </w:p>
    <w:p>
      <w:pPr>
        <w:spacing w:after="0" w:line="147" w:lineRule="exact"/>
        <w:rPr>
          <w:rFonts w:ascii="Times New Roman" w:cs="Times New Roman" w:eastAsia="Times New Roman" w:hAnsi="Times New Roman"/>
          <w:sz w:val="22"/>
          <w:szCs w:val="22"/>
          <w:color w:val="auto"/>
        </w:rPr>
      </w:pPr>
    </w:p>
    <w:p>
      <w:pPr>
        <w:jc w:val="both"/>
        <w:ind w:left="1300" w:hanging="644"/>
        <w:spacing w:after="0" w:line="227" w:lineRule="auto"/>
        <w:tabs>
          <w:tab w:leader="none" w:pos="129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for Cause</w:t>
      </w:r>
      <w:r>
        <w:rPr>
          <w:rFonts w:ascii="Times New Roman" w:cs="Times New Roman" w:eastAsia="Times New Roman" w:hAnsi="Times New Roman"/>
          <w:sz w:val="22"/>
          <w:szCs w:val="22"/>
          <w:color w:val="auto"/>
        </w:rPr>
        <w:t>. In the event that Employee’s employment is terminated for Cause, the Company will pay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Employee all wages earned through the time of termination. With the exception of reimbursement for business expenses in accordance with the Company’s policies, the Employee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7 - 23</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300"/>
        <w:spacing w:after="0" w:line="211" w:lineRule="auto"/>
        <w:rPr>
          <w:sz w:val="20"/>
          <w:szCs w:val="20"/>
          <w:color w:val="auto"/>
        </w:rPr>
      </w:pPr>
      <w:r>
        <w:rPr>
          <w:rFonts w:ascii="Times New Roman" w:cs="Times New Roman" w:eastAsia="Times New Roman" w:hAnsi="Times New Roman"/>
          <w:sz w:val="22"/>
          <w:szCs w:val="22"/>
          <w:color w:val="auto"/>
        </w:rPr>
        <w:t xml:space="preserve">entitled to any additional compensation of any kind. For purposes of this Agreement, “Cause” shall mean: (i) a material breach by the Employee of any of Employee’s material obligations hereunder; (ii) any act of misappropriation, embezzlement, intentional fraud or similar conduct involving the Company, Parent, or any of their respective affiliates; (iii) the conviction or the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or the equivalent in respect of a criminal offense that would have a direct and specific negative bearing on Employee’s ability to perform the responsibilities of the position; (iv) the Company’s or Parent’s conclusion, following a reasonable and good-faith investigation, that Employee has violated the Company’s and/or Parent’s policies applicable to the Employee with respect to Equal Employment Opportunity or prohibition of harassment, discrimination, or retaliation; or (v) intentional infliction of any damage of a material nature to any property of the Company, Parent, or any of their respective affiliates or employees.</w:t>
      </w:r>
    </w:p>
    <w:p>
      <w:pPr>
        <w:spacing w:after="0" w:line="148" w:lineRule="exact"/>
        <w:rPr>
          <w:sz w:val="20"/>
          <w:szCs w:val="20"/>
          <w:color w:val="auto"/>
        </w:rPr>
      </w:pPr>
    </w:p>
    <w:p>
      <w:pPr>
        <w:ind w:left="1300" w:right="20" w:hanging="644"/>
        <w:spacing w:after="0" w:line="238" w:lineRule="auto"/>
        <w:tabs>
          <w:tab w:leader="none" w:pos="129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Without Cause</w:t>
      </w:r>
      <w:r>
        <w:rPr>
          <w:rFonts w:ascii="Times New Roman" w:cs="Times New Roman" w:eastAsia="Times New Roman" w:hAnsi="Times New Roman"/>
          <w:sz w:val="22"/>
          <w:szCs w:val="22"/>
          <w:color w:val="auto"/>
        </w:rPr>
        <w:t>. If the Company terminates the employment of the Employee without Cause,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agrees to provide the Employee with:</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or payment in lieu of notice to the Employee as follows:</w:t>
      </w:r>
    </w:p>
    <w:p>
      <w:pPr>
        <w:spacing w:after="0" w:line="179" w:lineRule="exact"/>
        <w:rPr>
          <w:rFonts w:ascii="Times New Roman" w:cs="Times New Roman" w:eastAsia="Times New Roman" w:hAnsi="Times New Roman"/>
          <w:sz w:val="22"/>
          <w:szCs w:val="22"/>
          <w:color w:val="auto"/>
        </w:rPr>
      </w:pPr>
    </w:p>
    <w:p>
      <w:pPr>
        <w:jc w:val="both"/>
        <w:ind w:left="2600" w:hanging="648"/>
        <w:spacing w:after="0" w:line="217" w:lineRule="auto"/>
        <w:tabs>
          <w:tab w:leader="none" w:pos="2594" w:val="left"/>
        </w:tabs>
        <w:numPr>
          <w:ilvl w:val="2"/>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twelve (12) months of notice or the equivalent of twelve (12) months of base salary as of the date notice is given, or any combination thereof that totals twelve (12) months of combined notice and base salary, if termination of employment occurs during the first three years of employment measured from the Effective Date (with any base salary equivalent payable over twelve (12) months); and</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commencing in the fourth year of employment measured from the Effective Date, an additional one</w:t>
      </w:r>
    </w:p>
    <w:p>
      <w:pPr>
        <w:jc w:val="both"/>
        <w:ind w:left="2600"/>
        <w:spacing w:after="0" w:line="21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month of notice or the equivalent of one (1) month of base salary as of the date notice is given, or any combination thereof, for each additional completed year of service, up to a total maximum of eighteen (18) months (payable over eighteen (18) months); and</w:t>
      </w:r>
    </w:p>
    <w:p>
      <w:pPr>
        <w:spacing w:after="0" w:line="150" w:lineRule="exact"/>
        <w:rPr>
          <w:rFonts w:ascii="Times New Roman" w:cs="Times New Roman" w:eastAsia="Times New Roman" w:hAnsi="Times New Roman"/>
          <w:sz w:val="21"/>
          <w:szCs w:val="21"/>
          <w:color w:val="auto"/>
        </w:rPr>
      </w:pPr>
    </w:p>
    <w:p>
      <w:pPr>
        <w:jc w:val="both"/>
        <w:ind w:left="1960" w:hanging="656"/>
        <w:spacing w:after="0" w:line="220" w:lineRule="auto"/>
        <w:tabs>
          <w:tab w:leader="none" w:pos="1954"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continuation of group extended health and dental benefits through the applicable notice period stated in Section 4.3(c) herein, which may be provided by the Company paying for or reimbursing the Employee’s applicable premium costs for continuation coverage (where all other benefits terminate on the last day worked by the Employee) and further subject to Section 4.7 of this Agreement.</w:t>
      </w:r>
    </w:p>
    <w:p>
      <w:pPr>
        <w:spacing w:after="0" w:line="148" w:lineRule="exact"/>
        <w:rPr>
          <w:rFonts w:ascii="Times New Roman" w:cs="Times New Roman" w:eastAsia="Times New Roman" w:hAnsi="Times New Roman"/>
          <w:sz w:val="22"/>
          <w:szCs w:val="22"/>
          <w:color w:val="auto"/>
        </w:rPr>
      </w:pPr>
    </w:p>
    <w:p>
      <w:pPr>
        <w:jc w:val="both"/>
        <w:ind w:left="1300" w:hanging="644"/>
        <w:spacing w:after="0" w:line="214" w:lineRule="auto"/>
        <w:tabs>
          <w:tab w:leader="none" w:pos="129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following Change of Control</w:t>
      </w:r>
      <w:r>
        <w:rPr>
          <w:rFonts w:ascii="Times New Roman" w:cs="Times New Roman" w:eastAsia="Times New Roman" w:hAnsi="Times New Roman"/>
          <w:sz w:val="22"/>
          <w:szCs w:val="22"/>
          <w:color w:val="auto"/>
        </w:rPr>
        <w:t>. Notwithstanding any other provision in this Agreement, if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twelve (12) months following a Change of Control of the Company (as defined below), the Employee’s employment is terminated by the Company without Cause, the Employee shall receive (x) as severance, payment equal to eighteen (18) months of base salary as of the date of termination (with the severance payable over eighteen (18) months, or to the extent available under Section 409A of the Internal Revenue Code, paid sooner, at the sole discretion of the Company), (y) continuation of group extended health and dental benefits provided by the Company paying for the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8 - 23</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300"/>
        <w:spacing w:after="0" w:line="217" w:lineRule="auto"/>
        <w:rPr>
          <w:sz w:val="20"/>
          <w:szCs w:val="20"/>
          <w:color w:val="auto"/>
        </w:rPr>
      </w:pPr>
      <w:r>
        <w:rPr>
          <w:rFonts w:ascii="Times New Roman" w:cs="Times New Roman" w:eastAsia="Times New Roman" w:hAnsi="Times New Roman"/>
          <w:sz w:val="22"/>
          <w:szCs w:val="22"/>
          <w:color w:val="auto"/>
        </w:rPr>
        <w:t>premium costs for continuation coverage for up to eighteen (18) months following the Employee’s termination date, provided that the Employee timely elects and remains eligible for continuation coverage, and further subject to Section 4.5 of this Agreement, and (z) full vesting acceleration of all unvested and outstanding stock options or other Company or Parent unvested and outstanding equity grants made to the Employee as of the date of termination. For all purposes of this Agreement, “Change of Control” means:</w:t>
      </w:r>
    </w:p>
    <w:p>
      <w:pPr>
        <w:spacing w:after="0" w:line="152" w:lineRule="exact"/>
        <w:rPr>
          <w:sz w:val="20"/>
          <w:szCs w:val="20"/>
          <w:color w:val="auto"/>
        </w:rPr>
      </w:pPr>
    </w:p>
    <w:p>
      <w:pPr>
        <w:jc w:val="both"/>
        <w:ind w:left="1960" w:hanging="656"/>
        <w:spacing w:after="0" w:line="215" w:lineRule="auto"/>
        <w:tabs>
          <w:tab w:leader="none" w:pos="194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directly or indirectly, by any person or group of persons acting jointly or in concert, of common shares of Parent which, when added to all other common shares of Parent at the time held directly or indirectly by such person or persons acting jointly or in concert constitutes for the first time in the aggregate 40% of more of the outstanding common shares of Parent and such shareholding exceeds the collective shareholding of the current directors of Parent, excluding any directors acting in concert with the acquiring party; or</w:t>
      </w:r>
    </w:p>
    <w:p>
      <w:pPr>
        <w:spacing w:after="0" w:line="152" w:lineRule="exact"/>
        <w:rPr>
          <w:rFonts w:ascii="Times New Roman" w:cs="Times New Roman" w:eastAsia="Times New Roman" w:hAnsi="Times New Roman"/>
          <w:sz w:val="22"/>
          <w:szCs w:val="22"/>
          <w:color w:val="auto"/>
        </w:rPr>
      </w:pPr>
    </w:p>
    <w:p>
      <w:pPr>
        <w:jc w:val="both"/>
        <w:ind w:left="1960" w:hanging="656"/>
        <w:spacing w:after="0" w:line="225" w:lineRule="auto"/>
        <w:tabs>
          <w:tab w:leader="none" w:pos="195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removal, by extraordinary resolution of the shareholders of Parent, of more than 51% of the then incumbent Board of Parent, or the election of a majority of Board members to Parent’s board who were not nominees of Parent’s incumbent board at the time immediately preceding such election; or</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sale of all or substantially all of the assets of Parent; or</w:t>
      </w:r>
    </w:p>
    <w:p>
      <w:pPr>
        <w:spacing w:after="0" w:line="179" w:lineRule="exact"/>
        <w:rPr>
          <w:rFonts w:ascii="Times New Roman" w:cs="Times New Roman" w:eastAsia="Times New Roman" w:hAnsi="Times New Roman"/>
          <w:sz w:val="22"/>
          <w:szCs w:val="22"/>
          <w:color w:val="auto"/>
        </w:rPr>
      </w:pPr>
    </w:p>
    <w:p>
      <w:pPr>
        <w:ind w:left="1960" w:hanging="656"/>
        <w:spacing w:after="0" w:line="236" w:lineRule="auto"/>
        <w:tabs>
          <w:tab w:leader="none" w:pos="194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plan of arrangement, merger, or other transaction which has substantially the same effect as to above.</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Payment under Section 4.3(d) herein will be in lieu of and not in addition to payment under Section 4.3(c).</w:t>
      </w:r>
    </w:p>
    <w:p>
      <w:pPr>
        <w:spacing w:after="0" w:line="189" w:lineRule="exact"/>
        <w:rPr>
          <w:sz w:val="20"/>
          <w:szCs w:val="20"/>
          <w:color w:val="auto"/>
        </w:rPr>
      </w:pPr>
    </w:p>
    <w:p>
      <w:pPr>
        <w:jc w:val="both"/>
        <w:ind w:left="1300" w:hanging="644"/>
        <w:spacing w:after="0" w:line="221" w:lineRule="auto"/>
        <w:tabs>
          <w:tab w:leader="none" w:pos="1297"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Severance Pay Timing</w:t>
      </w:r>
      <w:r>
        <w:rPr>
          <w:rFonts w:ascii="Times New Roman" w:cs="Times New Roman" w:eastAsia="Times New Roman" w:hAnsi="Times New Roman"/>
          <w:sz w:val="21"/>
          <w:szCs w:val="21"/>
          <w:color w:val="auto"/>
        </w:rPr>
        <w:t>. Payments of any severance under Section 4.3(c) or Section 4.3(d) will be paid, or, 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case of installments will commence, on the first Company payroll date following the effective date of the Release (as defined below), provided that if the timeframe for executing the Release as set forth in the Release (which timeframe shall not exceed a 60-day period following termination of employment) spans two calendar years, any severance payments or benefits that qualify as “nonqualified deferred compensation” (as described in Section 9.9 of this Agreement), will not be paid or otherwise commence until no earlier than January 1 of the second calendar year, and subject to any delay under Section 9.9 of this Agreement. For purposes of compliance with Section 409A of the Internal Revenue Code (described more thoroughly in Section 9.9 of this Agreement), each severance benefit payment under Section 4.3(c) or Section 4.3(d) will be treated as a separate payment, and the right to a series of installment payments under this Agreement will be treated as a right to a series of separate payments.</w:t>
      </w:r>
    </w:p>
    <w:p>
      <w:pPr>
        <w:spacing w:after="0" w:line="15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Equity Awards on Termination</w:t>
      </w:r>
      <w:r>
        <w:rPr>
          <w:rFonts w:ascii="Times New Roman" w:cs="Times New Roman" w:eastAsia="Times New Roman" w:hAnsi="Times New Roman"/>
          <w:sz w:val="22"/>
          <w:szCs w:val="22"/>
          <w:color w:val="auto"/>
        </w:rPr>
        <w:t>. Except as provided by Section 4.3(d), the vesting and exercise of any outstanding equity award granted to the Employee in the event the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9 - 23</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employment with the Company or this Agreement terminates, for any reason, shall be governed by the terms of the applicable Equity Compensation Plan and any applicable award agreement in effect between the Company and the Employee at the time of termination.</w:t>
      </w:r>
    </w:p>
    <w:p>
      <w:pPr>
        <w:spacing w:after="0" w:line="15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Benefits Continuation and No Mitigation</w:t>
      </w:r>
      <w:r>
        <w:rPr>
          <w:rFonts w:ascii="Times New Roman" w:cs="Times New Roman" w:eastAsia="Times New Roman" w:hAnsi="Times New Roman"/>
          <w:sz w:val="22"/>
          <w:szCs w:val="22"/>
          <w:color w:val="auto"/>
        </w:rPr>
        <w:t>. The Employee shall not be required to mitigate the amount of any payments provided for in this Article 4 by seeking other employment or otherwise, nor shall the amount of any payment provided for in this Article 4 be reduced by any compensation earned by the Employee as the result of employment by another employer after the date of termination, or otherwise. Notwithstanding the forgoing, the Employee is required to report to the Company if Employee obtains replacement benefits coverage through new employment during any period of group extended health and dental benefits continuation contemplated by this Article 4, and such benefits coverage by the Company will cease effective the date the Employee receives such new coverage and the Employee will not be entitled to any payment in respect of such benefits coverage from the Company in respect of any notice period or severance payment contemplated in this Article 4.</w:t>
      </w:r>
    </w:p>
    <w:p>
      <w:pPr>
        <w:spacing w:after="0" w:line="15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No Additional Payments</w:t>
      </w:r>
      <w:r>
        <w:rPr>
          <w:rFonts w:ascii="Times New Roman" w:cs="Times New Roman" w:eastAsia="Times New Roman" w:hAnsi="Times New Roman"/>
          <w:sz w:val="22"/>
          <w:szCs w:val="22"/>
          <w:color w:val="auto"/>
        </w:rPr>
        <w:t>. Payment of severance, if any, in accordance with Section 4.3(c) or Section 4.3(d) above, to the Employee by the Company will be full and adequate compensation to the Employee with respect to any claim relating to the Employee’s employment or termination or manner of termination of the Employee’s employment, and the Employee waives any right that Employee may have to claim further payment, compensation or damages from the Company.</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Condition to Payment</w:t>
      </w:r>
      <w:r>
        <w:rPr>
          <w:rFonts w:ascii="Times New Roman" w:cs="Times New Roman" w:eastAsia="Times New Roman" w:hAnsi="Times New Roman"/>
          <w:sz w:val="22"/>
          <w:szCs w:val="22"/>
          <w:color w:val="auto"/>
        </w:rPr>
        <w:t>. Payment of any amount of severance under this Agreement to the Employee is conditional upon execution by the Employee of a separation agreement and general release of all claims on a form provided by the Company (the “Release”) within the timeframe set forth in the Release (which timeframe shall not exceed a 60-day period following termination of employment).</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Upon a termination of this Agreement for any reason, the Employee will continue to be bound by the provisions of Article 4, Article 5, Article 6, Article 7, Article 8, and Section 9.10.</w:t>
      </w:r>
    </w:p>
    <w:p>
      <w:pPr>
        <w:spacing w:after="0" w:line="14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Article 5</w:t>
      </w:r>
      <w:r>
        <w:rPr>
          <w:sz w:val="20"/>
          <w:szCs w:val="20"/>
          <w:color w:val="auto"/>
        </w:rPr>
        <w:tab/>
      </w:r>
      <w:r>
        <w:rPr>
          <w:rFonts w:ascii="Times New Roman" w:cs="Times New Roman" w:eastAsia="Times New Roman" w:hAnsi="Times New Roman"/>
          <w:sz w:val="21"/>
          <w:szCs w:val="21"/>
          <w:b w:val="1"/>
          <w:bCs w:val="1"/>
          <w:color w:val="auto"/>
        </w:rPr>
        <w:t>– CONFIDENTIALITY</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left="1300" w:hanging="644"/>
        <w:spacing w:after="0" w:line="218" w:lineRule="auto"/>
        <w:tabs>
          <w:tab w:leader="none" w:pos="129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Ownership of Confidential Information </w:t>
      </w:r>
      <w:r>
        <w:rPr>
          <w:rFonts w:ascii="Times New Roman" w:cs="Times New Roman" w:eastAsia="Times New Roman" w:hAnsi="Times New Roman"/>
          <w:sz w:val="22"/>
          <w:szCs w:val="22"/>
          <w:color w:val="auto"/>
        </w:rPr>
        <w:t>- The Employee acknowledges that the Confidential Information is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be the sole and exclusive property of the Company and/or Parent. The Company has a legitimate business interest in protecting its Confidential Information, including its trade secrets, as well as its substantial and ongoing customer, industry, and employee relationships. The Employee acknowledges that the Employee has not, and will not, acquire any right, title or interest in or to any of the Confidential Information.</w:t>
      </w:r>
    </w:p>
    <w:p>
      <w:pPr>
        <w:spacing w:after="0" w:line="147" w:lineRule="exact"/>
        <w:rPr>
          <w:rFonts w:ascii="Times New Roman" w:cs="Times New Roman" w:eastAsia="Times New Roman" w:hAnsi="Times New Roman"/>
          <w:sz w:val="22"/>
          <w:szCs w:val="22"/>
          <w:color w:val="auto"/>
        </w:rPr>
      </w:pPr>
    </w:p>
    <w:p>
      <w:pPr>
        <w:jc w:val="both"/>
        <w:ind w:left="1300" w:hanging="644"/>
        <w:spacing w:after="0" w:line="218" w:lineRule="auto"/>
        <w:tabs>
          <w:tab w:leader="none" w:pos="129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Non-Disclosure, Use and Reproduction of Confidential Information </w:t>
      </w:r>
      <w:r>
        <w:rPr>
          <w:rFonts w:ascii="Times New Roman" w:cs="Times New Roman" w:eastAsia="Times New Roman" w:hAnsi="Times New Roman"/>
          <w:sz w:val="22"/>
          <w:szCs w:val="22"/>
          <w:color w:val="auto"/>
        </w:rPr>
        <w:t>- The Company and its related entities,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parents, subsidiaries, predecessors, successors, and affiliates, may provide and make available to the Employee certain Confidential Information regarding its business. This Confidential Information is of substantial value and highly confidential, is not known to the general public, is the subject of the Company’s reasonable efforts to maintain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10 - 23</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300"/>
        <w:spacing w:after="0" w:line="213" w:lineRule="auto"/>
        <w:rPr>
          <w:sz w:val="20"/>
          <w:szCs w:val="20"/>
          <w:color w:val="auto"/>
        </w:rPr>
      </w:pPr>
      <w:r>
        <w:rPr>
          <w:rFonts w:ascii="Times New Roman" w:cs="Times New Roman" w:eastAsia="Times New Roman" w:hAnsi="Times New Roman"/>
          <w:sz w:val="22"/>
          <w:szCs w:val="22"/>
          <w:color w:val="auto"/>
        </w:rPr>
        <w:t>secrecy, includes professional and trade secrets, and is being provided and disclosed to the Employee solely for use in connection with and during the Employee’s employment with the Company. The Employee will keep all the Confidential Information strictly confidential, and will not, either directly or indirectly, either during or subsequent to employment with the Company, disclose, allow access to, transmit, transfer, use or reproduce any of the Confidential Information in any manner except as required to perform the duties of the Employee for the Company and in accordance with all procedures established by the Company for the protection of the Confidential Information. Without limiting the foregoing, the Employee:</w:t>
      </w:r>
    </w:p>
    <w:p>
      <w:pPr>
        <w:spacing w:after="0" w:line="156" w:lineRule="exact"/>
        <w:rPr>
          <w:sz w:val="20"/>
          <w:szCs w:val="20"/>
          <w:color w:val="auto"/>
        </w:rPr>
      </w:pPr>
    </w:p>
    <w:p>
      <w:pPr>
        <w:jc w:val="both"/>
        <w:ind w:left="1960" w:hanging="656"/>
        <w:spacing w:after="0" w:line="220" w:lineRule="auto"/>
        <w:tabs>
          <w:tab w:leader="none" w:pos="1948"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ensure that all the Confidential Information and all copies thereof, are clearly marked, or otherwise identified as confidential to the Company and proprietary to the person or entity that first provided the Confidential Information, and are stored in a secure place while in the Employee’s possession, custody, charge or control;</w:t>
      </w:r>
    </w:p>
    <w:p>
      <w:pPr>
        <w:spacing w:after="0" w:line="152" w:lineRule="exact"/>
        <w:rPr>
          <w:rFonts w:ascii="Times New Roman" w:cs="Times New Roman" w:eastAsia="Times New Roman" w:hAnsi="Times New Roman"/>
          <w:sz w:val="22"/>
          <w:szCs w:val="22"/>
          <w:color w:val="auto"/>
        </w:rPr>
      </w:pPr>
    </w:p>
    <w:p>
      <w:pPr>
        <w:jc w:val="both"/>
        <w:ind w:left="1960" w:hanging="656"/>
        <w:spacing w:after="0" w:line="220" w:lineRule="auto"/>
        <w:tabs>
          <w:tab w:leader="none" w:pos="195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either directly or indirectly, disclose, allow access to, transmit or transfer any of the Confidential Information to any person other than to an employee, officer, or director of the Company but only upon a “need to know” basis for the benefit of the Company, without the prior written authorization of Management; and</w:t>
      </w:r>
    </w:p>
    <w:p>
      <w:pPr>
        <w:spacing w:after="0" w:line="152" w:lineRule="exact"/>
        <w:rPr>
          <w:rFonts w:ascii="Times New Roman" w:cs="Times New Roman" w:eastAsia="Times New Roman" w:hAnsi="Times New Roman"/>
          <w:sz w:val="22"/>
          <w:szCs w:val="22"/>
          <w:color w:val="auto"/>
        </w:rPr>
      </w:pPr>
    </w:p>
    <w:p>
      <w:pPr>
        <w:jc w:val="both"/>
        <w:ind w:left="1960" w:hanging="656"/>
        <w:spacing w:after="0" w:line="236" w:lineRule="auto"/>
        <w:tabs>
          <w:tab w:leader="none" w:pos="1960"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not, except as required by the Employee’s position, use any of the Confidential Information to create, maintain or market any product or service which is competitive with any product or service produced, marketed, licensed, sold or otherwise dealt in by the Company, or assist any other person to do so.</w:t>
      </w:r>
    </w:p>
    <w:p>
      <w:pPr>
        <w:spacing w:after="0" w:line="147" w:lineRule="exact"/>
        <w:rPr>
          <w:rFonts w:ascii="Times New Roman" w:cs="Times New Roman" w:eastAsia="Times New Roman" w:hAnsi="Times New Roman"/>
          <w:sz w:val="21"/>
          <w:szCs w:val="21"/>
          <w:color w:val="auto"/>
        </w:rPr>
      </w:pPr>
    </w:p>
    <w:p>
      <w:pPr>
        <w:jc w:val="both"/>
        <w:ind w:left="1300" w:hanging="644"/>
        <w:spacing w:after="0" w:line="219" w:lineRule="auto"/>
        <w:tabs>
          <w:tab w:leader="none" w:pos="1297"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Legally Required Disclosure </w:t>
      </w:r>
      <w:r>
        <w:rPr>
          <w:rFonts w:ascii="Times New Roman" w:cs="Times New Roman" w:eastAsia="Times New Roman" w:hAnsi="Times New Roman"/>
          <w:sz w:val="21"/>
          <w:szCs w:val="21"/>
          <w:color w:val="auto"/>
        </w:rPr>
        <w:t>- Nothing in this Agreement prohibits the Employee from filing and/or pursuing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charge or complaint with, reporting possible violations of law or regulation to, or otherwise communicating or cooperating with or participating in any investigation or proceeding of any governmental agency or entity, including but not limited to the Department of Justice, the Securities and Exchange Commission, the Equal Employment Opportunity Commission, the state division of human rights, a local commission on human rights, the National Labor Relations Board, the Occupational Safety and Health Administration, the Congress, and any agency Inspector General, or making other disclosures or engaging in other activities that are protected under the whistleblower provisions of local, state, or federal law or regulation, including disclosing documents or other information as permitted by law. Nothing in this Agreement prohibits the Employee from speaking with law enforcement or an attorney retained by the Employee. The Employee does not need the prior authorization of the Company to make any such reports or disclosures, and the Employee is not required to notify the Company that Employee has made such reports or disclosures. However, in making any such disclosures or communications, the Employee must take all reasonable precautions to prevent any unauthorized use or disclosure of any Confidential Information to or by any parties other than the applicable government agencies and/or an attorney retained by the Employee. The Employee further understands that the Employee is not permitted to disclose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11 - 23</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300"/>
        <w:spacing w:after="0" w:line="212" w:lineRule="auto"/>
        <w:rPr>
          <w:sz w:val="20"/>
          <w:szCs w:val="20"/>
          <w:color w:val="auto"/>
        </w:rPr>
      </w:pPr>
      <w:r>
        <w:rPr>
          <w:rFonts w:ascii="Times New Roman" w:cs="Times New Roman" w:eastAsia="Times New Roman" w:hAnsi="Times New Roman"/>
          <w:sz w:val="22"/>
          <w:szCs w:val="22"/>
          <w:color w:val="auto"/>
        </w:rPr>
        <w:t>attorney-client privileged communication or privileged attorney work product. Nothing in this Agreement, including its definition of Confidential Information,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 Further, nothing in this Agreement is intended to infringe on Employee’s rights under the Defend Trade Secrets Act (“DTSA”) and applicable state law. The Employee is hereby notified that the DTSA protects individuals from criminal or civil liability where the disclosure of a trade secret is made:</w:t>
      </w:r>
    </w:p>
    <w:p>
      <w:pPr>
        <w:spacing w:after="0" w:line="156" w:lineRule="exact"/>
        <w:rPr>
          <w:sz w:val="20"/>
          <w:szCs w:val="20"/>
          <w:color w:val="auto"/>
        </w:rPr>
      </w:pPr>
    </w:p>
    <w:p>
      <w:pPr>
        <w:jc w:val="both"/>
        <w:ind w:left="1960" w:hanging="656"/>
        <w:spacing w:after="0" w:line="225" w:lineRule="auto"/>
        <w:tabs>
          <w:tab w:leader="none" w:pos="194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confidence to a Federal, State, or local government official, either directly or indirectly, or to an attorney, and the confidential disclosure is made solely for the purpose of reporting or investigating a suspected violation of law; and</w:t>
      </w:r>
    </w:p>
    <w:p>
      <w:pPr>
        <w:spacing w:after="0" w:line="152" w:lineRule="exact"/>
        <w:rPr>
          <w:rFonts w:ascii="Times New Roman" w:cs="Times New Roman" w:eastAsia="Times New Roman" w:hAnsi="Times New Roman"/>
          <w:sz w:val="22"/>
          <w:szCs w:val="22"/>
          <w:color w:val="auto"/>
        </w:rPr>
      </w:pPr>
    </w:p>
    <w:p>
      <w:pPr>
        <w:ind w:left="1960" w:hanging="656"/>
        <w:spacing w:after="0" w:line="236" w:lineRule="auto"/>
        <w:tabs>
          <w:tab w:leader="none" w:pos="195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trade secret disclosure is made in a complaint or other document filed in a lawsuit or other proceeding, and the disclosure is made under seal.</w:t>
      </w:r>
    </w:p>
    <w:p>
      <w:pPr>
        <w:spacing w:after="0" w:line="177" w:lineRule="exact"/>
        <w:rPr>
          <w:sz w:val="20"/>
          <w:szCs w:val="20"/>
          <w:color w:val="auto"/>
        </w:rPr>
      </w:pPr>
    </w:p>
    <w:p>
      <w:pPr>
        <w:jc w:val="both"/>
        <w:ind w:left="1380"/>
        <w:spacing w:after="0" w:line="251" w:lineRule="auto"/>
        <w:rPr>
          <w:sz w:val="20"/>
          <w:szCs w:val="20"/>
          <w:color w:val="auto"/>
        </w:rPr>
      </w:pPr>
      <w:r>
        <w:rPr>
          <w:rFonts w:ascii="Times New Roman" w:cs="Times New Roman" w:eastAsia="Times New Roman" w:hAnsi="Times New Roman"/>
          <w:sz w:val="22"/>
          <w:szCs w:val="22"/>
          <w:color w:val="auto"/>
        </w:rPr>
        <w:t>Nothing in this Agreement restricts or impedes the Employee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court order. Unless prohibited by law, the Employee shall promptly provide written notice of any such court order to the Head of Global Human Resources and the Head of Legal of the Company and/or Parent, as applicable.</w:t>
      </w:r>
    </w:p>
    <w:p>
      <w:pPr>
        <w:spacing w:after="0" w:line="150" w:lineRule="exact"/>
        <w:rPr>
          <w:sz w:val="20"/>
          <w:szCs w:val="20"/>
          <w:color w:val="auto"/>
        </w:rPr>
      </w:pPr>
    </w:p>
    <w:p>
      <w:pPr>
        <w:jc w:val="both"/>
        <w:ind w:left="1300" w:hanging="644"/>
        <w:spacing w:after="0" w:line="214" w:lineRule="auto"/>
        <w:tabs>
          <w:tab w:leader="none" w:pos="129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Return of Materials, Equipment and Confidential Information </w:t>
      </w:r>
      <w:r>
        <w:rPr>
          <w:rFonts w:ascii="Times New Roman" w:cs="Times New Roman" w:eastAsia="Times New Roman" w:hAnsi="Times New Roman"/>
          <w:sz w:val="22"/>
          <w:szCs w:val="22"/>
          <w:color w:val="auto"/>
        </w:rPr>
        <w:t>- Upon request by the Company, and in any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when the Employee leaves the employ of the Company, the Employee will immediately return to the Company all the Confidential Information and all other materials, computer programs, documents, memoranda, notes, papers, reports, lists, manuals, specifications, designs, devices, drawings, notebooks, correspondence, equipment, keys, pass cards, and property, and all copies thereof, in any medium, in the Employee’s possession, charge, control or custody, which are owned by, or relate in any way to the Business or affairs of the Company, Parent, and/or any of their respective affiliates.</w:t>
      </w:r>
    </w:p>
    <w:p>
      <w:pPr>
        <w:spacing w:after="0" w:line="148" w:lineRule="exact"/>
        <w:rPr>
          <w:rFonts w:ascii="Times New Roman" w:cs="Times New Roman" w:eastAsia="Times New Roman" w:hAnsi="Times New Roman"/>
          <w:sz w:val="22"/>
          <w:szCs w:val="22"/>
          <w:color w:val="auto"/>
        </w:rPr>
      </w:pPr>
    </w:p>
    <w:p>
      <w:pPr>
        <w:ind w:left="1300" w:hanging="644"/>
        <w:spacing w:after="0" w:line="238" w:lineRule="auto"/>
        <w:tabs>
          <w:tab w:leader="none" w:pos="129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Exceptions </w:t>
      </w:r>
      <w:r>
        <w:rPr>
          <w:rFonts w:ascii="Times New Roman" w:cs="Times New Roman" w:eastAsia="Times New Roman" w:hAnsi="Times New Roman"/>
          <w:sz w:val="22"/>
          <w:szCs w:val="22"/>
          <w:color w:val="auto"/>
        </w:rPr>
        <w:t>- The non-disclosure obligations of Employee under this Agreement shall not apply to Confidential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which the Employee can establish:</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or becomes, readily available to the public other than through a breach of this Agreement;</w:t>
      </w:r>
    </w:p>
    <w:p>
      <w:pPr>
        <w:spacing w:after="0" w:line="179" w:lineRule="exact"/>
        <w:rPr>
          <w:rFonts w:ascii="Times New Roman" w:cs="Times New Roman" w:eastAsia="Times New Roman" w:hAnsi="Times New Roman"/>
          <w:sz w:val="22"/>
          <w:szCs w:val="22"/>
          <w:color w:val="auto"/>
        </w:rPr>
      </w:pPr>
    </w:p>
    <w:p>
      <w:pPr>
        <w:ind w:left="1960" w:right="20" w:hanging="656"/>
        <w:spacing w:after="0" w:line="236" w:lineRule="auto"/>
        <w:tabs>
          <w:tab w:leader="none" w:pos="195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disclosed, lawfully and not in breach of any contractual or other legal obligation, to Employee by a third 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12 - 23</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960" w:hanging="656"/>
        <w:spacing w:after="0" w:line="236" w:lineRule="auto"/>
        <w:tabs>
          <w:tab w:leader="none" w:pos="19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written records, was known to Employee, prior to the date of first disclosure of the Confidential Information to Employee by the Company.</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Ownership of Developments</w:t>
      </w:r>
    </w:p>
    <w:p>
      <w:pPr>
        <w:spacing w:after="0" w:line="175" w:lineRule="exact"/>
        <w:rPr>
          <w:sz w:val="20"/>
          <w:szCs w:val="20"/>
          <w:color w:val="auto"/>
        </w:rPr>
      </w:pPr>
    </w:p>
    <w:p>
      <w:pPr>
        <w:jc w:val="both"/>
        <w:ind w:left="1300" w:hanging="644"/>
        <w:spacing w:after="0" w:line="212" w:lineRule="auto"/>
        <w:tabs>
          <w:tab w:leader="none" w:pos="129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Acknowledgment of Company Ownership </w:t>
      </w:r>
      <w:r>
        <w:rPr>
          <w:rFonts w:ascii="Times New Roman" w:cs="Times New Roman" w:eastAsia="Times New Roman" w:hAnsi="Times New Roman"/>
          <w:sz w:val="22"/>
          <w:szCs w:val="22"/>
          <w:color w:val="auto"/>
        </w:rPr>
        <w:t>- The Employee acknowledges that the Company will be the exclusive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owner of all the Developments made during the term of the Employee’s employment by the Company except Excluded Developments and to all intellectual property rights in and to such Developments. The Employee hereby assigns all right, title and interest in and to such Developments and their associated intellectual property rights throughout the world and universe to the Company, including without limitation, all trade secrets, patent rights and the right to claim priority to patent applications arising from such Developments, copyrights, mask works, industrial designs and any other intellectual property rights in and to each such Development, effective at the time each is created. Further, the Employee irrevocably waives, and agrees to waive, all moral rights the Employee may have in such Developments.</w:t>
      </w:r>
    </w:p>
    <w:p>
      <w:pPr>
        <w:spacing w:after="0" w:line="148" w:lineRule="exact"/>
        <w:rPr>
          <w:rFonts w:ascii="Times New Roman" w:cs="Times New Roman" w:eastAsia="Times New Roman" w:hAnsi="Times New Roman"/>
          <w:sz w:val="22"/>
          <w:szCs w:val="22"/>
          <w:color w:val="auto"/>
        </w:rPr>
      </w:pPr>
    </w:p>
    <w:p>
      <w:pPr>
        <w:ind w:left="1300" w:hanging="644"/>
        <w:spacing w:after="0" w:line="238" w:lineRule="auto"/>
        <w:tabs>
          <w:tab w:leader="none" w:pos="129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Excluded Developments and Prior Developments </w:t>
      </w:r>
      <w:r>
        <w:rPr>
          <w:rFonts w:ascii="Times New Roman" w:cs="Times New Roman" w:eastAsia="Times New Roman" w:hAnsi="Times New Roman"/>
          <w:sz w:val="22"/>
          <w:szCs w:val="22"/>
          <w:color w:val="auto"/>
        </w:rPr>
        <w:t>- The Company acknowledges that it will not own any Excluded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Developments or Prior Developments.</w:t>
      </w:r>
    </w:p>
    <w:p>
      <w:pPr>
        <w:spacing w:after="0" w:line="146" w:lineRule="exact"/>
        <w:rPr>
          <w:rFonts w:ascii="Times New Roman" w:cs="Times New Roman" w:eastAsia="Times New Roman" w:hAnsi="Times New Roman"/>
          <w:sz w:val="22"/>
          <w:szCs w:val="22"/>
          <w:color w:val="auto"/>
        </w:rPr>
      </w:pPr>
    </w:p>
    <w:p>
      <w:pPr>
        <w:jc w:val="both"/>
        <w:ind w:left="1300" w:hanging="644"/>
        <w:spacing w:after="0" w:line="214" w:lineRule="auto"/>
        <w:tabs>
          <w:tab w:leader="none" w:pos="129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Disclosure of Developments </w:t>
      </w:r>
      <w:r>
        <w:rPr>
          <w:rFonts w:ascii="Times New Roman" w:cs="Times New Roman" w:eastAsia="Times New Roman" w:hAnsi="Times New Roman"/>
          <w:sz w:val="22"/>
          <w:szCs w:val="22"/>
          <w:color w:val="auto"/>
        </w:rPr>
        <w:t>- To avoid any disputes over the ownership of Developments, the Employee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provide the Company with a general written description of any of the Developments the Employee believes the Company does not own because they are Excluded Developments or Prior Developments. Thereafter, the Employee agrees to make full and prompt disclosure to the Company of all Developments, including, without limitation, Excluded Developments, made during the term of the Employee’s employment with the Company. The Company will hold any information it receives regarding Excluded Developments and Prior Developments in confidence.</w:t>
      </w:r>
    </w:p>
    <w:p>
      <w:pPr>
        <w:spacing w:after="0" w:line="148" w:lineRule="exact"/>
        <w:rPr>
          <w:rFonts w:ascii="Times New Roman" w:cs="Times New Roman" w:eastAsia="Times New Roman" w:hAnsi="Times New Roman"/>
          <w:sz w:val="22"/>
          <w:szCs w:val="22"/>
          <w:color w:val="auto"/>
        </w:rPr>
      </w:pPr>
    </w:p>
    <w:p>
      <w:pPr>
        <w:jc w:val="both"/>
        <w:ind w:left="1300" w:hanging="644"/>
        <w:spacing w:after="0" w:line="213" w:lineRule="auto"/>
        <w:tabs>
          <w:tab w:leader="none" w:pos="129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Further Acts </w:t>
      </w:r>
      <w:r>
        <w:rPr>
          <w:rFonts w:ascii="Times New Roman" w:cs="Times New Roman" w:eastAsia="Times New Roman" w:hAnsi="Times New Roman"/>
          <w:sz w:val="22"/>
          <w:szCs w:val="22"/>
          <w:color w:val="auto"/>
        </w:rPr>
        <w:t>- The Employee agrees to cooperate fully with the Company both during and after the Employee’s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employment by the Company, with respect to (i) signing further documents and doing such acts and other things reasonably requested by the Company to confirm the Company’s ownership of the Developments other than Excluded Developments and Prior Developments, the transfer of ownership of such Developments to the Company, and the waiver of the Employee’s moral rights therein, and (ii) obtaining or enforcing patent, copyright, trade secret or other protection for such Developments; provided that the Company pays all the Employee’s expenses in doing so, and reasonable compensation if such acts are required after the Employee leaves the employment by the Company.</w:t>
      </w:r>
    </w:p>
    <w:p>
      <w:pPr>
        <w:spacing w:after="0" w:line="147" w:lineRule="exact"/>
        <w:rPr>
          <w:rFonts w:ascii="Times New Roman" w:cs="Times New Roman" w:eastAsia="Times New Roman" w:hAnsi="Times New Roman"/>
          <w:sz w:val="22"/>
          <w:szCs w:val="22"/>
          <w:color w:val="auto"/>
        </w:rPr>
      </w:pPr>
    </w:p>
    <w:p>
      <w:pPr>
        <w:jc w:val="both"/>
        <w:ind w:left="1300" w:hanging="644"/>
        <w:spacing w:after="0" w:line="218" w:lineRule="auto"/>
        <w:tabs>
          <w:tab w:leader="none" w:pos="129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Employee-owned Inventions </w:t>
      </w:r>
      <w:r>
        <w:rPr>
          <w:rFonts w:ascii="Times New Roman" w:cs="Times New Roman" w:eastAsia="Times New Roman" w:hAnsi="Times New Roman"/>
          <w:sz w:val="22"/>
          <w:szCs w:val="22"/>
          <w:color w:val="auto"/>
        </w:rPr>
        <w:t>- The Employee hereby covenants and agrees with the Company that, unless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agrees in writing otherwise, the Employee will not use or incorporate any Excluded Development or Prior Development in any work product, services, or other deliverables the Employee provides to the Company. If the Employee uses or incorporates any Excluded Development or Prior Development with the Company’s permission,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13 - 23</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300"/>
        <w:spacing w:after="0" w:line="220" w:lineRule="auto"/>
        <w:rPr>
          <w:sz w:val="20"/>
          <w:szCs w:val="20"/>
          <w:color w:val="auto"/>
        </w:rPr>
      </w:pPr>
      <w:r>
        <w:rPr>
          <w:rFonts w:ascii="Times New Roman" w:cs="Times New Roman" w:eastAsia="Times New Roman" w:hAnsi="Times New Roman"/>
          <w:sz w:val="22"/>
          <w:szCs w:val="22"/>
          <w:color w:val="auto"/>
        </w:rPr>
        <w:t>provided above, the Employee (i) represents and warrants that he or she owns all proprietary interest in such Excluded Development or Prior Development and (ii) grants to the Company, at no charge, a non-exclusive, irrevocable, perpetual, worldwide license to use, distribute, transmit, broadcast, sub-license, produce, reproduce, perform, publish, practice, make, and modify such Excluded Development or Prior Development.</w:t>
      </w:r>
    </w:p>
    <w:p>
      <w:pPr>
        <w:spacing w:after="0" w:line="148" w:lineRule="exact"/>
        <w:rPr>
          <w:sz w:val="20"/>
          <w:szCs w:val="20"/>
          <w:color w:val="auto"/>
        </w:rPr>
      </w:pPr>
    </w:p>
    <w:p>
      <w:pPr>
        <w:jc w:val="both"/>
        <w:ind w:left="1300" w:hanging="644"/>
        <w:spacing w:after="0" w:line="209" w:lineRule="auto"/>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Prior Employer Information </w:t>
      </w:r>
      <w:r>
        <w:rPr>
          <w:rFonts w:ascii="Times New Roman" w:cs="Times New Roman" w:eastAsia="Times New Roman" w:hAnsi="Times New Roman"/>
          <w:sz w:val="22"/>
          <w:szCs w:val="22"/>
          <w:color w:val="auto"/>
        </w:rPr>
        <w:t>- The Employee hereby covenants and agrees with the Company that during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Employee’s employment by the Company, the Employee will not improperly use or disclose any confidential or proprietary information of any former employer, partner, principal, co-venturer, customer, or independent contractor of the Employee and that the Employee will not bring onto the Company’s premises any unpublished documents or any property belonging to any such persons or entities unless such persons or entities have given their consent. In addition, the Employee will not violate any non-disclosure, non-compete, non-solicit or proprietary rights agreement the Employee has signed with any person or entity prior to the Employee’s execution of this Agreement, or knowingly infringe the intellectual property rights of any third party while employed by the Company. The Employee agrees to fully indemnify the Company and its respective directors, officers, agents, employees, investors, shareholders, administrators, divisions, affiliates, parent corporations, subsidiaries, predecessor and successor corporations and assigns, for all verdicts, judgments, settlements, and other losses incurred by any of them resulting from Employee’s breach of Employee’s obligations under any agreement with a third party, as well as any reasonable attorneys’ fees and costs if the plaintiff is the prevailing party in such an action.</w:t>
      </w:r>
    </w:p>
    <w:p>
      <w:pPr>
        <w:spacing w:after="0" w:line="155" w:lineRule="exact"/>
        <w:rPr>
          <w:rFonts w:ascii="Times New Roman" w:cs="Times New Roman" w:eastAsia="Times New Roman" w:hAnsi="Times New Roman"/>
          <w:sz w:val="22"/>
          <w:szCs w:val="22"/>
          <w:color w:val="auto"/>
        </w:rPr>
      </w:pPr>
    </w:p>
    <w:p>
      <w:pPr>
        <w:jc w:val="both"/>
        <w:ind w:left="1300" w:hanging="644"/>
        <w:spacing w:after="0" w:line="227" w:lineRule="auto"/>
        <w:tabs>
          <w:tab w:leader="none" w:pos="129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Protection of Computer Systems and Software </w:t>
      </w:r>
      <w:r>
        <w:rPr>
          <w:rFonts w:ascii="Times New Roman" w:cs="Times New Roman" w:eastAsia="Times New Roman" w:hAnsi="Times New Roman"/>
          <w:sz w:val="22"/>
          <w:szCs w:val="22"/>
          <w:color w:val="auto"/>
        </w:rPr>
        <w:t>- The Employee agrees to take all necessary precautions to protect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computer systems and software of the Company, including, without limitation, complying with the obligations set out in the Company’s policies.</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Defend Trade Secrets Act</w:t>
      </w:r>
      <w:r>
        <w:rPr>
          <w:rFonts w:ascii="Times New Roman" w:cs="Times New Roman" w:eastAsia="Times New Roman" w:hAnsi="Times New Roman"/>
          <w:sz w:val="21"/>
          <w:szCs w:val="21"/>
          <w:color w:val="auto"/>
        </w:rPr>
        <w:t>. Pursuant to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i w:val="1"/>
          <w:iCs w:val="1"/>
          <w:color w:val="auto"/>
        </w:rPr>
        <w:t>Defend Trade Secrets Act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of 2016, the Employee understands that:</w:t>
      </w:r>
    </w:p>
    <w:p>
      <w:pPr>
        <w:spacing w:after="0" w:line="183" w:lineRule="exact"/>
        <w:rPr>
          <w:sz w:val="20"/>
          <w:szCs w:val="20"/>
          <w:color w:val="auto"/>
        </w:rPr>
      </w:pPr>
    </w:p>
    <w:p>
      <w:pPr>
        <w:ind w:left="1300" w:right="20" w:hanging="644"/>
        <w:spacing w:after="0" w:line="236" w:lineRule="auto"/>
        <w:tabs>
          <w:tab w:leader="none" w:pos="129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individual may not be held criminally or civilly liable under any federal or state trade secret law for the disclosure of a trade secret that:</w:t>
      </w:r>
    </w:p>
    <w:p>
      <w:pPr>
        <w:spacing w:after="0" w:line="150" w:lineRule="exact"/>
        <w:rPr>
          <w:rFonts w:ascii="Times New Roman" w:cs="Times New Roman" w:eastAsia="Times New Roman" w:hAnsi="Times New Roman"/>
          <w:sz w:val="22"/>
          <w:szCs w:val="22"/>
          <w:color w:val="auto"/>
        </w:rPr>
      </w:pPr>
    </w:p>
    <w:p>
      <w:pPr>
        <w:ind w:left="1960" w:hanging="656"/>
        <w:spacing w:after="0" w:line="255" w:lineRule="auto"/>
        <w:tabs>
          <w:tab w:leader="none" w:pos="1948"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made (A) in confidence to a federal, state, or local government official, either directly or indirectly, or to an attorney; and (B) solely for the purpose of reporting or investigating a suspected violation of law; or</w:t>
      </w:r>
    </w:p>
    <w:p>
      <w:pPr>
        <w:spacing w:after="0" w:line="13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in a complaint or other document that is filed under seal in a lawsuit or other proceeding.</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9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an individual who files a lawsuit for retaliation by an employer for reporting a suspected violation of law may disclose the employer’s trade secrets to the attorney and use the trade secret information in the court proceeding if the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14 - 23</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940" w:hanging="636"/>
        <w:spacing w:after="0"/>
        <w:tabs>
          <w:tab w:leader="none" w:pos="19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any document containing the trade secret under seal;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disclose the trade secret, except pursuant to court order.</w:t>
      </w:r>
    </w:p>
    <w:p>
      <w:pPr>
        <w:spacing w:after="0" w:line="28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Article 6</w:t>
      </w:r>
      <w:r>
        <w:rPr>
          <w:sz w:val="20"/>
          <w:szCs w:val="20"/>
          <w:color w:val="auto"/>
        </w:rPr>
        <w:tab/>
      </w:r>
      <w:r>
        <w:rPr>
          <w:rFonts w:ascii="Times New Roman" w:cs="Times New Roman" w:eastAsia="Times New Roman" w:hAnsi="Times New Roman"/>
          <w:sz w:val="21"/>
          <w:szCs w:val="21"/>
          <w:b w:val="1"/>
          <w:bCs w:val="1"/>
          <w:color w:val="auto"/>
        </w:rPr>
        <w:t>– RESTRICTIVE COVENANTS</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Non-solicitation by the Employee</w:t>
      </w:r>
      <w:r>
        <w:rPr>
          <w:rFonts w:ascii="Times New Roman" w:cs="Times New Roman" w:eastAsia="Times New Roman" w:hAnsi="Times New Roman"/>
          <w:sz w:val="22"/>
          <w:szCs w:val="22"/>
          <w:color w:val="auto"/>
        </w:rPr>
        <w:t>. The Employee agrees that at any time while employed by the Company and for a period of one (1) year thereafter, the Employee will not, without the prior written consent of the Company induce or attempt to influence, directly or indirectly, an employee of the Company, Parent or any of their affiliates to leave the employ of the Company, Parent or such affiliate, as applicable.</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The Employee agrees that while employed by the Company and for a period of six (6) months thereafter, the Employee will not, without the prior written consent of the Company, directly or indirectly, anywhere in Canada or the United States, provide any professional services to any person or entity that can be reasonably viewed as a competitor to the Business of the Company and/or Parent, while the Employee was employed by the Company, which relate to therapeutic antibody modeling, design, modification and commercialization for industrial and pharmaceutical applications.</w:t>
      </w:r>
    </w:p>
    <w:p>
      <w:pPr>
        <w:spacing w:after="0" w:line="1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u w:val="single" w:color="auto"/>
          <w:color w:val="auto"/>
        </w:rPr>
        <w:t>Reasonableness of Non-competition and Non-solicitation Obligations</w:t>
      </w:r>
      <w:r>
        <w:rPr>
          <w:rFonts w:ascii="Times New Roman" w:cs="Times New Roman" w:eastAsia="Times New Roman" w:hAnsi="Times New Roman"/>
          <w:sz w:val="22"/>
          <w:szCs w:val="22"/>
          <w:color w:val="auto"/>
        </w:rPr>
        <w:t>. The Employee confirms that the obligations in</w:t>
      </w:r>
    </w:p>
    <w:p>
      <w:pPr>
        <w:spacing w:after="0"/>
        <w:rPr>
          <w:sz w:val="20"/>
          <w:szCs w:val="20"/>
          <w:color w:val="auto"/>
        </w:rPr>
      </w:pPr>
      <w:r>
        <w:rPr>
          <w:rFonts w:ascii="Times New Roman" w:cs="Times New Roman" w:eastAsia="Times New Roman" w:hAnsi="Times New Roman"/>
          <w:sz w:val="22"/>
          <w:szCs w:val="22"/>
          <w:color w:val="auto"/>
        </w:rPr>
        <w:t>Sections 6.1 and 6.2 are fair and reasonable given that, among other reasons:</w:t>
      </w:r>
    </w:p>
    <w:p>
      <w:pPr>
        <w:spacing w:after="0" w:line="155" w:lineRule="exact"/>
        <w:rPr>
          <w:sz w:val="20"/>
          <w:szCs w:val="20"/>
          <w:color w:val="auto"/>
        </w:rPr>
      </w:pPr>
    </w:p>
    <w:p>
      <w:pPr>
        <w:jc w:val="both"/>
        <w:ind w:left="1300" w:hanging="644"/>
        <w:spacing w:after="0" w:line="220" w:lineRule="auto"/>
        <w:tabs>
          <w:tab w:leader="none" w:pos="1297"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sustained contact the Employee will have with the clients of the Company will expose the Employee to the Confidential Information regarding the particular requirements of these clients and the Company’s unique methods of satisfying the needs of these clients, all of which the Employee agrees not to act upon to the detriment of the Company; and/or</w:t>
      </w:r>
    </w:p>
    <w:p>
      <w:pPr>
        <w:spacing w:after="0" w:line="152" w:lineRule="exact"/>
        <w:rPr>
          <w:rFonts w:ascii="Times New Roman" w:cs="Times New Roman" w:eastAsia="Times New Roman" w:hAnsi="Times New Roman"/>
          <w:sz w:val="22"/>
          <w:szCs w:val="22"/>
          <w:color w:val="auto"/>
        </w:rPr>
      </w:pPr>
    </w:p>
    <w:p>
      <w:pPr>
        <w:ind w:left="1300" w:right="20" w:hanging="644"/>
        <w:spacing w:after="0" w:line="236" w:lineRule="auto"/>
        <w:tabs>
          <w:tab w:leader="none" w:pos="129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will be performing important development work on the products or services owned, developed or marketed by the Company;</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and the Employee agrees that the obligations in Sections 6.1 and 6.2, together with the Employee’s other obligations under this Agreement, are reasonably necessary for the protection of the Company’s good will, trade secrets and proprietary interests and that given the Employee’s general knowledge and experience they would not prevent the Employee from being gainfully employed if the employment relationship between the Employee and the Company were to end. The Employee further confirms that the geographic scope of the obligation in Section 6.2 is reasonable given the nature of the market for the products and business of the Company. The Employee also agrees that the obligations in Sections 6.1 and 6.2 are in addition to the confidentiality and non-disclosure obligations provided for in this Agreement.</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Conflict of Interest</w:t>
      </w:r>
      <w:r>
        <w:rPr>
          <w:rFonts w:ascii="Times New Roman" w:cs="Times New Roman" w:eastAsia="Times New Roman" w:hAnsi="Times New Roman"/>
          <w:sz w:val="22"/>
          <w:szCs w:val="22"/>
          <w:color w:val="auto"/>
        </w:rPr>
        <w:t>. The Employee recognizes that the Employee is employed by the Company in a position of responsibility and trust and agrees that during the Employee’s employment with the Company, the Employee will not engage in any activity or otherwise put the Employee in a position which conflicts with the Company’s and/or Parent’s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15 - 23</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Without limiting this general statement, the Employee agrees that during the Employee’s employment with the Company, the Employee will not knowingly lend money to, guarantee the debts or obligations of or permit the name of the Employee or any part thereof to be used or employed by any corporation or firm which directly or indirectly is engaged in or concerned with or interested in any business in competition with the Business of the Company and/or Parent unless the Employee receives prior written authorization from the Company.</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Acknowledgments</w:t>
      </w:r>
      <w:r>
        <w:rPr>
          <w:rFonts w:ascii="Times New Roman" w:cs="Times New Roman" w:eastAsia="Times New Roman" w:hAnsi="Times New Roman"/>
          <w:sz w:val="21"/>
          <w:szCs w:val="21"/>
          <w:color w:val="auto"/>
        </w:rPr>
        <w:t>. The Employee acknowledges that as of the date of this Agreement:</w:t>
      </w:r>
    </w:p>
    <w:p>
      <w:pPr>
        <w:spacing w:after="0" w:line="179" w:lineRule="exact"/>
        <w:rPr>
          <w:sz w:val="20"/>
          <w:szCs w:val="20"/>
          <w:color w:val="auto"/>
        </w:rPr>
      </w:pPr>
    </w:p>
    <w:p>
      <w:pPr>
        <w:ind w:left="1300" w:right="220" w:hanging="644"/>
        <w:spacing w:after="0" w:line="255" w:lineRule="auto"/>
        <w:tabs>
          <w:tab w:leader="none" w:pos="1297"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breach of this Agreement would cause the Company irreparable harm and as a result the Employee consents to the issuance of an injunction or other appropriate remedy required to enforce the covenants contained herein;</w:t>
      </w:r>
    </w:p>
    <w:p>
      <w:pPr>
        <w:spacing w:after="0" w:line="134" w:lineRule="exact"/>
        <w:rPr>
          <w:rFonts w:ascii="Times New Roman" w:cs="Times New Roman" w:eastAsia="Times New Roman" w:hAnsi="Times New Roman"/>
          <w:sz w:val="21"/>
          <w:szCs w:val="21"/>
          <w:color w:val="auto"/>
        </w:rPr>
      </w:pPr>
    </w:p>
    <w:p>
      <w:pPr>
        <w:ind w:left="1300" w:right="420" w:hanging="644"/>
        <w:spacing w:after="0" w:line="225" w:lineRule="auto"/>
        <w:tabs>
          <w:tab w:leader="none" w:pos="129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Employee breaches any covenant contained herein, the one (1) year period provided for in Sections 6.1 and the six (6) month period provided for in Section 6.2 will be extended for a period of three (3) months from the date any such breach is cured; and</w:t>
      </w:r>
    </w:p>
    <w:p>
      <w:pPr>
        <w:spacing w:after="0" w:line="152" w:lineRule="exact"/>
        <w:rPr>
          <w:rFonts w:ascii="Times New Roman" w:cs="Times New Roman" w:eastAsia="Times New Roman" w:hAnsi="Times New Roman"/>
          <w:sz w:val="22"/>
          <w:szCs w:val="22"/>
          <w:color w:val="auto"/>
        </w:rPr>
      </w:pPr>
    </w:p>
    <w:p>
      <w:pPr>
        <w:ind w:left="1300" w:right="60" w:hanging="644"/>
        <w:spacing w:after="0" w:line="225" w:lineRule="auto"/>
        <w:tabs>
          <w:tab w:leader="none" w:pos="1297"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it is necessary for either party to retain legal counsel to enforce any of the terms and conditions of this Agreement, the prevailing party will pay the other parties’ reasonable legal fees, court costs and other related expenses.</w:t>
      </w:r>
    </w:p>
    <w:p>
      <w:pPr>
        <w:spacing w:after="0" w:line="14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Article 7</w:t>
      </w:r>
      <w:r>
        <w:rPr>
          <w:sz w:val="20"/>
          <w:szCs w:val="20"/>
          <w:color w:val="auto"/>
        </w:rPr>
        <w:tab/>
      </w:r>
      <w:r>
        <w:rPr>
          <w:rFonts w:ascii="Times New Roman" w:cs="Times New Roman" w:eastAsia="Times New Roman" w:hAnsi="Times New Roman"/>
          <w:sz w:val="21"/>
          <w:szCs w:val="21"/>
          <w:b w:val="1"/>
          <w:bCs w:val="1"/>
          <w:color w:val="auto"/>
        </w:rPr>
        <w:t>– ENFORCEMENT</w:t>
      </w:r>
    </w:p>
    <w:p>
      <w:pPr>
        <w:spacing w:after="0" w:line="18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Consent to Personal Jurisdiction</w:t>
      </w:r>
      <w:r>
        <w:rPr>
          <w:rFonts w:ascii="Times New Roman" w:cs="Times New Roman" w:eastAsia="Times New Roman" w:hAnsi="Times New Roman"/>
          <w:sz w:val="22"/>
          <w:szCs w:val="22"/>
          <w:color w:val="auto"/>
        </w:rPr>
        <w:t>. This Agreement will be governed by the laws of the State of New York without regards to New York’s conflicts of law rules that may result in the application of the laws of any jurisdiction other than New York. To the extent that any lawsuit is permitted under this Agreement, Employee expressly consents to the personal and exclusive jurisdiction and venue of the State and Federal Courts located in New York for any lawsuit filed against the Employee by the Company. In the event of a breach or threatened breach of this Agreement, nothing in this Agreement precludes the Company, Parent, or the Employee from applying to a court of competent jurisdiction to seek injunctive relief or otherwise protect or enforce its rights hereunder before an arbitrator can be appointed pursuant to Article 8 below, to the extent permitted by law.</w:t>
      </w:r>
    </w:p>
    <w:p>
      <w:pPr>
        <w:spacing w:after="0" w:line="15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Severability and Limitation</w:t>
      </w:r>
      <w:r>
        <w:rPr>
          <w:rFonts w:ascii="Times New Roman" w:cs="Times New Roman" w:eastAsia="Times New Roman" w:hAnsi="Times New Roman"/>
          <w:sz w:val="22"/>
          <w:szCs w:val="22"/>
          <w:color w:val="auto"/>
        </w:rPr>
        <w:t>. All agreements and covenants contained herein are severable and, in the event any of them will be held to be invalid by any competent court, this Agreement will be interpreted as if such invalid agreements or covenants were not contained herein. Should any court or other legally constituted authority determine that for any such agreement or covenant to be effective that it must be modified to limit its duration or scope, the parties hereto will consider such agreement or covenant to be amended or modified with respect to duration and scope so as to comply with the orders of any such court or other legally constituted authority or to be enforceable under the laws of the State of New York, and as to all other portions of such agreement or covenants they will remain in full force and effect as originally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16 - 23</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8</w:t>
      </w:r>
      <w:r>
        <w:rPr>
          <w:sz w:val="20"/>
          <w:szCs w:val="20"/>
          <w:color w:val="auto"/>
        </w:rPr>
        <w:tab/>
      </w:r>
      <w:r>
        <w:rPr>
          <w:rFonts w:ascii="Times New Roman" w:cs="Times New Roman" w:eastAsia="Times New Roman" w:hAnsi="Times New Roman"/>
          <w:sz w:val="21"/>
          <w:szCs w:val="21"/>
          <w:b w:val="1"/>
          <w:bCs w:val="1"/>
          <w:color w:val="auto"/>
        </w:rPr>
        <w:t>– MEDIATION AND ARBITRATION</w:t>
      </w:r>
    </w:p>
    <w:p>
      <w:pPr>
        <w:spacing w:after="0" w:line="18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Agreement to Arbitrate Claims</w:t>
      </w:r>
      <w:r>
        <w:rPr>
          <w:rFonts w:ascii="Times New Roman" w:cs="Times New Roman" w:eastAsia="Times New Roman" w:hAnsi="Times New Roman"/>
          <w:sz w:val="22"/>
          <w:szCs w:val="22"/>
          <w:color w:val="auto"/>
        </w:rPr>
        <w:t xml:space="preserve">. Except as set forth in Section 8.4 below, both the Employee and the Company agree that any claim that the Employee may have against the Company, Parent, or their respective owners, directors, officers, managers, employees, agents, and other parties affiliated with the Company and/or Parent and their respective employee benefit and health plans (together, “Affiliated Persons”), or that the Company or Parent may have against the Employee, shall be submitted to and determined exclusively in the County in which the Employee most recently primarily worked for the Company, by a single neutral arbitrator, through to final and binding arbitration pursuant to the Federal Arbitration Act (“FAA”), and not to any court (subject to Section 7.1 above), in accordance with the JAMS Employment Arbitration Rules &amp; Procedures (the “JAMS Rules”) then in effect except as modified by this Agreement. The JAMS arbitrator shall be chosen by mutual agreement of the parties or if the parties cannot agree, in accordance with the JAMS arbitration selection procedure. A copy of the current JAMS Rules can be obtained at the following website: </w:t>
      </w:r>
      <w:r>
        <w:rPr>
          <w:rFonts w:ascii="Times New Roman" w:cs="Times New Roman" w:eastAsia="Times New Roman" w:hAnsi="Times New Roman"/>
          <w:sz w:val="22"/>
          <w:szCs w:val="22"/>
          <w:color w:val="0E32E1"/>
        </w:rPr>
        <w:t>https://www.jamsadr.com/rules-employment-arbitration/english</w:t>
      </w:r>
      <w:r>
        <w:rPr>
          <w:rFonts w:ascii="Times New Roman" w:cs="Times New Roman" w:eastAsia="Times New Roman" w:hAnsi="Times New Roman"/>
          <w:sz w:val="22"/>
          <w:szCs w:val="22"/>
          <w:color w:val="auto"/>
        </w:rPr>
        <w:t xml:space="preserve"> or by requesting in writing a copy from the Company’s Human Resources Team. In the event that a court or arbitrator of competent jurisdiction holds that the FAA does not apply and the Employee has not voluntarily elected to participate in arbitration in such case, the court or arbitrator shall apply the New York Arbitration Act and such other New York laws that may apply to determine the enforceability of this Agreement.</w:t>
      </w:r>
    </w:p>
    <w:p>
      <w:pPr>
        <w:spacing w:after="0" w:line="156"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Claims Covered by This Agreement</w:t>
      </w:r>
      <w:r>
        <w:rPr>
          <w:rFonts w:ascii="Times New Roman" w:cs="Times New Roman" w:eastAsia="Times New Roman" w:hAnsi="Times New Roman"/>
          <w:sz w:val="22"/>
          <w:szCs w:val="22"/>
          <w:color w:val="auto"/>
        </w:rPr>
        <w:t>. The claims that are to be arbitrated under this Agreement are any and all claims that arise between the Employee and the Company, Parent or any Affiliated Person except as excluded by this Agreement in Section 8.4 below (the “Claims”). The Claims include but are not limited to any dispute relating to the Employee’s employment or the termination of employment with the Company (pre-hire through post-termination), including but not limited to claims arising out of or related to tort, bad faith, contract, wages and benefits, liabilities, debts, obligations, damages, compensatory damages, punitive damages, penalties, liquidated damages, costs, attorneys’ fees, expenses, actions and causes of action in any way related to the Employee’s employment with the Company or the termination of the Employee’s employment. The Claims also include but are not limited to any claims for wrongful discharge or breach of the covenant of good faith and fair dealing, any and all claims under federal, state, and local laws, ordinances, regulations or orders, charges of discrimination, retaliation, or harassment on account of race, color, religion, sex, sexual orientation, age, citizenship, national origin, mental or physical disability, medical condition, marital status, pregnancy, gender identity or perception, or any other protected classification, and all other employment-related claims. The Claims further include any dispute arising out of or relating to the interpretation or application of this Agreement including the enforceability, revocability, or validity of this Agreement, and the Parties delegate authority to decide those issues solely to the arbitrator. Both the Employee and the Company are giving up any right that either might have to have a judge or jury decide the Claims.</w:t>
      </w:r>
    </w:p>
    <w:p>
      <w:pPr>
        <w:spacing w:after="0" w:line="15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Class Action, Collective Action, and Representative Action Waiver</w:t>
      </w:r>
      <w:r>
        <w:rPr>
          <w:rFonts w:ascii="Times New Roman" w:cs="Times New Roman" w:eastAsia="Times New Roman" w:hAnsi="Times New Roman"/>
          <w:sz w:val="22"/>
          <w:szCs w:val="22"/>
          <w:color w:val="auto"/>
        </w:rPr>
        <w:t>. Both the Employee and the Company agree that any proceedings pursuant to this Agreement will be conducted on an individual basis only and that Claims by the Employee or by the Company may only be brought in the party’s individual capacity may not be brought on a class action, collective action, or representative basis, and may not be consolidated with other persons or entities. Further, the Employee and the Company agree to waive their respective rights to participate in any and all class actions, collective actions, and/or other representative actions, including participating as a named plaintiff or as a member of a class action, collective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17 - 23</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and/or other representative action. Accordingly, there shall be no right or authority for any Claims subject to this Agreement to be brought, heard or arbitrated as a class action, collective action, or representative action (“Class Action Waiver”). The Class Action Waiver shall be severable at the option of the Employee or the Company from this Agreement in any case in which both of the following are true: (a) the Claim is filed or pursued as a class action, collective action, or representative action; and (b) the Class Action Waiver is found to be unenforceable. In such instances, the class action, collective action, or representative action must be litigated in a civil court of competent jurisdiction. The Class Action Waiver shall be severable in any case in which the dispute is filed or pursued as an individual action and severance is necessary to ensure that the individual action proceeds in arbitration.</w:t>
      </w:r>
    </w:p>
    <w:p>
      <w:pPr>
        <w:spacing w:after="0" w:line="15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Claims Not Covered by the Agreement</w:t>
      </w:r>
      <w:r>
        <w:rPr>
          <w:rFonts w:ascii="Times New Roman" w:cs="Times New Roman" w:eastAsia="Times New Roman" w:hAnsi="Times New Roman"/>
          <w:sz w:val="22"/>
          <w:szCs w:val="22"/>
          <w:color w:val="auto"/>
        </w:rPr>
        <w:t>. To the extent required by law, any and all claims for workers’ compensation insurance and unemployment insurance are not covered by this Agreement. Nothing in this agreement prohibits the Employee from filing a claim or charge with the National Labor Relations Board or from filing an administrative charge or complaint of discrimination or harassment with either the Equal Employment Opportunity Commission or any state or local equal employment opportunity agency. Either party may seek from a court any injunctive relief (preliminary or permanent) available under applicable laws for any purpose. The Employee understands that except as provided in this Section and Section 8.11 below, arbitration shall be the only method for resolving all disputes between the Employee and the Company.</w:t>
      </w:r>
    </w:p>
    <w:p>
      <w:pPr>
        <w:spacing w:after="0" w:line="15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Pre-Arbitration Mediation</w:t>
      </w:r>
      <w:r>
        <w:rPr>
          <w:rFonts w:ascii="Times New Roman" w:cs="Times New Roman" w:eastAsia="Times New Roman" w:hAnsi="Times New Roman"/>
          <w:sz w:val="22"/>
          <w:szCs w:val="22"/>
          <w:color w:val="auto"/>
        </w:rPr>
        <w:t>. The Employee and the Company agree that prior to submitting a Claim for arbitration, the parties will first seek to resolve the dispute through voluntary mediation. Either party may give written notice to the other party requesting mediation of the dispute (the “Mediation Notice”). A single mediator, with experience mediating employment disputes, will be jointly selected by the parties. The Company agrees to pay the mediator’s fee for a private mediation, up to one day in length. If mediation is unsuccessful, either of the parties may submit the dispute to binding arbitration by giving written notice to the other party and the mediator requesting arbitration of the dispute (the “Arbitration Notice”). The parties agree that any applicable statute of limitations shall be tolled from the date the Mediation Notice is provided until the date the Arbitration Notice is provided, or 30 days following the unsuccessful mediation session, whichever occurs first. Either party may elect to submit a claim for injunctive relief without first utilizing this pre-arbitration mediation process.</w:t>
      </w:r>
    </w:p>
    <w:p>
      <w:pPr>
        <w:spacing w:after="0" w:line="158"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Arbitration Procedure</w:t>
      </w:r>
      <w:r>
        <w:rPr>
          <w:rFonts w:ascii="Times New Roman" w:cs="Times New Roman" w:eastAsia="Times New Roman" w:hAnsi="Times New Roman"/>
          <w:sz w:val="22"/>
          <w:szCs w:val="22"/>
          <w:color w:val="auto"/>
        </w:rPr>
        <w:t>. The Employee and the Company agree that Claims will be submitted to a single, neutral arbitrator, who will make a ruling in a signed writing, including findings of fact and law, within thirty days following the arbitration proceeding. The arbitrator alone and not a court shall have jurisdiction to decide the arbitrator’s jurisdiction, any questions as to the arbitrability of Claims, whether an agreement to arbitrate exists and is valid, and whether the agreement to arbitrate covers the dispute in question. Provided, however, that to the extent any Claims subject to this Agreement are brought as a class action, collective action, or representative action and the arbitrator finds the Class Action Waiver set forth in Section 8.3 is unenforceable, the arbitrator shall not have jurisdiction to hear or arbitrate any such Claims on a class action, collective action, or representative action basis. In such instances, the class action, collective action, or representative action must be litigated in a civil court of a competent jurisdiction. The arbitrator will be permitted to award only those remedies in law or equity that are requested by the parties and allowed by local, state and/or federal substantive law applicable to the Claim(s). The Employee understands and agrees that the arbitrator’s ruling will state the facts and the law on which the decision is based, will be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18 - 23</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on both the Employee and the Company and any other party in the arbitration proceeding, and cannot be reviewed for error of law or legal reasoning of any kind. A judgment upon an award rendered by the arbitrator may be entered in any court of competent jurisdiction.</w:t>
      </w:r>
    </w:p>
    <w:p>
      <w:pPr>
        <w:spacing w:after="0" w:line="15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Administrative Remedies / Statute of Limitations</w:t>
      </w:r>
      <w:r>
        <w:rPr>
          <w:rFonts w:ascii="Times New Roman" w:cs="Times New Roman" w:eastAsia="Times New Roman" w:hAnsi="Times New Roman"/>
          <w:sz w:val="22"/>
          <w:szCs w:val="22"/>
          <w:color w:val="auto"/>
        </w:rPr>
        <w:t>. If either the Employee or the Company fails to make a written request for arbitration within the statute of limitations period applicable to a Claim under applicable law or otherwise fails to comply with the administrative prerequisites to filing certain types of claims, the Employee and/or the Company will have waived the right to raise that claim in any forum. In the event that the Employee or the Company should file an action in court in violation of this Agreement, that court shall require the Parties to arbitrate all Claims and, additionally, shall order the Parties to arbitrate the issue of whether or not the Claims are subject to the arbitration.</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Witnesses and Evidence</w:t>
      </w:r>
      <w:r>
        <w:rPr>
          <w:rFonts w:ascii="Times New Roman" w:cs="Times New Roman" w:eastAsia="Times New Roman" w:hAnsi="Times New Roman"/>
          <w:sz w:val="22"/>
          <w:szCs w:val="22"/>
          <w:color w:val="auto"/>
        </w:rPr>
        <w:t>. The Employee and the Company will have the right to conduct discovery in accordance with New York state law, and the arbitrator shall have the power to decide any discovery disputes between the parties. The Employee and the Company may also call witnesses, cross-examine the other party’s witnesses, and present evidence during the arbitration proceeding in accordance with New York Civil Practice Law and Rules, as applied by the arbitrator.</w:t>
      </w:r>
    </w:p>
    <w:p>
      <w:pPr>
        <w:spacing w:after="0" w:line="15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8.9 </w:t>
      </w:r>
      <w:r>
        <w:rPr>
          <w:rFonts w:ascii="Times New Roman" w:cs="Times New Roman" w:eastAsia="Times New Roman" w:hAnsi="Times New Roman"/>
          <w:sz w:val="22"/>
          <w:szCs w:val="22"/>
          <w:u w:val="single" w:color="auto"/>
          <w:color w:val="auto"/>
        </w:rPr>
        <w:t>Cost of Arbitration and Legal Fees</w:t>
      </w:r>
      <w:r>
        <w:rPr>
          <w:rFonts w:ascii="Times New Roman" w:cs="Times New Roman" w:eastAsia="Times New Roman" w:hAnsi="Times New Roman"/>
          <w:sz w:val="22"/>
          <w:szCs w:val="22"/>
          <w:color w:val="auto"/>
        </w:rPr>
        <w:t>. The cost of arbitration will be paid by the Company, except that the Employee will be required to pay the initial filing fee if the Employee initiates arbitration, to the extent that the filing fee does not exceed the fee to file a complaint in state or federal court. The Company will pay for the balance of the arbitrator’s fees and all administrative costs related to the arbitration. The parties will each bear their own costs for legal representation, discovery, deposition, expert witnesses, and other legal costs ordinarily borne by a party in litigation, provided, however, that the arbitrator shall have the authority to require one party to pay the costs and fees for the other party’s representation during the arbitration, but only to the extent permitted under relevant federal or state laws, as a part of any remedy that may be ordered.</w:t>
      </w:r>
    </w:p>
    <w:p>
      <w:pPr>
        <w:spacing w:after="0" w:line="15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8.10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parties shall maintain the confidential nature of the arbitration proceedings and the award including the hearing, except as may be necessary to prepare for or conduct the arbitration hearing on the merits, or except as may be necessary in connection with a court application for a preliminary remedy, a judicial challenge to an award or its enforcement, or unless otherwise required by law. Resolution of the dispute shall be based solely upon the law governing the claims and defenses pleaded, and the arbitrator may not invoke any basis (including but not limited to notions of “just cause”) other than such controlling law. The arbitrator(s) shall render an award(s) that shall be based upon a written, reasoned opinion.</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8.11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interpretation, construction and performance of this Agreement will be governed by the laws of the State of New York that are applicable to agreements made and to be performed in New York, except that questions concerning the enforceability of this Agreement shall be decided by the arbitrator pursuant to the FAA.</w:t>
      </w:r>
    </w:p>
    <w:p>
      <w:pPr>
        <w:spacing w:after="0" w:line="14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Article 9</w:t>
      </w:r>
      <w:r>
        <w:rPr>
          <w:sz w:val="20"/>
          <w:szCs w:val="20"/>
          <w:color w:val="auto"/>
        </w:rPr>
        <w:tab/>
      </w:r>
      <w:r>
        <w:rPr>
          <w:rFonts w:ascii="Times New Roman" w:cs="Times New Roman" w:eastAsia="Times New Roman" w:hAnsi="Times New Roman"/>
          <w:sz w:val="21"/>
          <w:szCs w:val="21"/>
          <w:b w:val="1"/>
          <w:bCs w:val="1"/>
          <w:color w:val="auto"/>
        </w:rPr>
        <w:t>– GENERAL</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to be given hereunder by either party to the other party may be effected in writing, either by personal delivery or by mail if sent certified, postage prepaid, with return receipt requested. Mailed notices will be addressed to the parties at the address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19 - 23</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out on the first page of this Agreement, or as otherwise specified from time to time. Notice will be effective upon delivery.</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Independent Legal Advice</w:t>
      </w:r>
      <w:r>
        <w:rPr>
          <w:rFonts w:ascii="Times New Roman" w:cs="Times New Roman" w:eastAsia="Times New Roman" w:hAnsi="Times New Roman"/>
          <w:sz w:val="22"/>
          <w:szCs w:val="22"/>
          <w:color w:val="auto"/>
        </w:rPr>
        <w:t>. The Employee specifically confirms that Employee has been advised to retain Employee’s own independent legal advice prior to entering into this Agreement.</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parties acknowledge that each party and its respective counsel have had the opportunity to independently review and negotiate the terms and conditions of this Agreement, and that the normal rule of construction to the effect that any ambiguities are to be construed against the drafting party will not be employed in the interpretation of this Agreement or any exhibits or amendments hereto.</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The Employee cannot assign Employee’s interest in this Agreement.</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Benefit of Agreement</w:t>
      </w:r>
      <w:r>
        <w:rPr>
          <w:rFonts w:ascii="Times New Roman" w:cs="Times New Roman" w:eastAsia="Times New Roman" w:hAnsi="Times New Roman"/>
          <w:sz w:val="22"/>
          <w:szCs w:val="22"/>
          <w:color w:val="auto"/>
        </w:rPr>
        <w:t>. This Agreement will inure to the benefit of and be binding upon the respective heirs, executors, administrators, successors and permitted assigns of the parties hereto.</w:t>
      </w:r>
    </w:p>
    <w:p>
      <w:pPr>
        <w:spacing w:after="0" w:line="15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terms and conditions contained within this Agreement constitute the entire agreement between the parties hereto with respect to the subject matter hereof and cancels and supersedes any prior employment agreements, understandings and arrangements between the parties hereto with respect thereto. There are no representations, warranties, terms, conditions, undertakings or collateral agreements, express, implied or statutory, between the parties other than as expressly set forth in this Agreement.</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amendment to this Agreement will be valid or binding unless set forth in writing and duly executed by the Employee and the Head of Global Human Resources of the Company or his/her duly authorized designee. No waiver of any breach of any provision of this Agreement will be effective or binding unless made in writing and signed by the party purporting to give the same and, unless otherwise provided in the written waiver, will be limited to the specific breach waived.</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and construed, enforced and interpreted exclusively in accordance with the laws of the State of New York, except as specified in Articles 5.3 and 8 above.</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9.9 </w:t>
      </w: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The parties intend that payments and benefits under this Agreement are exempt from or comply with Internal Revenue Code Section 409A and the regulations and guidance thereunder (collectively “Code Section 409A”) and, accordingly, to the maximum extent permitted, this Agreement will be interpreted to be in compliance with Code Section 409A.</w:t>
      </w:r>
    </w:p>
    <w:p>
      <w:pPr>
        <w:spacing w:after="0" w:line="152" w:lineRule="exact"/>
        <w:rPr>
          <w:sz w:val="20"/>
          <w:szCs w:val="20"/>
          <w:color w:val="auto"/>
        </w:rPr>
      </w:pPr>
    </w:p>
    <w:p>
      <w:pPr>
        <w:jc w:val="both"/>
        <w:ind w:left="1300" w:hanging="644"/>
        <w:spacing w:after="0" w:line="215" w:lineRule="auto"/>
        <w:tabs>
          <w:tab w:leader="none" w:pos="129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provision hereof is modified in order to comply with Code Section 409A, such modification will be made in good faith and will, to the maximum extent reasonably possible, maintain the original intent and economic benefit to the Employee and the Company of the applicable provision without violating the provisions of Code Section 409A. In no event whatsoever will the Company be liable for any additional tax, interest or penalty that may be imposed on the Employee by reason of Code Section 409A or damages for failing to comply with Code Section 409A. For purposes of compliance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20 - 23</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300"/>
        <w:spacing w:after="0" w:line="220" w:lineRule="auto"/>
        <w:rPr>
          <w:sz w:val="20"/>
          <w:szCs w:val="20"/>
          <w:color w:val="auto"/>
        </w:rPr>
      </w:pPr>
      <w:r>
        <w:rPr>
          <w:rFonts w:ascii="Times New Roman" w:cs="Times New Roman" w:eastAsia="Times New Roman" w:hAnsi="Times New Roman"/>
          <w:sz w:val="22"/>
          <w:szCs w:val="22"/>
          <w:color w:val="auto"/>
        </w:rPr>
        <w:t>Code Section 409A, each payment subject to Code Section 409A (or intended to satisfy an exception under Code Section 409A including payment under Sections 4.3(c) and 4.3(d) of this Agreement) will be treated as a separate payment, and the right to a series of installment payments under this Agreement will be treated as a right to a series of separate payments.</w:t>
      </w:r>
    </w:p>
    <w:p>
      <w:pPr>
        <w:spacing w:after="0" w:line="152" w:lineRule="exact"/>
        <w:rPr>
          <w:sz w:val="20"/>
          <w:szCs w:val="20"/>
          <w:color w:val="auto"/>
        </w:rPr>
      </w:pPr>
    </w:p>
    <w:p>
      <w:pPr>
        <w:jc w:val="both"/>
        <w:ind w:left="1300" w:hanging="644"/>
        <w:spacing w:after="0" w:line="213" w:lineRule="auto"/>
        <w:tabs>
          <w:tab w:leader="none" w:pos="1295"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payments under the Agreement that are payable upon the Employee’s termination of employment constitute “nonqualified deferred compensation” that is subject to Code Section 409A, a termination of employment will not be deemed to have occurred for purposes of any provision of this Agreement providing for any such payment upon or following a termination of employment unless such termination is also a “separation from service” within the meaning of Code Section 409A and, for purposes of any such provision of this Agreement, references to a “termination,” “termination of employment” or like terms means “separation from service.”</w:t>
      </w:r>
    </w:p>
    <w:p>
      <w:pPr>
        <w:spacing w:after="0" w:line="156" w:lineRule="exact"/>
        <w:rPr>
          <w:rFonts w:ascii="Times New Roman" w:cs="Times New Roman" w:eastAsia="Times New Roman" w:hAnsi="Times New Roman"/>
          <w:sz w:val="22"/>
          <w:szCs w:val="22"/>
          <w:color w:val="auto"/>
        </w:rPr>
      </w:pPr>
    </w:p>
    <w:p>
      <w:pPr>
        <w:jc w:val="both"/>
        <w:ind w:left="1300" w:hanging="644"/>
        <w:spacing w:after="0" w:line="217" w:lineRule="auto"/>
        <w:tabs>
          <w:tab w:leader="none" w:pos="1297"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payment schedule provided herein to the contrary, if the Employee is deemed on the date of termination to be a “specified employee” within the meaning of that term under Code Section 409A (or the Company has opted to treat all employees as “specified employees”), then any payment that is considered “nonqualified deferred compensation” under Code Section 409A payable on account of a “separation from service” will not be made until the date which is the earlier of:</w:t>
      </w:r>
    </w:p>
    <w:p>
      <w:pPr>
        <w:spacing w:after="0" w:line="152" w:lineRule="exact"/>
        <w:rPr>
          <w:rFonts w:ascii="Times New Roman" w:cs="Times New Roman" w:eastAsia="Times New Roman" w:hAnsi="Times New Roman"/>
          <w:sz w:val="22"/>
          <w:szCs w:val="22"/>
          <w:color w:val="auto"/>
        </w:rPr>
      </w:pPr>
    </w:p>
    <w:p>
      <w:pPr>
        <w:ind w:left="1960" w:hanging="656"/>
        <w:spacing w:after="0" w:line="236" w:lineRule="auto"/>
        <w:tabs>
          <w:tab w:leader="none" w:pos="1948"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six (6)-month period measured from the date of such “separation from service” of the Employee, and</w:t>
      </w:r>
    </w:p>
    <w:p>
      <w:pPr>
        <w:spacing w:after="0" w:line="150" w:lineRule="exact"/>
        <w:rPr>
          <w:rFonts w:ascii="Times New Roman" w:cs="Times New Roman" w:eastAsia="Times New Roman" w:hAnsi="Times New Roman"/>
          <w:sz w:val="22"/>
          <w:szCs w:val="22"/>
          <w:color w:val="auto"/>
        </w:rPr>
      </w:pPr>
    </w:p>
    <w:p>
      <w:pPr>
        <w:ind w:left="1960" w:hanging="656"/>
        <w:spacing w:after="0" w:line="236" w:lineRule="auto"/>
        <w:tabs>
          <w:tab w:leader="none" w:pos="195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the Employee’s death, to the extent required under Code Section 409A (the delay referred to as the “Delay Period”).</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20" w:lineRule="auto"/>
        <w:tabs>
          <w:tab w:leader="none" w:pos="1295"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of the Delay Period, all payments delayed pursuant to this Section 9.9 (whether they would have otherwise been payable in a single sum or in installments in the absence of such delay) will be paid to the Employee in a lump sum (with no accrued interest), and all remaining payments due under this Agreement will be paid or provided in accordance with the normal payment dates specified for them herein.</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24" w:lineRule="auto"/>
        <w:tabs>
          <w:tab w:leader="none" w:pos="1297"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reimbursements by the Company to the Employee of any eligible expenses under this Agreement that are not excludable from the Employee’s income for U.S. federal income tax purposes (the “Taxable Reimbursements”) shall be made by no later than the last day of the taxable year of the Employee following the year in which the expense was incurred. The amount of any Taxable Reimbursements, and the value of any in-kind benefits to be provided to the Employee, during any taxable year of the Employee shall not affect the expenses eligible for reimbursement, or in-kind benefits to be provided, in any other taxable year of the Employee. The right to Taxable Reimbursement, or in-kind benefits, shall not be subject to liquidation or exchange for another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21 - 23</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9.10</w:t>
      </w:r>
      <w:r>
        <w:rPr>
          <w:sz w:val="20"/>
          <w:szCs w:val="20"/>
          <w:color w:val="auto"/>
        </w:rPr>
        <w:tab/>
      </w:r>
      <w:r>
        <w:rPr>
          <w:rFonts w:ascii="Times New Roman" w:cs="Times New Roman" w:eastAsia="Times New Roman" w:hAnsi="Times New Roman"/>
          <w:sz w:val="21"/>
          <w:szCs w:val="21"/>
          <w:u w:val="single" w:color="auto"/>
          <w:color w:val="auto"/>
        </w:rPr>
        <w:t>Limitation on Payments</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jc w:val="both"/>
        <w:ind w:left="1300" w:hanging="644"/>
        <w:spacing w:after="0" w:line="220" w:lineRule="auto"/>
        <w:tabs>
          <w:tab w:leader="none" w:pos="1297"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severance or change in control-related or other payments or benefits provided for in this Agreement or otherwise payable to Employee (collectively, the “Payments”) (x) constitute “parachute payments” within the meaning of Section 280G of the Code, and (y) but for this Section 9.10, would be subject to the excise tax imposed by Section 4999 of the Code, then such payments or benefits will be either:</w:t>
      </w:r>
    </w:p>
    <w:p>
      <w:pPr>
        <w:spacing w:after="0" w:line="4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in full, or</w:t>
      </w:r>
    </w:p>
    <w:p>
      <w:pPr>
        <w:spacing w:after="0" w:line="71" w:lineRule="exact"/>
        <w:rPr>
          <w:rFonts w:ascii="Times New Roman" w:cs="Times New Roman" w:eastAsia="Times New Roman" w:hAnsi="Times New Roman"/>
          <w:sz w:val="22"/>
          <w:szCs w:val="22"/>
          <w:color w:val="auto"/>
        </w:rPr>
      </w:pPr>
    </w:p>
    <w:p>
      <w:pPr>
        <w:ind w:left="1960" w:hanging="656"/>
        <w:spacing w:after="0" w:line="236" w:lineRule="auto"/>
        <w:tabs>
          <w:tab w:leader="none" w:pos="195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as to such lesser extent which would result in no portion of such benefits being subject to excise tax under Section 4999 of the Code,</w:t>
      </w:r>
    </w:p>
    <w:p>
      <w:pPr>
        <w:spacing w:after="0" w:line="177" w:lineRule="exact"/>
        <w:rPr>
          <w:sz w:val="20"/>
          <w:szCs w:val="20"/>
          <w:color w:val="auto"/>
        </w:rPr>
      </w:pPr>
    </w:p>
    <w:p>
      <w:pPr>
        <w:jc w:val="both"/>
        <w:ind w:left="1300"/>
        <w:spacing w:after="0" w:line="248" w:lineRule="auto"/>
        <w:rPr>
          <w:sz w:val="20"/>
          <w:szCs w:val="20"/>
          <w:color w:val="auto"/>
        </w:rPr>
      </w:pPr>
      <w:r>
        <w:rPr>
          <w:rFonts w:ascii="Times New Roman" w:cs="Times New Roman" w:eastAsia="Times New Roman" w:hAnsi="Times New Roman"/>
          <w:sz w:val="22"/>
          <w:szCs w:val="22"/>
          <w:color w:val="auto"/>
        </w:rPr>
        <w:t>whichever of the foregoing amounts, taking into account the applicable federal, state and local income taxes and the excise tax imposed by Section 4999 of the Code, results in the receipt by the Employee on an after-tax basis, of the greatest amount of Payments, notwithstanding that all or some portion of such Payments may be taxable under Section 4999 of the Code. If a reduction in Payments constituting “parachute payments” is necessary so that Payments are delivered to a lesser extent, reduction will occur in the following order: (i) cancellation of equity awards granted “contingent on a change in ownership or control” (within the meaning of Section 280G of the Code); (ii) a pro rata reduction of (A) cash payments that are subject to Code Section 409A as deferred compensation and (B) cash payments not subject to Code Section 409A; (iii) a pro rata reduction of (A) employee benefits that are subject to Section 409A as deferred compensation and (B) employee benefits not subject to Section 409A; and (iv) a pro rata cancellation of (A) accelerated vesting of equity awards that are subject to Code Section 409A as deferred compensation and (B) equity awards not subject to Code Section 409A. If acceleration of vesting of equity awards is to be cancelled, such acceleration of vesting will be cancelled in the reverse order of the date of grant of Employee’s equity awards. In no event will Employee have any discretion with respect to the ordering of payment reductions.</w:t>
      </w:r>
    </w:p>
    <w:p>
      <w:pPr>
        <w:spacing w:after="0" w:line="120" w:lineRule="exact"/>
        <w:rPr>
          <w:sz w:val="20"/>
          <w:szCs w:val="20"/>
          <w:color w:val="auto"/>
        </w:rPr>
      </w:pPr>
    </w:p>
    <w:p>
      <w:pPr>
        <w:jc w:val="both"/>
        <w:ind w:left="1300" w:hanging="644"/>
        <w:spacing w:after="0" w:line="222" w:lineRule="auto"/>
        <w:tabs>
          <w:tab w:leader="none" w:pos="129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Company and Employee otherwise agree in writing, any determination required under this Section 9.10 will be made in writing by a nationally recognized firm of independent public accountants selected by the Company (the “Accountant</w:t>
      </w: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21"/>
          <w:szCs w:val="21"/>
          <w:color w:val="auto"/>
        </w:rPr>
        <w:t>”), whose determination will be conclusive and binding upon Employee and the Company for all purposes. For purposes of making the calculations required by this Section 9.10, the Accountants may make reasonable assumptions and approximations concerning applicable taxes and may rely on reasonable, good faith interpretations concerning the application of Sections 280G and 4999 of the Code. The Company and Employee will furnish to the Accountants such information and documents as the Accountants may reasonably request in order to make a determination under this Section 9.10. The Company will bear all costs the Accountants may reasonably incur in connection with any calculations contemplated by this Section 9.10.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22 - 23</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015" cy="5829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1517015" cy="58293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have executed this Agreement as of the last date written below.</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ZYMEWORKS BIOPHARMACEUTICALS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Laura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18973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xml:space="preserve">Laura O’Connor, </w:t>
      </w:r>
      <w:r>
        <w:rPr>
          <w:rFonts w:ascii="Times New Roman" w:cs="Times New Roman" w:eastAsia="Times New Roman" w:hAnsi="Times New Roman"/>
          <w:sz w:val="22"/>
          <w:szCs w:val="22"/>
          <w:i w:val="1"/>
          <w:iCs w:val="1"/>
          <w:color w:val="auto"/>
        </w:rPr>
        <w:t>Vice President, Global Human Resources and DEI</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March 10, 2025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SIGNED AND DELIVERED</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2"/>
          <w:szCs w:val="22"/>
          <w:u w:val="single" w:color="auto"/>
          <w:color w:val="auto"/>
        </w:rPr>
        <w:t>/s/ Sabeen Mekan</w:t>
      </w:r>
      <w:r>
        <w:rPr>
          <w:rFonts w:ascii="Times New Roman" w:cs="Times New Roman" w:eastAsia="Times New Roman" w:hAnsi="Times New Roman"/>
          <w:sz w:val="22"/>
          <w:szCs w:val="22"/>
          <w:color w:val="auto"/>
        </w:rPr>
        <w:t>_________________________</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March 11, 2025</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Zymeworks Biopharmaceuticals Inc. (US-NY-EXECUTIVE) - Private &amp; Confidential</w:t>
        <w:tab/>
        <w:t>Page 23 - 23</w:t>
      </w:r>
    </w:p>
    <w:p>
      <w:pPr>
        <w:sectPr>
          <w:pgSz w:w="11900" w:h="16838" w:orient="portrait"/>
          <w:cols w:equalWidth="0" w:num="1">
            <w:col w:w="10139"/>
          </w:cols>
          <w:pgMar w:left="320" w:top="1440" w:right="1440" w:bottom="1440" w:gutter="0" w:footer="0" w:header="0"/>
        </w:sectPr>
      </w:pPr>
    </w:p>
    <w:bookmarkStart w:id="224" w:name="page225"/>
    <w:bookmarkEnd w:id="224"/>
    <w:p>
      <w:pPr>
        <w:jc w:val="right"/>
        <w:spacing w:after="0"/>
        <w:rPr>
          <w:sz w:val="20"/>
          <w:szCs w:val="20"/>
          <w:color w:val="auto"/>
        </w:rPr>
      </w:pPr>
      <w:r>
        <w:rPr>
          <w:rFonts w:ascii="Arial" w:cs="Arial" w:eastAsia="Arial" w:hAnsi="Arial"/>
          <w:sz w:val="20"/>
          <w:szCs w:val="20"/>
          <w:b w:val="1"/>
          <w:bCs w:val="1"/>
          <w:color w:val="auto"/>
        </w:rPr>
        <w:t>Exhibit 10.58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SEVERANCE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ZYMEWORKS PHARMACEUTICALS LIMITED</w:t>
      </w:r>
    </w:p>
    <w:p>
      <w:pPr>
        <w:spacing w:after="0" w:line="227"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JEFFREY SMITH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DATED JANUARY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840"/>
        <w:spacing w:after="0"/>
        <w:rPr>
          <w:sz w:val="20"/>
          <w:szCs w:val="20"/>
          <w:color w:val="auto"/>
        </w:rPr>
      </w:pPr>
      <w:r>
        <w:rPr>
          <w:rFonts w:ascii="Arial" w:cs="Arial" w:eastAsia="Arial" w:hAnsi="Arial"/>
          <w:sz w:val="16"/>
          <w:szCs w:val="16"/>
          <w:color w:val="auto"/>
        </w:rPr>
        <w:t>MHC-38580810-2</w:t>
      </w:r>
    </w:p>
    <w:p>
      <w:pPr>
        <w:sectPr>
          <w:pgSz w:w="11900" w:h="16838" w:orient="portrait"/>
          <w:cols w:equalWidth="0" w:num="1">
            <w:col w:w="10120"/>
          </w:cols>
          <w:pgMar w:left="1440" w:top="116" w:right="339" w:bottom="1440" w:gutter="0" w:footer="0" w:header="0"/>
        </w:sectPr>
      </w:pPr>
    </w:p>
    <w:bookmarkStart w:id="225" w:name="page226"/>
    <w:bookmarkEnd w:id="225"/>
    <w:p>
      <w:pPr>
        <w:spacing w:after="0"/>
        <w:rPr>
          <w:sz w:val="20"/>
          <w:szCs w:val="20"/>
          <w:color w:val="auto"/>
        </w:rPr>
      </w:pPr>
      <w:r>
        <w:rPr>
          <w:rFonts w:ascii="Arial" w:cs="Arial" w:eastAsia="Arial" w:hAnsi="Arial"/>
          <w:sz w:val="20"/>
          <w:szCs w:val="20"/>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280" w:type="dxa"/>
            <w:vAlign w:val="bottom"/>
          </w:tcPr>
          <w:p>
            <w:pPr>
              <w:spacing w:after="0"/>
              <w:rPr>
                <w:sz w:val="20"/>
                <w:szCs w:val="20"/>
                <w:color w:val="auto"/>
              </w:rPr>
            </w:pPr>
            <w:r>
              <w:rPr>
                <w:rFonts w:ascii="Arial" w:cs="Arial" w:eastAsia="Arial" w:hAnsi="Arial"/>
                <w:sz w:val="20"/>
                <w:szCs w:val="20"/>
                <w:color w:val="auto"/>
              </w:rPr>
              <w:t>1</w:t>
            </w:r>
          </w:p>
        </w:tc>
        <w:tc>
          <w:tcPr>
            <w:tcW w:w="7360" w:type="dxa"/>
            <w:vAlign w:val="bottom"/>
          </w:tcPr>
          <w:p>
            <w:pPr>
              <w:ind w:left="60"/>
              <w:spacing w:after="0"/>
              <w:rPr>
                <w:sz w:val="20"/>
                <w:szCs w:val="20"/>
                <w:color w:val="auto"/>
              </w:rPr>
            </w:pPr>
            <w:r>
              <w:rPr>
                <w:rFonts w:ascii="Arial" w:cs="Arial" w:eastAsia="Arial" w:hAnsi="Arial"/>
                <w:sz w:val="20"/>
                <w:szCs w:val="20"/>
                <w:color w:val="auto"/>
              </w:rPr>
              <w:t>DEFINITIONS AND INTERPRETATION</w:t>
            </w:r>
          </w:p>
        </w:tc>
        <w:tc>
          <w:tcPr>
            <w:tcW w:w="35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57"/>
        </w:trPr>
        <w:tc>
          <w:tcPr>
            <w:tcW w:w="280" w:type="dxa"/>
            <w:vAlign w:val="bottom"/>
          </w:tcPr>
          <w:p>
            <w:pPr>
              <w:spacing w:after="0"/>
              <w:rPr>
                <w:sz w:val="20"/>
                <w:szCs w:val="20"/>
                <w:color w:val="auto"/>
              </w:rPr>
            </w:pPr>
            <w:r>
              <w:rPr>
                <w:rFonts w:ascii="Arial" w:cs="Arial" w:eastAsia="Arial" w:hAnsi="Arial"/>
                <w:sz w:val="20"/>
                <w:szCs w:val="20"/>
                <w:color w:val="auto"/>
              </w:rPr>
              <w:t>2</w:t>
            </w:r>
          </w:p>
        </w:tc>
        <w:tc>
          <w:tcPr>
            <w:tcW w:w="7360" w:type="dxa"/>
            <w:vAlign w:val="bottom"/>
          </w:tcPr>
          <w:p>
            <w:pPr>
              <w:ind w:left="60"/>
              <w:spacing w:after="0"/>
              <w:rPr>
                <w:sz w:val="20"/>
                <w:szCs w:val="20"/>
                <w:color w:val="auto"/>
              </w:rPr>
            </w:pPr>
            <w:r>
              <w:rPr>
                <w:rFonts w:ascii="Arial" w:cs="Arial" w:eastAsia="Arial" w:hAnsi="Arial"/>
                <w:sz w:val="20"/>
                <w:szCs w:val="20"/>
                <w:color w:val="auto"/>
              </w:rPr>
              <w:t>TERMINATION</w:t>
            </w:r>
          </w:p>
        </w:tc>
        <w:tc>
          <w:tcPr>
            <w:tcW w:w="35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56"/>
        </w:trPr>
        <w:tc>
          <w:tcPr>
            <w:tcW w:w="280" w:type="dxa"/>
            <w:vAlign w:val="bottom"/>
          </w:tcPr>
          <w:p>
            <w:pPr>
              <w:spacing w:after="0"/>
              <w:rPr>
                <w:sz w:val="20"/>
                <w:szCs w:val="20"/>
                <w:color w:val="auto"/>
              </w:rPr>
            </w:pPr>
            <w:r>
              <w:rPr>
                <w:rFonts w:ascii="Arial" w:cs="Arial" w:eastAsia="Arial" w:hAnsi="Arial"/>
                <w:sz w:val="20"/>
                <w:szCs w:val="20"/>
                <w:color w:val="auto"/>
              </w:rPr>
              <w:t>3</w:t>
            </w:r>
          </w:p>
        </w:tc>
        <w:tc>
          <w:tcPr>
            <w:tcW w:w="7360" w:type="dxa"/>
            <w:vAlign w:val="bottom"/>
          </w:tcPr>
          <w:p>
            <w:pPr>
              <w:ind w:left="60"/>
              <w:spacing w:after="0"/>
              <w:rPr>
                <w:sz w:val="20"/>
                <w:szCs w:val="20"/>
                <w:color w:val="auto"/>
              </w:rPr>
            </w:pPr>
            <w:r>
              <w:rPr>
                <w:rFonts w:ascii="Arial" w:cs="Arial" w:eastAsia="Arial" w:hAnsi="Arial"/>
                <w:sz w:val="20"/>
                <w:szCs w:val="20"/>
                <w:color w:val="auto"/>
              </w:rPr>
              <w:t>CONSIDERATION, WAIVER AND RELEASE</w:t>
            </w:r>
          </w:p>
        </w:tc>
        <w:tc>
          <w:tcPr>
            <w:tcW w:w="35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57"/>
        </w:trPr>
        <w:tc>
          <w:tcPr>
            <w:tcW w:w="280" w:type="dxa"/>
            <w:vAlign w:val="bottom"/>
          </w:tcPr>
          <w:p>
            <w:pPr>
              <w:spacing w:after="0"/>
              <w:rPr>
                <w:sz w:val="20"/>
                <w:szCs w:val="20"/>
                <w:color w:val="auto"/>
              </w:rPr>
            </w:pPr>
            <w:r>
              <w:rPr>
                <w:rFonts w:ascii="Arial" w:cs="Arial" w:eastAsia="Arial" w:hAnsi="Arial"/>
                <w:sz w:val="20"/>
                <w:szCs w:val="20"/>
                <w:color w:val="auto"/>
              </w:rPr>
              <w:t>4</w:t>
            </w:r>
          </w:p>
        </w:tc>
        <w:tc>
          <w:tcPr>
            <w:tcW w:w="7360" w:type="dxa"/>
            <w:vAlign w:val="bottom"/>
          </w:tcPr>
          <w:p>
            <w:pPr>
              <w:ind w:left="60"/>
              <w:spacing w:after="0"/>
              <w:rPr>
                <w:sz w:val="20"/>
                <w:szCs w:val="20"/>
                <w:color w:val="auto"/>
              </w:rPr>
            </w:pPr>
            <w:r>
              <w:rPr>
                <w:rFonts w:ascii="Arial" w:cs="Arial" w:eastAsia="Arial" w:hAnsi="Arial"/>
                <w:sz w:val="20"/>
                <w:szCs w:val="20"/>
                <w:color w:val="auto"/>
              </w:rPr>
              <w:t>PENSION</w:t>
            </w:r>
          </w:p>
        </w:tc>
        <w:tc>
          <w:tcPr>
            <w:tcW w:w="35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57"/>
        </w:trPr>
        <w:tc>
          <w:tcPr>
            <w:tcW w:w="280" w:type="dxa"/>
            <w:vAlign w:val="bottom"/>
          </w:tcPr>
          <w:p>
            <w:pPr>
              <w:spacing w:after="0"/>
              <w:rPr>
                <w:sz w:val="20"/>
                <w:szCs w:val="20"/>
                <w:color w:val="auto"/>
              </w:rPr>
            </w:pPr>
            <w:r>
              <w:rPr>
                <w:rFonts w:ascii="Arial" w:cs="Arial" w:eastAsia="Arial" w:hAnsi="Arial"/>
                <w:sz w:val="20"/>
                <w:szCs w:val="20"/>
                <w:color w:val="auto"/>
              </w:rPr>
              <w:t>5</w:t>
            </w:r>
          </w:p>
        </w:tc>
        <w:tc>
          <w:tcPr>
            <w:tcW w:w="7360" w:type="dxa"/>
            <w:vAlign w:val="bottom"/>
          </w:tcPr>
          <w:p>
            <w:pPr>
              <w:ind w:left="60"/>
              <w:spacing w:after="0"/>
              <w:rPr>
                <w:sz w:val="20"/>
                <w:szCs w:val="20"/>
                <w:color w:val="auto"/>
              </w:rPr>
            </w:pPr>
            <w:r>
              <w:rPr>
                <w:rFonts w:ascii="Arial" w:cs="Arial" w:eastAsia="Arial" w:hAnsi="Arial"/>
                <w:sz w:val="20"/>
                <w:szCs w:val="20"/>
                <w:color w:val="auto"/>
              </w:rPr>
              <w:t>SHARE PARTICIPATION SCHEME</w:t>
            </w:r>
          </w:p>
        </w:tc>
        <w:tc>
          <w:tcPr>
            <w:tcW w:w="35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57"/>
        </w:trPr>
        <w:tc>
          <w:tcPr>
            <w:tcW w:w="280" w:type="dxa"/>
            <w:vAlign w:val="bottom"/>
          </w:tcPr>
          <w:p>
            <w:pPr>
              <w:spacing w:after="0"/>
              <w:rPr>
                <w:sz w:val="20"/>
                <w:szCs w:val="20"/>
                <w:color w:val="auto"/>
              </w:rPr>
            </w:pPr>
            <w:r>
              <w:rPr>
                <w:rFonts w:ascii="Arial" w:cs="Arial" w:eastAsia="Arial" w:hAnsi="Arial"/>
                <w:sz w:val="20"/>
                <w:szCs w:val="20"/>
                <w:color w:val="auto"/>
              </w:rPr>
              <w:t>6</w:t>
            </w:r>
          </w:p>
        </w:tc>
        <w:tc>
          <w:tcPr>
            <w:tcW w:w="7360" w:type="dxa"/>
            <w:vAlign w:val="bottom"/>
          </w:tcPr>
          <w:p>
            <w:pPr>
              <w:ind w:left="60"/>
              <w:spacing w:after="0"/>
              <w:rPr>
                <w:sz w:val="20"/>
                <w:szCs w:val="20"/>
                <w:color w:val="auto"/>
              </w:rPr>
            </w:pPr>
            <w:r>
              <w:rPr>
                <w:rFonts w:ascii="Arial" w:cs="Arial" w:eastAsia="Arial" w:hAnsi="Arial"/>
                <w:sz w:val="20"/>
                <w:szCs w:val="20"/>
                <w:color w:val="auto"/>
              </w:rPr>
              <w:t>NO ADMISSION</w:t>
            </w:r>
          </w:p>
        </w:tc>
        <w:tc>
          <w:tcPr>
            <w:tcW w:w="35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56"/>
        </w:trPr>
        <w:tc>
          <w:tcPr>
            <w:tcW w:w="280" w:type="dxa"/>
            <w:vAlign w:val="bottom"/>
          </w:tcPr>
          <w:p>
            <w:pPr>
              <w:spacing w:after="0"/>
              <w:rPr>
                <w:sz w:val="20"/>
                <w:szCs w:val="20"/>
                <w:color w:val="auto"/>
              </w:rPr>
            </w:pPr>
            <w:r>
              <w:rPr>
                <w:rFonts w:ascii="Arial" w:cs="Arial" w:eastAsia="Arial" w:hAnsi="Arial"/>
                <w:sz w:val="20"/>
                <w:szCs w:val="20"/>
                <w:color w:val="auto"/>
              </w:rPr>
              <w:t>7</w:t>
            </w:r>
          </w:p>
        </w:tc>
        <w:tc>
          <w:tcPr>
            <w:tcW w:w="7360" w:type="dxa"/>
            <w:vAlign w:val="bottom"/>
          </w:tcPr>
          <w:p>
            <w:pPr>
              <w:ind w:left="60"/>
              <w:spacing w:after="0"/>
              <w:rPr>
                <w:sz w:val="20"/>
                <w:szCs w:val="20"/>
                <w:color w:val="auto"/>
              </w:rPr>
            </w:pPr>
            <w:r>
              <w:rPr>
                <w:rFonts w:ascii="Arial" w:cs="Arial" w:eastAsia="Arial" w:hAnsi="Arial"/>
                <w:sz w:val="20"/>
                <w:szCs w:val="20"/>
                <w:color w:val="auto"/>
              </w:rPr>
              <w:t>RESTRICTIVE COVENANTS</w:t>
            </w:r>
          </w:p>
        </w:tc>
        <w:tc>
          <w:tcPr>
            <w:tcW w:w="35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57"/>
        </w:trPr>
        <w:tc>
          <w:tcPr>
            <w:tcW w:w="280" w:type="dxa"/>
            <w:vAlign w:val="bottom"/>
          </w:tcPr>
          <w:p>
            <w:pPr>
              <w:spacing w:after="0"/>
              <w:rPr>
                <w:sz w:val="20"/>
                <w:szCs w:val="20"/>
                <w:color w:val="auto"/>
              </w:rPr>
            </w:pPr>
            <w:r>
              <w:rPr>
                <w:rFonts w:ascii="Arial" w:cs="Arial" w:eastAsia="Arial" w:hAnsi="Arial"/>
                <w:sz w:val="20"/>
                <w:szCs w:val="20"/>
                <w:color w:val="auto"/>
              </w:rPr>
              <w:t>8</w:t>
            </w:r>
          </w:p>
        </w:tc>
        <w:tc>
          <w:tcPr>
            <w:tcW w:w="7360" w:type="dxa"/>
            <w:vAlign w:val="bottom"/>
          </w:tcPr>
          <w:p>
            <w:pPr>
              <w:ind w:left="60"/>
              <w:spacing w:after="0"/>
              <w:rPr>
                <w:sz w:val="20"/>
                <w:szCs w:val="20"/>
                <w:color w:val="auto"/>
              </w:rPr>
            </w:pPr>
            <w:r>
              <w:rPr>
                <w:rFonts w:ascii="Arial" w:cs="Arial" w:eastAsia="Arial" w:hAnsi="Arial"/>
                <w:sz w:val="20"/>
                <w:szCs w:val="20"/>
                <w:color w:val="auto"/>
              </w:rPr>
              <w:t>NO AUTHORITY</w:t>
            </w:r>
          </w:p>
        </w:tc>
        <w:tc>
          <w:tcPr>
            <w:tcW w:w="35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57"/>
        </w:trPr>
        <w:tc>
          <w:tcPr>
            <w:tcW w:w="280" w:type="dxa"/>
            <w:vAlign w:val="bottom"/>
          </w:tcPr>
          <w:p>
            <w:pPr>
              <w:spacing w:after="0"/>
              <w:rPr>
                <w:sz w:val="20"/>
                <w:szCs w:val="20"/>
                <w:color w:val="auto"/>
              </w:rPr>
            </w:pPr>
            <w:r>
              <w:rPr>
                <w:rFonts w:ascii="Arial" w:cs="Arial" w:eastAsia="Arial" w:hAnsi="Arial"/>
                <w:sz w:val="20"/>
                <w:szCs w:val="20"/>
                <w:color w:val="auto"/>
              </w:rPr>
              <w:t>9</w:t>
            </w:r>
          </w:p>
        </w:tc>
        <w:tc>
          <w:tcPr>
            <w:tcW w:w="7360" w:type="dxa"/>
            <w:vAlign w:val="bottom"/>
          </w:tcPr>
          <w:p>
            <w:pPr>
              <w:ind w:left="60"/>
              <w:spacing w:after="0"/>
              <w:rPr>
                <w:sz w:val="20"/>
                <w:szCs w:val="20"/>
                <w:color w:val="auto"/>
              </w:rPr>
            </w:pPr>
            <w:r>
              <w:rPr>
                <w:rFonts w:ascii="Arial" w:cs="Arial" w:eastAsia="Arial" w:hAnsi="Arial"/>
                <w:sz w:val="20"/>
                <w:szCs w:val="20"/>
                <w:color w:val="auto"/>
              </w:rPr>
              <w:t>CONFIDENTIAL INFORMATION</w:t>
            </w:r>
          </w:p>
        </w:tc>
        <w:tc>
          <w:tcPr>
            <w:tcW w:w="35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57"/>
        </w:trPr>
        <w:tc>
          <w:tcPr>
            <w:tcW w:w="280" w:type="dxa"/>
            <w:vAlign w:val="bottom"/>
          </w:tcPr>
          <w:p>
            <w:pPr>
              <w:spacing w:after="0"/>
              <w:rPr>
                <w:sz w:val="20"/>
                <w:szCs w:val="20"/>
                <w:color w:val="auto"/>
              </w:rPr>
            </w:pPr>
            <w:r>
              <w:rPr>
                <w:rFonts w:ascii="Arial" w:cs="Arial" w:eastAsia="Arial" w:hAnsi="Arial"/>
                <w:sz w:val="20"/>
                <w:szCs w:val="20"/>
                <w:color w:val="auto"/>
              </w:rPr>
              <w:t>10</w:t>
            </w:r>
          </w:p>
        </w:tc>
        <w:tc>
          <w:tcPr>
            <w:tcW w:w="7360" w:type="dxa"/>
            <w:vAlign w:val="bottom"/>
          </w:tcPr>
          <w:p>
            <w:pPr>
              <w:ind w:left="160"/>
              <w:spacing w:after="0"/>
              <w:rPr>
                <w:sz w:val="20"/>
                <w:szCs w:val="20"/>
                <w:color w:val="auto"/>
              </w:rPr>
            </w:pPr>
            <w:r>
              <w:rPr>
                <w:rFonts w:ascii="Arial" w:cs="Arial" w:eastAsia="Arial" w:hAnsi="Arial"/>
                <w:sz w:val="20"/>
                <w:szCs w:val="20"/>
                <w:color w:val="auto"/>
              </w:rPr>
              <w:t>NO ADVERSE REMARKS</w:t>
            </w:r>
          </w:p>
        </w:tc>
        <w:tc>
          <w:tcPr>
            <w:tcW w:w="35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57"/>
        </w:trPr>
        <w:tc>
          <w:tcPr>
            <w:tcW w:w="280" w:type="dxa"/>
            <w:vAlign w:val="bottom"/>
          </w:tcPr>
          <w:p>
            <w:pPr>
              <w:spacing w:after="0"/>
              <w:rPr>
                <w:sz w:val="20"/>
                <w:szCs w:val="20"/>
                <w:color w:val="auto"/>
              </w:rPr>
            </w:pPr>
            <w:r>
              <w:rPr>
                <w:rFonts w:ascii="Arial" w:cs="Arial" w:eastAsia="Arial" w:hAnsi="Arial"/>
                <w:sz w:val="20"/>
                <w:szCs w:val="20"/>
                <w:color w:val="auto"/>
              </w:rPr>
              <w:t>11</w:t>
            </w:r>
          </w:p>
        </w:tc>
        <w:tc>
          <w:tcPr>
            <w:tcW w:w="7360" w:type="dxa"/>
            <w:vAlign w:val="bottom"/>
          </w:tcPr>
          <w:p>
            <w:pPr>
              <w:ind w:left="160"/>
              <w:spacing w:after="0"/>
              <w:rPr>
                <w:sz w:val="20"/>
                <w:szCs w:val="20"/>
                <w:color w:val="auto"/>
              </w:rPr>
            </w:pPr>
            <w:r>
              <w:rPr>
                <w:rFonts w:ascii="Arial" w:cs="Arial" w:eastAsia="Arial" w:hAnsi="Arial"/>
                <w:sz w:val="20"/>
                <w:szCs w:val="20"/>
                <w:color w:val="auto"/>
              </w:rPr>
              <w:t>SEVERABILITY</w:t>
            </w:r>
          </w:p>
        </w:tc>
        <w:tc>
          <w:tcPr>
            <w:tcW w:w="35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56"/>
        </w:trPr>
        <w:tc>
          <w:tcPr>
            <w:tcW w:w="280" w:type="dxa"/>
            <w:vAlign w:val="bottom"/>
          </w:tcPr>
          <w:p>
            <w:pPr>
              <w:spacing w:after="0"/>
              <w:rPr>
                <w:sz w:val="20"/>
                <w:szCs w:val="20"/>
                <w:color w:val="auto"/>
              </w:rPr>
            </w:pPr>
            <w:r>
              <w:rPr>
                <w:rFonts w:ascii="Arial" w:cs="Arial" w:eastAsia="Arial" w:hAnsi="Arial"/>
                <w:sz w:val="20"/>
                <w:szCs w:val="20"/>
                <w:color w:val="auto"/>
              </w:rPr>
              <w:t>12</w:t>
            </w:r>
          </w:p>
        </w:tc>
        <w:tc>
          <w:tcPr>
            <w:tcW w:w="7360" w:type="dxa"/>
            <w:vAlign w:val="bottom"/>
          </w:tcPr>
          <w:p>
            <w:pPr>
              <w:ind w:left="160"/>
              <w:spacing w:after="0"/>
              <w:rPr>
                <w:sz w:val="20"/>
                <w:szCs w:val="20"/>
                <w:color w:val="auto"/>
              </w:rPr>
            </w:pPr>
            <w:r>
              <w:rPr>
                <w:rFonts w:ascii="Arial" w:cs="Arial" w:eastAsia="Arial" w:hAnsi="Arial"/>
                <w:sz w:val="20"/>
                <w:szCs w:val="20"/>
                <w:color w:val="auto"/>
              </w:rPr>
              <w:t>ENTIRE UNDERSTANDING</w:t>
            </w:r>
          </w:p>
        </w:tc>
        <w:tc>
          <w:tcPr>
            <w:tcW w:w="35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57"/>
        </w:trPr>
        <w:tc>
          <w:tcPr>
            <w:tcW w:w="280" w:type="dxa"/>
            <w:vAlign w:val="bottom"/>
          </w:tcPr>
          <w:p>
            <w:pPr>
              <w:spacing w:after="0"/>
              <w:rPr>
                <w:sz w:val="20"/>
                <w:szCs w:val="20"/>
                <w:color w:val="auto"/>
              </w:rPr>
            </w:pPr>
            <w:r>
              <w:rPr>
                <w:rFonts w:ascii="Arial" w:cs="Arial" w:eastAsia="Arial" w:hAnsi="Arial"/>
                <w:sz w:val="20"/>
                <w:szCs w:val="20"/>
                <w:color w:val="auto"/>
              </w:rPr>
              <w:t>13</w:t>
            </w:r>
          </w:p>
        </w:tc>
        <w:tc>
          <w:tcPr>
            <w:tcW w:w="7360" w:type="dxa"/>
            <w:vAlign w:val="bottom"/>
          </w:tcPr>
          <w:p>
            <w:pPr>
              <w:ind w:left="160"/>
              <w:spacing w:after="0"/>
              <w:rPr>
                <w:sz w:val="20"/>
                <w:szCs w:val="20"/>
                <w:color w:val="auto"/>
              </w:rPr>
            </w:pPr>
            <w:r>
              <w:rPr>
                <w:rFonts w:ascii="Arial" w:cs="Arial" w:eastAsia="Arial" w:hAnsi="Arial"/>
                <w:sz w:val="20"/>
                <w:szCs w:val="20"/>
                <w:color w:val="auto"/>
              </w:rPr>
              <w:t>INDEPENDENT LEGAL ADVICE</w:t>
            </w:r>
          </w:p>
        </w:tc>
        <w:tc>
          <w:tcPr>
            <w:tcW w:w="35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57"/>
        </w:trPr>
        <w:tc>
          <w:tcPr>
            <w:tcW w:w="280" w:type="dxa"/>
            <w:vAlign w:val="bottom"/>
          </w:tcPr>
          <w:p>
            <w:pPr>
              <w:spacing w:after="0"/>
              <w:rPr>
                <w:sz w:val="20"/>
                <w:szCs w:val="20"/>
                <w:color w:val="auto"/>
              </w:rPr>
            </w:pPr>
            <w:r>
              <w:rPr>
                <w:rFonts w:ascii="Arial" w:cs="Arial" w:eastAsia="Arial" w:hAnsi="Arial"/>
                <w:sz w:val="20"/>
                <w:szCs w:val="20"/>
                <w:color w:val="auto"/>
              </w:rPr>
              <w:t>14</w:t>
            </w:r>
          </w:p>
        </w:tc>
        <w:tc>
          <w:tcPr>
            <w:tcW w:w="7360" w:type="dxa"/>
            <w:vAlign w:val="bottom"/>
          </w:tcPr>
          <w:p>
            <w:pPr>
              <w:ind w:left="160"/>
              <w:spacing w:after="0"/>
              <w:rPr>
                <w:sz w:val="20"/>
                <w:szCs w:val="20"/>
                <w:color w:val="auto"/>
              </w:rPr>
            </w:pPr>
            <w:r>
              <w:rPr>
                <w:rFonts w:ascii="Arial" w:cs="Arial" w:eastAsia="Arial" w:hAnsi="Arial"/>
                <w:sz w:val="20"/>
                <w:szCs w:val="20"/>
                <w:color w:val="auto"/>
              </w:rPr>
              <w:t>BREACH AND DAMAGES</w:t>
            </w:r>
          </w:p>
        </w:tc>
        <w:tc>
          <w:tcPr>
            <w:tcW w:w="35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57"/>
        </w:trPr>
        <w:tc>
          <w:tcPr>
            <w:tcW w:w="280" w:type="dxa"/>
            <w:vAlign w:val="bottom"/>
          </w:tcPr>
          <w:p>
            <w:pPr>
              <w:spacing w:after="0"/>
              <w:rPr>
                <w:sz w:val="20"/>
                <w:szCs w:val="20"/>
                <w:color w:val="auto"/>
              </w:rPr>
            </w:pPr>
            <w:r>
              <w:rPr>
                <w:rFonts w:ascii="Arial" w:cs="Arial" w:eastAsia="Arial" w:hAnsi="Arial"/>
                <w:sz w:val="20"/>
                <w:szCs w:val="20"/>
                <w:color w:val="auto"/>
              </w:rPr>
              <w:t>15</w:t>
            </w:r>
          </w:p>
        </w:tc>
        <w:tc>
          <w:tcPr>
            <w:tcW w:w="7360" w:type="dxa"/>
            <w:vAlign w:val="bottom"/>
          </w:tcPr>
          <w:p>
            <w:pPr>
              <w:ind w:left="160"/>
              <w:spacing w:after="0"/>
              <w:rPr>
                <w:sz w:val="20"/>
                <w:szCs w:val="20"/>
                <w:color w:val="auto"/>
              </w:rPr>
            </w:pPr>
            <w:r>
              <w:rPr>
                <w:rFonts w:ascii="Arial" w:cs="Arial" w:eastAsia="Arial" w:hAnsi="Arial"/>
                <w:sz w:val="20"/>
                <w:szCs w:val="20"/>
                <w:color w:val="auto"/>
              </w:rPr>
              <w:t>GOVERNING LAW</w:t>
            </w:r>
          </w:p>
        </w:tc>
        <w:tc>
          <w:tcPr>
            <w:tcW w:w="35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56"/>
        </w:trPr>
        <w:tc>
          <w:tcPr>
            <w:tcW w:w="280" w:type="dxa"/>
            <w:vAlign w:val="bottom"/>
          </w:tcPr>
          <w:p>
            <w:pPr>
              <w:spacing w:after="0"/>
              <w:rPr>
                <w:sz w:val="20"/>
                <w:szCs w:val="20"/>
                <w:color w:val="auto"/>
              </w:rPr>
            </w:pPr>
            <w:r>
              <w:rPr>
                <w:rFonts w:ascii="Arial" w:cs="Arial" w:eastAsia="Arial" w:hAnsi="Arial"/>
                <w:sz w:val="20"/>
                <w:szCs w:val="20"/>
                <w:color w:val="auto"/>
              </w:rPr>
              <w:t>16</w:t>
            </w:r>
          </w:p>
        </w:tc>
        <w:tc>
          <w:tcPr>
            <w:tcW w:w="7360" w:type="dxa"/>
            <w:vAlign w:val="bottom"/>
          </w:tcPr>
          <w:p>
            <w:pPr>
              <w:ind w:left="160"/>
              <w:spacing w:after="0"/>
              <w:rPr>
                <w:sz w:val="20"/>
                <w:szCs w:val="20"/>
                <w:color w:val="auto"/>
              </w:rPr>
            </w:pPr>
            <w:r>
              <w:rPr>
                <w:rFonts w:ascii="Arial" w:cs="Arial" w:eastAsia="Arial" w:hAnsi="Arial"/>
                <w:sz w:val="20"/>
                <w:szCs w:val="20"/>
                <w:color w:val="auto"/>
              </w:rPr>
              <w:t>GENERAL</w:t>
            </w:r>
          </w:p>
        </w:tc>
        <w:tc>
          <w:tcPr>
            <w:tcW w:w="35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57"/>
        </w:trPr>
        <w:tc>
          <w:tcPr>
            <w:tcW w:w="7640" w:type="dxa"/>
            <w:vAlign w:val="bottom"/>
            <w:gridSpan w:val="2"/>
          </w:tcPr>
          <w:p>
            <w:pPr>
              <w:spacing w:after="0"/>
              <w:rPr>
                <w:sz w:val="20"/>
                <w:szCs w:val="20"/>
                <w:color w:val="auto"/>
              </w:rPr>
            </w:pPr>
            <w:r>
              <w:rPr>
                <w:rFonts w:ascii="Arial" w:cs="Arial" w:eastAsia="Arial" w:hAnsi="Arial"/>
                <w:sz w:val="20"/>
                <w:szCs w:val="20"/>
                <w:color w:val="auto"/>
              </w:rPr>
              <w:t>SCHEDULE 1</w:t>
            </w:r>
          </w:p>
        </w:tc>
        <w:tc>
          <w:tcPr>
            <w:tcW w:w="35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57"/>
        </w:trPr>
        <w:tc>
          <w:tcPr>
            <w:tcW w:w="7640" w:type="dxa"/>
            <w:vAlign w:val="bottom"/>
            <w:gridSpan w:val="2"/>
          </w:tcPr>
          <w:p>
            <w:pPr>
              <w:spacing w:after="0"/>
              <w:rPr>
                <w:sz w:val="20"/>
                <w:szCs w:val="20"/>
                <w:color w:val="auto"/>
              </w:rPr>
            </w:pPr>
            <w:r>
              <w:rPr>
                <w:rFonts w:ascii="Arial" w:cs="Arial" w:eastAsia="Arial" w:hAnsi="Arial"/>
                <w:sz w:val="20"/>
                <w:szCs w:val="20"/>
                <w:color w:val="auto"/>
              </w:rPr>
              <w:t>LETTER OF RESIGNATION</w:t>
            </w:r>
          </w:p>
        </w:tc>
        <w:tc>
          <w:tcPr>
            <w:tcW w:w="35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57"/>
        </w:trPr>
        <w:tc>
          <w:tcPr>
            <w:tcW w:w="7640" w:type="dxa"/>
            <w:vAlign w:val="bottom"/>
            <w:gridSpan w:val="2"/>
          </w:tcPr>
          <w:p>
            <w:pPr>
              <w:spacing w:after="0"/>
              <w:rPr>
                <w:sz w:val="20"/>
                <w:szCs w:val="20"/>
                <w:color w:val="auto"/>
              </w:rPr>
            </w:pPr>
            <w:r>
              <w:rPr>
                <w:rFonts w:ascii="Arial" w:cs="Arial" w:eastAsia="Arial" w:hAnsi="Arial"/>
                <w:sz w:val="20"/>
                <w:szCs w:val="20"/>
                <w:color w:val="auto"/>
              </w:rPr>
              <w:t>SCHEDULE 2</w:t>
            </w:r>
          </w:p>
        </w:tc>
        <w:tc>
          <w:tcPr>
            <w:tcW w:w="35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61"/>
        </w:trPr>
        <w:tc>
          <w:tcPr>
            <w:tcW w:w="7640" w:type="dxa"/>
            <w:vAlign w:val="bottom"/>
            <w:gridSpan w:val="2"/>
          </w:tcPr>
          <w:p>
            <w:pPr>
              <w:spacing w:after="0"/>
              <w:rPr>
                <w:sz w:val="20"/>
                <w:szCs w:val="20"/>
                <w:color w:val="auto"/>
              </w:rPr>
            </w:pPr>
            <w:r>
              <w:rPr>
                <w:rFonts w:ascii="Arial" w:cs="Arial" w:eastAsia="Arial" w:hAnsi="Arial"/>
                <w:sz w:val="20"/>
                <w:szCs w:val="20"/>
                <w:color w:val="auto"/>
              </w:rPr>
              <w:t>RE-AFFIRMATION OF WAIVER</w:t>
            </w:r>
          </w:p>
        </w:tc>
        <w:tc>
          <w:tcPr>
            <w:tcW w:w="3540" w:type="dxa"/>
            <w:vAlign w:val="bottom"/>
          </w:tcPr>
          <w:p>
            <w:pPr>
              <w:jc w:val="right"/>
              <w:spacing w:after="0"/>
              <w:rPr>
                <w:sz w:val="20"/>
                <w:szCs w:val="20"/>
                <w:color w:val="auto"/>
              </w:rPr>
            </w:pPr>
            <w:r>
              <w:rPr>
                <w:rFonts w:ascii="Arial" w:cs="Arial" w:eastAsia="Arial" w:hAnsi="Arial"/>
                <w:sz w:val="20"/>
                <w:szCs w:val="20"/>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MHC-38580810-2</w:t>
      </w:r>
    </w:p>
    <w:p>
      <w:pPr>
        <w:sectPr>
          <w:pgSz w:w="11900" w:h="16838" w:orient="portrait"/>
          <w:cols w:equalWidth="0" w:num="1">
            <w:col w:w="11240"/>
          </w:cols>
          <w:pgMar w:left="320" w:top="118" w:right="339" w:bottom="1440" w:gutter="0" w:footer="0" w:header="0"/>
        </w:sectPr>
      </w:pPr>
    </w:p>
    <w:bookmarkStart w:id="226" w:name="page227"/>
    <w:bookmarkEnd w:id="226"/>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dated January 6, 2026.</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PARTIES</w:t>
      </w:r>
    </w:p>
    <w:p>
      <w:pPr>
        <w:spacing w:after="0" w:line="256" w:lineRule="exact"/>
        <w:rPr>
          <w:sz w:val="20"/>
          <w:szCs w:val="20"/>
          <w:color w:val="auto"/>
        </w:rPr>
      </w:pPr>
    </w:p>
    <w:p>
      <w:pPr>
        <w:ind w:left="880" w:hanging="872"/>
        <w:spacing w:after="0" w:line="298" w:lineRule="auto"/>
        <w:tabs>
          <w:tab w:leader="none" w:pos="875" w:val="left"/>
        </w:tabs>
        <w:numPr>
          <w:ilvl w:val="0"/>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ZYMEWORKS PHARMACEUTICAL LIMITED </w:t>
      </w:r>
      <w:r>
        <w:rPr>
          <w:rFonts w:ascii="Arial" w:cs="Arial" w:eastAsia="Arial" w:hAnsi="Arial"/>
          <w:sz w:val="20"/>
          <w:szCs w:val="20"/>
          <w:color w:val="auto"/>
        </w:rPr>
        <w:t>a company incorporated under the laws of Ireland (registered number</w:t>
      </w:r>
      <w:r>
        <w:rPr>
          <w:rFonts w:ascii="Arial" w:cs="Arial" w:eastAsia="Arial" w:hAnsi="Arial"/>
          <w:sz w:val="20"/>
          <w:szCs w:val="20"/>
          <w:b w:val="1"/>
          <w:bCs w:val="1"/>
          <w:color w:val="auto"/>
        </w:rPr>
        <w:t xml:space="preserve"> </w:t>
      </w:r>
      <w:r>
        <w:rPr>
          <w:rFonts w:ascii="Arial" w:cs="Arial" w:eastAsia="Arial" w:hAnsi="Arial"/>
          <w:sz w:val="20"/>
          <w:szCs w:val="20"/>
          <w:color w:val="auto"/>
        </w:rPr>
        <w:t>722169) having its registered office at 88 Harcourt Street, Dublin 2, DO2 DK18 (the “</w:t>
      </w:r>
      <w:r>
        <w:rPr>
          <w:rFonts w:ascii="Arial" w:cs="Arial" w:eastAsia="Arial" w:hAnsi="Arial"/>
          <w:sz w:val="20"/>
          <w:szCs w:val="20"/>
          <w:b w:val="1"/>
          <w:bCs w:val="1"/>
          <w:color w:val="auto"/>
        </w:rPr>
        <w:t>Company</w:t>
      </w:r>
      <w:r>
        <w:rPr>
          <w:rFonts w:ascii="Arial" w:cs="Arial" w:eastAsia="Arial" w:hAnsi="Arial"/>
          <w:sz w:val="20"/>
          <w:szCs w:val="20"/>
          <w:color w:val="auto"/>
        </w:rPr>
        <w:t>”); and</w:t>
      </w:r>
    </w:p>
    <w:p>
      <w:pPr>
        <w:spacing w:after="0" w:line="117" w:lineRule="exact"/>
        <w:rPr>
          <w:rFonts w:ascii="Arial" w:cs="Arial" w:eastAsia="Arial" w:hAnsi="Arial"/>
          <w:sz w:val="20"/>
          <w:szCs w:val="20"/>
          <w:color w:val="auto"/>
        </w:rPr>
      </w:pPr>
    </w:p>
    <w:p>
      <w:pPr>
        <w:ind w:left="880" w:hanging="872"/>
        <w:spacing w:after="0"/>
        <w:tabs>
          <w:tab w:leader="none" w:pos="880" w:val="left"/>
        </w:tabs>
        <w:numPr>
          <w:ilvl w:val="0"/>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JEFFREY SMITH </w:t>
      </w:r>
      <w:r>
        <w:rPr>
          <w:rFonts w:ascii="Arial" w:cs="Arial" w:eastAsia="Arial" w:hAnsi="Arial"/>
          <w:sz w:val="20"/>
          <w:szCs w:val="20"/>
          <w:color w:val="auto"/>
        </w:rPr>
        <w:t>of [***] (the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each a “</w:t>
      </w:r>
      <w:r>
        <w:rPr>
          <w:rFonts w:ascii="Arial" w:cs="Arial" w:eastAsia="Arial" w:hAnsi="Arial"/>
          <w:sz w:val="20"/>
          <w:szCs w:val="20"/>
          <w:b w:val="1"/>
          <w:bCs w:val="1"/>
          <w:color w:val="auto"/>
        </w:rPr>
        <w:t>Party</w:t>
      </w:r>
      <w:r>
        <w:rPr>
          <w:rFonts w:ascii="Arial" w:cs="Arial" w:eastAsia="Arial" w:hAnsi="Arial"/>
          <w:sz w:val="20"/>
          <w:szCs w:val="20"/>
          <w:color w:val="auto"/>
        </w:rPr>
        <w:t>” and together,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58" w:lineRule="exact"/>
        <w:rPr>
          <w:sz w:val="20"/>
          <w:szCs w:val="20"/>
          <w:color w:val="auto"/>
        </w:rPr>
      </w:pPr>
    </w:p>
    <w:p>
      <w:pPr>
        <w:ind w:left="860" w:hanging="852"/>
        <w:spacing w:after="0"/>
        <w:tabs>
          <w:tab w:leader="none" w:pos="86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Employee commenced employment with the Company on 3 January 2023.</w:t>
      </w:r>
    </w:p>
    <w:p>
      <w:pPr>
        <w:spacing w:after="0" w:line="229" w:lineRule="exact"/>
        <w:rPr>
          <w:rFonts w:ascii="Arial" w:cs="Arial" w:eastAsia="Arial" w:hAnsi="Arial"/>
          <w:sz w:val="20"/>
          <w:szCs w:val="20"/>
          <w:color w:val="auto"/>
        </w:rPr>
      </w:pPr>
    </w:p>
    <w:p>
      <w:pPr>
        <w:ind w:left="880" w:hanging="872"/>
        <w:spacing w:after="0" w:line="282" w:lineRule="auto"/>
        <w:tabs>
          <w:tab w:leader="none" w:pos="87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Employee has advised the Company of his desire to terminate his employment with the Company by reason of retirement, effective on 31 January 2026 (the “</w:t>
      </w:r>
      <w:r>
        <w:rPr>
          <w:rFonts w:ascii="Arial" w:cs="Arial" w:eastAsia="Arial" w:hAnsi="Arial"/>
          <w:sz w:val="20"/>
          <w:szCs w:val="20"/>
          <w:b w:val="1"/>
          <w:bCs w:val="1"/>
          <w:color w:val="auto"/>
        </w:rPr>
        <w:t>Termination Date</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ind w:left="880" w:hanging="872"/>
        <w:spacing w:after="0" w:line="271" w:lineRule="auto"/>
        <w:tabs>
          <w:tab w:leader="none" w:pos="868"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Company has agreed to make a termination payment in accordance with Clause 13.5.1 of the Employee’s contract of employment dated 3 January 2023 to the Employee in the amount and on the terms set out below.</w:t>
      </w:r>
    </w:p>
    <w:p>
      <w:pPr>
        <w:spacing w:after="0" w:line="169" w:lineRule="exact"/>
        <w:rPr>
          <w:rFonts w:ascii="Arial" w:cs="Arial" w:eastAsia="Arial" w:hAnsi="Arial"/>
          <w:sz w:val="20"/>
          <w:szCs w:val="20"/>
          <w:color w:val="auto"/>
        </w:rPr>
      </w:pPr>
    </w:p>
    <w:p>
      <w:pPr>
        <w:ind w:left="860" w:hanging="852"/>
        <w:spacing w:after="0"/>
        <w:tabs>
          <w:tab w:leader="none" w:pos="86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Employee will be paid his normal salary up to the Termination Date.</w:t>
      </w:r>
    </w:p>
    <w:p>
      <w:pPr>
        <w:spacing w:after="0" w:line="215" w:lineRule="exact"/>
        <w:rPr>
          <w:rFonts w:ascii="Arial" w:cs="Arial" w:eastAsia="Arial" w:hAnsi="Arial"/>
          <w:sz w:val="20"/>
          <w:szCs w:val="20"/>
          <w:color w:val="auto"/>
        </w:rPr>
      </w:pPr>
    </w:p>
    <w:p>
      <w:pPr>
        <w:jc w:val="both"/>
        <w:ind w:left="880" w:hanging="872"/>
        <w:spacing w:after="0" w:line="259" w:lineRule="auto"/>
        <w:tabs>
          <w:tab w:leader="none" w:pos="87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Company agrees to pay to the Employee an amount equal to the annual bonus the Employee would have earned and received with respect to calendar year 2025 (payable in 2026) had the Employee remained an employee of the Company subject always to the Company declaring a bonus payment with respect to calendar year 2025 being in the sole discretion of the Company.</w:t>
      </w:r>
    </w:p>
    <w:p>
      <w:pPr>
        <w:spacing w:after="0" w:line="181" w:lineRule="exact"/>
        <w:rPr>
          <w:rFonts w:ascii="Arial" w:cs="Arial" w:eastAsia="Arial" w:hAnsi="Arial"/>
          <w:sz w:val="20"/>
          <w:szCs w:val="20"/>
          <w:color w:val="auto"/>
        </w:rPr>
      </w:pPr>
    </w:p>
    <w:p>
      <w:pPr>
        <w:ind w:left="880" w:right="20" w:hanging="872"/>
        <w:spacing w:after="0" w:line="271" w:lineRule="auto"/>
        <w:tabs>
          <w:tab w:leader="none" w:pos="87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The Company agrees to provide the Employee with a fixed term Consultancy Agreement on the terms set out in </w:t>
      </w:r>
      <w:r>
        <w:rPr>
          <w:rFonts w:ascii="Arial" w:cs="Arial" w:eastAsia="Arial" w:hAnsi="Arial"/>
          <w:sz w:val="20"/>
          <w:szCs w:val="20"/>
          <w:u w:val="single" w:color="auto"/>
          <w:color w:val="auto"/>
        </w:rPr>
        <w:t>Schedule 3</w:t>
      </w:r>
      <w:r>
        <w:rPr>
          <w:rFonts w:ascii="Arial" w:cs="Arial" w:eastAsia="Arial" w:hAnsi="Arial"/>
          <w:sz w:val="20"/>
          <w:szCs w:val="20"/>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THE PARTIES AGREE </w:t>
      </w:r>
      <w:r>
        <w:rPr>
          <w:rFonts w:ascii="Arial" w:cs="Arial" w:eastAsia="Arial" w:hAnsi="Arial"/>
          <w:sz w:val="20"/>
          <w:szCs w:val="20"/>
          <w:color w:val="auto"/>
        </w:rPr>
        <w:t>as follows:</w:t>
      </w:r>
    </w:p>
    <w:p>
      <w:pPr>
        <w:spacing w:after="0" w:line="216" w:lineRule="exact"/>
        <w:rPr>
          <w:sz w:val="20"/>
          <w:szCs w:val="20"/>
          <w:color w:val="auto"/>
        </w:rPr>
      </w:pPr>
    </w:p>
    <w:p>
      <w:pPr>
        <w:ind w:left="880" w:hanging="872"/>
        <w:spacing w:after="0"/>
        <w:tabs>
          <w:tab w:leader="none" w:pos="880" w:val="left"/>
        </w:tabs>
        <w:numPr>
          <w:ilvl w:val="0"/>
          <w:numId w:val="142"/>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In this agreement, the following expressions shall have the following meanings unless the context otherwise admits:</w:t>
      </w:r>
    </w:p>
    <w:p>
      <w:pPr>
        <w:spacing w:after="0" w:line="18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Associated Company</w:t>
      </w:r>
      <w:r>
        <w:rPr>
          <w:rFonts w:ascii="Arial" w:cs="Arial" w:eastAsia="Arial" w:hAnsi="Arial"/>
          <w:sz w:val="19"/>
          <w:szCs w:val="19"/>
          <w:color w:val="auto"/>
        </w:rPr>
        <w:t>” means, in relation to the Company, an undertaking which from time to time:</w:t>
      </w:r>
    </w:p>
    <w:p>
      <w:pPr>
        <w:spacing w:after="0" w:line="191" w:lineRule="exact"/>
        <w:rPr>
          <w:sz w:val="20"/>
          <w:szCs w:val="20"/>
          <w:color w:val="auto"/>
        </w:rPr>
      </w:pPr>
    </w:p>
    <w:p>
      <w:pPr>
        <w:ind w:left="2620" w:hanging="877"/>
        <w:spacing w:after="0" w:line="234" w:lineRule="auto"/>
        <w:tabs>
          <w:tab w:leader="none" w:pos="261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is a subsidiary or holding company of the Company, as such terms are defined in section 7 and section 8 respectively of the Companies Act 2014;</w:t>
      </w:r>
    </w:p>
    <w:p>
      <w:pPr>
        <w:spacing w:after="0" w:line="159" w:lineRule="exact"/>
        <w:rPr>
          <w:rFonts w:ascii="Arial" w:cs="Arial" w:eastAsia="Arial" w:hAnsi="Arial"/>
          <w:sz w:val="20"/>
          <w:szCs w:val="20"/>
          <w:color w:val="auto"/>
        </w:rPr>
      </w:pPr>
    </w:p>
    <w:p>
      <w:pPr>
        <w:ind w:left="2620" w:hanging="877"/>
        <w:spacing w:after="0" w:line="243" w:lineRule="auto"/>
        <w:tabs>
          <w:tab w:leader="none" w:pos="261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belongs to the same group of companies (as defined in section 8 of the Companies Act 2014) as the Company; and/or</w:t>
      </w:r>
    </w:p>
    <w:p>
      <w:pPr>
        <w:spacing w:after="0" w:line="141" w:lineRule="exact"/>
        <w:rPr>
          <w:rFonts w:ascii="Arial" w:cs="Arial" w:eastAsia="Arial" w:hAnsi="Arial"/>
          <w:sz w:val="20"/>
          <w:szCs w:val="20"/>
          <w:color w:val="auto"/>
        </w:rPr>
      </w:pPr>
    </w:p>
    <w:p>
      <w:pPr>
        <w:ind w:left="2620" w:hanging="877"/>
        <w:spacing w:after="0" w:line="243" w:lineRule="auto"/>
        <w:tabs>
          <w:tab w:leader="none" w:pos="2608"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is an undertaking of substantial interest (as defined by section 314 of the Companies Act 2014) of the Company or of any company which belongs to the same group of companies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MHC-38580835-2</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58"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defined in section 8 of the Companies Act 2014) as the Company; and/or</w:t>
      </w:r>
    </w:p>
    <w:p>
      <w:pPr>
        <w:spacing w:after="0" w:line="175" w:lineRule="exact"/>
        <w:rPr>
          <w:sz w:val="20"/>
          <w:szCs w:val="20"/>
          <w:color w:val="auto"/>
        </w:rPr>
      </w:pPr>
    </w:p>
    <w:p>
      <w:pPr>
        <w:ind w:left="2620" w:right="20" w:hanging="877"/>
        <w:spacing w:after="0" w:line="243" w:lineRule="auto"/>
        <w:tabs>
          <w:tab w:leader="none" w:pos="2608"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is an undertaking for whom or on whose behalf the Employee carries out duties at the request of the Company; and/or</w:t>
      </w:r>
    </w:p>
    <w:p>
      <w:pPr>
        <w:spacing w:after="0" w:line="155" w:lineRule="exact"/>
        <w:rPr>
          <w:rFonts w:ascii="Arial" w:cs="Arial" w:eastAsia="Arial" w:hAnsi="Arial"/>
          <w:sz w:val="20"/>
          <w:szCs w:val="20"/>
          <w:color w:val="auto"/>
        </w:rPr>
      </w:pPr>
    </w:p>
    <w:p>
      <w:pPr>
        <w:ind w:left="2600" w:hanging="857"/>
        <w:spacing w:after="0"/>
        <w:tabs>
          <w:tab w:leader="none" w:pos="26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is designated in writing by the Company as an Associated Company;</w:t>
      </w:r>
    </w:p>
    <w:p>
      <w:pPr>
        <w:spacing w:after="0" w:line="173" w:lineRule="exact"/>
        <w:rPr>
          <w:sz w:val="20"/>
          <w:szCs w:val="20"/>
          <w:color w:val="auto"/>
        </w:rPr>
      </w:pPr>
    </w:p>
    <w:p>
      <w:pPr>
        <w:jc w:val="right"/>
        <w:ind w:left="880"/>
        <w:spacing w:after="0" w:line="221" w:lineRule="auto"/>
        <w:rPr>
          <w:sz w:val="20"/>
          <w:szCs w:val="20"/>
          <w:color w:val="auto"/>
        </w:rPr>
      </w:pPr>
      <w:r>
        <w:rPr>
          <w:rFonts w:ascii="Arial" w:cs="Arial" w:eastAsia="Arial" w:hAnsi="Arial"/>
          <w:sz w:val="20"/>
          <w:szCs w:val="20"/>
          <w:color w:val="auto"/>
        </w:rPr>
        <w:t>1.1.2.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means any proprietary information, whether or not protectable as a trade secret which provides an advantage to a competitor or which a Party wishes to designate as confidential for a valid</w:t>
      </w:r>
    </w:p>
    <w:p>
      <w:pPr>
        <w:spacing w:after="0" w:line="1" w:lineRule="exact"/>
        <w:rPr>
          <w:sz w:val="20"/>
          <w:szCs w:val="20"/>
          <w:color w:val="auto"/>
        </w:rPr>
      </w:pPr>
    </w:p>
    <w:p>
      <w:pPr>
        <w:ind w:left="1740"/>
        <w:spacing w:after="0" w:line="215" w:lineRule="auto"/>
        <w:rPr>
          <w:sz w:val="20"/>
          <w:szCs w:val="20"/>
          <w:color w:val="auto"/>
        </w:rPr>
      </w:pPr>
      <w:r>
        <w:rPr>
          <w:rFonts w:ascii="Arial" w:cs="Arial" w:eastAsia="Arial" w:hAnsi="Arial"/>
          <w:sz w:val="19"/>
          <w:szCs w:val="19"/>
          <w:color w:val="auto"/>
        </w:rPr>
        <w:t>business reason or, without prejudice to the generality of the foregoing, which concerns the business, finance or organisation of the Company and/or Group their suppliers or customers which shall have come to</w:t>
      </w:r>
    </w:p>
    <w:p>
      <w:pPr>
        <w:ind w:left="1740"/>
        <w:spacing w:after="0" w:line="222" w:lineRule="auto"/>
        <w:rPr>
          <w:sz w:val="20"/>
          <w:szCs w:val="20"/>
          <w:color w:val="auto"/>
        </w:rPr>
      </w:pPr>
      <w:r>
        <w:rPr>
          <w:rFonts w:ascii="Arial" w:cs="Arial" w:eastAsia="Arial" w:hAnsi="Arial"/>
          <w:sz w:val="19"/>
          <w:szCs w:val="19"/>
          <w:color w:val="auto"/>
        </w:rPr>
        <w:t>the Employee’s knowledge during the course of his employment. By way of illustration only and not limitation</w:t>
      </w:r>
    </w:p>
    <w:p>
      <w:pPr>
        <w:ind w:left="1740"/>
        <w:spacing w:after="0" w:line="204" w:lineRule="auto"/>
        <w:rPr>
          <w:sz w:val="20"/>
          <w:szCs w:val="20"/>
          <w:color w:val="auto"/>
        </w:rPr>
      </w:pPr>
      <w:r>
        <w:rPr>
          <w:rFonts w:ascii="Arial" w:cs="Arial" w:eastAsia="Arial" w:hAnsi="Arial"/>
          <w:sz w:val="20"/>
          <w:szCs w:val="20"/>
          <w:color w:val="auto"/>
        </w:rPr>
        <w:t xml:space="preserve">information will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be confidential if it relates to trade secrets, research and developments, information relating to the Company’s and/or the Group’s intellectual property, software (object or source</w:t>
      </w:r>
    </w:p>
    <w:p>
      <w:pPr>
        <w:ind w:left="1740"/>
        <w:spacing w:after="0" w:line="211" w:lineRule="auto"/>
        <w:rPr>
          <w:sz w:val="20"/>
          <w:szCs w:val="20"/>
          <w:color w:val="auto"/>
        </w:rPr>
      </w:pPr>
      <w:r>
        <w:rPr>
          <w:rFonts w:ascii="Arial" w:cs="Arial" w:eastAsia="Arial" w:hAnsi="Arial"/>
          <w:sz w:val="20"/>
          <w:szCs w:val="20"/>
          <w:color w:val="auto"/>
        </w:rPr>
        <w:t>codes), suppliers and their production and delivery capabilities, customers and details of their particular</w:t>
      </w:r>
    </w:p>
    <w:p>
      <w:pPr>
        <w:spacing w:after="0" w:line="1" w:lineRule="exact"/>
        <w:rPr>
          <w:sz w:val="20"/>
          <w:szCs w:val="20"/>
          <w:color w:val="auto"/>
        </w:rPr>
      </w:pPr>
    </w:p>
    <w:p>
      <w:pPr>
        <w:ind w:left="1740"/>
        <w:spacing w:after="0" w:line="204" w:lineRule="auto"/>
        <w:rPr>
          <w:sz w:val="20"/>
          <w:szCs w:val="20"/>
          <w:color w:val="auto"/>
        </w:rPr>
      </w:pPr>
      <w:r>
        <w:rPr>
          <w:rFonts w:ascii="Arial" w:cs="Arial" w:eastAsia="Arial" w:hAnsi="Arial"/>
          <w:sz w:val="20"/>
          <w:szCs w:val="20"/>
          <w:color w:val="auto"/>
        </w:rPr>
        <w:t>business and requirements, costings, profit margins, discounts, rebates and other financial information, marketing and selling strategies and tactics, current activities and current and future plans relating to all or</w:t>
      </w:r>
    </w:p>
    <w:p>
      <w:pPr>
        <w:spacing w:after="0" w:line="1" w:lineRule="exact"/>
        <w:rPr>
          <w:sz w:val="20"/>
          <w:szCs w:val="20"/>
          <w:color w:val="auto"/>
        </w:rPr>
      </w:pPr>
    </w:p>
    <w:p>
      <w:pPr>
        <w:ind w:left="1740"/>
        <w:spacing w:after="0" w:line="232" w:lineRule="auto"/>
        <w:rPr>
          <w:sz w:val="20"/>
          <w:szCs w:val="20"/>
          <w:color w:val="auto"/>
        </w:rPr>
      </w:pPr>
      <w:r>
        <w:rPr>
          <w:rFonts w:ascii="Arial" w:cs="Arial" w:eastAsia="Arial" w:hAnsi="Arial"/>
          <w:sz w:val="20"/>
          <w:szCs w:val="20"/>
          <w:color w:val="auto"/>
        </w:rPr>
        <w:t>any of development or sales including the timing of all or any such matters, the development of new products, or technical design or specifications of the products of the Company and/or the Group;</w:t>
      </w:r>
    </w:p>
    <w:p>
      <w:pPr>
        <w:spacing w:after="0" w:line="14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Group</w:t>
      </w:r>
      <w:r>
        <w:rPr>
          <w:rFonts w:ascii="Arial" w:cs="Arial" w:eastAsia="Arial" w:hAnsi="Arial"/>
          <w:sz w:val="19"/>
          <w:szCs w:val="19"/>
          <w:color w:val="auto"/>
        </w:rPr>
        <w:t>” means the Company and any Associated Company;</w:t>
      </w:r>
    </w:p>
    <w:p>
      <w:pPr>
        <w:spacing w:after="0" w:line="189" w:lineRule="exact"/>
        <w:rPr>
          <w:sz w:val="20"/>
          <w:szCs w:val="20"/>
          <w:color w:val="auto"/>
        </w:rPr>
      </w:pPr>
    </w:p>
    <w:p>
      <w:pPr>
        <w:ind w:left="1740" w:right="20" w:hanging="867"/>
        <w:spacing w:after="0" w:line="245" w:lineRule="auto"/>
        <w:tabs>
          <w:tab w:leader="none" w:pos="172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person, firm, company, partnership, unincorporated association, joint venture or other entity; and</w:t>
      </w:r>
    </w:p>
    <w:p>
      <w:pPr>
        <w:spacing w:after="0" w:line="138" w:lineRule="exact"/>
        <w:rPr>
          <w:sz w:val="20"/>
          <w:szCs w:val="20"/>
          <w:color w:val="auto"/>
        </w:rPr>
      </w:pPr>
    </w:p>
    <w:p>
      <w:pPr>
        <w:ind w:left="880" w:hanging="872"/>
        <w:spacing w:after="0"/>
        <w:tabs>
          <w:tab w:leader="none" w:pos="880"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191" w:lineRule="exact"/>
        <w:rPr>
          <w:sz w:val="20"/>
          <w:szCs w:val="20"/>
          <w:color w:val="auto"/>
        </w:rPr>
      </w:pPr>
    </w:p>
    <w:p>
      <w:pPr>
        <w:ind w:left="860" w:hanging="867"/>
        <w:spacing w:after="0" w:line="243" w:lineRule="auto"/>
        <w:tabs>
          <w:tab w:leader="none" w:pos="8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The Employee acknowledges that his employment as Executive Vice President, Chief Medical Officer with the Company shall terminate with effect from the Termination Date.</w:t>
      </w:r>
    </w:p>
    <w:p>
      <w:pPr>
        <w:spacing w:after="0" w:line="142" w:lineRule="exact"/>
        <w:rPr>
          <w:sz w:val="20"/>
          <w:szCs w:val="20"/>
          <w:color w:val="auto"/>
        </w:rPr>
      </w:pPr>
    </w:p>
    <w:p>
      <w:pPr>
        <w:ind w:left="860" w:hanging="867"/>
        <w:spacing w:after="0" w:line="243" w:lineRule="auto"/>
        <w:tabs>
          <w:tab w:leader="none" w:pos="8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The Employee acknowledges that he will be required to work out his notice period and, as such, he is not entitled to any further payment in respect of notice as at the Termination Date.</w:t>
      </w:r>
    </w:p>
    <w:p>
      <w:pPr>
        <w:spacing w:after="0" w:line="155" w:lineRule="exact"/>
        <w:rPr>
          <w:sz w:val="20"/>
          <w:szCs w:val="20"/>
          <w:color w:val="auto"/>
        </w:rPr>
      </w:pPr>
    </w:p>
    <w:p>
      <w:pPr>
        <w:jc w:val="right"/>
        <w:spacing w:after="0" w:line="213" w:lineRule="auto"/>
        <w:rPr>
          <w:sz w:val="20"/>
          <w:szCs w:val="20"/>
          <w:color w:val="auto"/>
        </w:rPr>
      </w:pPr>
      <w:r>
        <w:rPr>
          <w:rFonts w:ascii="Arial" w:cs="Arial" w:eastAsia="Arial" w:hAnsi="Arial"/>
          <w:sz w:val="20"/>
          <w:szCs w:val="20"/>
          <w:color w:val="auto"/>
        </w:rPr>
        <w:t>2.3      The Employee acknowledges and agrees that this agreement is conditional upon him re-affirming the terms of the waiver and release at Clause 3 below on the Termination Date by signing and returning to VP Human Resources &amp;</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DEI a signed copy of the form of document contained at </w:t>
      </w:r>
      <w:r>
        <w:rPr>
          <w:rFonts w:ascii="Arial" w:cs="Arial" w:eastAsia="Arial" w:hAnsi="Arial"/>
          <w:sz w:val="20"/>
          <w:szCs w:val="20"/>
          <w:u w:val="single" w:color="auto"/>
          <w:color w:val="auto"/>
        </w:rPr>
        <w:t>Schedule 2</w:t>
      </w:r>
      <w:r>
        <w:rPr>
          <w:rFonts w:ascii="Arial" w:cs="Arial" w:eastAsia="Arial" w:hAnsi="Arial"/>
          <w:sz w:val="20"/>
          <w:szCs w:val="20"/>
          <w:color w:val="auto"/>
        </w:rPr>
        <w:t>.</w:t>
      </w:r>
    </w:p>
    <w:p>
      <w:pPr>
        <w:spacing w:after="0" w:line="15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9"/>
          <w:szCs w:val="19"/>
          <w:color w:val="auto"/>
        </w:rPr>
        <w:t>The Employee agrees that he shall, prior to or on the Termination Date:</w:t>
      </w:r>
    </w:p>
    <w:p>
      <w:pPr>
        <w:spacing w:after="0" w:line="189" w:lineRule="exact"/>
        <w:rPr>
          <w:sz w:val="20"/>
          <w:szCs w:val="20"/>
          <w:color w:val="auto"/>
        </w:rPr>
      </w:pPr>
    </w:p>
    <w:p>
      <w:pPr>
        <w:jc w:val="both"/>
        <w:ind w:left="1740" w:hanging="867"/>
        <w:spacing w:after="0" w:line="243" w:lineRule="auto"/>
        <w:tabs>
          <w:tab w:leader="none" w:pos="1720" w:val="left"/>
        </w:tabs>
        <w:rPr>
          <w:sz w:val="20"/>
          <w:szCs w:val="20"/>
          <w:color w:val="auto"/>
        </w:rPr>
      </w:pPr>
      <w:r>
        <w:rPr>
          <w:rFonts w:ascii="Arial" w:cs="Arial" w:eastAsia="Arial" w:hAnsi="Arial"/>
          <w:sz w:val="20"/>
          <w:szCs w:val="20"/>
          <w:color w:val="auto"/>
        </w:rPr>
        <w:t>2.4.1.</w:t>
      </w:r>
      <w:r>
        <w:rPr>
          <w:sz w:val="20"/>
          <w:szCs w:val="20"/>
          <w:color w:val="auto"/>
        </w:rPr>
        <w:tab/>
      </w:r>
      <w:r>
        <w:rPr>
          <w:rFonts w:ascii="Arial" w:cs="Arial" w:eastAsia="Arial" w:hAnsi="Arial"/>
          <w:sz w:val="20"/>
          <w:szCs w:val="20"/>
          <w:color w:val="auto"/>
        </w:rPr>
        <w:t xml:space="preserve">resign his directorship of the Company with effect on the Termination Date by delivering to the Secretary of the Company a signed letter of resignation in the form attached to this agreement as </w:t>
      </w:r>
      <w:r>
        <w:rPr>
          <w:rFonts w:ascii="Arial" w:cs="Arial" w:eastAsia="Arial" w:hAnsi="Arial"/>
          <w:sz w:val="20"/>
          <w:szCs w:val="20"/>
          <w:u w:val="single" w:color="auto"/>
          <w:color w:val="auto"/>
        </w:rPr>
        <w:t>Schedule 1</w:t>
      </w:r>
      <w:r>
        <w:rPr>
          <w:rFonts w:ascii="Arial" w:cs="Arial" w:eastAsia="Arial" w:hAnsi="Arial"/>
          <w:sz w:val="20"/>
          <w:szCs w:val="20"/>
          <w:color w:val="auto"/>
        </w:rPr>
        <w:t>; and</w:t>
      </w:r>
    </w:p>
    <w:p>
      <w:pPr>
        <w:spacing w:after="0" w:line="142" w:lineRule="exact"/>
        <w:rPr>
          <w:sz w:val="20"/>
          <w:szCs w:val="20"/>
          <w:color w:val="auto"/>
        </w:rPr>
      </w:pPr>
    </w:p>
    <w:p>
      <w:pPr>
        <w:jc w:val="both"/>
        <w:ind w:left="1740" w:right="20" w:hanging="867"/>
        <w:spacing w:after="0" w:line="231" w:lineRule="auto"/>
        <w:tabs>
          <w:tab w:leader="none" w:pos="172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20"/>
          <w:szCs w:val="20"/>
          <w:color w:val="auto"/>
        </w:rPr>
        <w:t xml:space="preserve">if applicable, resign from his directorship of any Associated Company of which he is a director with effect on the Termination Date by delivering to the Secretary of each such company a signed letter of resignation in the form attached to this agreement as </w:t>
      </w:r>
      <w:r>
        <w:rPr>
          <w:rFonts w:ascii="Arial" w:cs="Arial" w:eastAsia="Arial" w:hAnsi="Arial"/>
          <w:sz w:val="20"/>
          <w:szCs w:val="20"/>
          <w:u w:val="single" w:color="auto"/>
          <w:color w:val="auto"/>
        </w:rPr>
        <w:t>Schedule 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56" w:lineRule="exact"/>
        <w:rPr>
          <w:sz w:val="20"/>
          <w:szCs w:val="20"/>
          <w:color w:val="auto"/>
        </w:rPr>
      </w:pPr>
    </w:p>
    <w:p>
      <w:pPr>
        <w:ind w:left="880" w:hanging="872"/>
        <w:spacing w:after="0"/>
        <w:tabs>
          <w:tab w:leader="none" w:pos="880"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CONSIDERATION, WAIVER AND RELEASE</w:t>
      </w:r>
    </w:p>
    <w:p>
      <w:pPr>
        <w:spacing w:after="0" w:line="177"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3.1      In consideration of the Employee’s agreement to the terms and conditions hereof and in full and final settlement, satisfaction, release and discharge of any and all claims, actions or causes of action, suits, complaints, liabilities,</w:t>
      </w:r>
    </w:p>
    <w:p>
      <w:pPr>
        <w:spacing w:after="0" w:line="1" w:lineRule="exact"/>
        <w:rPr>
          <w:sz w:val="20"/>
          <w:szCs w:val="20"/>
          <w:color w:val="auto"/>
        </w:rPr>
      </w:pPr>
    </w:p>
    <w:p>
      <w:pPr>
        <w:ind w:left="880"/>
        <w:spacing w:after="0" w:line="204" w:lineRule="auto"/>
        <w:rPr>
          <w:sz w:val="20"/>
          <w:szCs w:val="20"/>
          <w:color w:val="auto"/>
        </w:rPr>
      </w:pPr>
      <w:r>
        <w:rPr>
          <w:rFonts w:ascii="Arial" w:cs="Arial" w:eastAsia="Arial" w:hAnsi="Arial"/>
          <w:sz w:val="20"/>
          <w:szCs w:val="20"/>
          <w:color w:val="auto"/>
        </w:rPr>
        <w:t>agreements, promises, debts or damages, whether existing or contingent, known or unknown, and whether arising under statute, contract, common law (including personal injury), equity or otherwise arising out of the Employee’s</w:t>
      </w:r>
    </w:p>
    <w:p>
      <w:pPr>
        <w:ind w:left="880"/>
        <w:spacing w:after="0" w:line="223" w:lineRule="auto"/>
        <w:rPr>
          <w:sz w:val="20"/>
          <w:szCs w:val="20"/>
          <w:color w:val="auto"/>
        </w:rPr>
      </w:pPr>
      <w:r>
        <w:rPr>
          <w:rFonts w:ascii="Arial" w:cs="Arial" w:eastAsia="Arial" w:hAnsi="Arial"/>
          <w:sz w:val="19"/>
          <w:szCs w:val="19"/>
          <w:color w:val="auto"/>
        </w:rPr>
        <w:t>employment with the Company or the termination thereof as the Employee may have against the Company and/or the</w:t>
      </w:r>
    </w:p>
    <w:p>
      <w:pPr>
        <w:ind w:left="880"/>
        <w:spacing w:after="0" w:line="197" w:lineRule="auto"/>
        <w:rPr>
          <w:sz w:val="20"/>
          <w:szCs w:val="20"/>
          <w:color w:val="auto"/>
        </w:rPr>
      </w:pPr>
      <w:r>
        <w:rPr>
          <w:rFonts w:ascii="Arial" w:cs="Arial" w:eastAsia="Arial" w:hAnsi="Arial"/>
          <w:sz w:val="20"/>
          <w:szCs w:val="20"/>
          <w:color w:val="auto"/>
        </w:rPr>
        <w:t>Group, its or their directors, employees, officers, representatives, agents, successors, shareholders and assigns, the</w:t>
      </w:r>
    </w:p>
    <w:p>
      <w:pPr>
        <w:ind w:left="880"/>
        <w:spacing w:after="0"/>
        <w:rPr>
          <w:sz w:val="20"/>
          <w:szCs w:val="20"/>
          <w:color w:val="auto"/>
        </w:rPr>
      </w:pPr>
      <w:r>
        <w:rPr>
          <w:rFonts w:ascii="Arial" w:cs="Arial" w:eastAsia="Arial" w:hAnsi="Arial"/>
          <w:sz w:val="20"/>
          <w:szCs w:val="20"/>
          <w:color w:val="auto"/>
        </w:rPr>
        <w:t>Company shall:</w:t>
      </w:r>
    </w:p>
    <w:p>
      <w:pPr>
        <w:spacing w:after="0" w:line="184" w:lineRule="exact"/>
        <w:rPr>
          <w:sz w:val="20"/>
          <w:szCs w:val="20"/>
          <w:color w:val="auto"/>
        </w:rPr>
      </w:pPr>
    </w:p>
    <w:p>
      <w:pPr>
        <w:ind w:left="1100" w:hanging="224"/>
        <w:spacing w:after="0"/>
        <w:tabs>
          <w:tab w:leader="none" w:pos="110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enter into a Consultancy Agreement with the Employee in the terms attached hereto at </w:t>
      </w:r>
      <w:r>
        <w:rPr>
          <w:rFonts w:ascii="Arial" w:cs="Arial" w:eastAsia="Arial" w:hAnsi="Arial"/>
          <w:sz w:val="20"/>
          <w:szCs w:val="20"/>
          <w:u w:val="single" w:color="auto"/>
          <w:color w:val="auto"/>
        </w:rPr>
        <w:t>Schedule 3</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880" w:hanging="4"/>
        <w:spacing w:after="0" w:line="253" w:lineRule="auto"/>
        <w:tabs>
          <w:tab w:leader="none" w:pos="1193"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pay to the Employee the sum of $USD485,000, which shall be paid in approximately equal instalments, less applicable deductions for income tax, PRSI and USC charges, on each of the Company’s regular payroll dates during the 12-month period following the Termination Date, which sum shall be paid to the Employee in a tax efficient manner but at no extra cost or expense whatsoever to the Company, beginning on the Company’s first regular payroll date that occurs at least five (5) business days following the latest of (a) the Termination Date, (b) receipt of a copy of this agreement duly executed and (c) a signed copy of the Reaffirmation Certificate at </w:t>
      </w:r>
      <w:r>
        <w:rPr>
          <w:rFonts w:ascii="Arial" w:cs="Arial" w:eastAsia="Arial" w:hAnsi="Arial"/>
          <w:sz w:val="20"/>
          <w:szCs w:val="20"/>
          <w:u w:val="single" w:color="auto"/>
          <w:color w:val="auto"/>
        </w:rPr>
        <w:t>Schedule 2</w:t>
      </w:r>
      <w:r>
        <w:rPr>
          <w:rFonts w:ascii="Arial" w:cs="Arial" w:eastAsia="Arial" w:hAnsi="Arial"/>
          <w:sz w:val="20"/>
          <w:szCs w:val="20"/>
          <w:color w:val="auto"/>
        </w:rPr>
        <w:t xml:space="preserve"> (the “</w:t>
      </w:r>
      <w:r>
        <w:rPr>
          <w:rFonts w:ascii="Arial" w:cs="Arial" w:eastAsia="Arial" w:hAnsi="Arial"/>
          <w:sz w:val="20"/>
          <w:szCs w:val="20"/>
          <w:b w:val="1"/>
          <w:bCs w:val="1"/>
          <w:color w:val="auto"/>
        </w:rPr>
        <w:t>Termination</w:t>
      </w:r>
      <w:r>
        <w:rPr>
          <w:rFonts w:ascii="Arial" w:cs="Arial" w:eastAsia="Arial" w:hAnsi="Arial"/>
          <w:sz w:val="20"/>
          <w:szCs w:val="20"/>
          <w:color w:val="auto"/>
        </w:rPr>
        <w:t xml:space="preserve"> </w:t>
      </w:r>
      <w:r>
        <w:rPr>
          <w:rFonts w:ascii="Arial" w:cs="Arial" w:eastAsia="Arial" w:hAnsi="Arial"/>
          <w:sz w:val="20"/>
          <w:szCs w:val="20"/>
          <w:b w:val="1"/>
          <w:bCs w:val="1"/>
          <w:color w:val="auto"/>
        </w:rPr>
        <w:t>Payment</w:t>
      </w:r>
      <w:r>
        <w:rPr>
          <w:rFonts w:ascii="Arial" w:cs="Arial" w:eastAsia="Arial" w:hAnsi="Arial"/>
          <w:sz w:val="20"/>
          <w:szCs w:val="20"/>
          <w:color w:val="auto"/>
        </w:rPr>
        <w:t>”); and</w:t>
      </w:r>
    </w:p>
    <w:p>
      <w:pPr>
        <w:spacing w:after="0" w:line="179" w:lineRule="exact"/>
        <w:rPr>
          <w:rFonts w:ascii="Arial" w:cs="Arial" w:eastAsia="Arial" w:hAnsi="Arial"/>
          <w:sz w:val="20"/>
          <w:szCs w:val="20"/>
          <w:color w:val="auto"/>
        </w:rPr>
      </w:pPr>
    </w:p>
    <w:p>
      <w:pPr>
        <w:ind w:left="880" w:hanging="4"/>
        <w:spacing w:after="0" w:line="271" w:lineRule="auto"/>
        <w:tabs>
          <w:tab w:leader="none" w:pos="1206" w:val="left"/>
        </w:tabs>
        <w:numPr>
          <w:ilvl w:val="0"/>
          <w:numId w:val="147"/>
        </w:numPr>
        <w:rPr>
          <w:rFonts w:ascii="Arial" w:cs="Arial" w:eastAsia="Arial" w:hAnsi="Arial"/>
          <w:sz w:val="20"/>
          <w:szCs w:val="20"/>
          <w:color w:val="auto"/>
        </w:rPr>
      </w:pPr>
      <w:r>
        <w:rPr>
          <w:rFonts w:ascii="Arial" w:cs="Arial" w:eastAsia="Arial" w:hAnsi="Arial"/>
          <w:sz w:val="20"/>
          <w:szCs w:val="20"/>
          <w:color w:val="auto"/>
        </w:rPr>
        <w:t>It is acknowledged by the Employee that the reference to statute in clause 3.1 above includes but is not limited to following legislation:</w:t>
      </w:r>
    </w:p>
    <w:p>
      <w:pPr>
        <w:spacing w:after="0" w:line="145" w:lineRule="exact"/>
        <w:rPr>
          <w:sz w:val="20"/>
          <w:szCs w:val="20"/>
          <w:color w:val="auto"/>
        </w:rPr>
      </w:pPr>
    </w:p>
    <w:p>
      <w:pPr>
        <w:ind w:left="1260" w:hanging="384"/>
        <w:spacing w:after="0"/>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Redundancy Payments Acts 1967 to 2014;</w:t>
      </w:r>
    </w:p>
    <w:p>
      <w:pPr>
        <w:ind w:left="1260" w:hanging="384"/>
        <w:spacing w:after="0" w:line="196"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Unfair Dismissals Acts 1977 to 2015;</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Payment of Wages Act 1991;</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Maternity Protection Acts 1994 and 2004;</w:t>
      </w:r>
    </w:p>
    <w:p>
      <w:pPr>
        <w:ind w:left="1260" w:hanging="384"/>
        <w:spacing w:after="0" w:line="196"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Adoptive Leave Acts 1995 and 2005;</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Paternity Leave and Benefit Act 2016;</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Terms of Employment (Information) Acts 1994 to 2014;</w:t>
      </w:r>
    </w:p>
    <w:p>
      <w:pPr>
        <w:ind w:left="1260" w:hanging="384"/>
        <w:spacing w:after="0" w:line="196"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Minimum Notice and Terms of Employment Acts 1973 to 2005;</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Protection of Employment Acts 1977 to 2014;</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Safety, Health and Welfare at Work Act 2005 to 2014;</w:t>
      </w:r>
    </w:p>
    <w:p>
      <w:pPr>
        <w:ind w:left="1260" w:hanging="384"/>
        <w:spacing w:after="0" w:line="196"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Pensions Acts 1990 to 2015;</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Organisation of Working Time Act 1997;</w:t>
      </w:r>
    </w:p>
    <w:p>
      <w:pPr>
        <w:ind w:left="1260" w:hanging="384"/>
        <w:spacing w:after="0" w:line="196"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Parental Leave Acts 1998 and 2019;</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Employment Equality Acts 1998 to 2024;</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National Minimum Wage Act 2000 and 2015;</w:t>
      </w:r>
    </w:p>
    <w:p>
      <w:pPr>
        <w:ind w:left="1260" w:hanging="384"/>
        <w:spacing w:after="0" w:line="196"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Carer’s Leave Act 2001;</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Protection of Employees (Part-Time Work) Act 2001;</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Protection of Employees (Fixed-Term Work) Act 2003,</w:t>
      </w:r>
    </w:p>
    <w:p>
      <w:pPr>
        <w:ind w:left="1260" w:hanging="384"/>
        <w:spacing w:after="0" w:line="196"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European Communities (Protection of Employees on Transfer of Undertakings) Regulations 2003;</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Regulation (EU) 2016/679 (General Data Protection Regulation);</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Data Protection Acts 1988 to 2018;</w:t>
      </w:r>
    </w:p>
    <w:p>
      <w:pPr>
        <w:ind w:left="1260" w:hanging="384"/>
        <w:spacing w:after="0" w:line="196"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Industrial Relations Acts 1946 - 2019 (as amended)</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Protected Disclosures Acts 2014 - 2022;</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Workplace Relations Act 2015;</w:t>
      </w:r>
    </w:p>
    <w:p>
      <w:pPr>
        <w:ind w:left="1260" w:hanging="384"/>
        <w:spacing w:after="0" w:line="196"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Employment (Miscellaneous Provisions) Act 2018;</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Parent’s Leave and Benefit Act 2019;</w:t>
      </w:r>
    </w:p>
    <w:p>
      <w:pPr>
        <w:ind w:left="1260" w:hanging="384"/>
        <w:spacing w:after="0" w:line="210"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Family Leave and Miscellaneous Provisions Act 2021;</w:t>
      </w:r>
    </w:p>
    <w:p>
      <w:pPr>
        <w:ind w:left="1260" w:hanging="384"/>
        <w:spacing w:after="0" w:line="196" w:lineRule="auto"/>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Sick Leave Act 2022; and</w:t>
      </w:r>
    </w:p>
    <w:p>
      <w:pPr>
        <w:ind w:left="1260" w:hanging="384"/>
        <w:spacing w:after="0"/>
        <w:tabs>
          <w:tab w:leader="none" w:pos="1260"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color w:val="auto"/>
        </w:rPr>
        <w:t>the European Union (Transparent and Predictable Working Conditions) Regulations 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100"/>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type w:val="continuous"/>
        </w:sectPr>
      </w:pPr>
    </w:p>
    <w:bookmarkStart w:id="229" w:name="page230"/>
    <w:bookmarkEnd w:id="229"/>
    <w:p>
      <w:pPr>
        <w:spacing w:after="0" w:line="200" w:lineRule="exact"/>
        <w:rPr>
          <w:sz w:val="20"/>
          <w:szCs w:val="20"/>
          <w:color w:val="auto"/>
        </w:rPr>
      </w:pPr>
    </w:p>
    <w:p>
      <w:pPr>
        <w:spacing w:after="0" w:line="301" w:lineRule="exact"/>
        <w:rPr>
          <w:sz w:val="20"/>
          <w:szCs w:val="20"/>
          <w:color w:val="auto"/>
        </w:rPr>
      </w:pPr>
    </w:p>
    <w:p>
      <w:pPr>
        <w:jc w:val="right"/>
        <w:spacing w:after="0" w:line="213" w:lineRule="auto"/>
        <w:rPr>
          <w:sz w:val="20"/>
          <w:szCs w:val="20"/>
          <w:color w:val="auto"/>
        </w:rPr>
      </w:pPr>
      <w:r>
        <w:rPr>
          <w:rFonts w:ascii="Arial" w:cs="Arial" w:eastAsia="Arial" w:hAnsi="Arial"/>
          <w:sz w:val="20"/>
          <w:szCs w:val="20"/>
          <w:color w:val="auto"/>
        </w:rPr>
        <w:t>3.2      The Employee will indemnify the Company and keep it indemnified in respect of any income tax, levies or PRSI contributions relating to the Termination Payment and any other benefits provided under this agreement together with</w:t>
      </w:r>
    </w:p>
    <w:p>
      <w:pPr>
        <w:ind w:left="880"/>
        <w:spacing w:after="0" w:line="212" w:lineRule="auto"/>
        <w:rPr>
          <w:sz w:val="20"/>
          <w:szCs w:val="20"/>
          <w:color w:val="auto"/>
        </w:rPr>
      </w:pPr>
      <w:r>
        <w:rPr>
          <w:rFonts w:ascii="Arial" w:cs="Arial" w:eastAsia="Arial" w:hAnsi="Arial"/>
          <w:sz w:val="20"/>
          <w:szCs w:val="20"/>
          <w:color w:val="auto"/>
        </w:rPr>
        <w:t>all associated fines, penalties, interest and costs (including reasonable legal costs). The Company will notify the</w:t>
      </w:r>
    </w:p>
    <w:p>
      <w:pPr>
        <w:spacing w:after="0" w:line="1" w:lineRule="exact"/>
        <w:rPr>
          <w:sz w:val="20"/>
          <w:szCs w:val="20"/>
          <w:color w:val="auto"/>
        </w:rPr>
      </w:pPr>
    </w:p>
    <w:p>
      <w:pPr>
        <w:ind w:left="880" w:right="20"/>
        <w:spacing w:after="0" w:line="225" w:lineRule="auto"/>
        <w:rPr>
          <w:sz w:val="20"/>
          <w:szCs w:val="20"/>
          <w:color w:val="auto"/>
        </w:rPr>
      </w:pPr>
      <w:r>
        <w:rPr>
          <w:rFonts w:ascii="Arial" w:cs="Arial" w:eastAsia="Arial" w:hAnsi="Arial"/>
          <w:sz w:val="20"/>
          <w:szCs w:val="20"/>
          <w:color w:val="auto"/>
        </w:rPr>
        <w:t>Employee when it becomes aware of any circumstances which may lead to such liabilities arising, and will provide him with a reasonable opportunity to challenge any assessment leading to such liability.</w:t>
      </w:r>
    </w:p>
    <w:p>
      <w:pPr>
        <w:spacing w:after="0" w:line="14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The Employee represents and warrants that there are no circumstances of which he is aware or ought reasonably to</w:t>
      </w:r>
    </w:p>
    <w:p>
      <w:pPr>
        <w:ind w:left="880"/>
        <w:spacing w:after="0" w:line="225" w:lineRule="auto"/>
        <w:rPr>
          <w:sz w:val="20"/>
          <w:szCs w:val="20"/>
          <w:color w:val="auto"/>
        </w:rPr>
      </w:pPr>
      <w:r>
        <w:rPr>
          <w:rFonts w:ascii="Arial" w:cs="Arial" w:eastAsia="Arial" w:hAnsi="Arial"/>
          <w:sz w:val="20"/>
          <w:szCs w:val="20"/>
          <w:color w:val="auto"/>
        </w:rPr>
        <w:t>be aware which would amount to a material breach of the terms and conditions of employment which would justify summary dismissal.</w:t>
      </w:r>
    </w:p>
    <w:p>
      <w:pPr>
        <w:spacing w:after="0" w:line="158" w:lineRule="exact"/>
        <w:rPr>
          <w:sz w:val="20"/>
          <w:szCs w:val="20"/>
          <w:color w:val="auto"/>
        </w:rPr>
      </w:pPr>
    </w:p>
    <w:p>
      <w:pPr>
        <w:ind w:left="860" w:hanging="867"/>
        <w:spacing w:after="0" w:line="243" w:lineRule="auto"/>
        <w:tabs>
          <w:tab w:leader="none" w:pos="8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The Employee confirms that he knows of no facts which give rise to an allegation of harassment, discrimination or victimisation in relation to his employment and/or its termination.</w:t>
      </w:r>
    </w:p>
    <w:p>
      <w:pPr>
        <w:spacing w:after="0" w:line="140" w:lineRule="exact"/>
        <w:rPr>
          <w:sz w:val="20"/>
          <w:szCs w:val="20"/>
          <w:color w:val="auto"/>
        </w:rPr>
      </w:pPr>
    </w:p>
    <w:p>
      <w:pPr>
        <w:ind w:left="880" w:hanging="872"/>
        <w:spacing w:after="0"/>
        <w:tabs>
          <w:tab w:leader="none" w:pos="880" w:val="left"/>
        </w:tabs>
        <w:numPr>
          <w:ilvl w:val="0"/>
          <w:numId w:val="149"/>
        </w:numPr>
        <w:rPr>
          <w:rFonts w:ascii="Arial" w:cs="Arial" w:eastAsia="Arial" w:hAnsi="Arial"/>
          <w:sz w:val="20"/>
          <w:szCs w:val="20"/>
          <w:b w:val="1"/>
          <w:bCs w:val="1"/>
          <w:color w:val="auto"/>
        </w:rPr>
      </w:pPr>
      <w:r>
        <w:rPr>
          <w:rFonts w:ascii="Arial" w:cs="Arial" w:eastAsia="Arial" w:hAnsi="Arial"/>
          <w:sz w:val="20"/>
          <w:szCs w:val="20"/>
          <w:b w:val="1"/>
          <w:bCs w:val="1"/>
          <w:color w:val="auto"/>
        </w:rPr>
        <w:t>PENSION</w:t>
      </w:r>
    </w:p>
    <w:p>
      <w:pPr>
        <w:spacing w:after="0" w:line="204" w:lineRule="exact"/>
        <w:rPr>
          <w:rFonts w:ascii="Arial" w:cs="Arial" w:eastAsia="Arial" w:hAnsi="Arial"/>
          <w:sz w:val="20"/>
          <w:szCs w:val="20"/>
          <w:b w:val="1"/>
          <w:bCs w:val="1"/>
          <w:color w:val="auto"/>
        </w:rPr>
      </w:pPr>
    </w:p>
    <w:p>
      <w:pPr>
        <w:ind w:left="880"/>
        <w:spacing w:after="0" w:line="286" w:lineRule="auto"/>
        <w:rPr>
          <w:rFonts w:ascii="Arial" w:cs="Arial" w:eastAsia="Arial" w:hAnsi="Arial"/>
          <w:sz w:val="20"/>
          <w:szCs w:val="20"/>
          <w:b w:val="1"/>
          <w:bCs w:val="1"/>
          <w:color w:val="auto"/>
        </w:rPr>
      </w:pPr>
      <w:r>
        <w:rPr>
          <w:rFonts w:ascii="Arial" w:cs="Arial" w:eastAsia="Arial" w:hAnsi="Arial"/>
          <w:sz w:val="20"/>
          <w:szCs w:val="20"/>
          <w:color w:val="auto"/>
        </w:rPr>
        <w:t>The Employee’s rights and entitlements in relation to his membership of his Personal Retirement Savings Account (if applicable) shall be as set out in the rules of the scheme in place from time to time.</w:t>
      </w:r>
    </w:p>
    <w:p>
      <w:pPr>
        <w:spacing w:after="0" w:line="125" w:lineRule="exact"/>
        <w:rPr>
          <w:sz w:val="20"/>
          <w:szCs w:val="20"/>
          <w:color w:val="auto"/>
        </w:rPr>
      </w:pPr>
    </w:p>
    <w:p>
      <w:pPr>
        <w:ind w:left="880" w:hanging="872"/>
        <w:spacing w:after="0"/>
        <w:tabs>
          <w:tab w:leader="none" w:pos="880" w:val="left"/>
        </w:tabs>
        <w:numPr>
          <w:ilvl w:val="0"/>
          <w:numId w:val="150"/>
        </w:numPr>
        <w:rPr>
          <w:rFonts w:ascii="Arial" w:cs="Arial" w:eastAsia="Arial" w:hAnsi="Arial"/>
          <w:sz w:val="20"/>
          <w:szCs w:val="20"/>
          <w:b w:val="1"/>
          <w:bCs w:val="1"/>
          <w:color w:val="auto"/>
        </w:rPr>
      </w:pPr>
      <w:r>
        <w:rPr>
          <w:rFonts w:ascii="Arial" w:cs="Arial" w:eastAsia="Arial" w:hAnsi="Arial"/>
          <w:sz w:val="20"/>
          <w:szCs w:val="20"/>
          <w:b w:val="1"/>
          <w:bCs w:val="1"/>
          <w:color w:val="auto"/>
        </w:rPr>
        <w:t>SHARE PARTICIPATION SCHEME</w:t>
      </w:r>
    </w:p>
    <w:p>
      <w:pPr>
        <w:spacing w:after="0" w:line="202" w:lineRule="exact"/>
        <w:rPr>
          <w:rFonts w:ascii="Arial" w:cs="Arial" w:eastAsia="Arial" w:hAnsi="Arial"/>
          <w:sz w:val="20"/>
          <w:szCs w:val="20"/>
          <w:b w:val="1"/>
          <w:bCs w:val="1"/>
          <w:color w:val="auto"/>
        </w:rPr>
      </w:pPr>
    </w:p>
    <w:p>
      <w:pPr>
        <w:jc w:val="both"/>
        <w:ind w:left="880"/>
        <w:spacing w:after="0" w:line="263" w:lineRule="auto"/>
        <w:rPr>
          <w:rFonts w:ascii="Arial" w:cs="Arial" w:eastAsia="Arial" w:hAnsi="Arial"/>
          <w:sz w:val="20"/>
          <w:szCs w:val="20"/>
          <w:b w:val="1"/>
          <w:bCs w:val="1"/>
          <w:color w:val="auto"/>
        </w:rPr>
      </w:pPr>
      <w:r>
        <w:rPr>
          <w:rFonts w:ascii="Arial" w:cs="Arial" w:eastAsia="Arial" w:hAnsi="Arial"/>
          <w:sz w:val="19"/>
          <w:szCs w:val="19"/>
          <w:color w:val="auto"/>
        </w:rPr>
        <w:t>Employee has certain equity awards issued by the Company’s ultimate parent company, Zymeworks Inc. (“</w:t>
      </w:r>
      <w:r>
        <w:rPr>
          <w:rFonts w:ascii="Arial" w:cs="Arial" w:eastAsia="Arial" w:hAnsi="Arial"/>
          <w:sz w:val="19"/>
          <w:szCs w:val="19"/>
          <w:b w:val="1"/>
          <w:bCs w:val="1"/>
          <w:color w:val="auto"/>
        </w:rPr>
        <w:t>Parent”</w:t>
      </w:r>
      <w:r>
        <w:rPr>
          <w:rFonts w:ascii="Arial" w:cs="Arial" w:eastAsia="Arial" w:hAnsi="Arial"/>
          <w:sz w:val="19"/>
          <w:szCs w:val="19"/>
          <w:color w:val="auto"/>
        </w:rPr>
        <w:t>) under the Zymeworks Inc. Amended and Restated Stock Option and Equity Compensation Plan (the “</w:t>
      </w:r>
      <w:r>
        <w:rPr>
          <w:rFonts w:ascii="Arial" w:cs="Arial" w:eastAsia="Arial" w:hAnsi="Arial"/>
          <w:sz w:val="19"/>
          <w:szCs w:val="19"/>
          <w:b w:val="1"/>
          <w:bCs w:val="1"/>
          <w:color w:val="auto"/>
        </w:rPr>
        <w:t>Plan</w:t>
      </w:r>
      <w:r>
        <w:rPr>
          <w:rFonts w:ascii="Arial" w:cs="Arial" w:eastAsia="Arial" w:hAnsi="Arial"/>
          <w:sz w:val="19"/>
          <w:szCs w:val="19"/>
          <w:color w:val="auto"/>
        </w:rPr>
        <w:t>”), covering Parent common stock. The Company and Employee agree and acknowledge that Employee’s Parent equity awards will remain outstanding and continue to vest and, if applicable, become exercisable, through and including Employee’s Termination Date in accordance with, and to the extent provided by, the terms of such awards. Further, Employee and the Company agree and acknowledge that if, as contemplated by this Agreement, Employee’s continued service as a consultant commences immediately following Employee’s termination from employment pursuant to the Consultancy Agreement, Employee will have no break in service between the termination of Employee’s employment and the commencement of consulting services and therefore, Employee’s Parent equity awards will remain outstanding and continue to vest and, if applicable, become exercisable, while Employee remains in service to Parent, the Company or any of Parent’s other direct or indirect subsidiaries, in accordance with, and to the extent provided by, the terms of such awards. Upon Employee’s cessation of service to Parent and its direct or indirect subsidiaries, the then-unvested portion of Employee’s Parent equity awards will forfeit and, to the extent applicable, will remain exercisable for a period of time following such cessation of service if and as provided under the terms of the applicable award. Throughout the period from the date of this Agreement until the later of (i) the Termination Date and (ii) the expiration or termination of the Consultancy Agreement, the exercise of Employee’s vested stock options, the shares purchased thereunder and Employee’s restricted stock units and other awards shall continue to be governed by the terms and conditions of the Plan and the applicable equity award agreements pursuant to which they were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100"/>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56" w:lineRule="exact"/>
        <w:rPr>
          <w:sz w:val="20"/>
          <w:szCs w:val="20"/>
          <w:color w:val="auto"/>
        </w:rPr>
      </w:pPr>
    </w:p>
    <w:p>
      <w:pPr>
        <w:ind w:left="880" w:hanging="872"/>
        <w:spacing w:after="0"/>
        <w:tabs>
          <w:tab w:leader="none" w:pos="880" w:val="left"/>
        </w:tabs>
        <w:numPr>
          <w:ilvl w:val="0"/>
          <w:numId w:val="151"/>
        </w:numPr>
        <w:rPr>
          <w:rFonts w:ascii="Arial" w:cs="Arial" w:eastAsia="Arial" w:hAnsi="Arial"/>
          <w:sz w:val="20"/>
          <w:szCs w:val="20"/>
          <w:b w:val="1"/>
          <w:bCs w:val="1"/>
          <w:color w:val="auto"/>
        </w:rPr>
      </w:pPr>
      <w:r>
        <w:rPr>
          <w:rFonts w:ascii="Arial" w:cs="Arial" w:eastAsia="Arial" w:hAnsi="Arial"/>
          <w:sz w:val="20"/>
          <w:szCs w:val="20"/>
          <w:b w:val="1"/>
          <w:bCs w:val="1"/>
          <w:color w:val="auto"/>
        </w:rPr>
        <w:t>NO ADMISSION</w:t>
      </w:r>
    </w:p>
    <w:p>
      <w:pPr>
        <w:spacing w:after="0" w:line="190" w:lineRule="exact"/>
        <w:rPr>
          <w:rFonts w:ascii="Arial" w:cs="Arial" w:eastAsia="Arial" w:hAnsi="Arial"/>
          <w:sz w:val="20"/>
          <w:szCs w:val="20"/>
          <w:b w:val="1"/>
          <w:bCs w:val="1"/>
          <w:color w:val="auto"/>
        </w:rPr>
      </w:pPr>
    </w:p>
    <w:p>
      <w:pPr>
        <w:ind w:left="880"/>
        <w:spacing w:after="0" w:line="286" w:lineRule="auto"/>
        <w:rPr>
          <w:rFonts w:ascii="Arial" w:cs="Arial" w:eastAsia="Arial" w:hAnsi="Arial"/>
          <w:sz w:val="20"/>
          <w:szCs w:val="20"/>
          <w:b w:val="1"/>
          <w:bCs w:val="1"/>
          <w:color w:val="auto"/>
        </w:rPr>
      </w:pPr>
      <w:r>
        <w:rPr>
          <w:rFonts w:ascii="Arial" w:cs="Arial" w:eastAsia="Arial" w:hAnsi="Arial"/>
          <w:sz w:val="20"/>
          <w:szCs w:val="20"/>
          <w:color w:val="auto"/>
        </w:rPr>
        <w:t>The execution of this agreement shall not be construed as an admission of a breach of statute or law by either Party or breach of any duty or obligation by the Company to the Employee and is entered into without admission of liability.</w:t>
      </w:r>
    </w:p>
    <w:p>
      <w:pPr>
        <w:spacing w:after="0" w:line="138" w:lineRule="exact"/>
        <w:rPr>
          <w:sz w:val="20"/>
          <w:szCs w:val="20"/>
          <w:color w:val="auto"/>
        </w:rPr>
      </w:pPr>
    </w:p>
    <w:p>
      <w:pPr>
        <w:ind w:left="880" w:hanging="872"/>
        <w:spacing w:after="0"/>
        <w:tabs>
          <w:tab w:leader="none" w:pos="880"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RESTRICTIVE COVENANTS</w:t>
      </w:r>
    </w:p>
    <w:p>
      <w:pPr>
        <w:spacing w:after="0" w:line="190" w:lineRule="exact"/>
        <w:rPr>
          <w:rFonts w:ascii="Arial" w:cs="Arial" w:eastAsia="Arial" w:hAnsi="Arial"/>
          <w:sz w:val="20"/>
          <w:szCs w:val="20"/>
          <w:b w:val="1"/>
          <w:bCs w:val="1"/>
          <w:color w:val="auto"/>
        </w:rPr>
      </w:pPr>
    </w:p>
    <w:p>
      <w:pPr>
        <w:ind w:left="880"/>
        <w:spacing w:after="0" w:line="286" w:lineRule="auto"/>
        <w:rPr>
          <w:rFonts w:ascii="Arial" w:cs="Arial" w:eastAsia="Arial" w:hAnsi="Arial"/>
          <w:sz w:val="20"/>
          <w:szCs w:val="20"/>
          <w:b w:val="1"/>
          <w:bCs w:val="1"/>
          <w:color w:val="auto"/>
        </w:rPr>
      </w:pPr>
      <w:r>
        <w:rPr>
          <w:rFonts w:ascii="Arial" w:cs="Arial" w:eastAsia="Arial" w:hAnsi="Arial"/>
          <w:sz w:val="20"/>
          <w:szCs w:val="20"/>
          <w:color w:val="auto"/>
        </w:rPr>
        <w:t>The terms of the Employee’s contract of employment dated 3 January 2023 which are due to take effect or continue after the termination of the Employee’s employment shall remain in full force and effect.</w:t>
      </w:r>
    </w:p>
    <w:p>
      <w:pPr>
        <w:spacing w:after="0" w:line="125" w:lineRule="exact"/>
        <w:rPr>
          <w:sz w:val="20"/>
          <w:szCs w:val="20"/>
          <w:color w:val="auto"/>
        </w:rPr>
      </w:pPr>
    </w:p>
    <w:p>
      <w:pPr>
        <w:ind w:left="880" w:hanging="872"/>
        <w:spacing w:after="0"/>
        <w:tabs>
          <w:tab w:leader="none" w:pos="880"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color w:val="auto"/>
        </w:rPr>
        <w:t>NO AUTHORITY</w:t>
      </w:r>
    </w:p>
    <w:p>
      <w:pPr>
        <w:spacing w:after="0" w:line="204" w:lineRule="exact"/>
        <w:rPr>
          <w:rFonts w:ascii="Arial" w:cs="Arial" w:eastAsia="Arial" w:hAnsi="Arial"/>
          <w:sz w:val="20"/>
          <w:szCs w:val="20"/>
          <w:b w:val="1"/>
          <w:bCs w:val="1"/>
          <w:color w:val="auto"/>
        </w:rPr>
      </w:pPr>
    </w:p>
    <w:p>
      <w:pPr>
        <w:jc w:val="both"/>
        <w:ind w:left="880"/>
        <w:spacing w:after="0" w:line="262" w:lineRule="auto"/>
        <w:rPr>
          <w:rFonts w:ascii="Arial" w:cs="Arial" w:eastAsia="Arial" w:hAnsi="Arial"/>
          <w:sz w:val="20"/>
          <w:szCs w:val="20"/>
          <w:b w:val="1"/>
          <w:bCs w:val="1"/>
          <w:color w:val="auto"/>
        </w:rPr>
      </w:pPr>
      <w:r>
        <w:rPr>
          <w:rFonts w:ascii="Arial" w:cs="Arial" w:eastAsia="Arial" w:hAnsi="Arial"/>
          <w:sz w:val="20"/>
          <w:szCs w:val="20"/>
          <w:color w:val="auto"/>
        </w:rPr>
        <w:t>The Employee hereby covenants and agrees that he will not, from the Termination Date, hold himself out or expressly or impliedly represent to any third party that he has the authority to speak for, represent or in any way bind the Company.</w:t>
      </w:r>
    </w:p>
    <w:p>
      <w:pPr>
        <w:spacing w:after="0" w:line="163" w:lineRule="exact"/>
        <w:rPr>
          <w:sz w:val="20"/>
          <w:szCs w:val="20"/>
          <w:color w:val="auto"/>
        </w:rPr>
      </w:pPr>
    </w:p>
    <w:p>
      <w:pPr>
        <w:ind w:left="880" w:hanging="872"/>
        <w:spacing w:after="0"/>
        <w:tabs>
          <w:tab w:leader="none" w:pos="880" w:val="left"/>
        </w:tabs>
        <w:numPr>
          <w:ilvl w:val="0"/>
          <w:numId w:val="154"/>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w:t>
      </w:r>
    </w:p>
    <w:p>
      <w:pPr>
        <w:spacing w:after="0" w:line="204" w:lineRule="exact"/>
        <w:rPr>
          <w:rFonts w:ascii="Arial" w:cs="Arial" w:eastAsia="Arial" w:hAnsi="Arial"/>
          <w:sz w:val="20"/>
          <w:szCs w:val="20"/>
          <w:b w:val="1"/>
          <w:bCs w:val="1"/>
          <w:color w:val="auto"/>
        </w:rPr>
      </w:pPr>
    </w:p>
    <w:p>
      <w:pPr>
        <w:jc w:val="both"/>
        <w:ind w:left="880"/>
        <w:spacing w:after="0" w:line="252" w:lineRule="auto"/>
        <w:rPr>
          <w:rFonts w:ascii="Arial" w:cs="Arial" w:eastAsia="Arial" w:hAnsi="Arial"/>
          <w:sz w:val="20"/>
          <w:szCs w:val="20"/>
          <w:b w:val="1"/>
          <w:bCs w:val="1"/>
          <w:color w:val="auto"/>
        </w:rPr>
      </w:pPr>
      <w:r>
        <w:rPr>
          <w:rFonts w:ascii="Arial" w:cs="Arial" w:eastAsia="Arial" w:hAnsi="Arial"/>
          <w:sz w:val="20"/>
          <w:szCs w:val="20"/>
          <w:color w:val="auto"/>
        </w:rPr>
        <w:t>The Employee hereby covenants and agrees that he shall not reveal, publish or disclose to any person, association or company any Confidential Information of the Company and/or the Group, except for such information as may be in the public domain through no fault of the Employee or may be required to be disclosed by a court or governmental administrative body of competent jurisdiction, provided that the Employee provides prompt notice of such required disclosure to the Company, where practicable, prior to the disclosure. The Employee further agrees that he shall not use or attempt to use Confidential Information in any manner which may injure or cause loss or may be calculated to injure or cause loss whether directly or indirectly to the Company or which may benefit any other person, association or company.</w:t>
      </w:r>
    </w:p>
    <w:p>
      <w:pPr>
        <w:spacing w:after="0" w:line="159" w:lineRule="exact"/>
        <w:rPr>
          <w:sz w:val="20"/>
          <w:szCs w:val="20"/>
          <w:color w:val="auto"/>
        </w:rPr>
      </w:pPr>
    </w:p>
    <w:p>
      <w:pPr>
        <w:ind w:left="860" w:hanging="852"/>
        <w:spacing w:after="0"/>
        <w:tabs>
          <w:tab w:leader="none" w:pos="860" w:val="left"/>
        </w:tabs>
        <w:numPr>
          <w:ilvl w:val="0"/>
          <w:numId w:val="155"/>
        </w:numPr>
        <w:rPr>
          <w:rFonts w:ascii="Arial" w:cs="Arial" w:eastAsia="Arial" w:hAnsi="Arial"/>
          <w:sz w:val="20"/>
          <w:szCs w:val="20"/>
          <w:b w:val="1"/>
          <w:bCs w:val="1"/>
          <w:color w:val="auto"/>
        </w:rPr>
      </w:pPr>
      <w:r>
        <w:rPr>
          <w:rFonts w:ascii="Arial" w:cs="Arial" w:eastAsia="Arial" w:hAnsi="Arial"/>
          <w:sz w:val="20"/>
          <w:szCs w:val="20"/>
          <w:b w:val="1"/>
          <w:bCs w:val="1"/>
          <w:color w:val="auto"/>
        </w:rPr>
        <w:t>NO ADVERSE REMARKS</w:t>
      </w:r>
    </w:p>
    <w:p>
      <w:pPr>
        <w:spacing w:after="0" w:line="204" w:lineRule="exact"/>
        <w:rPr>
          <w:rFonts w:ascii="Arial" w:cs="Arial" w:eastAsia="Arial" w:hAnsi="Arial"/>
          <w:sz w:val="20"/>
          <w:szCs w:val="20"/>
          <w:b w:val="1"/>
          <w:bCs w:val="1"/>
          <w:color w:val="auto"/>
        </w:rPr>
      </w:pPr>
    </w:p>
    <w:p>
      <w:pPr>
        <w:jc w:val="both"/>
        <w:ind w:left="880"/>
        <w:spacing w:after="0" w:line="254" w:lineRule="auto"/>
        <w:rPr>
          <w:rFonts w:ascii="Arial" w:cs="Arial" w:eastAsia="Arial" w:hAnsi="Arial"/>
          <w:sz w:val="20"/>
          <w:szCs w:val="20"/>
          <w:b w:val="1"/>
          <w:bCs w:val="1"/>
          <w:color w:val="auto"/>
        </w:rPr>
      </w:pPr>
      <w:r>
        <w:rPr>
          <w:rFonts w:ascii="Arial" w:cs="Arial" w:eastAsia="Arial" w:hAnsi="Arial"/>
          <w:sz w:val="20"/>
          <w:szCs w:val="20"/>
          <w:color w:val="auto"/>
        </w:rPr>
        <w:t>The Employee agrees that he shall not at any time make any negative or adverse remarks whatsoever concerning the Company and/or the Group or any of their shareholders, directors, officers, employees or agents or concerning the business, operations, technologies, products, services, marketing strategies, pricing policies, management affairs, financial conditions, systems and procedures, controls, books and records, employees or service providers of the Company and/or the Group. The Company shall use reasonable endeavours to ensure that no director or senior executive who is aware of the existence of this agreement makes any negative or adverse remarks whatsoever concerning the Employee.</w:t>
      </w:r>
    </w:p>
    <w:p>
      <w:pPr>
        <w:spacing w:after="0" w:line="157" w:lineRule="exact"/>
        <w:rPr>
          <w:rFonts w:ascii="Arial" w:cs="Arial" w:eastAsia="Arial" w:hAnsi="Arial"/>
          <w:sz w:val="20"/>
          <w:szCs w:val="20"/>
          <w:b w:val="1"/>
          <w:bCs w:val="1"/>
          <w:color w:val="auto"/>
        </w:rPr>
      </w:pPr>
    </w:p>
    <w:p>
      <w:pPr>
        <w:ind w:left="860" w:hanging="852"/>
        <w:spacing w:after="0"/>
        <w:tabs>
          <w:tab w:leader="none" w:pos="860" w:val="left"/>
        </w:tabs>
        <w:numPr>
          <w:ilvl w:val="0"/>
          <w:numId w:val="155"/>
        </w:numPr>
        <w:rPr>
          <w:rFonts w:ascii="Arial" w:cs="Arial" w:eastAsia="Arial" w:hAnsi="Arial"/>
          <w:sz w:val="20"/>
          <w:szCs w:val="20"/>
          <w:b w:val="1"/>
          <w:bCs w:val="1"/>
          <w:color w:val="auto"/>
        </w:rPr>
      </w:pPr>
      <w:r>
        <w:rPr>
          <w:rFonts w:ascii="Arial" w:cs="Arial" w:eastAsia="Arial" w:hAnsi="Arial"/>
          <w:sz w:val="20"/>
          <w:szCs w:val="20"/>
          <w:b w:val="1"/>
          <w:bCs w:val="1"/>
          <w:color w:val="auto"/>
        </w:rPr>
        <w:t>SEVERABILITY</w:t>
      </w:r>
    </w:p>
    <w:p>
      <w:pPr>
        <w:spacing w:after="0" w:line="204" w:lineRule="exact"/>
        <w:rPr>
          <w:sz w:val="20"/>
          <w:szCs w:val="20"/>
          <w:color w:val="auto"/>
        </w:rPr>
      </w:pPr>
    </w:p>
    <w:p>
      <w:pPr>
        <w:jc w:val="both"/>
        <w:ind w:left="880"/>
        <w:spacing w:after="0" w:line="254" w:lineRule="auto"/>
        <w:rPr>
          <w:sz w:val="20"/>
          <w:szCs w:val="20"/>
          <w:color w:val="auto"/>
        </w:rPr>
      </w:pPr>
      <w:r>
        <w:rPr>
          <w:rFonts w:ascii="Arial" w:cs="Arial" w:eastAsia="Arial" w:hAnsi="Arial"/>
          <w:sz w:val="20"/>
          <w:szCs w:val="20"/>
          <w:color w:val="auto"/>
        </w:rPr>
        <w:t>The Employee hereby acknowledges and agrees that each clause in this agreement, and every part thereof, are entirely separate and independent (notwithstanding that they may be contained in the same clause, sub-clause, paragraph, sub-paragraph, sentence or phrase) and that they are independent, separate and severable and enforceable accordingly and that the duration, extent and application of each such clause, and every part thereof, is no greater than is reasonable and necessary for protection of the legitimate interests of the Company and that if any such clause, or any part thereof, shall be adjudged by any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272" w:lineRule="exact"/>
        <w:rPr>
          <w:sz w:val="20"/>
          <w:szCs w:val="20"/>
          <w:color w:val="auto"/>
        </w:rPr>
      </w:pPr>
    </w:p>
    <w:p>
      <w:pPr>
        <w:jc w:val="both"/>
        <w:ind w:left="880"/>
        <w:spacing w:after="0" w:line="254" w:lineRule="auto"/>
        <w:rPr>
          <w:sz w:val="20"/>
          <w:szCs w:val="20"/>
          <w:color w:val="auto"/>
        </w:rPr>
      </w:pPr>
      <w:r>
        <w:rPr>
          <w:rFonts w:ascii="Arial" w:cs="Arial" w:eastAsia="Arial" w:hAnsi="Arial"/>
          <w:sz w:val="20"/>
          <w:szCs w:val="20"/>
          <w:color w:val="auto"/>
        </w:rPr>
        <w:t>competent jurisdiction to be void or unenforceable but would be valid if part of the wording thereof was deleted and/or the period thereof was reduced and/or the geographical area dealt with thereby was reduced the said clause, or part thereof, shall apply within the jurisdiction of that court with such modifications as may be necessary to make it valid, effective and enforceable and shall be deemed to have been amended accordingly so that such clause, or part thereof, shall be construed by such court by limiting and reducing it or them so as to be enforceable to the maximum extent compatible with the applicable law as it shall then apply.</w:t>
      </w:r>
    </w:p>
    <w:p>
      <w:pPr>
        <w:spacing w:after="0" w:line="158" w:lineRule="exact"/>
        <w:rPr>
          <w:sz w:val="20"/>
          <w:szCs w:val="20"/>
          <w:color w:val="auto"/>
        </w:rPr>
      </w:pPr>
    </w:p>
    <w:p>
      <w:pPr>
        <w:ind w:left="860" w:hanging="852"/>
        <w:spacing w:after="0"/>
        <w:tabs>
          <w:tab w:leader="none" w:pos="860"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ENTIRE UNDERSTANDING</w:t>
      </w:r>
    </w:p>
    <w:p>
      <w:pPr>
        <w:spacing w:after="0" w:line="204" w:lineRule="exact"/>
        <w:rPr>
          <w:rFonts w:ascii="Arial" w:cs="Arial" w:eastAsia="Arial" w:hAnsi="Arial"/>
          <w:sz w:val="20"/>
          <w:szCs w:val="20"/>
          <w:b w:val="1"/>
          <w:bCs w:val="1"/>
          <w:color w:val="auto"/>
        </w:rPr>
      </w:pPr>
    </w:p>
    <w:p>
      <w:pPr>
        <w:jc w:val="both"/>
        <w:ind w:left="880"/>
        <w:spacing w:after="0" w:line="259" w:lineRule="auto"/>
        <w:rPr>
          <w:rFonts w:ascii="Arial" w:cs="Arial" w:eastAsia="Arial" w:hAnsi="Arial"/>
          <w:sz w:val="20"/>
          <w:szCs w:val="20"/>
          <w:b w:val="1"/>
          <w:bCs w:val="1"/>
          <w:color w:val="auto"/>
        </w:rPr>
      </w:pPr>
      <w:r>
        <w:rPr>
          <w:rFonts w:ascii="Arial" w:cs="Arial" w:eastAsia="Arial" w:hAnsi="Arial"/>
          <w:sz w:val="20"/>
          <w:szCs w:val="20"/>
          <w:color w:val="auto"/>
        </w:rPr>
        <w:t>Subject to clause 7, this agreement contains the whole agreement between the Parties hereto relating to the transactions provided for in this agreement and supersedes all previous agreements (if any) between such Parties in respect of such matters and each of the Parties to this agreement acknowledges that in agreeing to enter into this agreement it has not relied on any representations or warranties except for those contained in this agreement.</w:t>
      </w:r>
    </w:p>
    <w:p>
      <w:pPr>
        <w:spacing w:after="0" w:line="152" w:lineRule="exact"/>
        <w:rPr>
          <w:rFonts w:ascii="Arial" w:cs="Arial" w:eastAsia="Arial" w:hAnsi="Arial"/>
          <w:sz w:val="20"/>
          <w:szCs w:val="20"/>
          <w:b w:val="1"/>
          <w:bCs w:val="1"/>
          <w:color w:val="auto"/>
        </w:rPr>
      </w:pPr>
    </w:p>
    <w:p>
      <w:pPr>
        <w:ind w:left="860" w:hanging="852"/>
        <w:spacing w:after="0"/>
        <w:tabs>
          <w:tab w:leader="none" w:pos="860"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INDEPENDENT LEGAL ADVICE</w:t>
      </w:r>
    </w:p>
    <w:p>
      <w:pPr>
        <w:spacing w:after="0" w:line="18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20"/>
          <w:szCs w:val="20"/>
          <w:color w:val="auto"/>
        </w:rPr>
        <w:t>The Employee acknowledges that he has taken legal advice from his own solicitor and understands the effect and</w:t>
      </w:r>
    </w:p>
    <w:p>
      <w:pPr>
        <w:ind w:left="880"/>
        <w:spacing w:after="0" w:line="225" w:lineRule="auto"/>
        <w:rPr>
          <w:sz w:val="20"/>
          <w:szCs w:val="20"/>
          <w:color w:val="auto"/>
        </w:rPr>
      </w:pPr>
      <w:r>
        <w:rPr>
          <w:rFonts w:ascii="Arial" w:cs="Arial" w:eastAsia="Arial" w:hAnsi="Arial"/>
          <w:sz w:val="20"/>
          <w:szCs w:val="20"/>
          <w:color w:val="auto"/>
        </w:rPr>
        <w:t>implications of this agreement and every part thereof. The Employee further acknowledges that he has entered into this agreement without any coercion of any description.</w:t>
      </w:r>
    </w:p>
    <w:p>
      <w:pPr>
        <w:spacing w:after="0" w:line="14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20"/>
          <w:szCs w:val="20"/>
          <w:color w:val="auto"/>
        </w:rPr>
        <w:t>The Employee accepts and understands that payment of the Termination Payment is subject to receipt by the</w:t>
      </w:r>
    </w:p>
    <w:p>
      <w:pPr>
        <w:ind w:left="880"/>
        <w:spacing w:after="0" w:line="225" w:lineRule="auto"/>
        <w:rPr>
          <w:sz w:val="20"/>
          <w:szCs w:val="20"/>
          <w:color w:val="auto"/>
        </w:rPr>
      </w:pPr>
      <w:r>
        <w:rPr>
          <w:rFonts w:ascii="Arial" w:cs="Arial" w:eastAsia="Arial" w:hAnsi="Arial"/>
          <w:sz w:val="20"/>
          <w:szCs w:val="20"/>
          <w:color w:val="auto"/>
        </w:rPr>
        <w:t>Company of confirmation in writing from a practising solicitor that the Employee has, in fact, taken legal advice on and understands the effect and implications of this agreement.</w:t>
      </w:r>
    </w:p>
    <w:p>
      <w:pPr>
        <w:spacing w:after="0" w:line="156" w:lineRule="exact"/>
        <w:rPr>
          <w:sz w:val="20"/>
          <w:szCs w:val="20"/>
          <w:color w:val="auto"/>
        </w:rPr>
      </w:pPr>
    </w:p>
    <w:p>
      <w:pPr>
        <w:ind w:left="860" w:hanging="852"/>
        <w:spacing w:after="0"/>
        <w:tabs>
          <w:tab w:leader="none" w:pos="860" w:val="left"/>
        </w:tabs>
        <w:numPr>
          <w:ilvl w:val="0"/>
          <w:numId w:val="157"/>
        </w:numPr>
        <w:rPr>
          <w:rFonts w:ascii="Arial" w:cs="Arial" w:eastAsia="Arial" w:hAnsi="Arial"/>
          <w:sz w:val="20"/>
          <w:szCs w:val="20"/>
          <w:b w:val="1"/>
          <w:bCs w:val="1"/>
          <w:color w:val="auto"/>
        </w:rPr>
      </w:pPr>
      <w:r>
        <w:rPr>
          <w:rFonts w:ascii="Arial" w:cs="Arial" w:eastAsia="Arial" w:hAnsi="Arial"/>
          <w:sz w:val="20"/>
          <w:szCs w:val="20"/>
          <w:b w:val="1"/>
          <w:bCs w:val="1"/>
          <w:color w:val="auto"/>
        </w:rPr>
        <w:t>BREACH AND DAMAGES</w:t>
      </w:r>
    </w:p>
    <w:p>
      <w:pPr>
        <w:spacing w:after="0" w:line="204" w:lineRule="exact"/>
        <w:rPr>
          <w:rFonts w:ascii="Arial" w:cs="Arial" w:eastAsia="Arial" w:hAnsi="Arial"/>
          <w:sz w:val="20"/>
          <w:szCs w:val="20"/>
          <w:b w:val="1"/>
          <w:bCs w:val="1"/>
          <w:color w:val="auto"/>
        </w:rPr>
      </w:pPr>
    </w:p>
    <w:p>
      <w:pPr>
        <w:jc w:val="both"/>
        <w:ind w:left="880" w:right="20"/>
        <w:spacing w:after="0" w:line="254" w:lineRule="auto"/>
        <w:rPr>
          <w:rFonts w:ascii="Arial" w:cs="Arial" w:eastAsia="Arial" w:hAnsi="Arial"/>
          <w:sz w:val="20"/>
          <w:szCs w:val="20"/>
          <w:b w:val="1"/>
          <w:bCs w:val="1"/>
          <w:color w:val="auto"/>
        </w:rPr>
      </w:pPr>
      <w:r>
        <w:rPr>
          <w:rFonts w:ascii="Arial" w:cs="Arial" w:eastAsia="Arial" w:hAnsi="Arial"/>
          <w:sz w:val="20"/>
          <w:szCs w:val="20"/>
          <w:color w:val="auto"/>
        </w:rPr>
        <w:t>Notwithstanding the provisions of clause 3.1 and clause 7 above, the Employee and the Company agree that if either Party breaches any provision of this agreement, the other Party shall be entitled to initiate proceedings to seek to recover any loss or damages suffered as a result of any such breach to include all costs, legal fees and any other expenses incurred as a result of the breach. Furthermore, the Parties agree that any consideration which remains payable or becomes payable on or after the date of the breach shall cease to be payable.</w:t>
      </w:r>
    </w:p>
    <w:p>
      <w:pPr>
        <w:spacing w:after="0" w:line="171" w:lineRule="exact"/>
        <w:rPr>
          <w:rFonts w:ascii="Arial" w:cs="Arial" w:eastAsia="Arial" w:hAnsi="Arial"/>
          <w:sz w:val="20"/>
          <w:szCs w:val="20"/>
          <w:b w:val="1"/>
          <w:bCs w:val="1"/>
          <w:color w:val="auto"/>
        </w:rPr>
      </w:pPr>
    </w:p>
    <w:p>
      <w:pPr>
        <w:ind w:left="860" w:hanging="852"/>
        <w:spacing w:after="0"/>
        <w:tabs>
          <w:tab w:leader="none" w:pos="860" w:val="left"/>
        </w:tabs>
        <w:numPr>
          <w:ilvl w:val="0"/>
          <w:numId w:val="157"/>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190" w:lineRule="exact"/>
        <w:rPr>
          <w:rFonts w:ascii="Arial" w:cs="Arial" w:eastAsia="Arial" w:hAnsi="Arial"/>
          <w:sz w:val="20"/>
          <w:szCs w:val="20"/>
          <w:b w:val="1"/>
          <w:bCs w:val="1"/>
          <w:color w:val="auto"/>
        </w:rPr>
      </w:pPr>
    </w:p>
    <w:p>
      <w:pPr>
        <w:jc w:val="both"/>
        <w:ind w:left="880"/>
        <w:spacing w:after="0" w:line="262" w:lineRule="auto"/>
        <w:rPr>
          <w:rFonts w:ascii="Arial" w:cs="Arial" w:eastAsia="Arial" w:hAnsi="Arial"/>
          <w:sz w:val="20"/>
          <w:szCs w:val="20"/>
          <w:b w:val="1"/>
          <w:bCs w:val="1"/>
          <w:color w:val="auto"/>
        </w:rPr>
      </w:pPr>
      <w:r>
        <w:rPr>
          <w:rFonts w:ascii="Arial" w:cs="Arial" w:eastAsia="Arial" w:hAnsi="Arial"/>
          <w:sz w:val="20"/>
          <w:szCs w:val="20"/>
          <w:color w:val="auto"/>
        </w:rPr>
        <w:t>All disputes between the Parties arising out of or in any way relating to the agreement or any other disputes between the Parties in any way connected with the subject matter of the agreement shall be governed by the laws of Ireland and subject to the exclusive jurisdiction of the Irish courts.</w:t>
      </w:r>
    </w:p>
    <w:p>
      <w:pPr>
        <w:spacing w:after="0" w:line="162" w:lineRule="exact"/>
        <w:rPr>
          <w:rFonts w:ascii="Arial" w:cs="Arial" w:eastAsia="Arial" w:hAnsi="Arial"/>
          <w:sz w:val="20"/>
          <w:szCs w:val="20"/>
          <w:b w:val="1"/>
          <w:bCs w:val="1"/>
          <w:color w:val="auto"/>
        </w:rPr>
      </w:pPr>
    </w:p>
    <w:p>
      <w:pPr>
        <w:ind w:left="860" w:hanging="852"/>
        <w:spacing w:after="0"/>
        <w:tabs>
          <w:tab w:leader="none" w:pos="860" w:val="left"/>
        </w:tabs>
        <w:numPr>
          <w:ilvl w:val="0"/>
          <w:numId w:val="157"/>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191" w:lineRule="exact"/>
        <w:rPr>
          <w:sz w:val="20"/>
          <w:szCs w:val="20"/>
          <w:color w:val="auto"/>
        </w:rPr>
      </w:pPr>
    </w:p>
    <w:p>
      <w:pPr>
        <w:ind w:left="860" w:right="20" w:hanging="867"/>
        <w:spacing w:after="0" w:line="234" w:lineRule="auto"/>
        <w:tabs>
          <w:tab w:leader="none" w:pos="84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20"/>
          <w:szCs w:val="20"/>
          <w:color w:val="auto"/>
        </w:rPr>
        <w:t>This agreement, although marked “without prejudice” and “subject to contract” shall, upon signature by both Parties, be treated as an open document evidencing an agreement that is and will be binding on the Parties.</w:t>
      </w:r>
    </w:p>
    <w:p>
      <w:pPr>
        <w:spacing w:after="0" w:line="159" w:lineRule="exact"/>
        <w:rPr>
          <w:sz w:val="20"/>
          <w:szCs w:val="20"/>
          <w:color w:val="auto"/>
        </w:rPr>
      </w:pPr>
    </w:p>
    <w:p>
      <w:pPr>
        <w:ind w:left="860" w:hanging="867"/>
        <w:spacing w:after="0" w:line="243" w:lineRule="auto"/>
        <w:tabs>
          <w:tab w:leader="none" w:pos="84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20"/>
          <w:szCs w:val="20"/>
          <w:color w:val="auto"/>
        </w:rPr>
        <w:t>This agreement may be executed by the Parties to this agreement on separate counterparts, each of which when executed shall constitute the original and all such counterparts together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258" w:lineRule="exact"/>
        <w:rPr>
          <w:sz w:val="20"/>
          <w:szCs w:val="20"/>
          <w:color w:val="auto"/>
        </w:rPr>
      </w:pPr>
    </w:p>
    <w:p>
      <w:pPr>
        <w:jc w:val="right"/>
        <w:spacing w:after="0" w:line="213" w:lineRule="auto"/>
        <w:rPr>
          <w:sz w:val="20"/>
          <w:szCs w:val="20"/>
          <w:color w:val="auto"/>
        </w:rPr>
      </w:pPr>
      <w:r>
        <w:rPr>
          <w:rFonts w:ascii="Arial" w:cs="Arial" w:eastAsia="Arial" w:hAnsi="Arial"/>
          <w:sz w:val="20"/>
          <w:szCs w:val="20"/>
          <w:color w:val="auto"/>
        </w:rPr>
        <w:t>16.3     In accordance with the Electronic Commerce Act, 2000 and EU Regulation 910/2014 the Parties hereby agree that they may execute this agreement using electronic means including the use of electronic acceptance by the Parties,</w:t>
      </w:r>
    </w:p>
    <w:p>
      <w:pPr>
        <w:spacing w:after="0" w:line="1" w:lineRule="exact"/>
        <w:rPr>
          <w:sz w:val="20"/>
          <w:szCs w:val="20"/>
          <w:color w:val="auto"/>
        </w:rPr>
      </w:pPr>
    </w:p>
    <w:p>
      <w:pPr>
        <w:ind w:left="880"/>
        <w:spacing w:after="0" w:line="232" w:lineRule="auto"/>
        <w:rPr>
          <w:sz w:val="20"/>
          <w:szCs w:val="20"/>
          <w:color w:val="auto"/>
        </w:rPr>
      </w:pPr>
      <w:r>
        <w:rPr>
          <w:rFonts w:ascii="Arial" w:cs="Arial" w:eastAsia="Arial" w:hAnsi="Arial"/>
          <w:sz w:val="20"/>
          <w:szCs w:val="20"/>
          <w:color w:val="auto"/>
        </w:rPr>
        <w:t>which the Parties acknowledge will have the full force and legal effect as if traditional hand-written signatures had been affixed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IN WITNESS </w:t>
      </w:r>
      <w:r>
        <w:rPr>
          <w:rFonts w:ascii="Arial" w:cs="Arial" w:eastAsia="Arial" w:hAnsi="Arial"/>
          <w:sz w:val="20"/>
          <w:szCs w:val="20"/>
          <w:color w:val="auto"/>
        </w:rPr>
        <w:t>of which the Parties have executed this agreement on the date shown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80" w:type="dxa"/>
        <w:tblCellMar>
          <w:top w:w="0" w:type="dxa"/>
          <w:left w:w="0" w:type="dxa"/>
          <w:bottom w:w="0" w:type="dxa"/>
          <w:right w:w="0" w:type="dxa"/>
        </w:tblCellMar>
      </w:tblPr>
      <w:tr>
        <w:trPr>
          <w:trHeight w:val="261"/>
        </w:trPr>
        <w:tc>
          <w:tcPr>
            <w:tcW w:w="5900" w:type="dxa"/>
            <w:vAlign w:val="bottom"/>
          </w:tcPr>
          <w:p>
            <w:pPr>
              <w:spacing w:after="0"/>
              <w:rPr>
                <w:sz w:val="20"/>
                <w:szCs w:val="20"/>
                <w:color w:val="auto"/>
              </w:rPr>
            </w:pPr>
            <w:r>
              <w:rPr>
                <w:rFonts w:ascii="Arial" w:cs="Arial" w:eastAsia="Arial" w:hAnsi="Arial"/>
                <w:sz w:val="20"/>
                <w:szCs w:val="20"/>
                <w:color w:val="auto"/>
              </w:rPr>
              <w:t>SIGNED for and on behalf of</w:t>
            </w:r>
          </w:p>
        </w:tc>
        <w:tc>
          <w:tcPr>
            <w:tcW w:w="5260" w:type="dxa"/>
            <w:vAlign w:val="bottom"/>
          </w:tcPr>
          <w:p>
            <w:pPr>
              <w:spacing w:after="0"/>
              <w:rPr>
                <w:sz w:val="22"/>
                <w:szCs w:val="22"/>
                <w:color w:val="auto"/>
              </w:rPr>
            </w:pPr>
          </w:p>
        </w:tc>
      </w:tr>
      <w:tr>
        <w:trPr>
          <w:trHeight w:val="307"/>
        </w:trPr>
        <w:tc>
          <w:tcPr>
            <w:tcW w:w="5900" w:type="dxa"/>
            <w:vAlign w:val="bottom"/>
          </w:tcPr>
          <w:p>
            <w:pPr>
              <w:spacing w:after="0"/>
              <w:rPr>
                <w:sz w:val="20"/>
                <w:szCs w:val="20"/>
                <w:color w:val="auto"/>
              </w:rPr>
            </w:pPr>
            <w:r>
              <w:rPr>
                <w:rFonts w:ascii="Arial" w:cs="Arial" w:eastAsia="Arial" w:hAnsi="Arial"/>
                <w:sz w:val="20"/>
                <w:szCs w:val="20"/>
                <w:b w:val="1"/>
                <w:bCs w:val="1"/>
                <w:color w:val="auto"/>
              </w:rPr>
              <w:t>ZYMEWORKS PHARMACEUTICAL LIMITED</w:t>
            </w:r>
          </w:p>
        </w:tc>
        <w:tc>
          <w:tcPr>
            <w:tcW w:w="5260" w:type="dxa"/>
            <w:vAlign w:val="bottom"/>
          </w:tcPr>
          <w:p>
            <w:pPr>
              <w:spacing w:after="0"/>
              <w:rPr>
                <w:sz w:val="24"/>
                <w:szCs w:val="24"/>
                <w:color w:val="auto"/>
              </w:rPr>
            </w:pPr>
          </w:p>
        </w:tc>
      </w:tr>
      <w:tr>
        <w:trPr>
          <w:trHeight w:val="301"/>
        </w:trPr>
        <w:tc>
          <w:tcPr>
            <w:tcW w:w="5900" w:type="dxa"/>
            <w:vAlign w:val="bottom"/>
          </w:tcPr>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b w:val="1"/>
                <w:bCs w:val="1"/>
                <w:color w:val="auto"/>
              </w:rPr>
              <w:t>KENNETH GALBRAITH</w:t>
            </w:r>
          </w:p>
        </w:tc>
        <w:tc>
          <w:tcPr>
            <w:tcW w:w="5260" w:type="dxa"/>
            <w:vAlign w:val="bottom"/>
          </w:tcPr>
          <w:p>
            <w:pPr>
              <w:ind w:left="120"/>
              <w:spacing w:after="0"/>
              <w:rPr>
                <w:sz w:val="20"/>
                <w:szCs w:val="20"/>
                <w:color w:val="auto"/>
              </w:rPr>
            </w:pPr>
            <w:r>
              <w:rPr>
                <w:rFonts w:ascii="Arial" w:cs="Arial" w:eastAsia="Arial" w:hAnsi="Arial"/>
                <w:sz w:val="20"/>
                <w:szCs w:val="20"/>
                <w:color w:val="auto"/>
              </w:rPr>
              <w:t>/s/ Kenneth Galbraith</w:t>
            </w:r>
          </w:p>
        </w:tc>
      </w:tr>
      <w:tr>
        <w:trPr>
          <w:trHeight w:val="57"/>
        </w:trPr>
        <w:tc>
          <w:tcPr>
            <w:tcW w:w="5900" w:type="dxa"/>
            <w:vAlign w:val="bottom"/>
          </w:tcPr>
          <w:p>
            <w:pPr>
              <w:spacing w:after="0"/>
              <w:rPr>
                <w:sz w:val="5"/>
                <w:szCs w:val="5"/>
                <w:color w:val="auto"/>
              </w:rPr>
            </w:pPr>
          </w:p>
        </w:tc>
        <w:tc>
          <w:tcPr>
            <w:tcW w:w="5260" w:type="dxa"/>
            <w:vAlign w:val="bottom"/>
            <w:tcBorders>
              <w:bottom w:val="single" w:sz="8" w:color="auto"/>
            </w:tcBorders>
          </w:tcPr>
          <w:p>
            <w:pPr>
              <w:spacing w:after="0"/>
              <w:rPr>
                <w:sz w:val="5"/>
                <w:szCs w:val="5"/>
                <w:color w:val="auto"/>
              </w:rPr>
            </w:pPr>
          </w:p>
        </w:tc>
      </w:tr>
      <w:tr>
        <w:trPr>
          <w:trHeight w:val="324"/>
        </w:trPr>
        <w:tc>
          <w:tcPr>
            <w:tcW w:w="5900" w:type="dxa"/>
            <w:vAlign w:val="bottom"/>
          </w:tcPr>
          <w:p>
            <w:pPr>
              <w:spacing w:after="0"/>
              <w:rPr>
                <w:sz w:val="24"/>
                <w:szCs w:val="24"/>
                <w:color w:val="auto"/>
              </w:rPr>
            </w:pPr>
          </w:p>
        </w:tc>
        <w:tc>
          <w:tcPr>
            <w:tcW w:w="5260" w:type="dxa"/>
            <w:vAlign w:val="bottom"/>
          </w:tcPr>
          <w:p>
            <w:pPr>
              <w:ind w:left="80"/>
              <w:spacing w:after="0"/>
              <w:rPr>
                <w:sz w:val="20"/>
                <w:szCs w:val="20"/>
                <w:color w:val="auto"/>
              </w:rPr>
            </w:pPr>
            <w:r>
              <w:rPr>
                <w:rFonts w:ascii="Arial" w:cs="Arial" w:eastAsia="Arial" w:hAnsi="Arial"/>
                <w:sz w:val="20"/>
                <w:szCs w:val="20"/>
                <w:color w:val="auto"/>
              </w:rPr>
              <w:t xml:space="preserve">Signature of </w:t>
            </w:r>
            <w:r>
              <w:rPr>
                <w:rFonts w:ascii="Arial" w:cs="Arial" w:eastAsia="Arial" w:hAnsi="Arial"/>
                <w:sz w:val="20"/>
                <w:szCs w:val="20"/>
                <w:b w:val="1"/>
                <w:bCs w:val="1"/>
                <w:color w:val="auto"/>
              </w:rPr>
              <w:t>KENNETH GALBRAITH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80" w:type="dxa"/>
        <w:tblCellMar>
          <w:top w:w="0" w:type="dxa"/>
          <w:left w:w="0" w:type="dxa"/>
          <w:bottom w:w="0" w:type="dxa"/>
          <w:right w:w="0" w:type="dxa"/>
        </w:tblCellMar>
      </w:tblPr>
      <w:tr>
        <w:trPr>
          <w:trHeight w:val="261"/>
        </w:trPr>
        <w:tc>
          <w:tcPr>
            <w:tcW w:w="5860" w:type="dxa"/>
            <w:vAlign w:val="bottom"/>
          </w:tcPr>
          <w:p>
            <w:pPr>
              <w:spacing w:after="0"/>
              <w:rPr>
                <w:sz w:val="20"/>
                <w:szCs w:val="20"/>
                <w:color w:val="auto"/>
              </w:rPr>
            </w:pPr>
            <w:r>
              <w:rPr>
                <w:rFonts w:ascii="Arial" w:cs="Arial" w:eastAsia="Arial" w:hAnsi="Arial"/>
                <w:sz w:val="20"/>
                <w:szCs w:val="20"/>
                <w:color w:val="auto"/>
              </w:rPr>
              <w:t>SIGNED by</w:t>
            </w:r>
          </w:p>
        </w:tc>
        <w:tc>
          <w:tcPr>
            <w:tcW w:w="5300" w:type="dxa"/>
            <w:vAlign w:val="bottom"/>
          </w:tcPr>
          <w:p>
            <w:pPr>
              <w:spacing w:after="0"/>
              <w:rPr>
                <w:sz w:val="22"/>
                <w:szCs w:val="22"/>
                <w:color w:val="auto"/>
              </w:rPr>
            </w:pPr>
          </w:p>
        </w:tc>
      </w:tr>
      <w:tr>
        <w:trPr>
          <w:trHeight w:val="310"/>
        </w:trPr>
        <w:tc>
          <w:tcPr>
            <w:tcW w:w="5860" w:type="dxa"/>
            <w:vAlign w:val="bottom"/>
          </w:tcPr>
          <w:p>
            <w:pPr>
              <w:spacing w:after="0"/>
              <w:rPr>
                <w:sz w:val="20"/>
                <w:szCs w:val="20"/>
                <w:color w:val="auto"/>
              </w:rPr>
            </w:pPr>
            <w:r>
              <w:rPr>
                <w:rFonts w:ascii="Arial" w:cs="Arial" w:eastAsia="Arial" w:hAnsi="Arial"/>
                <w:sz w:val="20"/>
                <w:szCs w:val="20"/>
                <w:b w:val="1"/>
                <w:bCs w:val="1"/>
                <w:color w:val="auto"/>
              </w:rPr>
              <w:t>JEFFREY SMITH</w:t>
            </w:r>
          </w:p>
        </w:tc>
        <w:tc>
          <w:tcPr>
            <w:tcW w:w="5300" w:type="dxa"/>
            <w:vAlign w:val="bottom"/>
          </w:tcPr>
          <w:p>
            <w:pPr>
              <w:ind w:left="120"/>
              <w:spacing w:after="0"/>
              <w:rPr>
                <w:sz w:val="20"/>
                <w:szCs w:val="20"/>
                <w:color w:val="auto"/>
              </w:rPr>
            </w:pPr>
            <w:r>
              <w:rPr>
                <w:rFonts w:ascii="Arial" w:cs="Arial" w:eastAsia="Arial" w:hAnsi="Arial"/>
                <w:sz w:val="20"/>
                <w:szCs w:val="20"/>
                <w:color w:val="auto"/>
              </w:rPr>
              <w:t>/s/ Jeffrey Smith</w:t>
            </w:r>
          </w:p>
        </w:tc>
      </w:tr>
      <w:tr>
        <w:trPr>
          <w:trHeight w:val="58"/>
        </w:trPr>
        <w:tc>
          <w:tcPr>
            <w:tcW w:w="5860" w:type="dxa"/>
            <w:vAlign w:val="bottom"/>
          </w:tcPr>
          <w:p>
            <w:pPr>
              <w:spacing w:after="0"/>
              <w:rPr>
                <w:sz w:val="5"/>
                <w:szCs w:val="5"/>
                <w:color w:val="auto"/>
              </w:rPr>
            </w:pPr>
          </w:p>
        </w:tc>
        <w:tc>
          <w:tcPr>
            <w:tcW w:w="5300" w:type="dxa"/>
            <w:vAlign w:val="bottom"/>
            <w:tcBorders>
              <w:bottom w:val="single" w:sz="8" w:color="auto"/>
            </w:tcBorders>
          </w:tcPr>
          <w:p>
            <w:pPr>
              <w:spacing w:after="0"/>
              <w:rPr>
                <w:sz w:val="5"/>
                <w:szCs w:val="5"/>
                <w:color w:val="auto"/>
              </w:rPr>
            </w:pPr>
          </w:p>
        </w:tc>
      </w:tr>
      <w:tr>
        <w:trPr>
          <w:trHeight w:val="324"/>
        </w:trPr>
        <w:tc>
          <w:tcPr>
            <w:tcW w:w="5860" w:type="dxa"/>
            <w:vAlign w:val="bottom"/>
          </w:tcPr>
          <w:p>
            <w:pPr>
              <w:spacing w:after="0"/>
              <w:rPr>
                <w:sz w:val="24"/>
                <w:szCs w:val="24"/>
                <w:color w:val="auto"/>
              </w:rPr>
            </w:pPr>
          </w:p>
        </w:tc>
        <w:tc>
          <w:tcPr>
            <w:tcW w:w="5300" w:type="dxa"/>
            <w:vAlign w:val="bottom"/>
          </w:tcPr>
          <w:p>
            <w:pPr>
              <w:ind w:left="80"/>
              <w:spacing w:after="0"/>
              <w:rPr>
                <w:sz w:val="20"/>
                <w:szCs w:val="20"/>
                <w:color w:val="auto"/>
              </w:rPr>
            </w:pPr>
            <w:r>
              <w:rPr>
                <w:rFonts w:ascii="Arial" w:cs="Arial" w:eastAsia="Arial" w:hAnsi="Arial"/>
                <w:sz w:val="20"/>
                <w:szCs w:val="20"/>
                <w:color w:val="auto"/>
              </w:rPr>
              <w:t xml:space="preserve">Signature of </w:t>
            </w:r>
            <w:r>
              <w:rPr>
                <w:rFonts w:ascii="Arial" w:cs="Arial" w:eastAsia="Arial" w:hAnsi="Arial"/>
                <w:sz w:val="20"/>
                <w:szCs w:val="20"/>
                <w:b w:val="1"/>
                <w:bCs w:val="1"/>
                <w:color w:val="auto"/>
              </w:rPr>
              <w:t>JEFFREY SMITH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256"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SCHEDULE 1</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9"/>
          <w:szCs w:val="19"/>
          <w:b w:val="1"/>
          <w:bCs w:val="1"/>
          <w:color w:val="auto"/>
        </w:rPr>
        <w:t>LETTER OF RESIGNATION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The Company Corporate Secretary</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Zymeworks Pharmaceuticals Limited</w:t>
      </w:r>
    </w:p>
    <w:p>
      <w:pPr>
        <w:spacing w:after="0" w:line="198" w:lineRule="exact"/>
        <w:rPr>
          <w:sz w:val="20"/>
          <w:szCs w:val="20"/>
          <w:color w:val="auto"/>
        </w:rPr>
      </w:pPr>
    </w:p>
    <w:p>
      <w:pPr>
        <w:sectPr>
          <w:pgSz w:w="11900" w:h="16838" w:orient="portrait"/>
          <w:cols w:equalWidth="0" w:num="2">
            <w:col w:w="280" w:space="160"/>
            <w:col w:w="10800"/>
          </w:cols>
          <w:pgMar w:left="320" w:top="1440" w:right="339" w:bottom="1440" w:gutter="0" w:footer="0" w:header="0"/>
          <w:type w:val="continuous"/>
        </w:sectPr>
      </w:pPr>
    </w:p>
    <w:p>
      <w:pPr>
        <w:spacing w:after="0"/>
        <w:rPr>
          <w:sz w:val="20"/>
          <w:szCs w:val="20"/>
          <w:color w:val="auto"/>
        </w:rPr>
      </w:pPr>
      <w:r>
        <w:rPr>
          <w:rFonts w:ascii="Arial" w:cs="Arial" w:eastAsia="Arial" w:hAnsi="Arial"/>
          <w:sz w:val="20"/>
          <w:szCs w:val="20"/>
          <w:color w:val="auto"/>
        </w:rPr>
        <w:t>Dear Sirs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 hereby resign as a director of Zymeworks Pharmaceuticals Limited (the “</w:t>
      </w:r>
      <w:r>
        <w:rPr>
          <w:rFonts w:ascii="Arial" w:cs="Arial" w:eastAsia="Arial" w:hAnsi="Arial"/>
          <w:sz w:val="20"/>
          <w:szCs w:val="20"/>
          <w:b w:val="1"/>
          <w:bCs w:val="1"/>
          <w:color w:val="auto"/>
        </w:rPr>
        <w:t>Company</w:t>
      </w:r>
      <w:r>
        <w:rPr>
          <w:rFonts w:ascii="Arial" w:cs="Arial" w:eastAsia="Arial" w:hAnsi="Arial"/>
          <w:sz w:val="20"/>
          <w:szCs w:val="20"/>
          <w:color w:val="auto"/>
        </w:rPr>
        <w:t>") with effect on January 31, 2026.</w:t>
      </w: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I hereby waive in favour of the Company all and any actions, rights, privileges or entitlements against the Company, whether actual or potential, whether present or future and whether arising out of my having been a director of the Company.</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I hereby waive in favour of the members and directors of the Company all or any actions, rights, privileges or entitlement against any member or director of the Company.</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I hereby acknowledge that the Company and/or any one or more of the directors and members of the Company may rely on this document and produce a plain copy thereof in evidence in any proceeding, arbitration, court or tribunal.</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In witness of which I have executed this document this 21st day of January, 2026.</w:t>
      </w:r>
    </w:p>
    <w:p>
      <w:pPr>
        <w:spacing w:after="0" w:line="337" w:lineRule="exact"/>
        <w:rPr>
          <w:sz w:val="20"/>
          <w:szCs w:val="20"/>
          <w:color w:val="auto"/>
        </w:rPr>
      </w:pPr>
    </w:p>
    <w:p>
      <w:pPr>
        <w:ind w:left="80"/>
        <w:spacing w:after="0"/>
        <w:rPr>
          <w:sz w:val="20"/>
          <w:szCs w:val="20"/>
          <w:color w:val="auto"/>
        </w:rPr>
      </w:pPr>
      <w:r>
        <w:rPr>
          <w:rFonts w:ascii="Arial" w:cs="Arial" w:eastAsia="Arial" w:hAnsi="Arial"/>
          <w:sz w:val="20"/>
          <w:szCs w:val="20"/>
          <w:color w:val="auto"/>
        </w:rPr>
        <w:t>SIGNED by</w:t>
      </w:r>
    </w:p>
    <w:p>
      <w:pPr>
        <w:spacing w:after="0" w:line="52" w:lineRule="exact"/>
        <w:rPr>
          <w:sz w:val="20"/>
          <w:szCs w:val="20"/>
          <w:color w:val="auto"/>
        </w:rPr>
      </w:pPr>
    </w:p>
    <w:p>
      <w:pPr>
        <w:ind w:left="80"/>
        <w:spacing w:after="0"/>
        <w:tabs>
          <w:tab w:leader="none" w:pos="6700" w:val="left"/>
        </w:tabs>
        <w:rPr>
          <w:sz w:val="20"/>
          <w:szCs w:val="20"/>
          <w:color w:val="auto"/>
        </w:rPr>
      </w:pPr>
      <w:r>
        <w:rPr>
          <w:rFonts w:ascii="Arial" w:cs="Arial" w:eastAsia="Arial" w:hAnsi="Arial"/>
          <w:sz w:val="20"/>
          <w:szCs w:val="20"/>
          <w:b w:val="1"/>
          <w:bCs w:val="1"/>
          <w:color w:val="auto"/>
        </w:rPr>
        <w:t>JEFFREY SMITH</w:t>
      </w:r>
      <w:r>
        <w:rPr>
          <w:sz w:val="20"/>
          <w:szCs w:val="20"/>
          <w:color w:val="auto"/>
        </w:rPr>
        <w:tab/>
      </w:r>
      <w:r>
        <w:rPr>
          <w:rFonts w:ascii="Arial" w:cs="Arial" w:eastAsia="Arial" w:hAnsi="Arial"/>
          <w:sz w:val="19"/>
          <w:szCs w:val="19"/>
          <w:color w:val="auto"/>
        </w:rPr>
        <w:t>/s/ Jeffrey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74930</wp:posOffset>
            </wp:positionV>
            <wp:extent cx="29400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1">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9" w:lineRule="exact"/>
        <w:rPr>
          <w:sz w:val="20"/>
          <w:szCs w:val="20"/>
          <w:color w:val="auto"/>
        </w:rPr>
      </w:pPr>
    </w:p>
    <w:p>
      <w:pPr>
        <w:ind w:left="6680"/>
        <w:spacing w:after="0"/>
        <w:rPr>
          <w:sz w:val="20"/>
          <w:szCs w:val="20"/>
          <w:color w:val="auto"/>
        </w:rPr>
      </w:pPr>
      <w:r>
        <w:rPr>
          <w:rFonts w:ascii="Arial" w:cs="Arial" w:eastAsia="Arial" w:hAnsi="Arial"/>
          <w:sz w:val="20"/>
          <w:szCs w:val="20"/>
          <w:color w:val="auto"/>
        </w:rPr>
        <w:t xml:space="preserve">Signature of </w:t>
      </w:r>
      <w:r>
        <w:rPr>
          <w:rFonts w:ascii="Arial" w:cs="Arial" w:eastAsia="Arial" w:hAnsi="Arial"/>
          <w:sz w:val="20"/>
          <w:szCs w:val="20"/>
          <w:b w:val="1"/>
          <w:bCs w:val="1"/>
          <w:color w:val="auto"/>
        </w:rPr>
        <w:t>JEFFREY SMITH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type w:val="continuous"/>
        </w:sectPr>
      </w:pPr>
    </w:p>
    <w:bookmarkStart w:id="235" w:name="page236"/>
    <w:bookmarkEnd w:id="235"/>
    <w:p>
      <w:pPr>
        <w:spacing w:after="0" w:line="256"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SCHEDULE 2</w:t>
      </w:r>
    </w:p>
    <w:p>
      <w:pPr>
        <w:spacing w:after="0" w:line="33"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RE-AFFIRMATION OF WAIVER</w:t>
      </w:r>
    </w:p>
    <w:p>
      <w:pPr>
        <w:spacing w:after="0" w:line="182"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auto"/>
        </w:rPr>
        <w:t xml:space="preserve">Re-affirmation to a Severance Agreement dated January 6, 2026 between </w:t>
      </w:r>
      <w:r>
        <w:rPr>
          <w:rFonts w:ascii="Arial" w:cs="Arial" w:eastAsia="Arial" w:hAnsi="Arial"/>
          <w:sz w:val="20"/>
          <w:szCs w:val="20"/>
          <w:b w:val="1"/>
          <w:bCs w:val="1"/>
          <w:color w:val="auto"/>
        </w:rPr>
        <w:t>JEFFREY SMITH</w:t>
      </w:r>
      <w:r>
        <w:rPr>
          <w:rFonts w:ascii="Arial" w:cs="Arial" w:eastAsia="Arial" w:hAnsi="Arial"/>
          <w:sz w:val="20"/>
          <w:szCs w:val="20"/>
          <w:color w:val="auto"/>
        </w:rPr>
        <w:t xml:space="preserve"> and </w:t>
      </w:r>
      <w:r>
        <w:rPr>
          <w:rFonts w:ascii="Arial" w:cs="Arial" w:eastAsia="Arial" w:hAnsi="Arial"/>
          <w:sz w:val="20"/>
          <w:szCs w:val="20"/>
          <w:b w:val="1"/>
          <w:bCs w:val="1"/>
          <w:color w:val="auto"/>
        </w:rPr>
        <w:t>ZYMEWORKS</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PHARMACEUTICAL LIMITED </w:t>
      </w:r>
      <w:r>
        <w:rPr>
          <w:rFonts w:ascii="Arial" w:cs="Arial" w:eastAsia="Arial" w:hAnsi="Arial"/>
          <w:sz w:val="20"/>
          <w:szCs w:val="20"/>
          <w:color w:val="auto"/>
        </w:rPr>
        <w:t>appended hereto (the “</w:t>
      </w:r>
      <w:r>
        <w:rPr>
          <w:rFonts w:ascii="Arial" w:cs="Arial" w:eastAsia="Arial" w:hAnsi="Arial"/>
          <w:sz w:val="20"/>
          <w:szCs w:val="20"/>
          <w:b w:val="1"/>
          <w:bCs w:val="1"/>
          <w:color w:val="auto"/>
        </w:rPr>
        <w:t>Severance Agreement</w:t>
      </w:r>
      <w:r>
        <w:rPr>
          <w:rFonts w:ascii="Arial" w:cs="Arial" w:eastAsia="Arial" w:hAnsi="Arial"/>
          <w:sz w:val="20"/>
          <w:szCs w:val="20"/>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Capitalised terms in this document have the same meaning as in the Severance Agreement.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Restatement of Irrevocable Waiver and Release</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consideration of the Termination Payment set out in the Severance Agreement, I reaffirm as of January 31, 2026, that the terms of the Severance Agreement constitute a full and final settlement of all or any claims that I have or may have against the Company or any Associated Company, its or their servants or agents, officers or shareholders, howsoever arising, including claims and entitlements arising out of or in connection with my employment with the Company or the termination thereof, and in consideration of the payment referred to therein I hereby fully and finally release all of such entities and persons from all or any such claims, whether under statute, at common law, in tort (including for personal injuries) in equity, for breach of contract or otherwise howsoever arising in the jurisdiction of the Republic of Ireland or any other jurisdiction.</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 acknowledge that the reference to statute above includes but is not limited to the Redundancy Payments Acts 1967 to 2014; the Unfair Dismissals Acts 1977 to 2015; the Payment of Wages Act 1991; the Maternity Protection Acts 1994 and 2004; the Adoptive Leave Acts 1995 and 2005, the Paternity Leave and Benefit Act 2016; the Terms of Employment (Information) Acts 1994 to 2014; the Minimum Notice and Terms of Employment Acts 1973 to 2005; the Protection of Employment Acts 1977 to 2014; the Safety, Health and Welfare at Work Act 2005 to 2014; the Pensions Acts 1990 to 2015; the Organisation of Working Time Act 1997; the Parental Leave Acts 1998 and 2019; the Employment Equality Acts 1998 to 2024; the National Minimum Wage Act 2000 and 2015; the Carer’s Leave Act 2001; the Protection of Employees (Part-Time Work) Act 2001; the Protection of Employees (Fixed-Term Work) Act 2003; the European Communities (Protection of Employees on Transfer of Undertakings) Regulations 2003; Regulation (EU) 2016/679 (General Data Protection Regulation); the Data Protection Acts 1988 to 2018; the Industrial Relations Acts 1946 - 2019 (as amended); the Protected Disclosures Acts 2014 - 2022; the Workplace Relations Act 2015, the Employment (Miscellaneous Provisions) Act 2018, the Parent’s Leave and Benefit Act 2019; the Family Leave and Miscellaneous Provisions Act 2021; the Sick Leave Act 2022; and the European Union (Transparent and Predictable Working Conditions) Regulations 2022.</w:t>
      </w:r>
    </w:p>
    <w:p>
      <w:pPr>
        <w:spacing w:after="0" w:line="288" w:lineRule="exact"/>
        <w:rPr>
          <w:sz w:val="20"/>
          <w:szCs w:val="20"/>
          <w:color w:val="auto"/>
        </w:rPr>
      </w:pPr>
    </w:p>
    <w:p>
      <w:pPr>
        <w:ind w:left="80"/>
        <w:spacing w:after="0"/>
        <w:rPr>
          <w:sz w:val="20"/>
          <w:szCs w:val="20"/>
          <w:color w:val="auto"/>
        </w:rPr>
      </w:pPr>
      <w:r>
        <w:rPr>
          <w:rFonts w:ascii="Arial" w:cs="Arial" w:eastAsia="Arial" w:hAnsi="Arial"/>
          <w:sz w:val="20"/>
          <w:szCs w:val="20"/>
          <w:color w:val="auto"/>
        </w:rPr>
        <w:t>SIGNED by</w:t>
      </w:r>
    </w:p>
    <w:p>
      <w:pPr>
        <w:spacing w:after="0" w:line="65" w:lineRule="exact"/>
        <w:rPr>
          <w:sz w:val="20"/>
          <w:szCs w:val="20"/>
          <w:color w:val="auto"/>
        </w:rPr>
      </w:pPr>
    </w:p>
    <w:p>
      <w:pPr>
        <w:ind w:left="80"/>
        <w:spacing w:after="0"/>
        <w:tabs>
          <w:tab w:leader="none" w:pos="6680" w:val="left"/>
        </w:tabs>
        <w:rPr>
          <w:sz w:val="20"/>
          <w:szCs w:val="20"/>
          <w:color w:val="auto"/>
        </w:rPr>
      </w:pPr>
      <w:r>
        <w:rPr>
          <w:rFonts w:ascii="Arial" w:cs="Arial" w:eastAsia="Arial" w:hAnsi="Arial"/>
          <w:sz w:val="20"/>
          <w:szCs w:val="20"/>
          <w:b w:val="1"/>
          <w:bCs w:val="1"/>
          <w:color w:val="auto"/>
        </w:rPr>
        <w:t>JEFFREY SMITH</w:t>
      </w:r>
      <w:r>
        <w:rPr>
          <w:sz w:val="20"/>
          <w:szCs w:val="20"/>
          <w:color w:val="auto"/>
        </w:rPr>
        <w:tab/>
      </w:r>
      <w:r>
        <w:rPr>
          <w:rFonts w:ascii="Arial" w:cs="Arial" w:eastAsia="Arial" w:hAnsi="Arial"/>
          <w:sz w:val="19"/>
          <w:szCs w:val="19"/>
          <w:color w:val="auto"/>
        </w:rPr>
        <w:t>/s/ Jeffrey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66040</wp:posOffset>
            </wp:positionV>
            <wp:extent cx="29571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2">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55"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 xml:space="preserve">Signature of </w:t>
      </w:r>
      <w:r>
        <w:rPr>
          <w:rFonts w:ascii="Arial" w:cs="Arial" w:eastAsia="Arial" w:hAnsi="Arial"/>
          <w:sz w:val="20"/>
          <w:szCs w:val="20"/>
          <w:b w:val="1"/>
          <w:bCs w:val="1"/>
          <w:color w:val="auto"/>
        </w:rPr>
        <w:t>JEFFREY SMITH</w:t>
      </w:r>
    </w:p>
    <w:p>
      <w:pPr>
        <w:spacing w:after="0" w:line="366"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u w:val="single" w:color="auto"/>
          <w:color w:val="auto"/>
        </w:rPr>
        <w:t>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70"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SCHEDULE 3</w:t>
      </w:r>
    </w:p>
    <w:p>
      <w:pPr>
        <w:spacing w:after="0" w:line="218"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[Consultancy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0120"/>
          </w:cols>
          <w:pgMar w:left="1440" w:top="1440" w:right="339" w:bottom="1440" w:gutter="0" w:footer="0" w:header="0"/>
        </w:sectPr>
      </w:pPr>
    </w:p>
    <w:bookmarkStart w:id="237" w:name="page238"/>
    <w:bookmarkEnd w:id="237"/>
    <w:p>
      <w:pPr>
        <w:spacing w:after="0" w:line="270"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CONSULTANCY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ZYMEWORKS PHARMACEUTICAL LIMITED</w:t>
      </w:r>
    </w:p>
    <w:p>
      <w:pPr>
        <w:spacing w:after="0" w:line="241"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JEFFREY SMITH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DATED 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0120"/>
          </w:cols>
          <w:pgMar w:left="1440" w:top="1440" w:right="339" w:bottom="1440" w:gutter="0" w:footer="0" w:header="0"/>
        </w:sectPr>
      </w:pPr>
    </w:p>
    <w:bookmarkStart w:id="238" w:name="page239"/>
    <w:bookmarkEnd w:id="238"/>
    <w:p>
      <w:pPr>
        <w:ind w:left="362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00" w:type="dxa"/>
            <w:vAlign w:val="bottom"/>
          </w:tcPr>
          <w:p>
            <w:pPr>
              <w:spacing w:after="0"/>
              <w:rPr>
                <w:sz w:val="20"/>
                <w:szCs w:val="20"/>
                <w:color w:val="auto"/>
              </w:rPr>
            </w:pPr>
            <w:r>
              <w:rPr>
                <w:rFonts w:ascii="Arial" w:cs="Arial" w:eastAsia="Arial" w:hAnsi="Arial"/>
                <w:sz w:val="20"/>
                <w:szCs w:val="20"/>
                <w:color w:val="auto"/>
              </w:rPr>
              <w:t>1</w:t>
            </w:r>
          </w:p>
        </w:tc>
        <w:tc>
          <w:tcPr>
            <w:tcW w:w="6740" w:type="dxa"/>
            <w:vAlign w:val="bottom"/>
          </w:tcPr>
          <w:p>
            <w:pPr>
              <w:ind w:left="500"/>
              <w:spacing w:after="0"/>
              <w:rPr>
                <w:sz w:val="20"/>
                <w:szCs w:val="20"/>
                <w:color w:val="auto"/>
              </w:rPr>
            </w:pPr>
            <w:r>
              <w:rPr>
                <w:rFonts w:ascii="Arial" w:cs="Arial" w:eastAsia="Arial" w:hAnsi="Arial"/>
                <w:sz w:val="20"/>
                <w:szCs w:val="20"/>
                <w:color w:val="auto"/>
              </w:rPr>
              <w:t>DEFINITIONS AND INTERPRETATION</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1</w:t>
            </w:r>
          </w:p>
        </w:tc>
      </w:tr>
      <w:tr>
        <w:trPr>
          <w:trHeight w:val="365"/>
        </w:trPr>
        <w:tc>
          <w:tcPr>
            <w:tcW w:w="700" w:type="dxa"/>
            <w:vAlign w:val="bottom"/>
          </w:tcPr>
          <w:p>
            <w:pPr>
              <w:spacing w:after="0"/>
              <w:rPr>
                <w:sz w:val="20"/>
                <w:szCs w:val="20"/>
                <w:color w:val="auto"/>
              </w:rPr>
            </w:pPr>
            <w:r>
              <w:rPr>
                <w:rFonts w:ascii="Arial" w:cs="Arial" w:eastAsia="Arial" w:hAnsi="Arial"/>
                <w:sz w:val="20"/>
                <w:szCs w:val="20"/>
                <w:color w:val="auto"/>
              </w:rPr>
              <w:t>2</w:t>
            </w:r>
          </w:p>
        </w:tc>
        <w:tc>
          <w:tcPr>
            <w:tcW w:w="6740" w:type="dxa"/>
            <w:vAlign w:val="bottom"/>
          </w:tcPr>
          <w:p>
            <w:pPr>
              <w:ind w:left="500"/>
              <w:spacing w:after="0"/>
              <w:rPr>
                <w:sz w:val="20"/>
                <w:szCs w:val="20"/>
                <w:color w:val="auto"/>
              </w:rPr>
            </w:pPr>
            <w:r>
              <w:rPr>
                <w:rFonts w:ascii="Arial" w:cs="Arial" w:eastAsia="Arial" w:hAnsi="Arial"/>
                <w:sz w:val="20"/>
                <w:szCs w:val="20"/>
                <w:color w:val="auto"/>
              </w:rPr>
              <w:t>TERM</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2</w:t>
            </w:r>
          </w:p>
        </w:tc>
      </w:tr>
      <w:tr>
        <w:trPr>
          <w:trHeight w:val="364"/>
        </w:trPr>
        <w:tc>
          <w:tcPr>
            <w:tcW w:w="700" w:type="dxa"/>
            <w:vAlign w:val="bottom"/>
          </w:tcPr>
          <w:p>
            <w:pPr>
              <w:spacing w:after="0"/>
              <w:rPr>
                <w:sz w:val="20"/>
                <w:szCs w:val="20"/>
                <w:color w:val="auto"/>
              </w:rPr>
            </w:pPr>
            <w:r>
              <w:rPr>
                <w:rFonts w:ascii="Arial" w:cs="Arial" w:eastAsia="Arial" w:hAnsi="Arial"/>
                <w:sz w:val="20"/>
                <w:szCs w:val="20"/>
                <w:color w:val="auto"/>
              </w:rPr>
              <w:t>3</w:t>
            </w:r>
          </w:p>
        </w:tc>
        <w:tc>
          <w:tcPr>
            <w:tcW w:w="6740" w:type="dxa"/>
            <w:vAlign w:val="bottom"/>
          </w:tcPr>
          <w:p>
            <w:pPr>
              <w:ind w:left="500"/>
              <w:spacing w:after="0"/>
              <w:rPr>
                <w:sz w:val="20"/>
                <w:szCs w:val="20"/>
                <w:color w:val="auto"/>
              </w:rPr>
            </w:pPr>
            <w:r>
              <w:rPr>
                <w:rFonts w:ascii="Arial" w:cs="Arial" w:eastAsia="Arial" w:hAnsi="Arial"/>
                <w:sz w:val="20"/>
                <w:szCs w:val="20"/>
                <w:color w:val="auto"/>
              </w:rPr>
              <w:t>SERVICES</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2</w:t>
            </w:r>
          </w:p>
        </w:tc>
      </w:tr>
      <w:tr>
        <w:trPr>
          <w:trHeight w:val="364"/>
        </w:trPr>
        <w:tc>
          <w:tcPr>
            <w:tcW w:w="700" w:type="dxa"/>
            <w:vAlign w:val="bottom"/>
          </w:tcPr>
          <w:p>
            <w:pPr>
              <w:spacing w:after="0"/>
              <w:rPr>
                <w:sz w:val="20"/>
                <w:szCs w:val="20"/>
                <w:color w:val="auto"/>
              </w:rPr>
            </w:pPr>
            <w:r>
              <w:rPr>
                <w:rFonts w:ascii="Arial" w:cs="Arial" w:eastAsia="Arial" w:hAnsi="Arial"/>
                <w:sz w:val="20"/>
                <w:szCs w:val="20"/>
                <w:color w:val="auto"/>
              </w:rPr>
              <w:t>4</w:t>
            </w:r>
          </w:p>
        </w:tc>
        <w:tc>
          <w:tcPr>
            <w:tcW w:w="6740" w:type="dxa"/>
            <w:vAlign w:val="bottom"/>
          </w:tcPr>
          <w:p>
            <w:pPr>
              <w:ind w:left="500"/>
              <w:spacing w:after="0"/>
              <w:rPr>
                <w:sz w:val="20"/>
                <w:szCs w:val="20"/>
                <w:color w:val="auto"/>
              </w:rPr>
            </w:pPr>
            <w:r>
              <w:rPr>
                <w:rFonts w:ascii="Arial" w:cs="Arial" w:eastAsia="Arial" w:hAnsi="Arial"/>
                <w:sz w:val="20"/>
                <w:szCs w:val="20"/>
                <w:color w:val="auto"/>
              </w:rPr>
              <w:t>LOCATION</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3</w:t>
            </w:r>
          </w:p>
        </w:tc>
      </w:tr>
      <w:tr>
        <w:trPr>
          <w:trHeight w:val="365"/>
        </w:trPr>
        <w:tc>
          <w:tcPr>
            <w:tcW w:w="700" w:type="dxa"/>
            <w:vAlign w:val="bottom"/>
          </w:tcPr>
          <w:p>
            <w:pPr>
              <w:spacing w:after="0"/>
              <w:rPr>
                <w:sz w:val="20"/>
                <w:szCs w:val="20"/>
                <w:color w:val="auto"/>
              </w:rPr>
            </w:pPr>
            <w:r>
              <w:rPr>
                <w:rFonts w:ascii="Arial" w:cs="Arial" w:eastAsia="Arial" w:hAnsi="Arial"/>
                <w:sz w:val="20"/>
                <w:szCs w:val="20"/>
                <w:color w:val="auto"/>
              </w:rPr>
              <w:t>5</w:t>
            </w:r>
          </w:p>
        </w:tc>
        <w:tc>
          <w:tcPr>
            <w:tcW w:w="6740" w:type="dxa"/>
            <w:vAlign w:val="bottom"/>
          </w:tcPr>
          <w:p>
            <w:pPr>
              <w:ind w:left="500"/>
              <w:spacing w:after="0"/>
              <w:rPr>
                <w:sz w:val="20"/>
                <w:szCs w:val="20"/>
                <w:color w:val="auto"/>
              </w:rPr>
            </w:pPr>
            <w:r>
              <w:rPr>
                <w:rFonts w:ascii="Arial" w:cs="Arial" w:eastAsia="Arial" w:hAnsi="Arial"/>
                <w:sz w:val="20"/>
                <w:szCs w:val="20"/>
                <w:color w:val="auto"/>
              </w:rPr>
              <w:t>FEES</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3</w:t>
            </w:r>
          </w:p>
        </w:tc>
      </w:tr>
      <w:tr>
        <w:trPr>
          <w:trHeight w:val="364"/>
        </w:trPr>
        <w:tc>
          <w:tcPr>
            <w:tcW w:w="700" w:type="dxa"/>
            <w:vAlign w:val="bottom"/>
          </w:tcPr>
          <w:p>
            <w:pPr>
              <w:spacing w:after="0"/>
              <w:rPr>
                <w:sz w:val="20"/>
                <w:szCs w:val="20"/>
                <w:color w:val="auto"/>
              </w:rPr>
            </w:pPr>
            <w:r>
              <w:rPr>
                <w:rFonts w:ascii="Arial" w:cs="Arial" w:eastAsia="Arial" w:hAnsi="Arial"/>
                <w:sz w:val="20"/>
                <w:szCs w:val="20"/>
                <w:color w:val="auto"/>
              </w:rPr>
              <w:t>6</w:t>
            </w:r>
          </w:p>
        </w:tc>
        <w:tc>
          <w:tcPr>
            <w:tcW w:w="6740" w:type="dxa"/>
            <w:vAlign w:val="bottom"/>
          </w:tcPr>
          <w:p>
            <w:pPr>
              <w:ind w:left="500"/>
              <w:spacing w:after="0"/>
              <w:rPr>
                <w:sz w:val="20"/>
                <w:szCs w:val="20"/>
                <w:color w:val="auto"/>
              </w:rPr>
            </w:pPr>
            <w:r>
              <w:rPr>
                <w:rFonts w:ascii="Arial" w:cs="Arial" w:eastAsia="Arial" w:hAnsi="Arial"/>
                <w:sz w:val="20"/>
                <w:szCs w:val="20"/>
                <w:color w:val="auto"/>
              </w:rPr>
              <w:t>NO EMPLOYMENT OR AGENCY AND INDEMNITIES</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4</w:t>
            </w:r>
          </w:p>
        </w:tc>
      </w:tr>
      <w:tr>
        <w:trPr>
          <w:trHeight w:val="364"/>
        </w:trPr>
        <w:tc>
          <w:tcPr>
            <w:tcW w:w="700" w:type="dxa"/>
            <w:vAlign w:val="bottom"/>
          </w:tcPr>
          <w:p>
            <w:pPr>
              <w:spacing w:after="0"/>
              <w:rPr>
                <w:sz w:val="20"/>
                <w:szCs w:val="20"/>
                <w:color w:val="auto"/>
              </w:rPr>
            </w:pPr>
            <w:r>
              <w:rPr>
                <w:rFonts w:ascii="Arial" w:cs="Arial" w:eastAsia="Arial" w:hAnsi="Arial"/>
                <w:sz w:val="20"/>
                <w:szCs w:val="20"/>
                <w:color w:val="auto"/>
              </w:rPr>
              <w:t>7</w:t>
            </w:r>
          </w:p>
        </w:tc>
        <w:tc>
          <w:tcPr>
            <w:tcW w:w="6740" w:type="dxa"/>
            <w:vAlign w:val="bottom"/>
          </w:tcPr>
          <w:p>
            <w:pPr>
              <w:ind w:left="500"/>
              <w:spacing w:after="0"/>
              <w:rPr>
                <w:sz w:val="20"/>
                <w:szCs w:val="20"/>
                <w:color w:val="auto"/>
              </w:rPr>
            </w:pPr>
            <w:r>
              <w:rPr>
                <w:rFonts w:ascii="Arial" w:cs="Arial" w:eastAsia="Arial" w:hAnsi="Arial"/>
                <w:sz w:val="20"/>
                <w:szCs w:val="20"/>
                <w:color w:val="auto"/>
              </w:rPr>
              <w:t>EQUIPMENT</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4</w:t>
            </w:r>
          </w:p>
        </w:tc>
      </w:tr>
      <w:tr>
        <w:trPr>
          <w:trHeight w:val="365"/>
        </w:trPr>
        <w:tc>
          <w:tcPr>
            <w:tcW w:w="700" w:type="dxa"/>
            <w:vAlign w:val="bottom"/>
          </w:tcPr>
          <w:p>
            <w:pPr>
              <w:spacing w:after="0"/>
              <w:rPr>
                <w:sz w:val="20"/>
                <w:szCs w:val="20"/>
                <w:color w:val="auto"/>
              </w:rPr>
            </w:pPr>
            <w:r>
              <w:rPr>
                <w:rFonts w:ascii="Arial" w:cs="Arial" w:eastAsia="Arial" w:hAnsi="Arial"/>
                <w:sz w:val="20"/>
                <w:szCs w:val="20"/>
                <w:color w:val="auto"/>
              </w:rPr>
              <w:t>8</w:t>
            </w:r>
          </w:p>
        </w:tc>
        <w:tc>
          <w:tcPr>
            <w:tcW w:w="6740" w:type="dxa"/>
            <w:vAlign w:val="bottom"/>
          </w:tcPr>
          <w:p>
            <w:pPr>
              <w:ind w:left="500"/>
              <w:spacing w:after="0"/>
              <w:rPr>
                <w:sz w:val="20"/>
                <w:szCs w:val="20"/>
                <w:color w:val="auto"/>
              </w:rPr>
            </w:pPr>
            <w:r>
              <w:rPr>
                <w:rFonts w:ascii="Arial" w:cs="Arial" w:eastAsia="Arial" w:hAnsi="Arial"/>
                <w:sz w:val="20"/>
                <w:szCs w:val="20"/>
                <w:color w:val="auto"/>
              </w:rPr>
              <w:t>LIABILITY AND INSURANCE</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4</w:t>
            </w:r>
          </w:p>
        </w:tc>
      </w:tr>
      <w:tr>
        <w:trPr>
          <w:trHeight w:val="364"/>
        </w:trPr>
        <w:tc>
          <w:tcPr>
            <w:tcW w:w="700" w:type="dxa"/>
            <w:vAlign w:val="bottom"/>
          </w:tcPr>
          <w:p>
            <w:pPr>
              <w:spacing w:after="0"/>
              <w:rPr>
                <w:sz w:val="20"/>
                <w:szCs w:val="20"/>
                <w:color w:val="auto"/>
              </w:rPr>
            </w:pPr>
            <w:r>
              <w:rPr>
                <w:rFonts w:ascii="Arial" w:cs="Arial" w:eastAsia="Arial" w:hAnsi="Arial"/>
                <w:sz w:val="20"/>
                <w:szCs w:val="20"/>
                <w:color w:val="auto"/>
              </w:rPr>
              <w:t>9</w:t>
            </w:r>
          </w:p>
        </w:tc>
        <w:tc>
          <w:tcPr>
            <w:tcW w:w="6740" w:type="dxa"/>
            <w:vAlign w:val="bottom"/>
          </w:tcPr>
          <w:p>
            <w:pPr>
              <w:ind w:left="500"/>
              <w:spacing w:after="0"/>
              <w:rPr>
                <w:sz w:val="20"/>
                <w:szCs w:val="20"/>
                <w:color w:val="auto"/>
              </w:rPr>
            </w:pPr>
            <w:r>
              <w:rPr>
                <w:rFonts w:ascii="Arial" w:cs="Arial" w:eastAsia="Arial" w:hAnsi="Arial"/>
                <w:sz w:val="20"/>
                <w:szCs w:val="20"/>
                <w:color w:val="auto"/>
              </w:rPr>
              <w:t>OTHER ACTIVITIES</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5</w:t>
            </w:r>
          </w:p>
        </w:tc>
      </w:tr>
      <w:tr>
        <w:trPr>
          <w:trHeight w:val="365"/>
        </w:trPr>
        <w:tc>
          <w:tcPr>
            <w:tcW w:w="700" w:type="dxa"/>
            <w:vAlign w:val="bottom"/>
          </w:tcPr>
          <w:p>
            <w:pPr>
              <w:spacing w:after="0"/>
              <w:rPr>
                <w:sz w:val="20"/>
                <w:szCs w:val="20"/>
                <w:color w:val="auto"/>
              </w:rPr>
            </w:pPr>
            <w:r>
              <w:rPr>
                <w:rFonts w:ascii="Arial" w:cs="Arial" w:eastAsia="Arial" w:hAnsi="Arial"/>
                <w:sz w:val="20"/>
                <w:szCs w:val="20"/>
                <w:color w:val="auto"/>
              </w:rPr>
              <w:t>10</w:t>
            </w:r>
          </w:p>
        </w:tc>
        <w:tc>
          <w:tcPr>
            <w:tcW w:w="6740" w:type="dxa"/>
            <w:vAlign w:val="bottom"/>
          </w:tcPr>
          <w:p>
            <w:pPr>
              <w:ind w:left="500"/>
              <w:spacing w:after="0"/>
              <w:rPr>
                <w:sz w:val="20"/>
                <w:szCs w:val="20"/>
                <w:color w:val="auto"/>
              </w:rPr>
            </w:pPr>
            <w:r>
              <w:rPr>
                <w:rFonts w:ascii="Arial" w:cs="Arial" w:eastAsia="Arial" w:hAnsi="Arial"/>
                <w:sz w:val="20"/>
                <w:szCs w:val="20"/>
                <w:color w:val="auto"/>
              </w:rPr>
              <w:t>CONFIDENTIAL INFORMATION</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5</w:t>
            </w:r>
          </w:p>
        </w:tc>
      </w:tr>
      <w:tr>
        <w:trPr>
          <w:trHeight w:val="365"/>
        </w:trPr>
        <w:tc>
          <w:tcPr>
            <w:tcW w:w="700" w:type="dxa"/>
            <w:vAlign w:val="bottom"/>
          </w:tcPr>
          <w:p>
            <w:pPr>
              <w:spacing w:after="0"/>
              <w:rPr>
                <w:sz w:val="20"/>
                <w:szCs w:val="20"/>
                <w:color w:val="auto"/>
              </w:rPr>
            </w:pPr>
            <w:r>
              <w:rPr>
                <w:rFonts w:ascii="Arial" w:cs="Arial" w:eastAsia="Arial" w:hAnsi="Arial"/>
                <w:sz w:val="20"/>
                <w:szCs w:val="20"/>
                <w:color w:val="auto"/>
              </w:rPr>
              <w:t>11</w:t>
            </w:r>
          </w:p>
        </w:tc>
        <w:tc>
          <w:tcPr>
            <w:tcW w:w="6740" w:type="dxa"/>
            <w:vAlign w:val="bottom"/>
          </w:tcPr>
          <w:p>
            <w:pPr>
              <w:ind w:left="500"/>
              <w:spacing w:after="0"/>
              <w:rPr>
                <w:sz w:val="20"/>
                <w:szCs w:val="20"/>
                <w:color w:val="auto"/>
              </w:rPr>
            </w:pPr>
            <w:r>
              <w:rPr>
                <w:rFonts w:ascii="Arial" w:cs="Arial" w:eastAsia="Arial" w:hAnsi="Arial"/>
                <w:sz w:val="20"/>
                <w:szCs w:val="20"/>
                <w:color w:val="auto"/>
              </w:rPr>
              <w:t>DATA PROTECTION</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5</w:t>
            </w:r>
          </w:p>
        </w:tc>
      </w:tr>
      <w:tr>
        <w:trPr>
          <w:trHeight w:val="364"/>
        </w:trPr>
        <w:tc>
          <w:tcPr>
            <w:tcW w:w="700" w:type="dxa"/>
            <w:vAlign w:val="bottom"/>
          </w:tcPr>
          <w:p>
            <w:pPr>
              <w:spacing w:after="0"/>
              <w:rPr>
                <w:sz w:val="20"/>
                <w:szCs w:val="20"/>
                <w:color w:val="auto"/>
              </w:rPr>
            </w:pPr>
            <w:r>
              <w:rPr>
                <w:rFonts w:ascii="Arial" w:cs="Arial" w:eastAsia="Arial" w:hAnsi="Arial"/>
                <w:sz w:val="20"/>
                <w:szCs w:val="20"/>
                <w:color w:val="auto"/>
              </w:rPr>
              <w:t>12</w:t>
            </w:r>
          </w:p>
        </w:tc>
        <w:tc>
          <w:tcPr>
            <w:tcW w:w="6740" w:type="dxa"/>
            <w:vAlign w:val="bottom"/>
          </w:tcPr>
          <w:p>
            <w:pPr>
              <w:ind w:left="500"/>
              <w:spacing w:after="0"/>
              <w:rPr>
                <w:sz w:val="20"/>
                <w:szCs w:val="20"/>
                <w:color w:val="auto"/>
              </w:rPr>
            </w:pPr>
            <w:r>
              <w:rPr>
                <w:rFonts w:ascii="Arial" w:cs="Arial" w:eastAsia="Arial" w:hAnsi="Arial"/>
                <w:sz w:val="20"/>
                <w:szCs w:val="20"/>
                <w:color w:val="auto"/>
              </w:rPr>
              <w:t>INTELLECTUAL PROPERTY</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6</w:t>
            </w:r>
          </w:p>
        </w:tc>
      </w:tr>
      <w:tr>
        <w:trPr>
          <w:trHeight w:val="365"/>
        </w:trPr>
        <w:tc>
          <w:tcPr>
            <w:tcW w:w="700" w:type="dxa"/>
            <w:vAlign w:val="bottom"/>
          </w:tcPr>
          <w:p>
            <w:pPr>
              <w:spacing w:after="0"/>
              <w:rPr>
                <w:sz w:val="20"/>
                <w:szCs w:val="20"/>
                <w:color w:val="auto"/>
              </w:rPr>
            </w:pPr>
            <w:r>
              <w:rPr>
                <w:rFonts w:ascii="Arial" w:cs="Arial" w:eastAsia="Arial" w:hAnsi="Arial"/>
                <w:sz w:val="20"/>
                <w:szCs w:val="20"/>
                <w:color w:val="auto"/>
              </w:rPr>
              <w:t>13</w:t>
            </w:r>
          </w:p>
        </w:tc>
        <w:tc>
          <w:tcPr>
            <w:tcW w:w="6740" w:type="dxa"/>
            <w:vAlign w:val="bottom"/>
          </w:tcPr>
          <w:p>
            <w:pPr>
              <w:ind w:left="500"/>
              <w:spacing w:after="0"/>
              <w:rPr>
                <w:sz w:val="20"/>
                <w:szCs w:val="20"/>
                <w:color w:val="auto"/>
              </w:rPr>
            </w:pPr>
            <w:r>
              <w:rPr>
                <w:rFonts w:ascii="Arial" w:cs="Arial" w:eastAsia="Arial" w:hAnsi="Arial"/>
                <w:sz w:val="20"/>
                <w:szCs w:val="20"/>
                <w:color w:val="auto"/>
              </w:rPr>
              <w:t>TERMINATION</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7</w:t>
            </w:r>
          </w:p>
        </w:tc>
      </w:tr>
      <w:tr>
        <w:trPr>
          <w:trHeight w:val="365"/>
        </w:trPr>
        <w:tc>
          <w:tcPr>
            <w:tcW w:w="700" w:type="dxa"/>
            <w:vAlign w:val="bottom"/>
          </w:tcPr>
          <w:p>
            <w:pPr>
              <w:spacing w:after="0"/>
              <w:rPr>
                <w:sz w:val="20"/>
                <w:szCs w:val="20"/>
                <w:color w:val="auto"/>
              </w:rPr>
            </w:pPr>
            <w:r>
              <w:rPr>
                <w:rFonts w:ascii="Arial" w:cs="Arial" w:eastAsia="Arial" w:hAnsi="Arial"/>
                <w:sz w:val="20"/>
                <w:szCs w:val="20"/>
                <w:color w:val="auto"/>
              </w:rPr>
              <w:t>14</w:t>
            </w:r>
          </w:p>
        </w:tc>
        <w:tc>
          <w:tcPr>
            <w:tcW w:w="6740" w:type="dxa"/>
            <w:vAlign w:val="bottom"/>
          </w:tcPr>
          <w:p>
            <w:pPr>
              <w:ind w:left="500"/>
              <w:spacing w:after="0"/>
              <w:rPr>
                <w:sz w:val="20"/>
                <w:szCs w:val="20"/>
                <w:color w:val="auto"/>
              </w:rPr>
            </w:pPr>
            <w:r>
              <w:rPr>
                <w:rFonts w:ascii="Arial" w:cs="Arial" w:eastAsia="Arial" w:hAnsi="Arial"/>
                <w:sz w:val="20"/>
                <w:szCs w:val="20"/>
                <w:color w:val="auto"/>
              </w:rPr>
              <w:t>OBLIGATIONS UPON TERMINATION</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8</w:t>
            </w:r>
          </w:p>
        </w:tc>
      </w:tr>
      <w:tr>
        <w:trPr>
          <w:trHeight w:val="365"/>
        </w:trPr>
        <w:tc>
          <w:tcPr>
            <w:tcW w:w="700" w:type="dxa"/>
            <w:vAlign w:val="bottom"/>
          </w:tcPr>
          <w:p>
            <w:pPr>
              <w:spacing w:after="0"/>
              <w:rPr>
                <w:sz w:val="20"/>
                <w:szCs w:val="20"/>
                <w:color w:val="auto"/>
              </w:rPr>
            </w:pPr>
            <w:r>
              <w:rPr>
                <w:rFonts w:ascii="Arial" w:cs="Arial" w:eastAsia="Arial" w:hAnsi="Arial"/>
                <w:sz w:val="20"/>
                <w:szCs w:val="20"/>
                <w:color w:val="auto"/>
              </w:rPr>
              <w:t>15</w:t>
            </w:r>
          </w:p>
        </w:tc>
        <w:tc>
          <w:tcPr>
            <w:tcW w:w="6740" w:type="dxa"/>
            <w:vAlign w:val="bottom"/>
          </w:tcPr>
          <w:p>
            <w:pPr>
              <w:ind w:left="500"/>
              <w:spacing w:after="0"/>
              <w:rPr>
                <w:sz w:val="20"/>
                <w:szCs w:val="20"/>
                <w:color w:val="auto"/>
              </w:rPr>
            </w:pPr>
            <w:r>
              <w:rPr>
                <w:rFonts w:ascii="Arial" w:cs="Arial" w:eastAsia="Arial" w:hAnsi="Arial"/>
                <w:sz w:val="20"/>
                <w:szCs w:val="20"/>
                <w:color w:val="auto"/>
              </w:rPr>
              <w:t>WARRANTIES</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8</w:t>
            </w:r>
          </w:p>
        </w:tc>
      </w:tr>
      <w:tr>
        <w:trPr>
          <w:trHeight w:val="364"/>
        </w:trPr>
        <w:tc>
          <w:tcPr>
            <w:tcW w:w="700" w:type="dxa"/>
            <w:vAlign w:val="bottom"/>
          </w:tcPr>
          <w:p>
            <w:pPr>
              <w:spacing w:after="0"/>
              <w:rPr>
                <w:sz w:val="20"/>
                <w:szCs w:val="20"/>
                <w:color w:val="auto"/>
              </w:rPr>
            </w:pPr>
            <w:r>
              <w:rPr>
                <w:rFonts w:ascii="Arial" w:cs="Arial" w:eastAsia="Arial" w:hAnsi="Arial"/>
                <w:sz w:val="20"/>
                <w:szCs w:val="20"/>
                <w:color w:val="auto"/>
              </w:rPr>
              <w:t>16</w:t>
            </w:r>
          </w:p>
        </w:tc>
        <w:tc>
          <w:tcPr>
            <w:tcW w:w="6740" w:type="dxa"/>
            <w:vAlign w:val="bottom"/>
          </w:tcPr>
          <w:p>
            <w:pPr>
              <w:ind w:left="500"/>
              <w:spacing w:after="0"/>
              <w:rPr>
                <w:sz w:val="20"/>
                <w:szCs w:val="20"/>
                <w:color w:val="auto"/>
              </w:rPr>
            </w:pPr>
            <w:r>
              <w:rPr>
                <w:rFonts w:ascii="Arial" w:cs="Arial" w:eastAsia="Arial" w:hAnsi="Arial"/>
                <w:sz w:val="20"/>
                <w:szCs w:val="20"/>
                <w:color w:val="auto"/>
              </w:rPr>
              <w:t>INDEPENDENT LEGAL ADVICE</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8</w:t>
            </w:r>
          </w:p>
        </w:tc>
      </w:tr>
      <w:tr>
        <w:trPr>
          <w:trHeight w:val="365"/>
        </w:trPr>
        <w:tc>
          <w:tcPr>
            <w:tcW w:w="700" w:type="dxa"/>
            <w:vAlign w:val="bottom"/>
          </w:tcPr>
          <w:p>
            <w:pPr>
              <w:spacing w:after="0"/>
              <w:rPr>
                <w:sz w:val="20"/>
                <w:szCs w:val="20"/>
                <w:color w:val="auto"/>
              </w:rPr>
            </w:pPr>
            <w:r>
              <w:rPr>
                <w:rFonts w:ascii="Arial" w:cs="Arial" w:eastAsia="Arial" w:hAnsi="Arial"/>
                <w:sz w:val="20"/>
                <w:szCs w:val="20"/>
                <w:color w:val="auto"/>
              </w:rPr>
              <w:t>17</w:t>
            </w:r>
          </w:p>
        </w:tc>
        <w:tc>
          <w:tcPr>
            <w:tcW w:w="6740" w:type="dxa"/>
            <w:vAlign w:val="bottom"/>
          </w:tcPr>
          <w:p>
            <w:pPr>
              <w:ind w:left="500"/>
              <w:spacing w:after="0"/>
              <w:rPr>
                <w:sz w:val="20"/>
                <w:szCs w:val="20"/>
                <w:color w:val="auto"/>
              </w:rPr>
            </w:pPr>
            <w:r>
              <w:rPr>
                <w:rFonts w:ascii="Arial" w:cs="Arial" w:eastAsia="Arial" w:hAnsi="Arial"/>
                <w:sz w:val="20"/>
                <w:szCs w:val="20"/>
                <w:color w:val="auto"/>
              </w:rPr>
              <w:t>ENTIRE AGREEMENT</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8</w:t>
            </w:r>
          </w:p>
        </w:tc>
      </w:tr>
      <w:tr>
        <w:trPr>
          <w:trHeight w:val="365"/>
        </w:trPr>
        <w:tc>
          <w:tcPr>
            <w:tcW w:w="700" w:type="dxa"/>
            <w:vAlign w:val="bottom"/>
          </w:tcPr>
          <w:p>
            <w:pPr>
              <w:spacing w:after="0"/>
              <w:rPr>
                <w:sz w:val="20"/>
                <w:szCs w:val="20"/>
                <w:color w:val="auto"/>
              </w:rPr>
            </w:pPr>
            <w:r>
              <w:rPr>
                <w:rFonts w:ascii="Arial" w:cs="Arial" w:eastAsia="Arial" w:hAnsi="Arial"/>
                <w:sz w:val="20"/>
                <w:szCs w:val="20"/>
                <w:color w:val="auto"/>
              </w:rPr>
              <w:t>18</w:t>
            </w:r>
          </w:p>
        </w:tc>
        <w:tc>
          <w:tcPr>
            <w:tcW w:w="6740" w:type="dxa"/>
            <w:vAlign w:val="bottom"/>
          </w:tcPr>
          <w:p>
            <w:pPr>
              <w:ind w:left="500"/>
              <w:spacing w:after="0"/>
              <w:rPr>
                <w:sz w:val="20"/>
                <w:szCs w:val="20"/>
                <w:color w:val="auto"/>
              </w:rPr>
            </w:pPr>
            <w:r>
              <w:rPr>
                <w:rFonts w:ascii="Arial" w:cs="Arial" w:eastAsia="Arial" w:hAnsi="Arial"/>
                <w:sz w:val="20"/>
                <w:szCs w:val="20"/>
                <w:color w:val="auto"/>
              </w:rPr>
              <w:t>GOVERNING LAW</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9</w:t>
            </w:r>
          </w:p>
        </w:tc>
      </w:tr>
      <w:tr>
        <w:trPr>
          <w:trHeight w:val="365"/>
        </w:trPr>
        <w:tc>
          <w:tcPr>
            <w:tcW w:w="700" w:type="dxa"/>
            <w:vAlign w:val="bottom"/>
          </w:tcPr>
          <w:p>
            <w:pPr>
              <w:spacing w:after="0"/>
              <w:rPr>
                <w:sz w:val="20"/>
                <w:szCs w:val="20"/>
                <w:color w:val="auto"/>
              </w:rPr>
            </w:pPr>
            <w:r>
              <w:rPr>
                <w:rFonts w:ascii="Arial" w:cs="Arial" w:eastAsia="Arial" w:hAnsi="Arial"/>
                <w:sz w:val="20"/>
                <w:szCs w:val="20"/>
                <w:color w:val="auto"/>
              </w:rPr>
              <w:t>19</w:t>
            </w:r>
          </w:p>
        </w:tc>
        <w:tc>
          <w:tcPr>
            <w:tcW w:w="6740" w:type="dxa"/>
            <w:vAlign w:val="bottom"/>
          </w:tcPr>
          <w:p>
            <w:pPr>
              <w:ind w:left="500"/>
              <w:spacing w:after="0"/>
              <w:rPr>
                <w:sz w:val="20"/>
                <w:szCs w:val="20"/>
                <w:color w:val="auto"/>
              </w:rPr>
            </w:pPr>
            <w:r>
              <w:rPr>
                <w:rFonts w:ascii="Arial" w:cs="Arial" w:eastAsia="Arial" w:hAnsi="Arial"/>
                <w:sz w:val="20"/>
                <w:szCs w:val="20"/>
                <w:color w:val="auto"/>
              </w:rPr>
              <w:t>GENERAL</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rPr>
              <w:t>9</w:t>
            </w:r>
          </w:p>
        </w:tc>
      </w:tr>
      <w:tr>
        <w:trPr>
          <w:trHeight w:val="364"/>
        </w:trPr>
        <w:tc>
          <w:tcPr>
            <w:tcW w:w="7440" w:type="dxa"/>
            <w:vAlign w:val="bottom"/>
            <w:gridSpan w:val="2"/>
          </w:tcPr>
          <w:p>
            <w:pPr>
              <w:spacing w:after="0"/>
              <w:rPr>
                <w:sz w:val="20"/>
                <w:szCs w:val="20"/>
                <w:color w:val="auto"/>
              </w:rPr>
            </w:pPr>
            <w:r>
              <w:rPr>
                <w:rFonts w:ascii="Arial" w:cs="Arial" w:eastAsia="Arial" w:hAnsi="Arial"/>
                <w:sz w:val="20"/>
                <w:szCs w:val="20"/>
                <w:color w:val="auto"/>
              </w:rPr>
              <w:t>SCHEDULE 1 THE SERVICES</w:t>
            </w:r>
          </w:p>
        </w:tc>
        <w:tc>
          <w:tcPr>
            <w:tcW w:w="1660" w:type="dxa"/>
            <w:vAlign w:val="bottom"/>
          </w:tcPr>
          <w:p>
            <w:pPr>
              <w:jc w:val="center"/>
              <w:ind w:left="1361"/>
              <w:spacing w:after="0"/>
              <w:rPr>
                <w:sz w:val="20"/>
                <w:szCs w:val="20"/>
                <w:color w:val="auto"/>
              </w:rPr>
            </w:pPr>
            <w:r>
              <w:rPr>
                <w:rFonts w:ascii="Arial" w:cs="Arial" w:eastAsia="Arial" w:hAnsi="Arial"/>
                <w:sz w:val="20"/>
                <w:szCs w:val="20"/>
                <w:color w:val="auto"/>
                <w:w w:val="89"/>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MHC-38580835-2</w:t>
      </w:r>
    </w:p>
    <w:p>
      <w:pPr>
        <w:sectPr>
          <w:pgSz w:w="11900" w:h="16838" w:orient="portrait"/>
          <w:cols w:equalWidth="0" w:num="1">
            <w:col w:w="10300"/>
          </w:cols>
          <w:pgMar w:left="1260" w:top="1412" w:right="339" w:bottom="1440" w:gutter="0" w:footer="0" w:header="0"/>
        </w:sectPr>
      </w:pPr>
    </w:p>
    <w:bookmarkStart w:id="239" w:name="page240"/>
    <w:bookmarkEnd w:id="239"/>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dated January 31, 2026.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202" w:lineRule="exact"/>
        <w:rPr>
          <w:sz w:val="20"/>
          <w:szCs w:val="20"/>
          <w:color w:val="auto"/>
        </w:rPr>
      </w:pPr>
    </w:p>
    <w:p>
      <w:pPr>
        <w:ind w:left="660" w:hanging="652"/>
        <w:spacing w:after="0" w:line="298" w:lineRule="auto"/>
        <w:tabs>
          <w:tab w:leader="none" w:pos="659" w:val="left"/>
        </w:tabs>
        <w:numPr>
          <w:ilvl w:val="0"/>
          <w:numId w:val="158"/>
        </w:numPr>
        <w:rPr>
          <w:rFonts w:ascii="Arial" w:cs="Arial" w:eastAsia="Arial" w:hAnsi="Arial"/>
          <w:sz w:val="20"/>
          <w:szCs w:val="20"/>
          <w:color w:val="auto"/>
        </w:rPr>
      </w:pPr>
      <w:r>
        <w:rPr>
          <w:rFonts w:ascii="Arial" w:cs="Arial" w:eastAsia="Arial" w:hAnsi="Arial"/>
          <w:sz w:val="20"/>
          <w:szCs w:val="20"/>
          <w:b w:val="1"/>
          <w:bCs w:val="1"/>
          <w:color w:val="auto"/>
        </w:rPr>
        <w:t xml:space="preserve">ZYMEWORKS PHARMACEUTICAL LIMITED </w:t>
      </w:r>
      <w:r>
        <w:rPr>
          <w:rFonts w:ascii="Arial" w:cs="Arial" w:eastAsia="Arial" w:hAnsi="Arial"/>
          <w:sz w:val="20"/>
          <w:szCs w:val="20"/>
          <w:color w:val="auto"/>
        </w:rPr>
        <w:t>a company incorporated under the laws of Ireland (registered number</w:t>
      </w:r>
      <w:r>
        <w:rPr>
          <w:rFonts w:ascii="Arial" w:cs="Arial" w:eastAsia="Arial" w:hAnsi="Arial"/>
          <w:sz w:val="20"/>
          <w:szCs w:val="20"/>
          <w:b w:val="1"/>
          <w:bCs w:val="1"/>
          <w:color w:val="auto"/>
        </w:rPr>
        <w:t xml:space="preserve"> </w:t>
      </w:r>
      <w:r>
        <w:rPr>
          <w:rFonts w:ascii="Arial" w:cs="Arial" w:eastAsia="Arial" w:hAnsi="Arial"/>
          <w:sz w:val="20"/>
          <w:szCs w:val="20"/>
          <w:color w:val="auto"/>
        </w:rPr>
        <w:t>722169) having its registered office at 88 Harcourt Street, Dublin 2, DO2 DK18 (the “</w:t>
      </w:r>
      <w:r>
        <w:rPr>
          <w:rFonts w:ascii="Arial" w:cs="Arial" w:eastAsia="Arial" w:hAnsi="Arial"/>
          <w:sz w:val="20"/>
          <w:szCs w:val="20"/>
          <w:b w:val="1"/>
          <w:bCs w:val="1"/>
          <w:color w:val="auto"/>
        </w:rPr>
        <w:t>Company</w:t>
      </w:r>
      <w:r>
        <w:rPr>
          <w:rFonts w:ascii="Arial" w:cs="Arial" w:eastAsia="Arial" w:hAnsi="Arial"/>
          <w:sz w:val="20"/>
          <w:szCs w:val="20"/>
          <w:color w:val="auto"/>
        </w:rPr>
        <w:t>”); and</w:t>
      </w:r>
    </w:p>
    <w:p>
      <w:pPr>
        <w:spacing w:after="0" w:line="144" w:lineRule="exact"/>
        <w:rPr>
          <w:rFonts w:ascii="Arial" w:cs="Arial" w:eastAsia="Arial" w:hAnsi="Arial"/>
          <w:sz w:val="20"/>
          <w:szCs w:val="20"/>
          <w:color w:val="auto"/>
        </w:rPr>
      </w:pPr>
    </w:p>
    <w:p>
      <w:pPr>
        <w:ind w:left="660" w:hanging="652"/>
        <w:spacing w:after="0"/>
        <w:tabs>
          <w:tab w:leader="none" w:pos="660" w:val="left"/>
        </w:tabs>
        <w:numPr>
          <w:ilvl w:val="0"/>
          <w:numId w:val="158"/>
        </w:numPr>
        <w:rPr>
          <w:rFonts w:ascii="Arial" w:cs="Arial" w:eastAsia="Arial" w:hAnsi="Arial"/>
          <w:sz w:val="20"/>
          <w:szCs w:val="20"/>
          <w:color w:val="auto"/>
        </w:rPr>
      </w:pPr>
      <w:r>
        <w:rPr>
          <w:rFonts w:ascii="Arial" w:cs="Arial" w:eastAsia="Arial" w:hAnsi="Arial"/>
          <w:sz w:val="20"/>
          <w:szCs w:val="20"/>
          <w:b w:val="1"/>
          <w:bCs w:val="1"/>
          <w:color w:val="auto"/>
        </w:rPr>
        <w:t xml:space="preserve">JEFFREY SMITH </w:t>
      </w:r>
      <w:r>
        <w:rPr>
          <w:rFonts w:ascii="Arial" w:cs="Arial" w:eastAsia="Arial" w:hAnsi="Arial"/>
          <w:sz w:val="20"/>
          <w:szCs w:val="20"/>
          <w:color w:val="auto"/>
        </w:rPr>
        <w:t>of [***] (the “</w:t>
      </w:r>
      <w:r>
        <w:rPr>
          <w:rFonts w:ascii="Arial" w:cs="Arial" w:eastAsia="Arial" w:hAnsi="Arial"/>
          <w:sz w:val="20"/>
          <w:szCs w:val="20"/>
          <w:b w:val="1"/>
          <w:bCs w:val="1"/>
          <w:color w:val="auto"/>
        </w:rPr>
        <w:t>Consultant</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each a “</w:t>
      </w:r>
      <w:r>
        <w:rPr>
          <w:rFonts w:ascii="Arial" w:cs="Arial" w:eastAsia="Arial" w:hAnsi="Arial"/>
          <w:sz w:val="20"/>
          <w:szCs w:val="20"/>
          <w:b w:val="1"/>
          <w:bCs w:val="1"/>
          <w:color w:val="auto"/>
        </w:rPr>
        <w:t>Party</w:t>
      </w:r>
      <w:r>
        <w:rPr>
          <w:rFonts w:ascii="Arial" w:cs="Arial" w:eastAsia="Arial" w:hAnsi="Arial"/>
          <w:sz w:val="20"/>
          <w:szCs w:val="20"/>
          <w:color w:val="auto"/>
        </w:rPr>
        <w:t>” and, together,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THE PARTIES AGREE </w:t>
      </w:r>
      <w:r>
        <w:rPr>
          <w:rFonts w:ascii="Arial" w:cs="Arial" w:eastAsia="Arial" w:hAnsi="Arial"/>
          <w:sz w:val="20"/>
          <w:szCs w:val="20"/>
          <w:color w:val="auto"/>
        </w:rPr>
        <w:t>as follows:</w:t>
      </w:r>
    </w:p>
    <w:p>
      <w:pPr>
        <w:spacing w:after="0" w:line="202" w:lineRule="exact"/>
        <w:rPr>
          <w:sz w:val="20"/>
          <w:szCs w:val="20"/>
          <w:color w:val="auto"/>
        </w:rPr>
      </w:pPr>
    </w:p>
    <w:p>
      <w:pPr>
        <w:ind w:left="880" w:hanging="872"/>
        <w:spacing w:after="0"/>
        <w:tabs>
          <w:tab w:leader="none" w:pos="880"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16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In this agreement, the following expressions shall have the following meanings unless the context otherwise admits: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Associated Company</w:t>
      </w:r>
      <w:r>
        <w:rPr>
          <w:rFonts w:ascii="Arial" w:cs="Arial" w:eastAsia="Arial" w:hAnsi="Arial"/>
          <w:sz w:val="20"/>
          <w:szCs w:val="20"/>
          <w:color w:val="auto"/>
        </w:rPr>
        <w:t>” means:</w:t>
      </w:r>
    </w:p>
    <w:p>
      <w:pPr>
        <w:spacing w:after="0" w:line="33" w:lineRule="exact"/>
        <w:rPr>
          <w:sz w:val="20"/>
          <w:szCs w:val="20"/>
          <w:color w:val="auto"/>
        </w:rPr>
      </w:pPr>
    </w:p>
    <w:p>
      <w:pPr>
        <w:ind w:left="1260" w:right="20" w:hanging="384"/>
        <w:spacing w:after="0" w:line="246" w:lineRule="auto"/>
        <w:tabs>
          <w:tab w:leader="none" w:pos="1254"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any company which is a subsidiary or holding company of the Company, as such terms are defined in section 7 and section 8 respectively of the Companies Act 2014; and/or</w:t>
      </w:r>
    </w:p>
    <w:p>
      <w:pPr>
        <w:spacing w:after="0" w:line="1" w:lineRule="exact"/>
        <w:rPr>
          <w:rFonts w:ascii="Arial" w:cs="Arial" w:eastAsia="Arial" w:hAnsi="Arial"/>
          <w:sz w:val="20"/>
          <w:szCs w:val="20"/>
          <w:color w:val="auto"/>
        </w:rPr>
      </w:pPr>
    </w:p>
    <w:p>
      <w:pPr>
        <w:ind w:left="1260" w:hanging="384"/>
        <w:spacing w:after="0" w:line="246" w:lineRule="auto"/>
        <w:tabs>
          <w:tab w:leader="none" w:pos="1254" w:val="left"/>
        </w:tabs>
        <w:numPr>
          <w:ilvl w:val="0"/>
          <w:numId w:val="160"/>
        </w:numPr>
        <w:rPr>
          <w:rFonts w:ascii="Arial" w:cs="Arial" w:eastAsia="Arial" w:hAnsi="Arial"/>
          <w:sz w:val="20"/>
          <w:szCs w:val="20"/>
          <w:color w:val="auto"/>
        </w:rPr>
      </w:pPr>
      <w:r>
        <w:rPr>
          <w:rFonts w:ascii="Arial" w:cs="Arial" w:eastAsia="Arial" w:hAnsi="Arial"/>
          <w:sz w:val="20"/>
          <w:szCs w:val="20"/>
          <w:color w:val="auto"/>
        </w:rPr>
        <w:t>belongs to the same group of companies (as defined in section 8 of the Companies Act 2014) as the Company; and/or</w:t>
      </w:r>
    </w:p>
    <w:p>
      <w:pPr>
        <w:spacing w:after="0" w:line="1" w:lineRule="exact"/>
        <w:rPr>
          <w:rFonts w:ascii="Arial" w:cs="Arial" w:eastAsia="Arial" w:hAnsi="Arial"/>
          <w:sz w:val="20"/>
          <w:szCs w:val="20"/>
          <w:color w:val="auto"/>
        </w:rPr>
      </w:pPr>
    </w:p>
    <w:p>
      <w:pPr>
        <w:jc w:val="both"/>
        <w:ind w:left="1260" w:hanging="384"/>
        <w:spacing w:after="0" w:line="248" w:lineRule="auto"/>
        <w:tabs>
          <w:tab w:leader="none" w:pos="1257" w:val="left"/>
        </w:tabs>
        <w:numPr>
          <w:ilvl w:val="0"/>
          <w:numId w:val="160"/>
        </w:numPr>
        <w:rPr>
          <w:rFonts w:ascii="Arial" w:cs="Arial" w:eastAsia="Arial" w:hAnsi="Arial"/>
          <w:sz w:val="20"/>
          <w:szCs w:val="20"/>
          <w:color w:val="auto"/>
        </w:rPr>
      </w:pPr>
      <w:r>
        <w:rPr>
          <w:rFonts w:ascii="Arial" w:cs="Arial" w:eastAsia="Arial" w:hAnsi="Arial"/>
          <w:sz w:val="20"/>
          <w:szCs w:val="20"/>
          <w:color w:val="auto"/>
        </w:rPr>
        <w:t>is an undertaking of substantial interest (as defined by section 314 of the Companies Act 2014) of the Company or of any company which belongs to the same group of companies (as defined in section 8 of the Companies Act 2014) as the Company; and/or</w:t>
      </w:r>
    </w:p>
    <w:p>
      <w:pPr>
        <w:spacing w:after="0" w:line="2" w:lineRule="exact"/>
        <w:rPr>
          <w:rFonts w:ascii="Arial" w:cs="Arial" w:eastAsia="Arial" w:hAnsi="Arial"/>
          <w:sz w:val="20"/>
          <w:szCs w:val="20"/>
          <w:color w:val="auto"/>
        </w:rPr>
      </w:pPr>
    </w:p>
    <w:p>
      <w:pPr>
        <w:ind w:left="1260" w:hanging="384"/>
        <w:spacing w:after="0" w:line="246" w:lineRule="auto"/>
        <w:tabs>
          <w:tab w:leader="none" w:pos="1254" w:val="left"/>
        </w:tabs>
        <w:numPr>
          <w:ilvl w:val="0"/>
          <w:numId w:val="160"/>
        </w:numPr>
        <w:rPr>
          <w:rFonts w:ascii="Arial" w:cs="Arial" w:eastAsia="Arial" w:hAnsi="Arial"/>
          <w:sz w:val="20"/>
          <w:szCs w:val="20"/>
          <w:color w:val="auto"/>
        </w:rPr>
      </w:pPr>
      <w:r>
        <w:rPr>
          <w:rFonts w:ascii="Arial" w:cs="Arial" w:eastAsia="Arial" w:hAnsi="Arial"/>
          <w:sz w:val="20"/>
          <w:szCs w:val="20"/>
          <w:color w:val="auto"/>
        </w:rPr>
        <w:t>is an undertaking for whom or on whose behalf the Consultant provides services at the request of the Company; and/or</w:t>
      </w:r>
    </w:p>
    <w:p>
      <w:pPr>
        <w:spacing w:after="0" w:line="1" w:lineRule="exact"/>
        <w:rPr>
          <w:rFonts w:ascii="Arial" w:cs="Arial" w:eastAsia="Arial" w:hAnsi="Arial"/>
          <w:sz w:val="20"/>
          <w:szCs w:val="20"/>
          <w:color w:val="auto"/>
        </w:rPr>
      </w:pPr>
    </w:p>
    <w:p>
      <w:pPr>
        <w:ind w:left="1260" w:hanging="384"/>
        <w:spacing w:after="0"/>
        <w:tabs>
          <w:tab w:leader="none" w:pos="126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is designated in writing by the Company as an Associated Company;</w:t>
      </w:r>
    </w:p>
    <w:p>
      <w:pPr>
        <w:spacing w:after="0" w:line="236" w:lineRule="exact"/>
        <w:rPr>
          <w:sz w:val="20"/>
          <w:szCs w:val="20"/>
          <w:color w:val="auto"/>
        </w:rPr>
      </w:pPr>
    </w:p>
    <w:p>
      <w:pPr>
        <w:jc w:val="both"/>
        <w:ind w:left="880"/>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Confidential Information</w:t>
      </w:r>
      <w:r>
        <w:rPr>
          <w:rFonts w:ascii="Arial" w:cs="Arial" w:eastAsia="Arial" w:hAnsi="Arial"/>
          <w:sz w:val="20"/>
          <w:szCs w:val="20"/>
          <w:color w:val="auto"/>
        </w:rPr>
        <w:t>” means any proprietary information, whether or not protectable as a trade secret which provides an advantage to a competitor or which the Company wishes to designate as confidential for a valid business reason or, without prejudice to the generality of the foregoing, which concerns the business, finance or organisation of the Company, their suppliers or customers which shall have come to the Consultant’s knowledge during the course of his engagement. By way of illustration only and not limitation, information will prima facie be confidential if it relates to trade secrets, research and developments, information relating to Intellectual Property, software (object or source codes), suppliers and their production and delivery capabilities, customers and details of their particular business and requirements, costings, profit margins, discounts, rebates and other financial information, marketing and selling strategies and tactics, current activities and current and future plans relating to all or any of development or sales including the timing of all or any such matters, the development of new products, or technical design or specifications of the products of the Company;</w:t>
      </w:r>
    </w:p>
    <w:p>
      <w:pPr>
        <w:spacing w:after="0" w:line="203" w:lineRule="exact"/>
        <w:rPr>
          <w:sz w:val="20"/>
          <w:szCs w:val="20"/>
          <w:color w:val="auto"/>
        </w:rPr>
      </w:pPr>
    </w:p>
    <w:p>
      <w:pPr>
        <w:jc w:val="both"/>
        <w:ind w:left="880"/>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 means the Company and the Associated Companies and "member of the Group" shall be construed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1"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MHC-38580810-2</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256" w:lineRule="exact"/>
        <w:rPr>
          <w:sz w:val="20"/>
          <w:szCs w:val="20"/>
          <w:color w:val="auto"/>
        </w:rPr>
      </w:pPr>
    </w:p>
    <w:p>
      <w:pPr>
        <w:jc w:val="both"/>
        <w:ind w:left="880"/>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w:t>
      </w:r>
      <w:r>
        <w:rPr>
          <w:rFonts w:ascii="Arial" w:cs="Arial" w:eastAsia="Arial" w:hAnsi="Arial"/>
          <w:sz w:val="20"/>
          <w:szCs w:val="20"/>
          <w:color w:val="auto"/>
        </w:rPr>
        <w:t>” means all intellectual and industrial property rights including (without limitation and without prejudice to the generality of the expression) all patents, registered trademarks and designs, copyright (present and future), applications for any of the foregoing, trade and business names, trade secrets, algorithms, formulas, domain names, computer software, source and object codes, unregistered trademarks, goodwill in relation to the foregoing, database rights, sui generis rights, rights in designs (whether registerable or not), ideas, inventions, discoveries, concepts, improvements to existing technology, processes, models and literary, dramatic, musical and artistic works as defined by the Copyright and Related Rights Acts 2000 to 2007, know how, mask works, topographies, topography rights, (in each case to the fullest extent thereof and for the full period therefor and all related applications (and rights to apply for), extensions and renewals thereof and whether registered or not) and rights of the same or similar effect or nature in any part of the world existing now or in the future created; and</w:t>
      </w:r>
    </w:p>
    <w:p>
      <w:pPr>
        <w:spacing w:after="0" w:line="214" w:lineRule="exact"/>
        <w:rPr>
          <w:sz w:val="20"/>
          <w:szCs w:val="20"/>
          <w:color w:val="auto"/>
        </w:rPr>
      </w:pPr>
    </w:p>
    <w:p>
      <w:pPr>
        <w:jc w:val="both"/>
        <w:ind w:left="880"/>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Services</w:t>
      </w:r>
      <w:r>
        <w:rPr>
          <w:rFonts w:ascii="Arial" w:cs="Arial" w:eastAsia="Arial" w:hAnsi="Arial"/>
          <w:sz w:val="20"/>
          <w:szCs w:val="20"/>
          <w:color w:val="auto"/>
        </w:rPr>
        <w:t>" means the services to be provided by the Consultant to the Company in accordance with this agreement as described in clause 3 and the schedule to this agreement.</w:t>
      </w:r>
    </w:p>
    <w:p>
      <w:pPr>
        <w:spacing w:after="0" w:line="16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Save as otherwise provided herein any references in this agreement or the schedule thereto to clauses, sub-clauses</w:t>
      </w:r>
    </w:p>
    <w:p>
      <w:pPr>
        <w:jc w:val="both"/>
        <w:ind w:left="880"/>
        <w:spacing w:after="0" w:line="225" w:lineRule="auto"/>
        <w:rPr>
          <w:sz w:val="20"/>
          <w:szCs w:val="20"/>
          <w:color w:val="auto"/>
        </w:rPr>
      </w:pPr>
      <w:r>
        <w:rPr>
          <w:rFonts w:ascii="Arial" w:cs="Arial" w:eastAsia="Arial" w:hAnsi="Arial"/>
          <w:sz w:val="20"/>
          <w:szCs w:val="20"/>
          <w:color w:val="auto"/>
        </w:rPr>
        <w:t>or paragraphs are references to the clauses, sub-clauses and paragraphs of this agreement and the schedule thereto unless the context otherwise admits or requires.</w:t>
      </w:r>
    </w:p>
    <w:p>
      <w:pPr>
        <w:spacing w:after="0" w:line="145" w:lineRule="exact"/>
        <w:rPr>
          <w:sz w:val="20"/>
          <w:szCs w:val="20"/>
          <w:color w:val="auto"/>
        </w:rPr>
      </w:pPr>
    </w:p>
    <w:p>
      <w:pPr>
        <w:jc w:val="both"/>
        <w:ind w:left="860" w:hanging="867"/>
        <w:spacing w:after="0" w:line="234" w:lineRule="auto"/>
        <w:tabs>
          <w:tab w:leader="none" w:pos="8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Words such as hereunder, hereof and herein and other words commencing with here shall, unless the context clearly indicates to the contrary, refer to the whole of this agreement and not to any particular clause thereof.</w:t>
      </w:r>
    </w:p>
    <w:p>
      <w:pPr>
        <w:spacing w:after="0" w:line="146" w:lineRule="exact"/>
        <w:rPr>
          <w:sz w:val="20"/>
          <w:szCs w:val="20"/>
          <w:color w:val="auto"/>
        </w:rPr>
      </w:pPr>
    </w:p>
    <w:p>
      <w:pPr>
        <w:jc w:val="both"/>
        <w:ind w:left="860" w:hanging="867"/>
        <w:spacing w:after="0" w:line="234" w:lineRule="auto"/>
        <w:tabs>
          <w:tab w:leader="none" w:pos="8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References to the singular shall include the plural and vice versa and references to any gender shall include other genders.</w:t>
      </w:r>
    </w:p>
    <w:p>
      <w:pPr>
        <w:spacing w:after="0" w:line="132" w:lineRule="exact"/>
        <w:rPr>
          <w:sz w:val="20"/>
          <w:szCs w:val="20"/>
          <w:color w:val="auto"/>
        </w:rPr>
      </w:pPr>
    </w:p>
    <w:p>
      <w:pPr>
        <w:jc w:val="both"/>
        <w:ind w:left="860" w:hanging="867"/>
        <w:spacing w:after="0" w:line="243" w:lineRule="auto"/>
        <w:tabs>
          <w:tab w:leader="none" w:pos="8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The headings to the clauses in this agreement are for ease of reference only and shall not affect the interpretation of this agreement.</w:t>
      </w:r>
    </w:p>
    <w:p>
      <w:pPr>
        <w:spacing w:after="0" w:line="128" w:lineRule="exact"/>
        <w:rPr>
          <w:sz w:val="20"/>
          <w:szCs w:val="20"/>
          <w:color w:val="auto"/>
        </w:rPr>
      </w:pPr>
    </w:p>
    <w:p>
      <w:pPr>
        <w:jc w:val="both"/>
        <w:ind w:left="860" w:hanging="867"/>
        <w:spacing w:after="0" w:line="235" w:lineRule="auto"/>
        <w:tabs>
          <w:tab w:leader="none" w:pos="8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The contents of the schedule form an integral part of this agreement and shall have as full effect as if they were incorporated in the body of this agreement and the expressions this “</w:t>
      </w:r>
      <w:r>
        <w:rPr>
          <w:rFonts w:ascii="Arial" w:cs="Arial" w:eastAsia="Arial" w:hAnsi="Arial"/>
          <w:sz w:val="20"/>
          <w:szCs w:val="20"/>
          <w:b w:val="1"/>
          <w:bCs w:val="1"/>
          <w:color w:val="auto"/>
        </w:rPr>
        <w:t>agreement</w:t>
      </w:r>
      <w:r>
        <w:rPr>
          <w:rFonts w:ascii="Arial" w:cs="Arial" w:eastAsia="Arial" w:hAnsi="Arial"/>
          <w:sz w:val="20"/>
          <w:szCs w:val="20"/>
          <w:color w:val="auto"/>
        </w:rPr>
        <w:t>” and the “</w:t>
      </w:r>
      <w:r>
        <w:rPr>
          <w:rFonts w:ascii="Arial" w:cs="Arial" w:eastAsia="Arial" w:hAnsi="Arial"/>
          <w:sz w:val="20"/>
          <w:szCs w:val="20"/>
          <w:b w:val="1"/>
          <w:bCs w:val="1"/>
          <w:color w:val="auto"/>
        </w:rPr>
        <w:t>agreement</w:t>
      </w:r>
      <w:r>
        <w:rPr>
          <w:rFonts w:ascii="Arial" w:cs="Arial" w:eastAsia="Arial" w:hAnsi="Arial"/>
          <w:sz w:val="20"/>
          <w:szCs w:val="20"/>
          <w:color w:val="auto"/>
        </w:rPr>
        <w:t>” used in the schedule shall mean this agreement and any reference to this “</w:t>
      </w:r>
      <w:r>
        <w:rPr>
          <w:rFonts w:ascii="Arial" w:cs="Arial" w:eastAsia="Arial" w:hAnsi="Arial"/>
          <w:sz w:val="20"/>
          <w:szCs w:val="20"/>
          <w:b w:val="1"/>
          <w:bCs w:val="1"/>
          <w:color w:val="auto"/>
        </w:rPr>
        <w:t>agreement</w:t>
      </w:r>
      <w:r>
        <w:rPr>
          <w:rFonts w:ascii="Arial" w:cs="Arial" w:eastAsia="Arial" w:hAnsi="Arial"/>
          <w:sz w:val="20"/>
          <w:szCs w:val="20"/>
          <w:color w:val="auto"/>
        </w:rPr>
        <w:t>” shall be deemed to include the schedule.</w:t>
      </w:r>
    </w:p>
    <w:p>
      <w:pPr>
        <w:spacing w:after="0" w:line="119" w:lineRule="exact"/>
        <w:rPr>
          <w:sz w:val="20"/>
          <w:szCs w:val="20"/>
          <w:color w:val="auto"/>
        </w:rPr>
      </w:pPr>
    </w:p>
    <w:p>
      <w:pPr>
        <w:ind w:left="880" w:hanging="872"/>
        <w:spacing w:after="0"/>
        <w:tabs>
          <w:tab w:leader="none" w:pos="880"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color w:val="auto"/>
        </w:rPr>
        <w:t>TERM</w:t>
      </w:r>
    </w:p>
    <w:p>
      <w:pPr>
        <w:spacing w:after="0" w:line="175" w:lineRule="exact"/>
        <w:rPr>
          <w:rFonts w:ascii="Arial" w:cs="Arial" w:eastAsia="Arial" w:hAnsi="Arial"/>
          <w:sz w:val="20"/>
          <w:szCs w:val="20"/>
          <w:b w:val="1"/>
          <w:bCs w:val="1"/>
          <w:color w:val="auto"/>
        </w:rPr>
      </w:pPr>
    </w:p>
    <w:p>
      <w:pPr>
        <w:ind w:left="880"/>
        <w:spacing w:after="0" w:line="298" w:lineRule="auto"/>
        <w:rPr>
          <w:rFonts w:ascii="Arial" w:cs="Arial" w:eastAsia="Arial" w:hAnsi="Arial"/>
          <w:sz w:val="20"/>
          <w:szCs w:val="20"/>
          <w:b w:val="1"/>
          <w:bCs w:val="1"/>
          <w:color w:val="auto"/>
        </w:rPr>
      </w:pPr>
      <w:r>
        <w:rPr>
          <w:rFonts w:ascii="Arial" w:cs="Arial" w:eastAsia="Arial" w:hAnsi="Arial"/>
          <w:sz w:val="20"/>
          <w:szCs w:val="20"/>
          <w:color w:val="auto"/>
        </w:rPr>
        <w:t>This agreement shall commence on 01 February 2026 (“</w:t>
      </w:r>
      <w:r>
        <w:rPr>
          <w:rFonts w:ascii="Arial" w:cs="Arial" w:eastAsia="Arial" w:hAnsi="Arial"/>
          <w:sz w:val="20"/>
          <w:szCs w:val="20"/>
          <w:b w:val="1"/>
          <w:bCs w:val="1"/>
          <w:color w:val="auto"/>
        </w:rPr>
        <w:t>Commencement Date</w:t>
      </w:r>
      <w:r>
        <w:rPr>
          <w:rFonts w:ascii="Arial" w:cs="Arial" w:eastAsia="Arial" w:hAnsi="Arial"/>
          <w:sz w:val="20"/>
          <w:szCs w:val="20"/>
          <w:color w:val="auto"/>
        </w:rPr>
        <w:t>”) and shall continue until 31 January 2027 unless terminated in accordance with clause 13 (the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90" w:lineRule="exact"/>
        <w:rPr>
          <w:sz w:val="20"/>
          <w:szCs w:val="20"/>
          <w:color w:val="auto"/>
        </w:rPr>
      </w:pPr>
    </w:p>
    <w:p>
      <w:pPr>
        <w:ind w:left="880" w:hanging="872"/>
        <w:spacing w:after="0"/>
        <w:tabs>
          <w:tab w:leader="none" w:pos="880" w:val="left"/>
        </w:tabs>
        <w:numPr>
          <w:ilvl w:val="0"/>
          <w:numId w:val="162"/>
        </w:numPr>
        <w:rPr>
          <w:rFonts w:ascii="Arial" w:cs="Arial" w:eastAsia="Arial" w:hAnsi="Arial"/>
          <w:sz w:val="20"/>
          <w:szCs w:val="20"/>
          <w:b w:val="1"/>
          <w:bCs w:val="1"/>
          <w:color w:val="auto"/>
        </w:rPr>
      </w:pPr>
      <w:r>
        <w:rPr>
          <w:rFonts w:ascii="Arial" w:cs="Arial" w:eastAsia="Arial" w:hAnsi="Arial"/>
          <w:sz w:val="20"/>
          <w:szCs w:val="20"/>
          <w:b w:val="1"/>
          <w:bCs w:val="1"/>
          <w:color w:val="auto"/>
        </w:rPr>
        <w:t>SERVICES</w:t>
      </w:r>
    </w:p>
    <w:p>
      <w:pPr>
        <w:spacing w:after="0" w:line="175" w:lineRule="exact"/>
        <w:rPr>
          <w:sz w:val="20"/>
          <w:szCs w:val="20"/>
          <w:color w:val="auto"/>
        </w:rPr>
      </w:pPr>
    </w:p>
    <w:p>
      <w:pPr>
        <w:jc w:val="right"/>
        <w:ind w:right="20"/>
        <w:spacing w:after="0" w:line="214"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color w:val="auto"/>
        </w:rPr>
        <w:t>With effect from the Commencement Date, the Consultant shall provide the Services to the Company and such other</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consistent with the Services as the Company shall from time to time require of the Consultant. The specific</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terms of the Services to be provided are set out in the schedule to this agreement.</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color w:val="auto"/>
        </w:rPr>
        <w:t>It is anticipated that the maximum amount of time that the Consultant will be requested to devote to the Services is up</w:t>
      </w:r>
    </w:p>
    <w:p>
      <w:pPr>
        <w:ind w:left="880"/>
        <w:spacing w:after="0" w:line="225" w:lineRule="auto"/>
        <w:rPr>
          <w:sz w:val="20"/>
          <w:szCs w:val="20"/>
          <w:color w:val="auto"/>
        </w:rPr>
      </w:pPr>
      <w:r>
        <w:rPr>
          <w:rFonts w:ascii="Arial" w:cs="Arial" w:eastAsia="Arial" w:hAnsi="Arial"/>
          <w:sz w:val="20"/>
          <w:szCs w:val="20"/>
          <w:color w:val="auto"/>
        </w:rPr>
        <w:t>to 15 hours per month. Any additional hours above this must be approved in advance by the Company. When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24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Services, the Consultant shall devote his full time, knowledge, skill and care to the provision of the Services.</w:t>
      </w:r>
    </w:p>
    <w:p>
      <w:pPr>
        <w:spacing w:after="0" w:line="15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As at the date of entry into this agreement, the intention is for the Consultant to provide the Services. However, the</w:t>
      </w:r>
    </w:p>
    <w:p>
      <w:pPr>
        <w:ind w:left="880"/>
        <w:spacing w:after="0" w:line="204" w:lineRule="auto"/>
        <w:rPr>
          <w:sz w:val="20"/>
          <w:szCs w:val="20"/>
          <w:color w:val="auto"/>
        </w:rPr>
      </w:pPr>
      <w:r>
        <w:rPr>
          <w:rFonts w:ascii="Arial" w:cs="Arial" w:eastAsia="Arial" w:hAnsi="Arial"/>
          <w:sz w:val="20"/>
          <w:szCs w:val="20"/>
          <w:color w:val="auto"/>
        </w:rPr>
        <w:t>Consultant may, if he is unable to provide the Services for any reason, provide the Services through another person employed by the Consultant (“</w:t>
      </w:r>
      <w:r>
        <w:rPr>
          <w:rFonts w:ascii="Arial" w:cs="Arial" w:eastAsia="Arial" w:hAnsi="Arial"/>
          <w:sz w:val="20"/>
          <w:szCs w:val="20"/>
          <w:b w:val="1"/>
          <w:bCs w:val="1"/>
          <w:color w:val="auto"/>
        </w:rPr>
        <w:t>Substitute</w:t>
      </w:r>
      <w:r>
        <w:rPr>
          <w:rFonts w:ascii="Arial" w:cs="Arial" w:eastAsia="Arial" w:hAnsi="Arial"/>
          <w:sz w:val="20"/>
          <w:szCs w:val="20"/>
          <w:color w:val="auto"/>
        </w:rPr>
        <w:t>”) provided that the Substitute is suitably qualified and has the appropriate</w:t>
      </w:r>
    </w:p>
    <w:p>
      <w:pPr>
        <w:ind w:left="880"/>
        <w:spacing w:after="0" w:line="211" w:lineRule="auto"/>
        <w:rPr>
          <w:sz w:val="20"/>
          <w:szCs w:val="20"/>
          <w:color w:val="auto"/>
        </w:rPr>
      </w:pPr>
      <w:r>
        <w:rPr>
          <w:rFonts w:ascii="Arial" w:cs="Arial" w:eastAsia="Arial" w:hAnsi="Arial"/>
          <w:sz w:val="20"/>
          <w:szCs w:val="20"/>
          <w:color w:val="auto"/>
        </w:rPr>
        <w:t>skills and experience and the Consultant shall inform the Company of the identity and qualification of any Substitute</w:t>
      </w:r>
    </w:p>
    <w:p>
      <w:pPr>
        <w:spacing w:after="0" w:line="1" w:lineRule="exact"/>
        <w:rPr>
          <w:sz w:val="20"/>
          <w:szCs w:val="20"/>
          <w:color w:val="auto"/>
        </w:rPr>
      </w:pPr>
    </w:p>
    <w:p>
      <w:pPr>
        <w:ind w:left="880"/>
        <w:spacing w:after="0" w:line="225" w:lineRule="auto"/>
        <w:rPr>
          <w:sz w:val="20"/>
          <w:szCs w:val="20"/>
          <w:color w:val="auto"/>
        </w:rPr>
      </w:pPr>
      <w:r>
        <w:rPr>
          <w:rFonts w:ascii="Arial" w:cs="Arial" w:eastAsia="Arial" w:hAnsi="Arial"/>
          <w:sz w:val="20"/>
          <w:szCs w:val="20"/>
          <w:color w:val="auto"/>
        </w:rPr>
        <w:t>which the Consultant proposes to use to provide the Services. The Company may, at its absolute discretion, determine whether to accept such Substitute to provide the Services.</w:t>
      </w:r>
    </w:p>
    <w:p>
      <w:pPr>
        <w:spacing w:after="0" w:line="145" w:lineRule="exact"/>
        <w:rPr>
          <w:sz w:val="20"/>
          <w:szCs w:val="20"/>
          <w:color w:val="auto"/>
        </w:rPr>
      </w:pPr>
    </w:p>
    <w:p>
      <w:pPr>
        <w:jc w:val="both"/>
        <w:ind w:left="860" w:hanging="867"/>
        <w:spacing w:after="0" w:line="213" w:lineRule="auto"/>
        <w:tabs>
          <w:tab w:leader="none" w:pos="8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The Consultant shall, and shall procure, that any Substitute shall agree to observe and comply with the Company’s rules, regulations and policies (including its policies on bullying, harassment and sexual harassment, and health and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safety) and any relevant legislation affecting or relating to the business of the Company.</w:t>
      </w:r>
    </w:p>
    <w:p>
      <w:pPr>
        <w:spacing w:after="0" w:line="144" w:lineRule="exact"/>
        <w:rPr>
          <w:sz w:val="20"/>
          <w:szCs w:val="20"/>
          <w:color w:val="auto"/>
        </w:rPr>
      </w:pPr>
    </w:p>
    <w:p>
      <w:pPr>
        <w:jc w:val="both"/>
        <w:ind w:left="860" w:hanging="867"/>
        <w:spacing w:after="0" w:line="231" w:lineRule="auto"/>
        <w:tabs>
          <w:tab w:leader="none" w:pos="84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color w:val="auto"/>
        </w:rPr>
        <w:t>The Consultant may use another person, firm, company or organisation to perform any administrative, clerical or secretarial functions which are reasonably incidental to the provision of the Services provided that the Company will not be liable to bear the cost of such functions.</w:t>
      </w:r>
    </w:p>
    <w:p>
      <w:pPr>
        <w:spacing w:after="0" w:line="12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color w:val="auto"/>
        </w:rPr>
        <w:t>The Consultant shall take instructions from Company management and liaise with Kenneth Galbraith as the</w:t>
      </w:r>
    </w:p>
    <w:p>
      <w:pPr>
        <w:ind w:left="880"/>
        <w:spacing w:after="0" w:line="225" w:lineRule="auto"/>
        <w:rPr>
          <w:sz w:val="20"/>
          <w:szCs w:val="20"/>
          <w:color w:val="auto"/>
        </w:rPr>
      </w:pPr>
      <w:r>
        <w:rPr>
          <w:rFonts w:ascii="Arial" w:cs="Arial" w:eastAsia="Arial" w:hAnsi="Arial"/>
          <w:sz w:val="20"/>
          <w:szCs w:val="20"/>
          <w:color w:val="auto"/>
        </w:rPr>
        <w:t>Company’s representative (or such other individual as Company management may designate in writing from time to time) in relation to the performance of the Services.</w:t>
      </w:r>
    </w:p>
    <w:p>
      <w:pPr>
        <w:spacing w:after="0" w:line="143" w:lineRule="exact"/>
        <w:rPr>
          <w:sz w:val="20"/>
          <w:szCs w:val="20"/>
          <w:color w:val="auto"/>
        </w:rPr>
      </w:pPr>
    </w:p>
    <w:p>
      <w:pPr>
        <w:ind w:left="880" w:hanging="872"/>
        <w:spacing w:after="0"/>
        <w:tabs>
          <w:tab w:leader="none" w:pos="880" w:val="left"/>
        </w:tabs>
        <w:numPr>
          <w:ilvl w:val="0"/>
          <w:numId w:val="163"/>
        </w:numPr>
        <w:rPr>
          <w:rFonts w:ascii="Arial" w:cs="Arial" w:eastAsia="Arial" w:hAnsi="Arial"/>
          <w:sz w:val="20"/>
          <w:szCs w:val="20"/>
          <w:b w:val="1"/>
          <w:bCs w:val="1"/>
          <w:color w:val="auto"/>
        </w:rPr>
      </w:pPr>
      <w:r>
        <w:rPr>
          <w:rFonts w:ascii="Arial" w:cs="Arial" w:eastAsia="Arial" w:hAnsi="Arial"/>
          <w:sz w:val="20"/>
          <w:szCs w:val="20"/>
          <w:b w:val="1"/>
          <w:bCs w:val="1"/>
          <w:color w:val="auto"/>
        </w:rPr>
        <w:t>LOCATION</w:t>
      </w:r>
    </w:p>
    <w:p>
      <w:pPr>
        <w:spacing w:after="0" w:line="177" w:lineRule="exact"/>
        <w:rPr>
          <w:rFonts w:ascii="Arial" w:cs="Arial" w:eastAsia="Arial" w:hAnsi="Arial"/>
          <w:sz w:val="20"/>
          <w:szCs w:val="20"/>
          <w:b w:val="1"/>
          <w:bCs w:val="1"/>
          <w:color w:val="auto"/>
        </w:rPr>
      </w:pPr>
    </w:p>
    <w:p>
      <w:pPr>
        <w:ind w:left="880"/>
        <w:spacing w:after="0" w:line="271" w:lineRule="auto"/>
        <w:rPr>
          <w:rFonts w:ascii="Arial" w:cs="Arial" w:eastAsia="Arial" w:hAnsi="Arial"/>
          <w:sz w:val="20"/>
          <w:szCs w:val="20"/>
          <w:b w:val="1"/>
          <w:bCs w:val="1"/>
          <w:color w:val="auto"/>
        </w:rPr>
      </w:pPr>
      <w:r>
        <w:rPr>
          <w:rFonts w:ascii="Arial" w:cs="Arial" w:eastAsia="Arial" w:hAnsi="Arial"/>
          <w:sz w:val="20"/>
          <w:szCs w:val="20"/>
          <w:color w:val="auto"/>
        </w:rPr>
        <w:t>The Consultant will carry out the Services at his own premises at his own cost. No facilities or office space will be provided by the Company.</w:t>
      </w:r>
    </w:p>
    <w:p>
      <w:pPr>
        <w:spacing w:after="0" w:line="140" w:lineRule="exact"/>
        <w:rPr>
          <w:sz w:val="20"/>
          <w:szCs w:val="20"/>
          <w:color w:val="auto"/>
        </w:rPr>
      </w:pPr>
    </w:p>
    <w:p>
      <w:pPr>
        <w:ind w:left="880" w:hanging="872"/>
        <w:spacing w:after="0"/>
        <w:tabs>
          <w:tab w:leader="none" w:pos="880" w:val="left"/>
        </w:tabs>
        <w:numPr>
          <w:ilvl w:val="0"/>
          <w:numId w:val="164"/>
        </w:numPr>
        <w:rPr>
          <w:rFonts w:ascii="Arial" w:cs="Arial" w:eastAsia="Arial" w:hAnsi="Arial"/>
          <w:sz w:val="20"/>
          <w:szCs w:val="20"/>
          <w:b w:val="1"/>
          <w:bCs w:val="1"/>
          <w:color w:val="auto"/>
        </w:rPr>
      </w:pPr>
      <w:r>
        <w:rPr>
          <w:rFonts w:ascii="Arial" w:cs="Arial" w:eastAsia="Arial" w:hAnsi="Arial"/>
          <w:sz w:val="20"/>
          <w:szCs w:val="20"/>
          <w:b w:val="1"/>
          <w:bCs w:val="1"/>
          <w:color w:val="auto"/>
        </w:rPr>
        <w:t>FEES</w:t>
      </w:r>
    </w:p>
    <w:p>
      <w:pPr>
        <w:spacing w:after="0" w:line="164" w:lineRule="exact"/>
        <w:rPr>
          <w:sz w:val="20"/>
          <w:szCs w:val="20"/>
          <w:color w:val="auto"/>
        </w:rPr>
      </w:pPr>
    </w:p>
    <w:p>
      <w:pPr>
        <w:ind w:left="860" w:hanging="867"/>
        <w:spacing w:after="0" w:line="254" w:lineRule="auto"/>
        <w:tabs>
          <w:tab w:leader="none" w:pos="8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The Company shall pay the Consultant a retainer fee of $10,000.00USD per month (which fee is exclusive of any VAT which the Consultant may charge) (“</w:t>
      </w:r>
      <w:r>
        <w:rPr>
          <w:rFonts w:ascii="Arial" w:cs="Arial" w:eastAsia="Arial" w:hAnsi="Arial"/>
          <w:sz w:val="20"/>
          <w:szCs w:val="20"/>
          <w:b w:val="1"/>
          <w:bCs w:val="1"/>
          <w:color w:val="auto"/>
        </w:rPr>
        <w:t>Fee</w:t>
      </w:r>
      <w:r>
        <w:rPr>
          <w:rFonts w:ascii="Arial" w:cs="Arial" w:eastAsia="Arial" w:hAnsi="Arial"/>
          <w:sz w:val="20"/>
          <w:szCs w:val="20"/>
          <w:color w:val="auto"/>
        </w:rPr>
        <w:t>”).</w:t>
      </w:r>
    </w:p>
    <w:p>
      <w:pPr>
        <w:spacing w:after="0" w:line="9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color w:val="auto"/>
        </w:rPr>
        <w:t>Payment of the Fee shall only be made on production of an appropriate invoice for this purpose (to include VAT where</w:t>
      </w:r>
    </w:p>
    <w:p>
      <w:pPr>
        <w:ind w:left="880"/>
        <w:spacing w:after="0" w:line="215" w:lineRule="auto"/>
        <w:rPr>
          <w:sz w:val="20"/>
          <w:szCs w:val="20"/>
          <w:color w:val="auto"/>
        </w:rPr>
      </w:pPr>
      <w:r>
        <w:rPr>
          <w:rFonts w:ascii="Arial" w:cs="Arial" w:eastAsia="Arial" w:hAnsi="Arial"/>
          <w:sz w:val="19"/>
          <w:szCs w:val="19"/>
          <w:color w:val="auto"/>
        </w:rPr>
        <w:t>necessary) by the Consultant and not otherwise. Invoices should be marked for the attention of the Company’s representative as set in clause 3.6 above (or such other individual as Company management may designate in writing</w:t>
      </w:r>
    </w:p>
    <w:p>
      <w:pPr>
        <w:ind w:left="880"/>
        <w:spacing w:after="0"/>
        <w:rPr>
          <w:sz w:val="20"/>
          <w:szCs w:val="20"/>
          <w:color w:val="auto"/>
        </w:rPr>
      </w:pPr>
      <w:r>
        <w:rPr>
          <w:rFonts w:ascii="Arial" w:cs="Arial" w:eastAsia="Arial" w:hAnsi="Arial"/>
          <w:sz w:val="20"/>
          <w:szCs w:val="20"/>
          <w:color w:val="auto"/>
        </w:rPr>
        <w:t>from time to time) and submitted within 10 days of the month end. Invoices will be payable within 30 days thereafter.</w:t>
      </w:r>
    </w:p>
    <w:p>
      <w:pPr>
        <w:spacing w:after="0" w:line="144"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5.3      If any aspect of the Services are not completed to the reasonable satisfaction of the Company, the Company will notify the Consultant in writing and the Fee shall not become due until the Consultant has completed the Services to the</w:t>
      </w:r>
    </w:p>
    <w:p>
      <w:pPr>
        <w:spacing w:after="0" w:line="1" w:lineRule="exact"/>
        <w:rPr>
          <w:sz w:val="20"/>
          <w:szCs w:val="20"/>
          <w:color w:val="auto"/>
        </w:rPr>
      </w:pPr>
    </w:p>
    <w:p>
      <w:pPr>
        <w:ind w:left="880"/>
        <w:spacing w:after="0" w:line="225" w:lineRule="auto"/>
        <w:rPr>
          <w:sz w:val="20"/>
          <w:szCs w:val="20"/>
          <w:color w:val="auto"/>
        </w:rPr>
      </w:pPr>
      <w:r>
        <w:rPr>
          <w:rFonts w:ascii="Arial" w:cs="Arial" w:eastAsia="Arial" w:hAnsi="Arial"/>
          <w:sz w:val="20"/>
          <w:szCs w:val="20"/>
          <w:color w:val="auto"/>
        </w:rPr>
        <w:t>Company’s satisfaction which shall be confirmed by the Company in writing. For the avoidance of doubt, no further payment shall be made by the Company in addition to the Fee as a result of this clause.</w:t>
      </w:r>
    </w:p>
    <w:p>
      <w:pPr>
        <w:spacing w:after="0" w:line="145" w:lineRule="exact"/>
        <w:rPr>
          <w:sz w:val="20"/>
          <w:szCs w:val="20"/>
          <w:color w:val="auto"/>
        </w:rPr>
      </w:pPr>
    </w:p>
    <w:p>
      <w:pPr>
        <w:ind w:left="860" w:right="20" w:hanging="867"/>
        <w:spacing w:after="0" w:line="234" w:lineRule="auto"/>
        <w:tabs>
          <w:tab w:leader="none" w:pos="8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color w:val="auto"/>
        </w:rPr>
        <w:t>If the Consultant is unable or unavailable to provide the Services for any reason, he shall not be entitled to receive any Fees in respect of the period of such inability or unavailability.</w:t>
      </w:r>
    </w:p>
    <w:p>
      <w:pPr>
        <w:spacing w:after="0" w:line="146" w:lineRule="exact"/>
        <w:rPr>
          <w:sz w:val="20"/>
          <w:szCs w:val="20"/>
          <w:color w:val="auto"/>
        </w:rPr>
      </w:pPr>
    </w:p>
    <w:p>
      <w:pPr>
        <w:jc w:val="right"/>
        <w:spacing w:after="0" w:line="213" w:lineRule="auto"/>
        <w:rPr>
          <w:sz w:val="20"/>
          <w:szCs w:val="20"/>
          <w:color w:val="auto"/>
        </w:rPr>
      </w:pPr>
      <w:r>
        <w:rPr>
          <w:rFonts w:ascii="Arial" w:cs="Arial" w:eastAsia="Arial" w:hAnsi="Arial"/>
          <w:sz w:val="20"/>
          <w:szCs w:val="20"/>
          <w:color w:val="auto"/>
        </w:rPr>
        <w:t>5.5      The Company shall reimburse the Consultant for all proper and reasonable expenses incurred by him wholly and necessarily in carrying out the Services. The Consultant shall comply with such rules as may from time to time be</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stipulated by the Company regarding the approval of and vouching of such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243" w:lineRule="exact"/>
        <w:rPr>
          <w:sz w:val="20"/>
          <w:szCs w:val="20"/>
          <w:color w:val="auto"/>
        </w:rPr>
      </w:pPr>
    </w:p>
    <w:p>
      <w:pPr>
        <w:ind w:left="880" w:hanging="872"/>
        <w:spacing w:after="0"/>
        <w:tabs>
          <w:tab w:leader="none" w:pos="880" w:val="left"/>
        </w:tabs>
        <w:numPr>
          <w:ilvl w:val="0"/>
          <w:numId w:val="165"/>
        </w:numPr>
        <w:rPr>
          <w:rFonts w:ascii="Arial" w:cs="Arial" w:eastAsia="Arial" w:hAnsi="Arial"/>
          <w:sz w:val="20"/>
          <w:szCs w:val="20"/>
          <w:b w:val="1"/>
          <w:bCs w:val="1"/>
          <w:color w:val="auto"/>
        </w:rPr>
      </w:pPr>
      <w:r>
        <w:rPr>
          <w:rFonts w:ascii="Arial" w:cs="Arial" w:eastAsia="Arial" w:hAnsi="Arial"/>
          <w:sz w:val="20"/>
          <w:szCs w:val="20"/>
          <w:b w:val="1"/>
          <w:bCs w:val="1"/>
          <w:color w:val="auto"/>
        </w:rPr>
        <w:t>NO EMPLOYMENT OR AGENCY AND INDEMNITIES</w:t>
      </w:r>
    </w:p>
    <w:p>
      <w:pPr>
        <w:spacing w:after="0" w:line="164" w:lineRule="exact"/>
        <w:rPr>
          <w:sz w:val="20"/>
          <w:szCs w:val="20"/>
          <w:color w:val="auto"/>
        </w:rPr>
      </w:pPr>
    </w:p>
    <w:p>
      <w:pPr>
        <w:ind w:left="860" w:hanging="867"/>
        <w:spacing w:after="0" w:line="243" w:lineRule="auto"/>
        <w:tabs>
          <w:tab w:leader="none" w:pos="8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Nothing contained in this agreement shall be construed or have effect as constituting any relationship of employer and employee between the Company or any member of the Group and the Consultant and/or any Substitute.</w:t>
      </w:r>
    </w:p>
    <w:p>
      <w:pPr>
        <w:spacing w:after="0" w:line="11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Nothing in this agreement shall constitute the Consultant and/or any Substitute acting as an agent of the Company or</w:t>
      </w:r>
    </w:p>
    <w:p>
      <w:pPr>
        <w:ind w:left="880"/>
        <w:spacing w:after="0" w:line="204" w:lineRule="auto"/>
        <w:rPr>
          <w:sz w:val="20"/>
          <w:szCs w:val="20"/>
          <w:color w:val="auto"/>
        </w:rPr>
      </w:pPr>
      <w:r>
        <w:rPr>
          <w:rFonts w:ascii="Arial" w:cs="Arial" w:eastAsia="Arial" w:hAnsi="Arial"/>
          <w:sz w:val="20"/>
          <w:szCs w:val="20"/>
          <w:color w:val="auto"/>
        </w:rPr>
        <w:t>any member of the Group. The Consultant and/or any Substitute shall not have any right or power whatsoever to contract on behalf of the Company or any member of the Group or bind the Company or any member of the Group in</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any way in relation to third parties unless specifically authorised to do so.</w:t>
      </w:r>
    </w:p>
    <w:p>
      <w:pPr>
        <w:spacing w:after="0" w:line="144" w:lineRule="exact"/>
        <w:rPr>
          <w:sz w:val="20"/>
          <w:szCs w:val="20"/>
          <w:color w:val="auto"/>
        </w:rPr>
      </w:pPr>
    </w:p>
    <w:p>
      <w:pPr>
        <w:ind w:left="860" w:right="20" w:hanging="867"/>
        <w:spacing w:after="0" w:line="243" w:lineRule="auto"/>
        <w:tabs>
          <w:tab w:leader="none" w:pos="8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color w:val="auto"/>
        </w:rPr>
        <w:t>Nothing contained in this agreement shall constitute a partnership or joint venture between the Company or any member of the Group and the Consultant and/or any Substitute.</w:t>
      </w:r>
    </w:p>
    <w:p>
      <w:pPr>
        <w:spacing w:after="0" w:line="128"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6.4      The Consultant shall be responsible for the payment of any Pay Related Social Insurance, Universal Social Charge, income tax, and any other form of taxation or social security cost ("</w:t>
      </w:r>
      <w:r>
        <w:rPr>
          <w:rFonts w:ascii="Arial" w:cs="Arial" w:eastAsia="Arial" w:hAnsi="Arial"/>
          <w:sz w:val="20"/>
          <w:szCs w:val="20"/>
          <w:b w:val="1"/>
          <w:bCs w:val="1"/>
          <w:color w:val="auto"/>
        </w:rPr>
        <w:t>Taxation</w:t>
      </w:r>
      <w:r>
        <w:rPr>
          <w:rFonts w:ascii="Arial" w:cs="Arial" w:eastAsia="Arial" w:hAnsi="Arial"/>
          <w:sz w:val="20"/>
          <w:szCs w:val="20"/>
          <w:color w:val="auto"/>
        </w:rPr>
        <w:t>") in respect of payments made to him</w:t>
      </w:r>
    </w:p>
    <w:p>
      <w:pPr>
        <w:spacing w:after="0" w:line="1" w:lineRule="exact"/>
        <w:rPr>
          <w:sz w:val="20"/>
          <w:szCs w:val="20"/>
          <w:color w:val="auto"/>
        </w:rPr>
      </w:pPr>
    </w:p>
    <w:p>
      <w:pPr>
        <w:ind w:left="880"/>
        <w:spacing w:after="0" w:line="204" w:lineRule="auto"/>
        <w:rPr>
          <w:sz w:val="20"/>
          <w:szCs w:val="20"/>
          <w:color w:val="auto"/>
        </w:rPr>
      </w:pPr>
      <w:r>
        <w:rPr>
          <w:rFonts w:ascii="Arial" w:cs="Arial" w:eastAsia="Arial" w:hAnsi="Arial"/>
          <w:sz w:val="20"/>
          <w:szCs w:val="20"/>
          <w:color w:val="auto"/>
        </w:rPr>
        <w:t>under this agreement and shall be responsible for the remuneration payable to and benefits provided for any Substitute, including the payment of Taxation to and any benefits provided to any Substitute under their contract of</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employment or otherwise.</w:t>
      </w:r>
    </w:p>
    <w:p>
      <w:pPr>
        <w:spacing w:after="0" w:line="144"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6.5      The Consultant shall indemnify and keep indemnified the Company against the Taxation (including interest and penalties) and any liability, loss, damage, cost, claim or expense the Company suffers or incurs as a result of any</w:t>
      </w:r>
    </w:p>
    <w:p>
      <w:pPr>
        <w:spacing w:after="0" w:line="1" w:lineRule="exact"/>
        <w:rPr>
          <w:sz w:val="20"/>
          <w:szCs w:val="20"/>
          <w:color w:val="auto"/>
        </w:rPr>
      </w:pPr>
    </w:p>
    <w:p>
      <w:pPr>
        <w:ind w:left="880"/>
        <w:spacing w:after="0" w:line="215" w:lineRule="auto"/>
        <w:rPr>
          <w:sz w:val="20"/>
          <w:szCs w:val="20"/>
          <w:color w:val="auto"/>
        </w:rPr>
      </w:pPr>
      <w:r>
        <w:rPr>
          <w:rFonts w:ascii="Arial" w:cs="Arial" w:eastAsia="Arial" w:hAnsi="Arial"/>
          <w:sz w:val="19"/>
          <w:szCs w:val="19"/>
          <w:color w:val="auto"/>
        </w:rPr>
        <w:t>claims against the Company for such sums and other claims arising out of or in connection with the Consultant and/or any Substitute claiming or being found to be an employee of the Company (including, without limitation, any claims or</w:t>
      </w:r>
    </w:p>
    <w:p>
      <w:pPr>
        <w:ind w:left="880"/>
        <w:spacing w:after="0" w:line="211" w:lineRule="auto"/>
        <w:rPr>
          <w:sz w:val="20"/>
          <w:szCs w:val="20"/>
          <w:color w:val="auto"/>
        </w:rPr>
      </w:pPr>
      <w:r>
        <w:rPr>
          <w:rFonts w:ascii="Arial" w:cs="Arial" w:eastAsia="Arial" w:hAnsi="Arial"/>
          <w:sz w:val="20"/>
          <w:szCs w:val="20"/>
          <w:color w:val="auto"/>
        </w:rPr>
        <w:t>demands against the Company and/or the Group by the Office of the Revenue Commissioner, the Department of</w:t>
      </w:r>
    </w:p>
    <w:p>
      <w:pPr>
        <w:ind w:left="880"/>
        <w:spacing w:after="0" w:line="204" w:lineRule="auto"/>
        <w:rPr>
          <w:sz w:val="20"/>
          <w:szCs w:val="20"/>
          <w:color w:val="auto"/>
        </w:rPr>
      </w:pPr>
      <w:r>
        <w:rPr>
          <w:rFonts w:ascii="Arial" w:cs="Arial" w:eastAsia="Arial" w:hAnsi="Arial"/>
          <w:sz w:val="20"/>
          <w:szCs w:val="20"/>
          <w:color w:val="auto"/>
        </w:rPr>
        <w:t>Employment Affairs and Social Protection and/or any other competent tribunal, court or authority for Pay Related Social Insurance, Universal Social Charge, income tax (including interest and penalties) and other contributions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required by law to be paid in respect of any payments made to the Consultant under this agreement).</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20"/>
          <w:szCs w:val="20"/>
          <w:color w:val="auto"/>
        </w:rPr>
        <w:t>Without prejudice to the indemnity in clause 6.4, if for any reason, the Company and/or the Group shall become liable</w:t>
      </w:r>
    </w:p>
    <w:p>
      <w:pPr>
        <w:ind w:left="880"/>
        <w:spacing w:after="0" w:line="204" w:lineRule="auto"/>
        <w:rPr>
          <w:sz w:val="20"/>
          <w:szCs w:val="20"/>
          <w:color w:val="auto"/>
        </w:rPr>
      </w:pPr>
      <w:r>
        <w:rPr>
          <w:rFonts w:ascii="Arial" w:cs="Arial" w:eastAsia="Arial" w:hAnsi="Arial"/>
          <w:sz w:val="20"/>
          <w:szCs w:val="20"/>
          <w:color w:val="auto"/>
        </w:rPr>
        <w:t>to pay, or shall pay, any such taxes or other payments as referred to in clause 6.4 and 6.5, the Company shall be entitled to deduct from any amounts payable to the Consultant all amounts so paid or required to be paid by the</w:t>
      </w:r>
    </w:p>
    <w:p>
      <w:pPr>
        <w:ind w:left="880"/>
        <w:spacing w:after="0" w:line="211" w:lineRule="auto"/>
        <w:rPr>
          <w:sz w:val="20"/>
          <w:szCs w:val="20"/>
          <w:color w:val="auto"/>
        </w:rPr>
      </w:pPr>
      <w:r>
        <w:rPr>
          <w:rFonts w:ascii="Arial" w:cs="Arial" w:eastAsia="Arial" w:hAnsi="Arial"/>
          <w:sz w:val="20"/>
          <w:szCs w:val="20"/>
          <w:color w:val="auto"/>
        </w:rPr>
        <w:t>Company and/or the Group and, to the extent that any amount of taxes paid or required to be paid by the Consultant</w:t>
      </w:r>
    </w:p>
    <w:p>
      <w:pPr>
        <w:spacing w:after="0" w:line="1" w:lineRule="exact"/>
        <w:rPr>
          <w:sz w:val="20"/>
          <w:szCs w:val="20"/>
          <w:color w:val="auto"/>
        </w:rPr>
      </w:pPr>
    </w:p>
    <w:p>
      <w:pPr>
        <w:ind w:left="880"/>
        <w:spacing w:after="0" w:line="215" w:lineRule="auto"/>
        <w:rPr>
          <w:sz w:val="20"/>
          <w:szCs w:val="20"/>
          <w:color w:val="auto"/>
        </w:rPr>
      </w:pPr>
      <w:r>
        <w:rPr>
          <w:rFonts w:ascii="Arial" w:cs="Arial" w:eastAsia="Arial" w:hAnsi="Arial"/>
          <w:sz w:val="19"/>
          <w:szCs w:val="19"/>
          <w:color w:val="auto"/>
        </w:rPr>
        <w:t>shall exceed the amounts payable by the Company and/or the Group to the Consultant, the Consultant shall indemnify the Company and/or the Group in respect of such liability and shall, upon demand, forthwith reimburse the Company</w:t>
      </w:r>
    </w:p>
    <w:p>
      <w:pPr>
        <w:ind w:left="880"/>
        <w:spacing w:after="0"/>
        <w:rPr>
          <w:sz w:val="20"/>
          <w:szCs w:val="20"/>
          <w:color w:val="auto"/>
        </w:rPr>
      </w:pPr>
      <w:r>
        <w:rPr>
          <w:rFonts w:ascii="Arial" w:cs="Arial" w:eastAsia="Arial" w:hAnsi="Arial"/>
          <w:sz w:val="20"/>
          <w:szCs w:val="20"/>
          <w:color w:val="auto"/>
        </w:rPr>
        <w:t>and/or the Group such excess. Such monies shall be recoverable as a debt.</w:t>
      </w:r>
    </w:p>
    <w:p>
      <w:pPr>
        <w:spacing w:after="0" w:line="144" w:lineRule="exact"/>
        <w:rPr>
          <w:sz w:val="20"/>
          <w:szCs w:val="20"/>
          <w:color w:val="auto"/>
        </w:rPr>
      </w:pPr>
    </w:p>
    <w:p>
      <w:pPr>
        <w:ind w:left="860" w:right="20" w:hanging="867"/>
        <w:spacing w:after="0" w:line="243" w:lineRule="auto"/>
        <w:tabs>
          <w:tab w:leader="none" w:pos="84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20"/>
          <w:szCs w:val="20"/>
          <w:color w:val="auto"/>
        </w:rPr>
        <w:t>The Consultant shall if requested by the Company, provide a tax clearance certificate from the Office of the Revenue Commissioner on or after the commencement of this agreement and on an annual basis going forward.</w:t>
      </w:r>
    </w:p>
    <w:p>
      <w:pPr>
        <w:spacing w:after="0" w:line="126" w:lineRule="exact"/>
        <w:rPr>
          <w:sz w:val="20"/>
          <w:szCs w:val="20"/>
          <w:color w:val="auto"/>
        </w:rPr>
      </w:pPr>
    </w:p>
    <w:p>
      <w:pPr>
        <w:ind w:left="880" w:hanging="872"/>
        <w:spacing w:after="0"/>
        <w:tabs>
          <w:tab w:leader="none" w:pos="880" w:val="left"/>
        </w:tabs>
        <w:numPr>
          <w:ilvl w:val="0"/>
          <w:numId w:val="166"/>
        </w:numPr>
        <w:rPr>
          <w:rFonts w:ascii="Arial" w:cs="Arial" w:eastAsia="Arial" w:hAnsi="Arial"/>
          <w:sz w:val="20"/>
          <w:szCs w:val="20"/>
          <w:b w:val="1"/>
          <w:bCs w:val="1"/>
          <w:color w:val="auto"/>
        </w:rPr>
      </w:pPr>
      <w:r>
        <w:rPr>
          <w:rFonts w:ascii="Arial" w:cs="Arial" w:eastAsia="Arial" w:hAnsi="Arial"/>
          <w:sz w:val="20"/>
          <w:szCs w:val="20"/>
          <w:b w:val="1"/>
          <w:bCs w:val="1"/>
          <w:color w:val="auto"/>
        </w:rPr>
        <w:t>EQUIPMENT</w:t>
      </w:r>
    </w:p>
    <w:p>
      <w:pPr>
        <w:spacing w:after="0" w:line="190" w:lineRule="exact"/>
        <w:rPr>
          <w:rFonts w:ascii="Arial" w:cs="Arial" w:eastAsia="Arial" w:hAnsi="Arial"/>
          <w:sz w:val="20"/>
          <w:szCs w:val="20"/>
          <w:b w:val="1"/>
          <w:bCs w:val="1"/>
          <w:color w:val="auto"/>
        </w:rPr>
      </w:pPr>
    </w:p>
    <w:p>
      <w:pPr>
        <w:ind w:left="880"/>
        <w:spacing w:after="0" w:line="271" w:lineRule="auto"/>
        <w:rPr>
          <w:rFonts w:ascii="Arial" w:cs="Arial" w:eastAsia="Arial" w:hAnsi="Arial"/>
          <w:sz w:val="20"/>
          <w:szCs w:val="20"/>
          <w:b w:val="1"/>
          <w:bCs w:val="1"/>
          <w:color w:val="auto"/>
        </w:rPr>
      </w:pPr>
      <w:r>
        <w:rPr>
          <w:rFonts w:ascii="Arial" w:cs="Arial" w:eastAsia="Arial" w:hAnsi="Arial"/>
          <w:sz w:val="20"/>
          <w:szCs w:val="20"/>
          <w:color w:val="auto"/>
        </w:rPr>
        <w:t>The Consultant shall purchase and maintain at his own cost any equipment or other materials which he and/or any Substitute may require in order to perform the Services.</w:t>
      </w:r>
    </w:p>
    <w:p>
      <w:pPr>
        <w:spacing w:after="0" w:line="140" w:lineRule="exact"/>
        <w:rPr>
          <w:sz w:val="20"/>
          <w:szCs w:val="20"/>
          <w:color w:val="auto"/>
        </w:rPr>
      </w:pPr>
    </w:p>
    <w:p>
      <w:pPr>
        <w:ind w:left="880" w:hanging="872"/>
        <w:spacing w:after="0"/>
        <w:tabs>
          <w:tab w:leader="none" w:pos="880" w:val="left"/>
        </w:tabs>
        <w:numPr>
          <w:ilvl w:val="0"/>
          <w:numId w:val="167"/>
        </w:numPr>
        <w:rPr>
          <w:rFonts w:ascii="Arial" w:cs="Arial" w:eastAsia="Arial" w:hAnsi="Arial"/>
          <w:sz w:val="20"/>
          <w:szCs w:val="20"/>
          <w:b w:val="1"/>
          <w:bCs w:val="1"/>
          <w:color w:val="auto"/>
        </w:rPr>
      </w:pPr>
      <w:r>
        <w:rPr>
          <w:rFonts w:ascii="Arial" w:cs="Arial" w:eastAsia="Arial" w:hAnsi="Arial"/>
          <w:sz w:val="20"/>
          <w:szCs w:val="20"/>
          <w:b w:val="1"/>
          <w:bCs w:val="1"/>
          <w:color w:val="auto"/>
        </w:rPr>
        <w:t>LIABILITY AND INSURANCE</w:t>
      </w:r>
    </w:p>
    <w:p>
      <w:pPr>
        <w:spacing w:after="0" w:line="164" w:lineRule="exact"/>
        <w:rPr>
          <w:sz w:val="20"/>
          <w:szCs w:val="20"/>
          <w:color w:val="auto"/>
        </w:rPr>
      </w:pPr>
    </w:p>
    <w:p>
      <w:pPr>
        <w:ind w:left="860" w:right="20" w:hanging="867"/>
        <w:spacing w:after="0" w:line="243" w:lineRule="auto"/>
        <w:tabs>
          <w:tab w:leader="none" w:pos="8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The Consultant shall indemnify and keep indemnified the Group against any liability, loss, damage, cost, claim or expense the Group suffers or incurs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245" w:lineRule="exact"/>
        <w:rPr>
          <w:sz w:val="20"/>
          <w:szCs w:val="20"/>
          <w:color w:val="auto"/>
        </w:rPr>
      </w:pPr>
    </w:p>
    <w:p>
      <w:pPr>
        <w:ind w:left="880"/>
        <w:spacing w:after="0" w:line="234" w:lineRule="auto"/>
        <w:rPr>
          <w:sz w:val="20"/>
          <w:szCs w:val="20"/>
          <w:color w:val="auto"/>
        </w:rPr>
      </w:pPr>
      <w:r>
        <w:rPr>
          <w:rFonts w:ascii="Arial" w:cs="Arial" w:eastAsia="Arial" w:hAnsi="Arial"/>
          <w:sz w:val="20"/>
          <w:szCs w:val="20"/>
          <w:color w:val="auto"/>
        </w:rPr>
        <w:t>of the Consultant’s and/or any Substitute's performance (or non-performance) of the Services including in respect of, but not restricted to:</w:t>
      </w:r>
    </w:p>
    <w:p>
      <w:pPr>
        <w:spacing w:after="0" w:line="146" w:lineRule="exact"/>
        <w:rPr>
          <w:sz w:val="20"/>
          <w:szCs w:val="20"/>
          <w:color w:val="auto"/>
        </w:rPr>
      </w:pPr>
    </w:p>
    <w:p>
      <w:pPr>
        <w:ind w:left="1740" w:right="20" w:hanging="867"/>
        <w:spacing w:after="0" w:line="234" w:lineRule="auto"/>
        <w:tabs>
          <w:tab w:leader="none" w:pos="172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20"/>
          <w:szCs w:val="20"/>
          <w:color w:val="auto"/>
        </w:rPr>
        <w:t>any act, neglect or default of the Consultant, any Substitute and/or person authorised by the Consultant to act on his behalf; and</w:t>
      </w:r>
    </w:p>
    <w:p>
      <w:pPr>
        <w:spacing w:after="0" w:line="14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9"/>
          <w:szCs w:val="19"/>
          <w:color w:val="auto"/>
        </w:rPr>
        <w:t>breaches resulting in any successful claim by any third party.</w:t>
      </w:r>
    </w:p>
    <w:p>
      <w:pPr>
        <w:spacing w:after="0" w:line="160" w:lineRule="exact"/>
        <w:rPr>
          <w:sz w:val="20"/>
          <w:szCs w:val="20"/>
          <w:color w:val="auto"/>
        </w:rPr>
      </w:pPr>
    </w:p>
    <w:p>
      <w:pPr>
        <w:ind w:left="880" w:hanging="872"/>
        <w:spacing w:after="0"/>
        <w:tabs>
          <w:tab w:leader="none" w:pos="880" w:val="left"/>
        </w:tabs>
        <w:numPr>
          <w:ilvl w:val="0"/>
          <w:numId w:val="168"/>
        </w:numPr>
        <w:rPr>
          <w:rFonts w:ascii="Arial" w:cs="Arial" w:eastAsia="Arial" w:hAnsi="Arial"/>
          <w:sz w:val="20"/>
          <w:szCs w:val="20"/>
          <w:b w:val="1"/>
          <w:bCs w:val="1"/>
          <w:color w:val="auto"/>
        </w:rPr>
      </w:pPr>
      <w:r>
        <w:rPr>
          <w:rFonts w:ascii="Arial" w:cs="Arial" w:eastAsia="Arial" w:hAnsi="Arial"/>
          <w:sz w:val="20"/>
          <w:szCs w:val="20"/>
          <w:b w:val="1"/>
          <w:bCs w:val="1"/>
          <w:color w:val="auto"/>
        </w:rPr>
        <w:t>OTHER ACTIVITIES</w:t>
      </w:r>
    </w:p>
    <w:p>
      <w:pPr>
        <w:spacing w:after="0" w:line="164" w:lineRule="exact"/>
        <w:rPr>
          <w:sz w:val="20"/>
          <w:szCs w:val="20"/>
          <w:color w:val="auto"/>
        </w:rPr>
      </w:pPr>
    </w:p>
    <w:p>
      <w:pPr>
        <w:jc w:val="both"/>
        <w:ind w:left="860" w:hanging="867"/>
        <w:spacing w:after="0" w:line="231" w:lineRule="auto"/>
        <w:tabs>
          <w:tab w:leader="none" w:pos="8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Nothing in this agreement shall prevent the Consultant and/or any Substitute from being engaged, concerned or having any financial interest in any capacity in any other business, trade, profession or occupation during the Term, provided that:</w:t>
      </w:r>
    </w:p>
    <w:p>
      <w:pPr>
        <w:spacing w:after="0" w:line="13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9"/>
          <w:szCs w:val="19"/>
          <w:color w:val="auto"/>
        </w:rPr>
        <w:t>such activity does not cause a breach of any of the Consultant’s obligations under this agreement; and</w:t>
      </w:r>
    </w:p>
    <w:p>
      <w:pPr>
        <w:spacing w:after="0" w:line="162" w:lineRule="exact"/>
        <w:rPr>
          <w:sz w:val="20"/>
          <w:szCs w:val="20"/>
          <w:color w:val="auto"/>
        </w:rPr>
      </w:pPr>
    </w:p>
    <w:p>
      <w:pPr>
        <w:jc w:val="both"/>
        <w:ind w:left="1740" w:hanging="867"/>
        <w:spacing w:after="0" w:line="231" w:lineRule="auto"/>
        <w:tabs>
          <w:tab w:leader="none" w:pos="172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20"/>
          <w:szCs w:val="20"/>
          <w:color w:val="auto"/>
        </w:rPr>
        <w:t>the Consultant shall not, and shall procure that any Substitute shall not, engage in any activity if it relates to a business which is similar to or in any competitive with the business of the Group without the prior written consent of the Company.</w:t>
      </w:r>
    </w:p>
    <w:p>
      <w:pPr>
        <w:spacing w:after="0" w:line="12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The Consultant shall immediately disclose to the Company any conflict of interest which arises in relation to the</w:t>
      </w:r>
    </w:p>
    <w:p>
      <w:pPr>
        <w:jc w:val="both"/>
        <w:ind w:left="880"/>
        <w:spacing w:after="0" w:line="225" w:lineRule="auto"/>
        <w:rPr>
          <w:sz w:val="20"/>
          <w:szCs w:val="20"/>
          <w:color w:val="auto"/>
        </w:rPr>
      </w:pPr>
      <w:r>
        <w:rPr>
          <w:rFonts w:ascii="Arial" w:cs="Arial" w:eastAsia="Arial" w:hAnsi="Arial"/>
          <w:sz w:val="20"/>
          <w:szCs w:val="20"/>
          <w:color w:val="auto"/>
        </w:rPr>
        <w:t>provision of the Services as a result of any present or future appointment, employment or other interest of the Consultant and/or any Substitute.</w:t>
      </w:r>
    </w:p>
    <w:p>
      <w:pPr>
        <w:spacing w:after="0" w:line="14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CONFIDENTIAL INFORMATION</w:t>
      </w:r>
    </w:p>
    <w:p>
      <w:pPr>
        <w:spacing w:after="0" w:line="15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color w:val="auto"/>
        </w:rPr>
        <w:t>The Consultant acknowledges that in the course of this agreement, he and/or any Substitute will have access to</w:t>
      </w:r>
    </w:p>
    <w:p>
      <w:pPr>
        <w:jc w:val="both"/>
        <w:ind w:left="880"/>
        <w:spacing w:after="0" w:line="225" w:lineRule="auto"/>
        <w:rPr>
          <w:sz w:val="20"/>
          <w:szCs w:val="20"/>
          <w:color w:val="auto"/>
        </w:rPr>
      </w:pPr>
      <w:r>
        <w:rPr>
          <w:rFonts w:ascii="Arial" w:cs="Arial" w:eastAsia="Arial" w:hAnsi="Arial"/>
          <w:sz w:val="20"/>
          <w:szCs w:val="20"/>
          <w:color w:val="auto"/>
        </w:rPr>
        <w:t>Confidential Information. The Consultant has therefore agreed to accept and shall procure that any Substitute shall accept the restrictions in this clause 10.</w:t>
      </w:r>
    </w:p>
    <w:p>
      <w:pPr>
        <w:spacing w:after="0" w:line="131"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10.2     The Consultant shall not, and shall procure that any Substitute shall not, except in the proper course of his duties, either during the Term or at any time after the termination of this agreement howsoever caused, use or disclose any</w:t>
      </w:r>
    </w:p>
    <w:p>
      <w:pPr>
        <w:spacing w:after="0" w:line="1" w:lineRule="exact"/>
        <w:rPr>
          <w:sz w:val="20"/>
          <w:szCs w:val="20"/>
          <w:color w:val="auto"/>
        </w:rPr>
      </w:pPr>
    </w:p>
    <w:p>
      <w:pPr>
        <w:ind w:left="880"/>
        <w:spacing w:after="0" w:line="225" w:lineRule="auto"/>
        <w:rPr>
          <w:sz w:val="20"/>
          <w:szCs w:val="20"/>
          <w:color w:val="auto"/>
        </w:rPr>
      </w:pPr>
      <w:r>
        <w:rPr>
          <w:rFonts w:ascii="Arial" w:cs="Arial" w:eastAsia="Arial" w:hAnsi="Arial"/>
          <w:sz w:val="20"/>
          <w:szCs w:val="20"/>
          <w:color w:val="auto"/>
        </w:rPr>
        <w:t>Confidential Information to any person, firm or company and shall use his best endeavours to prevent the publication or disclosure of any Confidential Information.</w:t>
      </w:r>
    </w:p>
    <w:p>
      <w:pPr>
        <w:spacing w:after="0" w:line="145" w:lineRule="exact"/>
        <w:rPr>
          <w:sz w:val="20"/>
          <w:szCs w:val="20"/>
          <w:color w:val="auto"/>
        </w:rPr>
      </w:pPr>
    </w:p>
    <w:p>
      <w:pPr>
        <w:ind w:left="860" w:hanging="867"/>
        <w:spacing w:after="0" w:line="234" w:lineRule="auto"/>
        <w:tabs>
          <w:tab w:leader="none" w:pos="8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0"/>
          <w:szCs w:val="20"/>
          <w:color w:val="auto"/>
        </w:rPr>
        <w:t>The obligations of confidence referred to in this clause shall not apply to any Confidential Information or other information which:</w:t>
      </w:r>
    </w:p>
    <w:p>
      <w:pPr>
        <w:spacing w:after="0" w:line="146" w:lineRule="exact"/>
        <w:rPr>
          <w:sz w:val="20"/>
          <w:szCs w:val="20"/>
          <w:color w:val="auto"/>
        </w:rPr>
      </w:pPr>
    </w:p>
    <w:p>
      <w:pPr>
        <w:ind w:left="1740" w:hanging="867"/>
        <w:spacing w:after="0" w:line="234" w:lineRule="auto"/>
        <w:tabs>
          <w:tab w:leader="none" w:pos="1720" w:val="left"/>
        </w:tabs>
        <w:rPr>
          <w:sz w:val="20"/>
          <w:szCs w:val="20"/>
          <w:color w:val="auto"/>
        </w:rPr>
      </w:pPr>
      <w:r>
        <w:rPr>
          <w:rFonts w:ascii="Arial" w:cs="Arial" w:eastAsia="Arial" w:hAnsi="Arial"/>
          <w:sz w:val="20"/>
          <w:szCs w:val="20"/>
          <w:color w:val="auto"/>
        </w:rPr>
        <w:t>10.3.1</w:t>
      </w:r>
      <w:r>
        <w:rPr>
          <w:sz w:val="20"/>
          <w:szCs w:val="20"/>
          <w:color w:val="auto"/>
        </w:rPr>
        <w:tab/>
      </w:r>
      <w:r>
        <w:rPr>
          <w:rFonts w:ascii="Arial" w:cs="Arial" w:eastAsia="Arial" w:hAnsi="Arial"/>
          <w:sz w:val="20"/>
          <w:szCs w:val="20"/>
          <w:color w:val="auto"/>
        </w:rPr>
        <w:t>is published or is otherwise in the public domain prior to the receipt of such Confidential Information or other information by the Consultant; or</w:t>
      </w:r>
    </w:p>
    <w:p>
      <w:pPr>
        <w:spacing w:after="0" w:line="14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10.3.2</w:t>
      </w:r>
      <w:r>
        <w:rPr>
          <w:sz w:val="20"/>
          <w:szCs w:val="20"/>
          <w:color w:val="auto"/>
        </w:rPr>
        <w:tab/>
      </w:r>
      <w:r>
        <w:rPr>
          <w:rFonts w:ascii="Arial" w:cs="Arial" w:eastAsia="Arial" w:hAnsi="Arial"/>
          <w:sz w:val="19"/>
          <w:szCs w:val="19"/>
          <w:color w:val="auto"/>
        </w:rPr>
        <w:t>is or becomes publicly available on a non-confidential basis through no fault of the Consultant; or</w:t>
      </w:r>
    </w:p>
    <w:p>
      <w:pPr>
        <w:spacing w:after="0" w:line="15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10.3.3</w:t>
      </w:r>
      <w:r>
        <w:rPr>
          <w:sz w:val="20"/>
          <w:szCs w:val="20"/>
          <w:color w:val="auto"/>
        </w:rPr>
        <w:tab/>
      </w:r>
      <w:r>
        <w:rPr>
          <w:rFonts w:ascii="Arial" w:cs="Arial" w:eastAsia="Arial" w:hAnsi="Arial"/>
          <w:sz w:val="20"/>
          <w:szCs w:val="20"/>
          <w:color w:val="auto"/>
        </w:rPr>
        <w:t>is received in good faith by the Consultant from a third party who, on careful enquiry by the Consultant,</w:t>
      </w:r>
    </w:p>
    <w:p>
      <w:pPr>
        <w:ind w:left="1740"/>
        <w:spacing w:after="0" w:line="225" w:lineRule="auto"/>
        <w:rPr>
          <w:sz w:val="20"/>
          <w:szCs w:val="20"/>
          <w:color w:val="auto"/>
        </w:rPr>
      </w:pPr>
      <w:r>
        <w:rPr>
          <w:rFonts w:ascii="Arial" w:cs="Arial" w:eastAsia="Arial" w:hAnsi="Arial"/>
          <w:sz w:val="20"/>
          <w:szCs w:val="20"/>
          <w:color w:val="auto"/>
        </w:rPr>
        <w:t>claims to have no obligations of confidence to the Company in respect of it and who imposes no obligations of confidence upon the Consultant.</w:t>
      </w:r>
    </w:p>
    <w:p>
      <w:pPr>
        <w:spacing w:after="0" w:line="145" w:lineRule="exact"/>
        <w:rPr>
          <w:sz w:val="20"/>
          <w:szCs w:val="20"/>
          <w:color w:val="auto"/>
        </w:rPr>
      </w:pPr>
    </w:p>
    <w:p>
      <w:pPr>
        <w:ind w:left="860" w:hanging="867"/>
        <w:spacing w:after="0" w:line="234" w:lineRule="auto"/>
        <w:tabs>
          <w:tab w:leader="none" w:pos="8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The obligations of the Consultant under this clause shall survive the expiry or the termination of this agreement for whatever reason.</w:t>
      </w:r>
    </w:p>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20"/>
          <w:szCs w:val="20"/>
          <w:b w:val="1"/>
          <w:bCs w:val="1"/>
          <w:color w:val="auto"/>
        </w:rPr>
        <w:t>DATA PROTECTION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Consultant’s personal data will be processed in accordance with the Company’s data protection notice.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100"/>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type w:val="continuous"/>
        </w:sectPr>
      </w:pPr>
    </w:p>
    <w:bookmarkStart w:id="244" w:name="page245"/>
    <w:bookmarkEnd w:id="244"/>
    <w:p>
      <w:pPr>
        <w:spacing w:after="0" w:line="24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20"/>
          <w:szCs w:val="20"/>
          <w:b w:val="1"/>
          <w:bCs w:val="1"/>
          <w:color w:val="auto"/>
        </w:rPr>
        <w:t>INTELLECTUAL PROPERTY</w:t>
      </w:r>
    </w:p>
    <w:p>
      <w:pPr>
        <w:spacing w:after="0" w:line="15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color w:val="auto"/>
        </w:rPr>
        <w:t>Any Intellectual Property acquired, made, developed, conceived, reduced to writing or practice or discovered by the</w:t>
      </w:r>
    </w:p>
    <w:p>
      <w:pPr>
        <w:ind w:left="880"/>
        <w:spacing w:after="0" w:line="215" w:lineRule="auto"/>
        <w:rPr>
          <w:sz w:val="20"/>
          <w:szCs w:val="20"/>
          <w:color w:val="auto"/>
        </w:rPr>
      </w:pPr>
      <w:r>
        <w:rPr>
          <w:rFonts w:ascii="Arial" w:cs="Arial" w:eastAsia="Arial" w:hAnsi="Arial"/>
          <w:sz w:val="19"/>
          <w:szCs w:val="19"/>
          <w:color w:val="auto"/>
        </w:rPr>
        <w:t>Consultant and/or any Substitute (directly or indirectly) during the course of or in connection with his engagement with the Company and whether or not using the Company’s premises, assets or resources and whether or not before or</w:t>
      </w:r>
    </w:p>
    <w:p>
      <w:pPr>
        <w:ind w:left="880"/>
        <w:spacing w:after="0" w:line="211" w:lineRule="auto"/>
        <w:rPr>
          <w:sz w:val="20"/>
          <w:szCs w:val="20"/>
          <w:color w:val="auto"/>
        </w:rPr>
      </w:pPr>
      <w:r>
        <w:rPr>
          <w:rFonts w:ascii="Arial" w:cs="Arial" w:eastAsia="Arial" w:hAnsi="Arial"/>
          <w:sz w:val="20"/>
          <w:szCs w:val="20"/>
          <w:color w:val="auto"/>
        </w:rPr>
        <w:t>after the date hereof (“</w:t>
      </w:r>
      <w:r>
        <w:rPr>
          <w:rFonts w:ascii="Arial" w:cs="Arial" w:eastAsia="Arial" w:hAnsi="Arial"/>
          <w:sz w:val="20"/>
          <w:szCs w:val="20"/>
          <w:b w:val="1"/>
          <w:bCs w:val="1"/>
          <w:color w:val="auto"/>
        </w:rPr>
        <w:t>Company IPR</w:t>
      </w:r>
      <w:r>
        <w:rPr>
          <w:rFonts w:ascii="Arial" w:cs="Arial" w:eastAsia="Arial" w:hAnsi="Arial"/>
          <w:sz w:val="20"/>
          <w:szCs w:val="20"/>
          <w:color w:val="auto"/>
        </w:rPr>
        <w:t>”) vests in and shall belong to and be the absolute property of the Company and</w:t>
      </w:r>
    </w:p>
    <w:p>
      <w:pPr>
        <w:ind w:left="880"/>
        <w:spacing w:after="0" w:line="215" w:lineRule="auto"/>
        <w:rPr>
          <w:sz w:val="20"/>
          <w:szCs w:val="20"/>
          <w:color w:val="auto"/>
        </w:rPr>
      </w:pPr>
      <w:r>
        <w:rPr>
          <w:rFonts w:ascii="Arial" w:cs="Arial" w:eastAsia="Arial" w:hAnsi="Arial"/>
          <w:sz w:val="19"/>
          <w:szCs w:val="19"/>
          <w:color w:val="auto"/>
        </w:rPr>
        <w:t>the Consultant hereby irrevocably and unconditionally assigns and transfers to the Company all right, title and interest in and to any Company IPR and all materials embodying such rights to the fullest extent permitted by applicable law</w:t>
      </w:r>
    </w:p>
    <w:p>
      <w:pPr>
        <w:ind w:left="880"/>
        <w:spacing w:after="0" w:line="211" w:lineRule="auto"/>
        <w:rPr>
          <w:sz w:val="20"/>
          <w:szCs w:val="20"/>
          <w:color w:val="auto"/>
        </w:rPr>
      </w:pPr>
      <w:r>
        <w:rPr>
          <w:rFonts w:ascii="Arial" w:cs="Arial" w:eastAsia="Arial" w:hAnsi="Arial"/>
          <w:sz w:val="20"/>
          <w:szCs w:val="20"/>
          <w:color w:val="auto"/>
        </w:rPr>
        <w:t>including, without limitation, the right to sue for past infringement (or passing off) and to retain damages or other</w:t>
      </w:r>
    </w:p>
    <w:p>
      <w:pPr>
        <w:ind w:left="880" w:right="20"/>
        <w:spacing w:after="0" w:line="225" w:lineRule="auto"/>
        <w:rPr>
          <w:sz w:val="20"/>
          <w:szCs w:val="20"/>
          <w:color w:val="auto"/>
        </w:rPr>
      </w:pPr>
      <w:r>
        <w:rPr>
          <w:rFonts w:ascii="Arial" w:cs="Arial" w:eastAsia="Arial" w:hAnsi="Arial"/>
          <w:sz w:val="20"/>
          <w:szCs w:val="20"/>
          <w:color w:val="auto"/>
        </w:rPr>
        <w:t>remedies arising therefrom. The Company shall be the sole legal and beneficial owner of all Company IPR or other rights connected therewith.</w:t>
      </w:r>
    </w:p>
    <w:p>
      <w:pPr>
        <w:spacing w:after="0" w:line="145" w:lineRule="exact"/>
        <w:rPr>
          <w:sz w:val="20"/>
          <w:szCs w:val="20"/>
          <w:color w:val="auto"/>
        </w:rPr>
      </w:pPr>
    </w:p>
    <w:p>
      <w:pPr>
        <w:jc w:val="right"/>
        <w:spacing w:after="0" w:line="213" w:lineRule="auto"/>
        <w:rPr>
          <w:sz w:val="20"/>
          <w:szCs w:val="20"/>
          <w:color w:val="auto"/>
        </w:rPr>
      </w:pPr>
      <w:r>
        <w:rPr>
          <w:rFonts w:ascii="Arial" w:cs="Arial" w:eastAsia="Arial" w:hAnsi="Arial"/>
          <w:sz w:val="20"/>
          <w:szCs w:val="20"/>
          <w:color w:val="auto"/>
        </w:rPr>
        <w:t>12.2     The Consultant hereby irrevocably and unconditionally agrees (and shall procure that any Substitute shall agree) to hold such Company IPR on trust for the sole benefit of the Company until all right, title and interest in and to the same</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vests absolutely in the Company.</w:t>
      </w:r>
    </w:p>
    <w:p>
      <w:pPr>
        <w:spacing w:after="0" w:line="144"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12.3     The Consultant if and whenever required to do so (whether during or after the termination of his engagement) shall (and will procure that any Substitute shall) at the request and expense of the Company promptly do all things</w:t>
      </w:r>
    </w:p>
    <w:p>
      <w:pPr>
        <w:spacing w:after="0" w:line="1" w:lineRule="exact"/>
        <w:rPr>
          <w:sz w:val="20"/>
          <w:szCs w:val="20"/>
          <w:color w:val="auto"/>
        </w:rPr>
      </w:pPr>
    </w:p>
    <w:p>
      <w:pPr>
        <w:ind w:left="880"/>
        <w:spacing w:after="0" w:line="215" w:lineRule="auto"/>
        <w:rPr>
          <w:sz w:val="20"/>
          <w:szCs w:val="20"/>
          <w:color w:val="auto"/>
        </w:rPr>
      </w:pPr>
      <w:r>
        <w:rPr>
          <w:rFonts w:ascii="Arial" w:cs="Arial" w:eastAsia="Arial" w:hAnsi="Arial"/>
          <w:sz w:val="19"/>
          <w:szCs w:val="19"/>
          <w:color w:val="auto"/>
        </w:rPr>
        <w:t>necessary, execute such deeds and documents and provide all such assistance to enable the Company to obtain and maintain the exclusive benefit and legal and beneficial ownership of all Company IPR including, without limitation, to</w:t>
      </w:r>
    </w:p>
    <w:p>
      <w:pPr>
        <w:ind w:left="880"/>
        <w:spacing w:after="0" w:line="211" w:lineRule="auto"/>
        <w:rPr>
          <w:sz w:val="20"/>
          <w:szCs w:val="20"/>
          <w:color w:val="auto"/>
        </w:rPr>
      </w:pPr>
      <w:r>
        <w:rPr>
          <w:rFonts w:ascii="Arial" w:cs="Arial" w:eastAsia="Arial" w:hAnsi="Arial"/>
          <w:sz w:val="20"/>
          <w:szCs w:val="20"/>
          <w:color w:val="auto"/>
        </w:rPr>
        <w:t>substantiate, perfect, protect, maintain and enforce the Company IPR and to register and/or apply to register the</w:t>
      </w:r>
    </w:p>
    <w:p>
      <w:pPr>
        <w:ind w:left="880"/>
        <w:spacing w:after="0" w:line="215" w:lineRule="auto"/>
        <w:rPr>
          <w:sz w:val="20"/>
          <w:szCs w:val="20"/>
          <w:color w:val="auto"/>
        </w:rPr>
      </w:pPr>
      <w:r>
        <w:rPr>
          <w:rFonts w:ascii="Arial" w:cs="Arial" w:eastAsia="Arial" w:hAnsi="Arial"/>
          <w:sz w:val="19"/>
          <w:szCs w:val="19"/>
          <w:color w:val="auto"/>
        </w:rPr>
        <w:t>Company IPR in the name of the Company or its designee and the Consultant acknowledges that he will not be entitled to any further compensation or remuneration in respect of the performance of his obligations under this clause</w:t>
      </w:r>
    </w:p>
    <w:p>
      <w:pPr>
        <w:ind w:left="880"/>
        <w:spacing w:after="0"/>
        <w:rPr>
          <w:sz w:val="20"/>
          <w:szCs w:val="20"/>
          <w:color w:val="auto"/>
        </w:rPr>
      </w:pPr>
      <w:r>
        <w:rPr>
          <w:rFonts w:ascii="Arial" w:cs="Arial" w:eastAsia="Arial" w:hAnsi="Arial"/>
          <w:sz w:val="20"/>
          <w:szCs w:val="20"/>
          <w:color w:val="auto"/>
        </w:rPr>
        <w:t>12 save as may be provided for by law.</w:t>
      </w:r>
    </w:p>
    <w:p>
      <w:pPr>
        <w:spacing w:after="0" w:line="144"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12.4     The Consultant agrees that he will (and shall procure that any Substitute will), at the Company’s expense, exercise any moral rights he has or may have in any Company IPR against such third party or parties as the Company may</w:t>
      </w:r>
    </w:p>
    <w:p>
      <w:pPr>
        <w:spacing w:after="0" w:line="1" w:lineRule="exact"/>
        <w:rPr>
          <w:sz w:val="20"/>
          <w:szCs w:val="20"/>
          <w:color w:val="auto"/>
        </w:rPr>
      </w:pPr>
    </w:p>
    <w:p>
      <w:pPr>
        <w:ind w:left="880"/>
        <w:spacing w:after="0" w:line="204" w:lineRule="auto"/>
        <w:rPr>
          <w:sz w:val="20"/>
          <w:szCs w:val="20"/>
          <w:color w:val="auto"/>
        </w:rPr>
      </w:pPr>
      <w:r>
        <w:rPr>
          <w:rFonts w:ascii="Arial" w:cs="Arial" w:eastAsia="Arial" w:hAnsi="Arial"/>
          <w:sz w:val="20"/>
          <w:szCs w:val="20"/>
          <w:color w:val="auto"/>
        </w:rPr>
        <w:t>reasonably request from time to time and the Consultant further agrees not to exercise such moral rights as against, and hereby irrevocably and conditionally waives such moral rights (and any rights of the same or similar effect</w:t>
      </w:r>
    </w:p>
    <w:p>
      <w:pPr>
        <w:spacing w:after="0" w:line="1" w:lineRule="exact"/>
        <w:rPr>
          <w:sz w:val="20"/>
          <w:szCs w:val="20"/>
          <w:color w:val="auto"/>
        </w:rPr>
      </w:pPr>
    </w:p>
    <w:p>
      <w:pPr>
        <w:ind w:left="880"/>
        <w:spacing w:after="0" w:line="225" w:lineRule="auto"/>
        <w:rPr>
          <w:sz w:val="20"/>
          <w:szCs w:val="20"/>
          <w:color w:val="auto"/>
        </w:rPr>
      </w:pPr>
      <w:r>
        <w:rPr>
          <w:rFonts w:ascii="Arial" w:cs="Arial" w:eastAsia="Arial" w:hAnsi="Arial"/>
          <w:sz w:val="20"/>
          <w:szCs w:val="20"/>
          <w:color w:val="auto"/>
        </w:rPr>
        <w:t>anywhere in the world whether existing now or in the future created) in favour of the Company, its assignees, licensees, designees, employees, servants or agents.</w:t>
      </w:r>
    </w:p>
    <w:p>
      <w:pPr>
        <w:spacing w:after="0" w:line="145" w:lineRule="exact"/>
        <w:rPr>
          <w:sz w:val="20"/>
          <w:szCs w:val="20"/>
          <w:color w:val="auto"/>
        </w:rPr>
      </w:pPr>
    </w:p>
    <w:p>
      <w:pPr>
        <w:jc w:val="right"/>
        <w:spacing w:after="0" w:line="213" w:lineRule="auto"/>
        <w:rPr>
          <w:sz w:val="20"/>
          <w:szCs w:val="20"/>
          <w:color w:val="auto"/>
        </w:rPr>
      </w:pPr>
      <w:r>
        <w:rPr>
          <w:rFonts w:ascii="Arial" w:cs="Arial" w:eastAsia="Arial" w:hAnsi="Arial"/>
          <w:sz w:val="20"/>
          <w:szCs w:val="20"/>
          <w:color w:val="auto"/>
        </w:rPr>
        <w:t>12.5     The Consultant hereby irrevocably appoints (and shall procure that any Substitute irrevocably appoints) the Company to be attorney in the name of the Consultant and/or any Substitute and on behalf of the Consultant and/or any</w:t>
      </w:r>
    </w:p>
    <w:p>
      <w:pPr>
        <w:ind w:left="880"/>
        <w:spacing w:after="0" w:line="223" w:lineRule="auto"/>
        <w:rPr>
          <w:sz w:val="20"/>
          <w:szCs w:val="20"/>
          <w:color w:val="auto"/>
        </w:rPr>
      </w:pPr>
      <w:r>
        <w:rPr>
          <w:rFonts w:ascii="Arial" w:cs="Arial" w:eastAsia="Arial" w:hAnsi="Arial"/>
          <w:sz w:val="19"/>
          <w:szCs w:val="19"/>
          <w:color w:val="auto"/>
        </w:rPr>
        <w:t>Substitute to execute and deliver any such documentation and to do such things and generally to use the Consultant’s</w:t>
      </w:r>
    </w:p>
    <w:p>
      <w:pPr>
        <w:spacing w:after="0" w:line="1" w:lineRule="exact"/>
        <w:rPr>
          <w:sz w:val="20"/>
          <w:szCs w:val="20"/>
          <w:color w:val="auto"/>
        </w:rPr>
      </w:pPr>
    </w:p>
    <w:p>
      <w:pPr>
        <w:ind w:left="880"/>
        <w:spacing w:after="0" w:line="204" w:lineRule="auto"/>
        <w:rPr>
          <w:sz w:val="20"/>
          <w:szCs w:val="20"/>
          <w:color w:val="auto"/>
        </w:rPr>
      </w:pPr>
      <w:r>
        <w:rPr>
          <w:rFonts w:ascii="Arial" w:cs="Arial" w:eastAsia="Arial" w:hAnsi="Arial"/>
          <w:sz w:val="20"/>
          <w:szCs w:val="20"/>
          <w:color w:val="auto"/>
        </w:rPr>
        <w:t>and/or any Substitute’s name for the purpose of giving to the Company the full benefit of the provisions of this clause 12 and a certificate in writing in favour of any third party signed by any director or the secretary of the Company that</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any instrument or act falls within the authority hereby conferred shall be conclusive evidence that such is the case.</w:t>
      </w:r>
    </w:p>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9"/>
          <w:szCs w:val="19"/>
          <w:color w:val="auto"/>
        </w:rPr>
        <w:t>The Consultant hereby undertakes to the Company:</w:t>
      </w:r>
    </w:p>
    <w:p>
      <w:pPr>
        <w:spacing w:after="0" w:line="175" w:lineRule="exact"/>
        <w:rPr>
          <w:sz w:val="20"/>
          <w:szCs w:val="20"/>
          <w:color w:val="auto"/>
        </w:rPr>
      </w:pPr>
    </w:p>
    <w:p>
      <w:pPr>
        <w:ind w:left="1740" w:right="20" w:hanging="867"/>
        <w:spacing w:after="0" w:line="234" w:lineRule="auto"/>
        <w:tabs>
          <w:tab w:leader="none" w:pos="1720" w:val="left"/>
        </w:tabs>
        <w:rPr>
          <w:sz w:val="20"/>
          <w:szCs w:val="20"/>
          <w:color w:val="auto"/>
        </w:rPr>
      </w:pPr>
      <w:r>
        <w:rPr>
          <w:rFonts w:ascii="Arial" w:cs="Arial" w:eastAsia="Arial" w:hAnsi="Arial"/>
          <w:sz w:val="20"/>
          <w:szCs w:val="20"/>
          <w:color w:val="auto"/>
        </w:rPr>
        <w:t>12.6.1</w:t>
      </w:r>
      <w:r>
        <w:rPr>
          <w:sz w:val="20"/>
          <w:szCs w:val="20"/>
          <w:color w:val="auto"/>
        </w:rPr>
        <w:tab/>
      </w:r>
      <w:r>
        <w:rPr>
          <w:rFonts w:ascii="Arial" w:cs="Arial" w:eastAsia="Arial" w:hAnsi="Arial"/>
          <w:sz w:val="20"/>
          <w:szCs w:val="20"/>
          <w:color w:val="auto"/>
        </w:rPr>
        <w:t>to report full written details of all Company IPR immediately to the Company upon creation or as soon as practicable thereafter;</w:t>
      </w:r>
    </w:p>
    <w:p>
      <w:pPr>
        <w:spacing w:after="0" w:line="14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12.6.2</w:t>
      </w:r>
      <w:r>
        <w:rPr>
          <w:sz w:val="20"/>
          <w:szCs w:val="20"/>
          <w:color w:val="auto"/>
        </w:rPr>
        <w:tab/>
      </w:r>
      <w:r>
        <w:rPr>
          <w:rFonts w:ascii="Arial" w:cs="Arial" w:eastAsia="Arial" w:hAnsi="Arial"/>
          <w:sz w:val="19"/>
          <w:szCs w:val="19"/>
          <w:color w:val="auto"/>
        </w:rPr>
        <w:t>to keep confidential all details of the Company IPR;</w:t>
      </w:r>
    </w:p>
    <w:p>
      <w:pPr>
        <w:spacing w:after="0" w:line="15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12.6.3</w:t>
      </w:r>
      <w:r>
        <w:rPr>
          <w:sz w:val="20"/>
          <w:szCs w:val="20"/>
          <w:color w:val="auto"/>
        </w:rPr>
        <w:tab/>
      </w:r>
      <w:r>
        <w:rPr>
          <w:rFonts w:ascii="Arial" w:cs="Arial" w:eastAsia="Arial" w:hAnsi="Arial"/>
          <w:sz w:val="19"/>
          <w:szCs w:val="19"/>
          <w:color w:val="auto"/>
        </w:rPr>
        <w:t>to deliver on demand to the Company all documents, manuals, instructions, log-in codes, passwords, source</w:t>
      </w:r>
    </w:p>
    <w:p>
      <w:pPr>
        <w:ind w:left="1740" w:right="20"/>
        <w:spacing w:after="0" w:line="225" w:lineRule="auto"/>
        <w:rPr>
          <w:sz w:val="20"/>
          <w:szCs w:val="20"/>
          <w:color w:val="auto"/>
        </w:rPr>
      </w:pPr>
      <w:r>
        <w:rPr>
          <w:rFonts w:ascii="Arial" w:cs="Arial" w:eastAsia="Arial" w:hAnsi="Arial"/>
          <w:sz w:val="20"/>
          <w:szCs w:val="20"/>
          <w:color w:val="auto"/>
        </w:rPr>
        <w:t>codes, information, designs materials, deliverables, papers and records on all media (and all copies or abstracts of them), recording or relating to the Company IPR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100"/>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245" w:lineRule="exact"/>
        <w:rPr>
          <w:sz w:val="20"/>
          <w:szCs w:val="20"/>
          <w:color w:val="auto"/>
        </w:rPr>
      </w:pPr>
    </w:p>
    <w:p>
      <w:pPr>
        <w:ind w:left="1740"/>
        <w:spacing w:after="0" w:line="234" w:lineRule="auto"/>
        <w:rPr>
          <w:sz w:val="20"/>
          <w:szCs w:val="20"/>
          <w:color w:val="auto"/>
        </w:rPr>
      </w:pPr>
      <w:r>
        <w:rPr>
          <w:rFonts w:ascii="Arial" w:cs="Arial" w:eastAsia="Arial" w:hAnsi="Arial"/>
          <w:sz w:val="20"/>
          <w:szCs w:val="20"/>
          <w:color w:val="auto"/>
        </w:rPr>
        <w:t>any part thereof and the process of their creation which are in the Consultant’s possession, custody or power;</w:t>
      </w:r>
    </w:p>
    <w:p>
      <w:pPr>
        <w:spacing w:after="0" w:line="146" w:lineRule="exact"/>
        <w:rPr>
          <w:sz w:val="20"/>
          <w:szCs w:val="20"/>
          <w:color w:val="auto"/>
        </w:rPr>
      </w:pPr>
    </w:p>
    <w:p>
      <w:pPr>
        <w:ind w:left="1740" w:hanging="867"/>
        <w:spacing w:after="0" w:line="234" w:lineRule="auto"/>
        <w:tabs>
          <w:tab w:leader="none" w:pos="1720" w:val="left"/>
        </w:tabs>
        <w:rPr>
          <w:sz w:val="20"/>
          <w:szCs w:val="20"/>
          <w:color w:val="auto"/>
        </w:rPr>
      </w:pPr>
      <w:r>
        <w:rPr>
          <w:rFonts w:ascii="Arial" w:cs="Arial" w:eastAsia="Arial" w:hAnsi="Arial"/>
          <w:sz w:val="20"/>
          <w:szCs w:val="20"/>
          <w:color w:val="auto"/>
        </w:rPr>
        <w:t>12.6.4</w:t>
      </w:r>
      <w:r>
        <w:rPr>
          <w:sz w:val="20"/>
          <w:szCs w:val="20"/>
          <w:color w:val="auto"/>
        </w:rPr>
        <w:tab/>
      </w:r>
      <w:r>
        <w:rPr>
          <w:rFonts w:ascii="Arial" w:cs="Arial" w:eastAsia="Arial" w:hAnsi="Arial"/>
          <w:sz w:val="20"/>
          <w:szCs w:val="20"/>
          <w:color w:val="auto"/>
        </w:rPr>
        <w:t>not to register or attempt to register any of the Company IPR unless requested to do so by the Company in writing; and</w:t>
      </w:r>
    </w:p>
    <w:p>
      <w:pPr>
        <w:spacing w:after="0" w:line="146" w:lineRule="exact"/>
        <w:rPr>
          <w:sz w:val="20"/>
          <w:szCs w:val="20"/>
          <w:color w:val="auto"/>
        </w:rPr>
      </w:pPr>
    </w:p>
    <w:p>
      <w:pPr>
        <w:jc w:val="right"/>
        <w:ind w:left="880"/>
        <w:spacing w:after="0" w:line="213" w:lineRule="auto"/>
        <w:rPr>
          <w:sz w:val="20"/>
          <w:szCs w:val="20"/>
          <w:color w:val="auto"/>
        </w:rPr>
      </w:pPr>
      <w:r>
        <w:rPr>
          <w:rFonts w:ascii="Arial" w:cs="Arial" w:eastAsia="Arial" w:hAnsi="Arial"/>
          <w:sz w:val="20"/>
          <w:szCs w:val="20"/>
          <w:color w:val="auto"/>
        </w:rPr>
        <w:t>12.6.5   whether during or after the termination of this agreement, not to cause or permit anything which may infringe, damage or endanger the Company IPR or the Intellectual Property of the Company, or the</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Company’s title to same or assist others or allow others to do so.</w:t>
      </w:r>
    </w:p>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9"/>
          <w:szCs w:val="19"/>
          <w:color w:val="auto"/>
        </w:rPr>
        <w:t>The Consultant hereby warrants, represents and agrees that:</w:t>
      </w:r>
    </w:p>
    <w:p>
      <w:pPr>
        <w:spacing w:after="0" w:line="175" w:lineRule="exact"/>
        <w:rPr>
          <w:sz w:val="20"/>
          <w:szCs w:val="20"/>
          <w:color w:val="auto"/>
        </w:rPr>
      </w:pPr>
    </w:p>
    <w:p>
      <w:pPr>
        <w:ind w:left="1660" w:right="20" w:hanging="867"/>
        <w:spacing w:after="0" w:line="234" w:lineRule="auto"/>
        <w:tabs>
          <w:tab w:leader="none" w:pos="1640" w:val="left"/>
        </w:tabs>
        <w:rPr>
          <w:sz w:val="20"/>
          <w:szCs w:val="20"/>
          <w:color w:val="auto"/>
        </w:rPr>
      </w:pPr>
      <w:r>
        <w:rPr>
          <w:rFonts w:ascii="Arial" w:cs="Arial" w:eastAsia="Arial" w:hAnsi="Arial"/>
          <w:sz w:val="20"/>
          <w:szCs w:val="20"/>
          <w:color w:val="auto"/>
        </w:rPr>
        <w:t>12.7.1</w:t>
        <w:tab/>
        <w:t>the entire of his right, title and interest in and to the Company IPR vests in, and is assigned to, the Company pursuant to this agreement;</w:t>
      </w:r>
    </w:p>
    <w:p>
      <w:pPr>
        <w:spacing w:after="0" w:line="159" w:lineRule="exact"/>
        <w:rPr>
          <w:sz w:val="20"/>
          <w:szCs w:val="20"/>
          <w:color w:val="auto"/>
        </w:rPr>
      </w:pPr>
    </w:p>
    <w:p>
      <w:pPr>
        <w:ind w:left="1700" w:hanging="809"/>
        <w:spacing w:after="0" w:line="243" w:lineRule="auto"/>
        <w:tabs>
          <w:tab w:leader="none" w:pos="1680" w:val="left"/>
        </w:tabs>
        <w:rPr>
          <w:sz w:val="20"/>
          <w:szCs w:val="20"/>
          <w:color w:val="auto"/>
        </w:rPr>
      </w:pPr>
      <w:r>
        <w:rPr>
          <w:rFonts w:ascii="Arial" w:cs="Arial" w:eastAsia="Arial" w:hAnsi="Arial"/>
          <w:sz w:val="20"/>
          <w:szCs w:val="20"/>
          <w:color w:val="auto"/>
        </w:rPr>
        <w:t>12.7.2</w:t>
        <w:tab/>
        <w:t>all Company IPR are and will be original and have not been copied, wholly or substantially from any Intellectual Property belonging to any other person;</w:t>
      </w:r>
    </w:p>
    <w:p>
      <w:pPr>
        <w:spacing w:after="0" w:line="119" w:lineRule="exact"/>
        <w:rPr>
          <w:sz w:val="20"/>
          <w:szCs w:val="20"/>
          <w:color w:val="auto"/>
        </w:rPr>
      </w:pPr>
    </w:p>
    <w:p>
      <w:pPr>
        <w:ind w:left="880"/>
        <w:spacing w:after="0"/>
        <w:tabs>
          <w:tab w:leader="none" w:pos="1700" w:val="left"/>
        </w:tabs>
        <w:rPr>
          <w:sz w:val="20"/>
          <w:szCs w:val="20"/>
          <w:color w:val="auto"/>
        </w:rPr>
      </w:pPr>
      <w:r>
        <w:rPr>
          <w:rFonts w:ascii="Arial" w:cs="Arial" w:eastAsia="Arial" w:hAnsi="Arial"/>
          <w:sz w:val="20"/>
          <w:szCs w:val="20"/>
          <w:color w:val="auto"/>
        </w:rPr>
        <w:t>12.7.3</w:t>
        <w:tab/>
        <w:t>he is free and entitled to assign to the Company the Company IPR and that he is not under any disability,</w:t>
      </w:r>
    </w:p>
    <w:p>
      <w:pPr>
        <w:ind w:left="1740"/>
        <w:spacing w:after="0" w:line="225" w:lineRule="auto"/>
        <w:rPr>
          <w:sz w:val="20"/>
          <w:szCs w:val="20"/>
          <w:color w:val="auto"/>
        </w:rPr>
      </w:pPr>
      <w:r>
        <w:rPr>
          <w:rFonts w:ascii="Arial" w:cs="Arial" w:eastAsia="Arial" w:hAnsi="Arial"/>
          <w:sz w:val="20"/>
          <w:szCs w:val="20"/>
          <w:color w:val="auto"/>
        </w:rPr>
        <w:t>restriction or prohibition which would or might prevent him from performing or observing any of his obligations under this clause 12;</w:t>
      </w:r>
    </w:p>
    <w:p>
      <w:pPr>
        <w:spacing w:after="0" w:line="149" w:lineRule="exact"/>
        <w:rPr>
          <w:sz w:val="20"/>
          <w:szCs w:val="20"/>
          <w:color w:val="auto"/>
        </w:rPr>
      </w:pPr>
    </w:p>
    <w:p>
      <w:pPr>
        <w:ind w:left="880"/>
        <w:spacing w:after="0"/>
        <w:tabs>
          <w:tab w:leader="none" w:pos="1640" w:val="left"/>
        </w:tabs>
        <w:rPr>
          <w:sz w:val="20"/>
          <w:szCs w:val="20"/>
          <w:color w:val="auto"/>
        </w:rPr>
      </w:pPr>
      <w:r>
        <w:rPr>
          <w:rFonts w:ascii="Arial" w:cs="Arial" w:eastAsia="Arial" w:hAnsi="Arial"/>
          <w:sz w:val="20"/>
          <w:szCs w:val="20"/>
          <w:color w:val="auto"/>
        </w:rPr>
        <w:t>12.7.4</w:t>
      </w:r>
      <w:r>
        <w:rPr>
          <w:sz w:val="20"/>
          <w:szCs w:val="20"/>
          <w:color w:val="auto"/>
        </w:rPr>
        <w:tab/>
      </w:r>
      <w:r>
        <w:rPr>
          <w:rFonts w:ascii="Arial" w:cs="Arial" w:eastAsia="Arial" w:hAnsi="Arial"/>
          <w:sz w:val="19"/>
          <w:szCs w:val="19"/>
          <w:color w:val="auto"/>
        </w:rPr>
        <w:t>he has not entered into and shall not enter into any arrangement or agreement which conflicts or may conflict</w:t>
      </w:r>
    </w:p>
    <w:p>
      <w:pPr>
        <w:ind w:left="1740"/>
        <w:spacing w:after="0" w:line="225" w:lineRule="auto"/>
        <w:rPr>
          <w:sz w:val="20"/>
          <w:szCs w:val="20"/>
          <w:color w:val="auto"/>
        </w:rPr>
      </w:pPr>
      <w:r>
        <w:rPr>
          <w:rFonts w:ascii="Arial" w:cs="Arial" w:eastAsia="Arial" w:hAnsi="Arial"/>
          <w:sz w:val="20"/>
          <w:szCs w:val="20"/>
          <w:color w:val="auto"/>
        </w:rPr>
        <w:t>with this clause 12 and has not assigned, granted or licensed to any third party or charged or encumbered in any way any rights in any of the Company IPR; and</w:t>
      </w:r>
    </w:p>
    <w:p>
      <w:pPr>
        <w:spacing w:after="0" w:line="158" w:lineRule="exact"/>
        <w:rPr>
          <w:sz w:val="20"/>
          <w:szCs w:val="20"/>
          <w:color w:val="auto"/>
        </w:rPr>
      </w:pPr>
    </w:p>
    <w:p>
      <w:pPr>
        <w:ind w:left="880"/>
        <w:spacing w:after="0"/>
        <w:tabs>
          <w:tab w:leader="none" w:pos="1620" w:val="left"/>
        </w:tabs>
        <w:rPr>
          <w:sz w:val="20"/>
          <w:szCs w:val="20"/>
          <w:color w:val="auto"/>
        </w:rPr>
      </w:pPr>
      <w:r>
        <w:rPr>
          <w:rFonts w:ascii="Arial" w:cs="Arial" w:eastAsia="Arial" w:hAnsi="Arial"/>
          <w:sz w:val="20"/>
          <w:szCs w:val="20"/>
          <w:color w:val="auto"/>
        </w:rPr>
        <w:t>12.7.5</w:t>
      </w:r>
      <w:r>
        <w:rPr>
          <w:sz w:val="20"/>
          <w:szCs w:val="20"/>
          <w:color w:val="auto"/>
        </w:rPr>
        <w:tab/>
      </w:r>
      <w:r>
        <w:rPr>
          <w:rFonts w:ascii="Arial" w:cs="Arial" w:eastAsia="Arial" w:hAnsi="Arial"/>
          <w:sz w:val="19"/>
          <w:szCs w:val="19"/>
          <w:color w:val="auto"/>
        </w:rPr>
        <w:t>he is not aware of any use by any third party of the Company IPR or any part thereof.</w:t>
      </w:r>
    </w:p>
    <w:p>
      <w:pPr>
        <w:spacing w:after="0" w:line="189" w:lineRule="exact"/>
        <w:rPr>
          <w:sz w:val="20"/>
          <w:szCs w:val="20"/>
          <w:color w:val="auto"/>
        </w:rPr>
      </w:pPr>
    </w:p>
    <w:p>
      <w:pPr>
        <w:ind w:left="860" w:right="20" w:hanging="867"/>
        <w:spacing w:after="0" w:line="234" w:lineRule="auto"/>
        <w:tabs>
          <w:tab w:leader="none" w:pos="84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20"/>
          <w:szCs w:val="20"/>
          <w:color w:val="auto"/>
        </w:rPr>
        <w:t>All rights and obligations under this clause 12 shall continue in full force and effect after the termination of this agreement.</w:t>
      </w:r>
    </w:p>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b w:val="1"/>
          <w:bCs w:val="1"/>
          <w:color w:val="auto"/>
        </w:rPr>
        <w:t>TERMINATION</w:t>
      </w:r>
    </w:p>
    <w:p>
      <w:pPr>
        <w:spacing w:after="0" w:line="14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9"/>
          <w:szCs w:val="19"/>
          <w:color w:val="auto"/>
        </w:rPr>
        <w:t>The Company may terminate this agreement with immediate effect with no liability to make any further payment to the</w:t>
      </w:r>
    </w:p>
    <w:p>
      <w:pPr>
        <w:ind w:left="880"/>
        <w:spacing w:after="0"/>
        <w:rPr>
          <w:sz w:val="20"/>
          <w:szCs w:val="20"/>
          <w:color w:val="auto"/>
        </w:rPr>
      </w:pPr>
      <w:r>
        <w:rPr>
          <w:rFonts w:ascii="Arial" w:cs="Arial" w:eastAsia="Arial" w:hAnsi="Arial"/>
          <w:sz w:val="20"/>
          <w:szCs w:val="20"/>
          <w:color w:val="auto"/>
        </w:rPr>
        <w:t>Consultant (other than in respect of any Fees accrued prior to the termination of this agreement) if at any time:</w:t>
      </w:r>
    </w:p>
    <w:p>
      <w:pPr>
        <w:spacing w:after="0" w:line="15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13.1.1</w:t>
      </w:r>
      <w:r>
        <w:rPr>
          <w:sz w:val="20"/>
          <w:szCs w:val="20"/>
          <w:color w:val="auto"/>
        </w:rPr>
        <w:tab/>
      </w:r>
      <w:r>
        <w:rPr>
          <w:rFonts w:ascii="Arial" w:cs="Arial" w:eastAsia="Arial" w:hAnsi="Arial"/>
          <w:sz w:val="19"/>
          <w:szCs w:val="19"/>
          <w:color w:val="auto"/>
        </w:rPr>
        <w:t>the Consultant fails for any reason to perform the Services for a continuous period of 4 weeks;</w:t>
      </w:r>
    </w:p>
    <w:p>
      <w:pPr>
        <w:spacing w:after="0" w:line="15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13.1.2</w:t>
      </w:r>
      <w:r>
        <w:rPr>
          <w:sz w:val="20"/>
          <w:szCs w:val="20"/>
          <w:color w:val="auto"/>
        </w:rPr>
        <w:tab/>
      </w:r>
      <w:r>
        <w:rPr>
          <w:rFonts w:ascii="Arial" w:cs="Arial" w:eastAsia="Arial" w:hAnsi="Arial"/>
          <w:sz w:val="20"/>
          <w:szCs w:val="20"/>
          <w:color w:val="auto"/>
        </w:rPr>
        <w:t>the Consultant and/or any Substitute commits any serious or repeated breach or non-observance of any of</w:t>
      </w:r>
    </w:p>
    <w:p>
      <w:pPr>
        <w:ind w:left="1740"/>
        <w:spacing w:after="0" w:line="225" w:lineRule="auto"/>
        <w:rPr>
          <w:sz w:val="20"/>
          <w:szCs w:val="20"/>
          <w:color w:val="auto"/>
        </w:rPr>
      </w:pPr>
      <w:r>
        <w:rPr>
          <w:rFonts w:ascii="Arial" w:cs="Arial" w:eastAsia="Arial" w:hAnsi="Arial"/>
          <w:sz w:val="20"/>
          <w:szCs w:val="20"/>
          <w:color w:val="auto"/>
        </w:rPr>
        <w:t>the provisions of this agreement or refuses or neglects to comply with any reasonable and lawful directions of the Company;</w:t>
      </w:r>
    </w:p>
    <w:p>
      <w:pPr>
        <w:spacing w:after="0" w:line="145" w:lineRule="exact"/>
        <w:rPr>
          <w:sz w:val="20"/>
          <w:szCs w:val="20"/>
          <w:color w:val="auto"/>
        </w:rPr>
      </w:pPr>
    </w:p>
    <w:p>
      <w:pPr>
        <w:jc w:val="center"/>
        <w:ind w:left="1200"/>
        <w:spacing w:after="0" w:line="234" w:lineRule="auto"/>
        <w:rPr>
          <w:sz w:val="20"/>
          <w:szCs w:val="20"/>
          <w:color w:val="auto"/>
        </w:rPr>
      </w:pPr>
      <w:r>
        <w:rPr>
          <w:rFonts w:ascii="Arial" w:cs="Arial" w:eastAsia="Arial" w:hAnsi="Arial"/>
          <w:sz w:val="20"/>
          <w:szCs w:val="20"/>
          <w:color w:val="auto"/>
        </w:rPr>
        <w:t>13.1.3   the Consultant and/or any Substitute is convicted of any criminal offence (other than an offence under any road traffic legislation in Ireland or elsewhere for which a fine or non-custodial penalty is imposed);</w:t>
      </w:r>
    </w:p>
    <w:p>
      <w:pPr>
        <w:spacing w:after="0" w:line="146" w:lineRule="exact"/>
        <w:rPr>
          <w:sz w:val="20"/>
          <w:szCs w:val="20"/>
          <w:color w:val="auto"/>
        </w:rPr>
      </w:pPr>
    </w:p>
    <w:p>
      <w:pPr>
        <w:ind w:left="1740" w:right="20" w:hanging="867"/>
        <w:spacing w:after="0" w:line="234" w:lineRule="auto"/>
        <w:tabs>
          <w:tab w:leader="none" w:pos="1720" w:val="left"/>
        </w:tabs>
        <w:rPr>
          <w:sz w:val="20"/>
          <w:szCs w:val="20"/>
          <w:color w:val="auto"/>
        </w:rPr>
      </w:pPr>
      <w:r>
        <w:rPr>
          <w:rFonts w:ascii="Arial" w:cs="Arial" w:eastAsia="Arial" w:hAnsi="Arial"/>
          <w:sz w:val="20"/>
          <w:szCs w:val="20"/>
          <w:color w:val="auto"/>
        </w:rPr>
        <w:t>13.1.4</w:t>
      </w:r>
      <w:r>
        <w:rPr>
          <w:sz w:val="20"/>
          <w:szCs w:val="20"/>
          <w:color w:val="auto"/>
        </w:rPr>
        <w:tab/>
      </w:r>
      <w:r>
        <w:rPr>
          <w:rFonts w:ascii="Arial" w:cs="Arial" w:eastAsia="Arial" w:hAnsi="Arial"/>
          <w:sz w:val="20"/>
          <w:szCs w:val="20"/>
          <w:color w:val="auto"/>
        </w:rPr>
        <w:t>the Consultant and/or any Substitute is in the reasonable opinion of the board of directors of the Company negligent or incompetent in the performance of the Services;</w:t>
      </w:r>
    </w:p>
    <w:p>
      <w:pPr>
        <w:spacing w:after="0" w:line="146" w:lineRule="exact"/>
        <w:rPr>
          <w:sz w:val="20"/>
          <w:szCs w:val="20"/>
          <w:color w:val="auto"/>
        </w:rPr>
      </w:pPr>
    </w:p>
    <w:p>
      <w:pPr>
        <w:ind w:left="1740" w:right="20" w:hanging="867"/>
        <w:spacing w:after="0" w:line="254" w:lineRule="auto"/>
        <w:tabs>
          <w:tab w:leader="none" w:pos="1720" w:val="left"/>
        </w:tabs>
        <w:rPr>
          <w:sz w:val="20"/>
          <w:szCs w:val="20"/>
          <w:color w:val="auto"/>
        </w:rPr>
      </w:pPr>
      <w:r>
        <w:rPr>
          <w:rFonts w:ascii="Arial" w:cs="Arial" w:eastAsia="Arial" w:hAnsi="Arial"/>
          <w:sz w:val="20"/>
          <w:szCs w:val="20"/>
          <w:color w:val="auto"/>
        </w:rPr>
        <w:t>13.1.5</w:t>
      </w:r>
      <w:r>
        <w:rPr>
          <w:sz w:val="20"/>
          <w:szCs w:val="20"/>
          <w:color w:val="auto"/>
        </w:rPr>
        <w:tab/>
      </w:r>
      <w:r>
        <w:rPr>
          <w:rFonts w:ascii="Arial" w:cs="Arial" w:eastAsia="Arial" w:hAnsi="Arial"/>
          <w:sz w:val="19"/>
          <w:szCs w:val="19"/>
          <w:color w:val="auto"/>
        </w:rPr>
        <w:t>the Consultant and/or any Substitute is guilty of any bribery, corruption, fraud or dishonesty or acts in any manner which in the opinion of the Company brings or is likely to bring the Consultant, any Substitute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24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Company into disrepute or is materially adverse to the interests of the Company;</w:t>
      </w:r>
    </w:p>
    <w:p>
      <w:pPr>
        <w:spacing w:after="0" w:line="16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13.1.6</w:t>
      </w:r>
      <w:r>
        <w:rPr>
          <w:sz w:val="20"/>
          <w:szCs w:val="20"/>
          <w:color w:val="auto"/>
        </w:rPr>
        <w:tab/>
      </w:r>
      <w:r>
        <w:rPr>
          <w:rFonts w:ascii="Arial" w:cs="Arial" w:eastAsia="Arial" w:hAnsi="Arial"/>
          <w:sz w:val="19"/>
          <w:szCs w:val="19"/>
          <w:color w:val="auto"/>
        </w:rPr>
        <w:t>the Consultant becomes of unsound mind or is, or may be, suffering from mental disorder and either;</w:t>
      </w:r>
    </w:p>
    <w:p>
      <w:pPr>
        <w:spacing w:after="0" w:line="162" w:lineRule="exact"/>
        <w:rPr>
          <w:sz w:val="20"/>
          <w:szCs w:val="20"/>
          <w:color w:val="auto"/>
        </w:rPr>
      </w:pPr>
    </w:p>
    <w:p>
      <w:pPr>
        <w:ind w:left="2600" w:hanging="857"/>
        <w:spacing w:after="0"/>
        <w:tabs>
          <w:tab w:leader="none" w:pos="260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is admitted to hospital for treatment under the Mental Health Act 2001; or</w:t>
      </w:r>
    </w:p>
    <w:p>
      <w:pPr>
        <w:spacing w:after="0" w:line="175" w:lineRule="exact"/>
        <w:rPr>
          <w:rFonts w:ascii="Arial" w:cs="Arial" w:eastAsia="Arial" w:hAnsi="Arial"/>
          <w:sz w:val="20"/>
          <w:szCs w:val="20"/>
          <w:color w:val="auto"/>
        </w:rPr>
      </w:pPr>
    </w:p>
    <w:p>
      <w:pPr>
        <w:jc w:val="both"/>
        <w:ind w:left="2620" w:hanging="877"/>
        <w:spacing w:after="0" w:line="227" w:lineRule="auto"/>
        <w:tabs>
          <w:tab w:leader="none" w:pos="261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an order is made by any competent court for his detention or for him to be made a ward of Court or such other arrangement for decision making as may be made by the court with respect to his property or affairs.</w:t>
      </w:r>
    </w:p>
    <w:p>
      <w:pPr>
        <w:spacing w:after="0" w:line="130" w:lineRule="exact"/>
        <w:rPr>
          <w:sz w:val="20"/>
          <w:szCs w:val="20"/>
          <w:color w:val="auto"/>
        </w:rPr>
      </w:pPr>
    </w:p>
    <w:p>
      <w:pPr>
        <w:jc w:val="right"/>
        <w:spacing w:after="0" w:line="220" w:lineRule="auto"/>
        <w:rPr>
          <w:sz w:val="20"/>
          <w:szCs w:val="20"/>
          <w:color w:val="auto"/>
        </w:rPr>
      </w:pPr>
      <w:r>
        <w:rPr>
          <w:rFonts w:ascii="Arial" w:cs="Arial" w:eastAsia="Arial" w:hAnsi="Arial"/>
          <w:sz w:val="20"/>
          <w:szCs w:val="20"/>
          <w:color w:val="auto"/>
        </w:rPr>
        <w:t>13.2     The rights of the Company under clause 13 are without prejudice to any other rights that it might have at law to terminate this agreement or to accept any breach of this agreement on the part of the Consultant as having brought</w:t>
      </w:r>
    </w:p>
    <w:p>
      <w:pPr>
        <w:spacing w:after="0" w:line="1" w:lineRule="exact"/>
        <w:rPr>
          <w:sz w:val="20"/>
          <w:szCs w:val="20"/>
          <w:color w:val="auto"/>
        </w:rPr>
      </w:pPr>
    </w:p>
    <w:p>
      <w:pPr>
        <w:jc w:val="both"/>
        <w:ind w:left="880"/>
        <w:spacing w:after="0" w:line="225" w:lineRule="auto"/>
        <w:rPr>
          <w:sz w:val="20"/>
          <w:szCs w:val="20"/>
          <w:color w:val="auto"/>
        </w:rPr>
      </w:pPr>
      <w:r>
        <w:rPr>
          <w:rFonts w:ascii="Arial" w:cs="Arial" w:eastAsia="Arial" w:hAnsi="Arial"/>
          <w:sz w:val="20"/>
          <w:szCs w:val="20"/>
          <w:color w:val="auto"/>
        </w:rPr>
        <w:t>this agreement to an end. Any delay by the Company in exercising its rights to terminate shall not constitute a waiver thereof.</w:t>
      </w:r>
    </w:p>
    <w:p>
      <w:pPr>
        <w:spacing w:after="0" w:line="14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b w:val="1"/>
          <w:bCs w:val="1"/>
          <w:color w:val="auto"/>
        </w:rPr>
        <w:t>OBLIGATIONS UPON TERMINATION</w:t>
      </w:r>
    </w:p>
    <w:p>
      <w:pPr>
        <w:spacing w:after="0" w:line="164" w:lineRule="exact"/>
        <w:rPr>
          <w:sz w:val="20"/>
          <w:szCs w:val="20"/>
          <w:color w:val="auto"/>
        </w:rPr>
      </w:pPr>
    </w:p>
    <w:p>
      <w:pPr>
        <w:ind w:left="860" w:hanging="867"/>
        <w:spacing w:after="0" w:line="243" w:lineRule="auto"/>
        <w:tabs>
          <w:tab w:leader="none" w:pos="8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20"/>
          <w:szCs w:val="20"/>
          <w:color w:val="auto"/>
        </w:rPr>
        <w:t>Immediately on the termination of this agreement or at any other time at the request of the Company, the Consultant shall (and shall procure that any Substitute shall):</w:t>
      </w:r>
    </w:p>
    <w:p>
      <w:pPr>
        <w:spacing w:after="0" w:line="11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14.1.1</w:t>
      </w:r>
      <w:r>
        <w:rPr>
          <w:sz w:val="20"/>
          <w:szCs w:val="20"/>
          <w:color w:val="auto"/>
        </w:rPr>
        <w:tab/>
      </w:r>
      <w:r>
        <w:rPr>
          <w:rFonts w:ascii="Arial" w:cs="Arial" w:eastAsia="Arial" w:hAnsi="Arial"/>
          <w:sz w:val="20"/>
          <w:szCs w:val="20"/>
          <w:color w:val="auto"/>
        </w:rPr>
        <w:t>immediately deliver to the Company all documents, books, materials, records, correspondence, papers and</w:t>
      </w:r>
    </w:p>
    <w:p>
      <w:pPr>
        <w:ind w:left="1740" w:right="20"/>
        <w:spacing w:after="0" w:line="204" w:lineRule="auto"/>
        <w:rPr>
          <w:sz w:val="20"/>
          <w:szCs w:val="20"/>
          <w:color w:val="auto"/>
        </w:rPr>
      </w:pPr>
      <w:r>
        <w:rPr>
          <w:rFonts w:ascii="Arial" w:cs="Arial" w:eastAsia="Arial" w:hAnsi="Arial"/>
          <w:sz w:val="20"/>
          <w:szCs w:val="20"/>
          <w:color w:val="auto"/>
        </w:rPr>
        <w:t>information (on whatever media and wherever located) relating to the business or affairs of the Company and/or the Group or its or their business contacts, any keys, and any other property of the Company and/or</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the Group, which is in his possession or under his control; and</w:t>
      </w:r>
    </w:p>
    <w:p>
      <w:pPr>
        <w:spacing w:after="0" w:line="144" w:lineRule="exact"/>
        <w:rPr>
          <w:sz w:val="20"/>
          <w:szCs w:val="20"/>
          <w:color w:val="auto"/>
        </w:rPr>
      </w:pPr>
    </w:p>
    <w:p>
      <w:pPr>
        <w:jc w:val="both"/>
        <w:ind w:left="1740" w:hanging="867"/>
        <w:spacing w:after="0" w:line="231" w:lineRule="auto"/>
        <w:tabs>
          <w:tab w:leader="none" w:pos="1720" w:val="left"/>
        </w:tabs>
        <w:rPr>
          <w:sz w:val="20"/>
          <w:szCs w:val="20"/>
          <w:color w:val="auto"/>
        </w:rPr>
      </w:pPr>
      <w:r>
        <w:rPr>
          <w:rFonts w:ascii="Arial" w:cs="Arial" w:eastAsia="Arial" w:hAnsi="Arial"/>
          <w:sz w:val="20"/>
          <w:szCs w:val="20"/>
          <w:color w:val="auto"/>
        </w:rPr>
        <w:t>14.1.2</w:t>
      </w:r>
      <w:r>
        <w:rPr>
          <w:sz w:val="20"/>
          <w:szCs w:val="20"/>
          <w:color w:val="auto"/>
        </w:rPr>
        <w:tab/>
      </w:r>
      <w:r>
        <w:rPr>
          <w:rFonts w:ascii="Arial" w:cs="Arial" w:eastAsia="Arial" w:hAnsi="Arial"/>
          <w:sz w:val="20"/>
          <w:szCs w:val="20"/>
          <w:color w:val="auto"/>
        </w:rPr>
        <w:t>irretrievably delete any information relating to the business of the Company and/or the Group stored on any magnetic or optical disk or memory and all matter derived from such sources which is in his possession or under his control outside the premises of the Company.</w:t>
      </w:r>
    </w:p>
    <w:p>
      <w:pPr>
        <w:spacing w:after="0" w:line="130" w:lineRule="exact"/>
        <w:rPr>
          <w:sz w:val="20"/>
          <w:szCs w:val="20"/>
          <w:color w:val="auto"/>
        </w:rPr>
      </w:pPr>
    </w:p>
    <w:p>
      <w:pPr>
        <w:ind w:left="860" w:hanging="852"/>
        <w:spacing w:after="0"/>
        <w:tabs>
          <w:tab w:leader="none" w:pos="860"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WARRANTIES</w:t>
      </w:r>
    </w:p>
    <w:p>
      <w:pPr>
        <w:spacing w:after="0" w:line="177" w:lineRule="exact"/>
        <w:rPr>
          <w:rFonts w:ascii="Arial" w:cs="Arial" w:eastAsia="Arial" w:hAnsi="Arial"/>
          <w:sz w:val="20"/>
          <w:szCs w:val="20"/>
          <w:b w:val="1"/>
          <w:bCs w:val="1"/>
          <w:color w:val="auto"/>
        </w:rPr>
      </w:pPr>
    </w:p>
    <w:p>
      <w:pPr>
        <w:ind w:left="880" w:right="20"/>
        <w:spacing w:after="0" w:line="286" w:lineRule="auto"/>
        <w:rPr>
          <w:rFonts w:ascii="Arial" w:cs="Arial" w:eastAsia="Arial" w:hAnsi="Arial"/>
          <w:sz w:val="20"/>
          <w:szCs w:val="20"/>
          <w:b w:val="1"/>
          <w:bCs w:val="1"/>
          <w:color w:val="auto"/>
        </w:rPr>
      </w:pPr>
      <w:r>
        <w:rPr>
          <w:rFonts w:ascii="Arial" w:cs="Arial" w:eastAsia="Arial" w:hAnsi="Arial"/>
          <w:sz w:val="20"/>
          <w:szCs w:val="20"/>
          <w:color w:val="auto"/>
        </w:rPr>
        <w:t>The Consultant warrants to the Company that by entering into this agreement and performing the Services, the Consultant shall not be in breach of any contract or other obligation.</w:t>
      </w:r>
    </w:p>
    <w:p>
      <w:pPr>
        <w:spacing w:after="0" w:line="111" w:lineRule="exact"/>
        <w:rPr>
          <w:rFonts w:ascii="Arial" w:cs="Arial" w:eastAsia="Arial" w:hAnsi="Arial"/>
          <w:sz w:val="20"/>
          <w:szCs w:val="20"/>
          <w:b w:val="1"/>
          <w:bCs w:val="1"/>
          <w:color w:val="auto"/>
        </w:rPr>
      </w:pPr>
    </w:p>
    <w:p>
      <w:pPr>
        <w:ind w:left="860" w:hanging="852"/>
        <w:spacing w:after="0"/>
        <w:tabs>
          <w:tab w:leader="none" w:pos="860"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INDEPENDENT LEGAL ADVICE</w:t>
      </w:r>
    </w:p>
    <w:p>
      <w:pPr>
        <w:spacing w:after="0" w:line="177" w:lineRule="exact"/>
        <w:rPr>
          <w:rFonts w:ascii="Arial" w:cs="Arial" w:eastAsia="Arial" w:hAnsi="Arial"/>
          <w:sz w:val="20"/>
          <w:szCs w:val="20"/>
          <w:b w:val="1"/>
          <w:bCs w:val="1"/>
          <w:color w:val="auto"/>
        </w:rPr>
      </w:pPr>
    </w:p>
    <w:p>
      <w:pPr>
        <w:ind w:left="880"/>
        <w:spacing w:after="0" w:line="286" w:lineRule="auto"/>
        <w:rPr>
          <w:rFonts w:ascii="Arial" w:cs="Arial" w:eastAsia="Arial" w:hAnsi="Arial"/>
          <w:sz w:val="20"/>
          <w:szCs w:val="20"/>
          <w:b w:val="1"/>
          <w:bCs w:val="1"/>
          <w:color w:val="auto"/>
        </w:rPr>
      </w:pPr>
      <w:r>
        <w:rPr>
          <w:rFonts w:ascii="Arial" w:cs="Arial" w:eastAsia="Arial" w:hAnsi="Arial"/>
          <w:sz w:val="20"/>
          <w:szCs w:val="20"/>
          <w:color w:val="auto"/>
        </w:rPr>
        <w:t>The Consultant acknowledges that he has taken legal advice on and understands the effect and implications of this agreement and every part thereof.</w:t>
      </w:r>
    </w:p>
    <w:p>
      <w:pPr>
        <w:spacing w:after="0" w:line="111" w:lineRule="exact"/>
        <w:rPr>
          <w:rFonts w:ascii="Arial" w:cs="Arial" w:eastAsia="Arial" w:hAnsi="Arial"/>
          <w:sz w:val="20"/>
          <w:szCs w:val="20"/>
          <w:b w:val="1"/>
          <w:bCs w:val="1"/>
          <w:color w:val="auto"/>
        </w:rPr>
      </w:pPr>
    </w:p>
    <w:p>
      <w:pPr>
        <w:ind w:left="860" w:hanging="852"/>
        <w:spacing w:after="0"/>
        <w:tabs>
          <w:tab w:leader="none" w:pos="860"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ENTIRE AGREEMENT</w:t>
      </w:r>
    </w:p>
    <w:p>
      <w:pPr>
        <w:spacing w:after="0" w:line="177" w:lineRule="exact"/>
        <w:rPr>
          <w:rFonts w:ascii="Arial" w:cs="Arial" w:eastAsia="Arial" w:hAnsi="Arial"/>
          <w:sz w:val="20"/>
          <w:szCs w:val="20"/>
          <w:b w:val="1"/>
          <w:bCs w:val="1"/>
          <w:color w:val="auto"/>
        </w:rPr>
      </w:pPr>
    </w:p>
    <w:p>
      <w:pPr>
        <w:jc w:val="both"/>
        <w:ind w:left="880"/>
        <w:spacing w:after="0" w:line="259" w:lineRule="auto"/>
        <w:rPr>
          <w:rFonts w:ascii="Arial" w:cs="Arial" w:eastAsia="Arial" w:hAnsi="Arial"/>
          <w:sz w:val="20"/>
          <w:szCs w:val="20"/>
          <w:b w:val="1"/>
          <w:bCs w:val="1"/>
          <w:color w:val="auto"/>
        </w:rPr>
      </w:pPr>
      <w:r>
        <w:rPr>
          <w:rFonts w:ascii="Arial" w:cs="Arial" w:eastAsia="Arial" w:hAnsi="Arial"/>
          <w:sz w:val="20"/>
          <w:szCs w:val="20"/>
          <w:color w:val="auto"/>
        </w:rPr>
        <w:t>This agreement sets out the entire agreement and understanding between the Consultant and the Company in relation to its subject matter and supersedes cancels and nullifies any previous agreement between the Parties or any of them relating to such matters and neither Party has entered into this agreement in reliance upon any representation, warranty or undertaking of any other party which is not set out or referred to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24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20"/>
          <w:szCs w:val="20"/>
          <w:b w:val="1"/>
          <w:bCs w:val="1"/>
          <w:color w:val="auto"/>
        </w:rPr>
        <w:t>GOVERNING LAW</w:t>
      </w:r>
    </w:p>
    <w:p>
      <w:pPr>
        <w:spacing w:after="0" w:line="164" w:lineRule="exact"/>
        <w:rPr>
          <w:sz w:val="20"/>
          <w:szCs w:val="20"/>
          <w:color w:val="auto"/>
        </w:rPr>
      </w:pPr>
    </w:p>
    <w:p>
      <w:pPr>
        <w:ind w:left="860" w:hanging="867"/>
        <w:spacing w:after="0" w:line="243" w:lineRule="auto"/>
        <w:tabs>
          <w:tab w:leader="none" w:pos="84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20"/>
          <w:szCs w:val="20"/>
          <w:color w:val="auto"/>
        </w:rPr>
        <w:t>All disputes between the Parties arising out of or in any way relating to the agreement or any other disputes between the Parties in any way connected with the subject matter of the agreement shall be governed by the laws of Ireland.</w:t>
      </w:r>
    </w:p>
    <w:p>
      <w:pPr>
        <w:spacing w:after="0" w:line="11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20"/>
          <w:szCs w:val="20"/>
          <w:color w:val="auto"/>
        </w:rPr>
        <w:t>Each of the Parties hereby submits to the exclusive jurisdiction of the Irish Courts for the purpose of any proceedings</w:t>
      </w:r>
    </w:p>
    <w:p>
      <w:pPr>
        <w:ind w:left="880"/>
        <w:spacing w:after="0" w:line="225" w:lineRule="auto"/>
        <w:rPr>
          <w:sz w:val="20"/>
          <w:szCs w:val="20"/>
          <w:color w:val="auto"/>
        </w:rPr>
      </w:pPr>
      <w:r>
        <w:rPr>
          <w:rFonts w:ascii="Arial" w:cs="Arial" w:eastAsia="Arial" w:hAnsi="Arial"/>
          <w:sz w:val="20"/>
          <w:szCs w:val="20"/>
          <w:color w:val="auto"/>
        </w:rPr>
        <w:t>arising out of or in any way relating to the agreement or any other proceedings in any way connected with the subject matter of the agreement.</w:t>
      </w:r>
    </w:p>
    <w:p>
      <w:pPr>
        <w:spacing w:after="0" w:line="14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20"/>
          <w:szCs w:val="20"/>
          <w:b w:val="1"/>
          <w:bCs w:val="1"/>
          <w:color w:val="auto"/>
        </w:rPr>
        <w:t>GENERAL</w:t>
      </w:r>
    </w:p>
    <w:p>
      <w:pPr>
        <w:spacing w:after="0" w:line="164" w:lineRule="exact"/>
        <w:rPr>
          <w:sz w:val="20"/>
          <w:szCs w:val="20"/>
          <w:color w:val="auto"/>
        </w:rPr>
      </w:pPr>
    </w:p>
    <w:p>
      <w:pPr>
        <w:ind w:left="860" w:hanging="867"/>
        <w:spacing w:after="0" w:line="243" w:lineRule="auto"/>
        <w:tabs>
          <w:tab w:leader="none" w:pos="84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20"/>
          <w:szCs w:val="20"/>
          <w:color w:val="auto"/>
        </w:rPr>
        <w:t>This agreement may be executed by the Parties on separate counterparts, each of which when executed shall constitute the original and all such counterparts together constitute one and the same document.</w:t>
      </w:r>
    </w:p>
    <w:p>
      <w:pPr>
        <w:spacing w:after="0" w:line="11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20"/>
          <w:szCs w:val="20"/>
          <w:color w:val="auto"/>
        </w:rPr>
        <w:t xml:space="preserve">In accordance with the Electronic Commerce Act, 2000 and EU Regulation 910/2014 the </w:t>
      </w:r>
      <w:r>
        <w:rPr>
          <w:rFonts w:ascii="Arial" w:cs="Arial" w:eastAsia="Arial" w:hAnsi="Arial"/>
          <w:sz w:val="20"/>
          <w:szCs w:val="20"/>
          <w:color w:val="1F497D"/>
        </w:rPr>
        <w:t>P</w:t>
      </w:r>
      <w:r>
        <w:rPr>
          <w:rFonts w:ascii="Arial" w:cs="Arial" w:eastAsia="Arial" w:hAnsi="Arial"/>
          <w:sz w:val="20"/>
          <w:szCs w:val="20"/>
          <w:color w:val="auto"/>
        </w:rPr>
        <w:t>arties hereby agree that</w:t>
      </w:r>
    </w:p>
    <w:p>
      <w:pPr>
        <w:ind w:left="880"/>
        <w:spacing w:after="0" w:line="204" w:lineRule="auto"/>
        <w:rPr>
          <w:sz w:val="20"/>
          <w:szCs w:val="20"/>
          <w:color w:val="auto"/>
        </w:rPr>
      </w:pPr>
      <w:r>
        <w:rPr>
          <w:rFonts w:ascii="Arial" w:cs="Arial" w:eastAsia="Arial" w:hAnsi="Arial"/>
          <w:sz w:val="20"/>
          <w:szCs w:val="20"/>
          <w:color w:val="auto"/>
        </w:rPr>
        <w:t>they may execute this agreement using electronic means including the use of electronic acceptance by the Parties, which the Parties acknowledge will have the full force and legal effect as if traditional hand-written signatures had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been affixed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IN WITNESS </w:t>
      </w:r>
      <w:r>
        <w:rPr>
          <w:rFonts w:ascii="Arial" w:cs="Arial" w:eastAsia="Arial" w:hAnsi="Arial"/>
          <w:sz w:val="20"/>
          <w:szCs w:val="20"/>
          <w:color w:val="auto"/>
        </w:rPr>
        <w:t>of which the Parties have executed this Agreement on the date shown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5540" w:type="dxa"/>
            <w:vAlign w:val="bottom"/>
          </w:tcPr>
          <w:p>
            <w:pPr>
              <w:spacing w:after="0"/>
              <w:rPr>
                <w:sz w:val="20"/>
                <w:szCs w:val="20"/>
                <w:color w:val="auto"/>
              </w:rPr>
            </w:pPr>
            <w:r>
              <w:rPr>
                <w:rFonts w:ascii="Arial" w:cs="Arial" w:eastAsia="Arial" w:hAnsi="Arial"/>
                <w:sz w:val="20"/>
                <w:szCs w:val="20"/>
                <w:color w:val="auto"/>
              </w:rPr>
              <w:t>SIGNED for and on behalf of</w:t>
            </w:r>
          </w:p>
        </w:tc>
        <w:tc>
          <w:tcPr>
            <w:tcW w:w="8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0"/>
                <w:szCs w:val="20"/>
                <w:color w:val="auto"/>
              </w:rPr>
            </w:pPr>
            <w:r>
              <w:rPr>
                <w:rFonts w:ascii="Arial" w:cs="Arial" w:eastAsia="Arial" w:hAnsi="Arial"/>
                <w:sz w:val="20"/>
                <w:szCs w:val="20"/>
                <w:b w:val="1"/>
                <w:bCs w:val="1"/>
                <w:color w:val="auto"/>
              </w:rPr>
              <w:t>ZYMEWORKS PHARMACEUTICAL LIMITED</w:t>
            </w:r>
          </w:p>
        </w:tc>
        <w:tc>
          <w:tcPr>
            <w:tcW w:w="80" w:type="dxa"/>
            <w:vAlign w:val="bottom"/>
          </w:tcPr>
          <w:p>
            <w:pPr>
              <w:spacing w:after="0"/>
              <w:rPr>
                <w:sz w:val="21"/>
                <w:szCs w:val="21"/>
                <w:color w:val="auto"/>
              </w:rPr>
            </w:pPr>
          </w:p>
        </w:tc>
        <w:tc>
          <w:tcPr>
            <w:tcW w:w="5440" w:type="dxa"/>
            <w:vAlign w:val="bottom"/>
            <w:vMerge w:val="restart"/>
          </w:tcPr>
          <w:p>
            <w:pPr>
              <w:ind w:left="20"/>
              <w:spacing w:after="0"/>
              <w:rPr>
                <w:sz w:val="20"/>
                <w:szCs w:val="20"/>
                <w:color w:val="auto"/>
              </w:rPr>
            </w:pPr>
            <w:r>
              <w:rPr>
                <w:rFonts w:ascii="Arial" w:cs="Arial" w:eastAsia="Arial" w:hAnsi="Arial"/>
                <w:sz w:val="20"/>
                <w:szCs w:val="20"/>
                <w:color w:val="auto"/>
              </w:rPr>
              <w:t>/s/ Kenneth Galbraith</w:t>
            </w: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b w:val="1"/>
                <w:bCs w:val="1"/>
                <w:color w:val="auto"/>
              </w:rPr>
              <w:t>KENNETH GALBRAITH</w:t>
            </w:r>
          </w:p>
        </w:tc>
        <w:tc>
          <w:tcPr>
            <w:tcW w:w="8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540" w:type="dxa"/>
            <w:vAlign w:val="bottom"/>
          </w:tcPr>
          <w:p>
            <w:pPr>
              <w:spacing w:after="0"/>
              <w:rPr>
                <w:sz w:val="23"/>
                <w:szCs w:val="23"/>
                <w:color w:val="auto"/>
              </w:rPr>
            </w:pPr>
          </w:p>
        </w:tc>
        <w:tc>
          <w:tcPr>
            <w:tcW w:w="5620" w:type="dxa"/>
            <w:vAlign w:val="bottom"/>
            <w:gridSpan w:val="3"/>
          </w:tcPr>
          <w:p>
            <w:pPr>
              <w:ind w:left="60"/>
              <w:spacing w:after="0"/>
              <w:rPr>
                <w:sz w:val="20"/>
                <w:szCs w:val="20"/>
                <w:color w:val="auto"/>
              </w:rPr>
            </w:pPr>
            <w:r>
              <w:rPr>
                <w:rFonts w:ascii="Arial" w:cs="Arial" w:eastAsia="Arial" w:hAnsi="Arial"/>
                <w:sz w:val="20"/>
                <w:szCs w:val="20"/>
                <w:color w:val="auto"/>
              </w:rPr>
              <w:t xml:space="preserve">Signature of </w:t>
            </w:r>
            <w:r>
              <w:rPr>
                <w:rFonts w:ascii="Arial" w:cs="Arial" w:eastAsia="Arial" w:hAnsi="Arial"/>
                <w:sz w:val="20"/>
                <w:szCs w:val="20"/>
                <w:b w:val="1"/>
                <w:bCs w:val="1"/>
                <w:color w:val="auto"/>
              </w:rPr>
              <w:t>KENNETH GALBRAITH</w:t>
            </w:r>
          </w:p>
        </w:tc>
        <w:tc>
          <w:tcPr>
            <w:tcW w:w="0" w:type="dxa"/>
            <w:vAlign w:val="bottom"/>
          </w:tcPr>
          <w:p>
            <w:pPr>
              <w:spacing w:after="0"/>
              <w:rPr>
                <w:sz w:val="1"/>
                <w:szCs w:val="1"/>
                <w:color w:val="auto"/>
              </w:rPr>
            </w:pPr>
          </w:p>
        </w:tc>
      </w:tr>
      <w:tr>
        <w:trPr>
          <w:trHeight w:val="807"/>
        </w:trPr>
        <w:tc>
          <w:tcPr>
            <w:tcW w:w="5540" w:type="dxa"/>
            <w:vAlign w:val="bottom"/>
          </w:tcPr>
          <w:p>
            <w:pPr>
              <w:spacing w:after="0"/>
              <w:rPr>
                <w:sz w:val="20"/>
                <w:szCs w:val="20"/>
                <w:color w:val="auto"/>
              </w:rPr>
            </w:pPr>
            <w:r>
              <w:rPr>
                <w:rFonts w:ascii="Arial" w:cs="Arial" w:eastAsia="Arial" w:hAnsi="Arial"/>
                <w:sz w:val="20"/>
                <w:szCs w:val="20"/>
                <w:color w:val="auto"/>
              </w:rPr>
              <w:t>SIGNED by</w:t>
            </w:r>
          </w:p>
        </w:tc>
        <w:tc>
          <w:tcPr>
            <w:tcW w:w="80" w:type="dxa"/>
            <w:vAlign w:val="bottom"/>
          </w:tcPr>
          <w:p>
            <w:pPr>
              <w:spacing w:after="0"/>
              <w:rPr>
                <w:sz w:val="24"/>
                <w:szCs w:val="24"/>
                <w:color w:val="auto"/>
              </w:rPr>
            </w:pPr>
          </w:p>
        </w:tc>
        <w:tc>
          <w:tcPr>
            <w:tcW w:w="5540" w:type="dxa"/>
            <w:vAlign w:val="bottom"/>
            <w:gridSpan w:val="2"/>
            <w:vMerge w:val="restart"/>
          </w:tcPr>
          <w:p>
            <w:pPr>
              <w:ind w:left="120"/>
              <w:spacing w:after="0"/>
              <w:rPr>
                <w:sz w:val="20"/>
                <w:szCs w:val="20"/>
                <w:color w:val="auto"/>
              </w:rPr>
            </w:pPr>
            <w:r>
              <w:rPr>
                <w:rFonts w:ascii="Arial" w:cs="Arial" w:eastAsia="Arial" w:hAnsi="Arial"/>
                <w:sz w:val="20"/>
                <w:szCs w:val="20"/>
                <w:color w:val="auto"/>
              </w:rPr>
              <w:t>/s/ Jeffrey Smith</w:t>
            </w:r>
          </w:p>
        </w:tc>
        <w:tc>
          <w:tcPr>
            <w:tcW w:w="0" w:type="dxa"/>
            <w:vAlign w:val="bottom"/>
          </w:tcPr>
          <w:p>
            <w:pPr>
              <w:spacing w:after="0"/>
              <w:rPr>
                <w:sz w:val="1"/>
                <w:szCs w:val="1"/>
                <w:color w:val="auto"/>
              </w:rPr>
            </w:pPr>
          </w:p>
        </w:tc>
      </w:tr>
      <w:tr>
        <w:trPr>
          <w:trHeight w:val="282"/>
        </w:trPr>
        <w:tc>
          <w:tcPr>
            <w:tcW w:w="5540" w:type="dxa"/>
            <w:vAlign w:val="bottom"/>
          </w:tcPr>
          <w:p>
            <w:pPr>
              <w:spacing w:after="0"/>
              <w:rPr>
                <w:sz w:val="20"/>
                <w:szCs w:val="20"/>
                <w:color w:val="auto"/>
              </w:rPr>
            </w:pPr>
            <w:r>
              <w:rPr>
                <w:rFonts w:ascii="Arial" w:cs="Arial" w:eastAsia="Arial" w:hAnsi="Arial"/>
                <w:sz w:val="20"/>
                <w:szCs w:val="20"/>
                <w:b w:val="1"/>
                <w:bCs w:val="1"/>
                <w:color w:val="auto"/>
              </w:rPr>
              <w:t>JEFFREY SMITH</w:t>
            </w:r>
          </w:p>
        </w:tc>
        <w:tc>
          <w:tcPr>
            <w:tcW w:w="80" w:type="dxa"/>
            <w:vAlign w:val="bottom"/>
          </w:tcPr>
          <w:p>
            <w:pPr>
              <w:spacing w:after="0"/>
              <w:rPr>
                <w:sz w:val="24"/>
                <w:szCs w:val="24"/>
                <w:color w:val="auto"/>
              </w:rPr>
            </w:pPr>
          </w:p>
        </w:tc>
        <w:tc>
          <w:tcPr>
            <w:tcW w:w="554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540" w:type="dxa"/>
            <w:vAlign w:val="bottom"/>
            <w:gridSpan w:val="2"/>
          </w:tcPr>
          <w:p>
            <w:pPr>
              <w:ind w:left="80"/>
              <w:spacing w:after="0"/>
              <w:rPr>
                <w:sz w:val="20"/>
                <w:szCs w:val="20"/>
                <w:color w:val="auto"/>
              </w:rPr>
            </w:pPr>
            <w:r>
              <w:rPr>
                <w:rFonts w:ascii="Arial" w:cs="Arial" w:eastAsia="Arial" w:hAnsi="Arial"/>
                <w:sz w:val="20"/>
                <w:szCs w:val="20"/>
                <w:color w:val="auto"/>
              </w:rPr>
              <w:t xml:space="preserve">Signature of </w:t>
            </w:r>
            <w:r>
              <w:rPr>
                <w:rFonts w:ascii="Arial" w:cs="Arial" w:eastAsia="Arial" w:hAnsi="Arial"/>
                <w:sz w:val="20"/>
                <w:szCs w:val="20"/>
                <w:b w:val="1"/>
                <w:bCs w:val="1"/>
                <w:color w:val="auto"/>
              </w:rPr>
              <w:t>JEFFREY SMITH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242"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auto"/>
        </w:rPr>
        <w:t>SCHEDULE 1</w:t>
      </w:r>
    </w:p>
    <w:p>
      <w:pPr>
        <w:spacing w:after="0" w:line="175"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auto"/>
        </w:rPr>
        <w:t>THE SERVICES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Services will consist of serving as an outside advisor to the Company advising on strategic planning and guidance, as may be requested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0580"/>
          </w:cols>
          <w:pgMar w:left="980" w:top="1440" w:right="339" w:bottom="1440" w:gutter="0" w:footer="0" w:header="0"/>
        </w:sectPr>
      </w:pPr>
    </w:p>
    <w:bookmarkStart w:id="250" w:name="page251"/>
    <w:bookmarkEnd w:id="250"/>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A0A0A"/>
        </w:rPr>
        <w:t>ASSIGNMENT AND NOVATION AGREEMENT</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 xml:space="preserve">THIS AGREEMENT </w:t>
      </w:r>
      <w:r>
        <w:rPr>
          <w:rFonts w:ascii="Arial" w:cs="Arial" w:eastAsia="Arial" w:hAnsi="Arial"/>
          <w:sz w:val="20"/>
          <w:szCs w:val="20"/>
          <w:color w:val="0A0A0A"/>
        </w:rPr>
        <w:t>is made on January 31, 2026 (the “Effective Date”) by and among:</w:t>
      </w:r>
    </w:p>
    <w:p>
      <w:pPr>
        <w:spacing w:after="0" w:line="391"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20"/>
          <w:szCs w:val="20"/>
          <w:color w:val="0A0A0A"/>
        </w:rPr>
      </w:pPr>
      <w:r>
        <w:rPr>
          <w:rFonts w:ascii="Arial" w:cs="Arial" w:eastAsia="Arial" w:hAnsi="Arial"/>
          <w:sz w:val="20"/>
          <w:szCs w:val="20"/>
          <w:b w:val="1"/>
          <w:bCs w:val="1"/>
          <w:color w:val="0A0A0A"/>
        </w:rPr>
        <w:t xml:space="preserve">ZYMEWORKS PHARMACEUTICAL LIMITED </w:t>
      </w:r>
      <w:r>
        <w:rPr>
          <w:rFonts w:ascii="Arial" w:cs="Arial" w:eastAsia="Arial" w:hAnsi="Arial"/>
          <w:sz w:val="20"/>
          <w:szCs w:val="20"/>
          <w:color w:val="0A0A0A"/>
        </w:rPr>
        <w:t>(“Assignor”); and</w:t>
      </w:r>
    </w:p>
    <w:p>
      <w:pPr>
        <w:spacing w:after="0" w:line="296" w:lineRule="exact"/>
        <w:rPr>
          <w:rFonts w:ascii="Arial" w:cs="Arial" w:eastAsia="Arial" w:hAnsi="Arial"/>
          <w:sz w:val="20"/>
          <w:szCs w:val="20"/>
          <w:color w:val="0A0A0A"/>
        </w:rPr>
      </w:pPr>
    </w:p>
    <w:p>
      <w:pPr>
        <w:ind w:left="460" w:hanging="452"/>
        <w:spacing w:after="0"/>
        <w:tabs>
          <w:tab w:leader="none" w:pos="460" w:val="left"/>
        </w:tabs>
        <w:numPr>
          <w:ilvl w:val="0"/>
          <w:numId w:val="171"/>
        </w:numPr>
        <w:rPr>
          <w:rFonts w:ascii="Arial" w:cs="Arial" w:eastAsia="Arial" w:hAnsi="Arial"/>
          <w:sz w:val="20"/>
          <w:szCs w:val="20"/>
          <w:color w:val="0A0A0A"/>
        </w:rPr>
      </w:pPr>
      <w:r>
        <w:rPr>
          <w:rFonts w:ascii="Arial" w:cs="Arial" w:eastAsia="Arial" w:hAnsi="Arial"/>
          <w:sz w:val="20"/>
          <w:szCs w:val="20"/>
          <w:b w:val="1"/>
          <w:bCs w:val="1"/>
          <w:color w:val="0A0A0A"/>
        </w:rPr>
        <w:t xml:space="preserve">ZYMEWORKS BC INC. </w:t>
      </w:r>
      <w:r>
        <w:rPr>
          <w:rFonts w:ascii="Arial" w:cs="Arial" w:eastAsia="Arial" w:hAnsi="Arial"/>
          <w:sz w:val="20"/>
          <w:szCs w:val="20"/>
          <w:color w:val="0A0A0A"/>
        </w:rPr>
        <w:t>(“Assignee”); and</w:t>
      </w:r>
    </w:p>
    <w:p>
      <w:pPr>
        <w:spacing w:after="0" w:line="310" w:lineRule="exact"/>
        <w:rPr>
          <w:rFonts w:ascii="Arial" w:cs="Arial" w:eastAsia="Arial" w:hAnsi="Arial"/>
          <w:sz w:val="20"/>
          <w:szCs w:val="20"/>
          <w:color w:val="0A0A0A"/>
        </w:rPr>
      </w:pPr>
    </w:p>
    <w:p>
      <w:pPr>
        <w:ind w:left="460" w:hanging="452"/>
        <w:spacing w:after="0"/>
        <w:tabs>
          <w:tab w:leader="none" w:pos="460" w:val="left"/>
        </w:tabs>
        <w:numPr>
          <w:ilvl w:val="0"/>
          <w:numId w:val="171"/>
        </w:numPr>
        <w:rPr>
          <w:rFonts w:ascii="Arial" w:cs="Arial" w:eastAsia="Arial" w:hAnsi="Arial"/>
          <w:sz w:val="20"/>
          <w:szCs w:val="20"/>
          <w:color w:val="0A0A0A"/>
        </w:rPr>
      </w:pPr>
      <w:r>
        <w:rPr>
          <w:rFonts w:ascii="Arial" w:cs="Arial" w:eastAsia="Arial" w:hAnsi="Arial"/>
          <w:sz w:val="20"/>
          <w:szCs w:val="20"/>
          <w:b w:val="1"/>
          <w:bCs w:val="1"/>
          <w:color w:val="0A0A0A"/>
        </w:rPr>
        <w:t xml:space="preserve">JEFFREY SMITH </w:t>
      </w:r>
      <w:r>
        <w:rPr>
          <w:rFonts w:ascii="Arial" w:cs="Arial" w:eastAsia="Arial" w:hAnsi="Arial"/>
          <w:sz w:val="20"/>
          <w:szCs w:val="20"/>
          <w:color w:val="0A0A0A"/>
        </w:rPr>
        <w:t>(“Continuing Party”).</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WHEREAS:</w:t>
      </w:r>
    </w:p>
    <w:p>
      <w:pPr>
        <w:spacing w:after="0" w:line="393" w:lineRule="exact"/>
        <w:rPr>
          <w:sz w:val="20"/>
          <w:szCs w:val="20"/>
          <w:color w:val="auto"/>
        </w:rPr>
      </w:pPr>
    </w:p>
    <w:p>
      <w:pPr>
        <w:ind w:left="680" w:right="680" w:hanging="672"/>
        <w:spacing w:after="0" w:line="394" w:lineRule="auto"/>
        <w:tabs>
          <w:tab w:leader="none" w:pos="676" w:val="left"/>
        </w:tabs>
        <w:numPr>
          <w:ilvl w:val="0"/>
          <w:numId w:val="172"/>
        </w:numPr>
        <w:rPr>
          <w:rFonts w:ascii="Arial" w:cs="Arial" w:eastAsia="Arial" w:hAnsi="Arial"/>
          <w:sz w:val="20"/>
          <w:szCs w:val="20"/>
          <w:color w:val="0A0A0A"/>
        </w:rPr>
      </w:pPr>
      <w:r>
        <w:rPr>
          <w:rFonts w:ascii="Arial" w:cs="Arial" w:eastAsia="Arial" w:hAnsi="Arial"/>
          <w:sz w:val="20"/>
          <w:szCs w:val="20"/>
          <w:color w:val="0A0A0A"/>
        </w:rPr>
        <w:t>The Assignor and Continuing Party entered into that certain Consultancy Agreement dated January 31, 2026 (the “Original Contract”).</w:t>
      </w:r>
    </w:p>
    <w:p>
      <w:pPr>
        <w:ind w:left="660" w:hanging="652"/>
        <w:spacing w:after="0"/>
        <w:tabs>
          <w:tab w:leader="none" w:pos="660" w:val="left"/>
        </w:tabs>
        <w:numPr>
          <w:ilvl w:val="0"/>
          <w:numId w:val="172"/>
        </w:numPr>
        <w:rPr>
          <w:rFonts w:ascii="Arial" w:cs="Arial" w:eastAsia="Arial" w:hAnsi="Arial"/>
          <w:sz w:val="20"/>
          <w:szCs w:val="20"/>
          <w:color w:val="0A0A0A"/>
        </w:rPr>
      </w:pPr>
      <w:r>
        <w:rPr>
          <w:rFonts w:ascii="Arial" w:cs="Arial" w:eastAsia="Arial" w:hAnsi="Arial"/>
          <w:sz w:val="20"/>
          <w:szCs w:val="20"/>
          <w:color w:val="0A0A0A"/>
        </w:rPr>
        <w:t>The Assignor wishes to assign all its rights and transfer all its obligations under the Original Contract to the Assignee.</w:t>
      </w:r>
    </w:p>
    <w:p>
      <w:pPr>
        <w:spacing w:after="0" w:line="148" w:lineRule="exact"/>
        <w:rPr>
          <w:rFonts w:ascii="Arial" w:cs="Arial" w:eastAsia="Arial" w:hAnsi="Arial"/>
          <w:sz w:val="20"/>
          <w:szCs w:val="20"/>
          <w:color w:val="0A0A0A"/>
        </w:rPr>
      </w:pPr>
    </w:p>
    <w:p>
      <w:pPr>
        <w:ind w:left="660" w:hanging="652"/>
        <w:spacing w:after="0"/>
        <w:tabs>
          <w:tab w:leader="none" w:pos="660" w:val="left"/>
        </w:tabs>
        <w:numPr>
          <w:ilvl w:val="0"/>
          <w:numId w:val="172"/>
        </w:numPr>
        <w:rPr>
          <w:rFonts w:ascii="Arial" w:cs="Arial" w:eastAsia="Arial" w:hAnsi="Arial"/>
          <w:sz w:val="20"/>
          <w:szCs w:val="20"/>
          <w:color w:val="0A0A0A"/>
        </w:rPr>
      </w:pPr>
      <w:r>
        <w:rPr>
          <w:rFonts w:ascii="Arial" w:cs="Arial" w:eastAsia="Arial" w:hAnsi="Arial"/>
          <w:sz w:val="20"/>
          <w:szCs w:val="20"/>
          <w:color w:val="0A0A0A"/>
        </w:rPr>
        <w:t>The Continuing Party consents to this substitution.</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 xml:space="preserve">THE PARTIES AGREE </w:t>
      </w:r>
      <w:r>
        <w:rPr>
          <w:rFonts w:ascii="Arial" w:cs="Arial" w:eastAsia="Arial" w:hAnsi="Arial"/>
          <w:sz w:val="20"/>
          <w:szCs w:val="20"/>
          <w:color w:val="0A0A0A"/>
        </w:rPr>
        <w:t>as follows:</w:t>
      </w:r>
    </w:p>
    <w:p>
      <w:pPr>
        <w:spacing w:after="0" w:line="391" w:lineRule="exact"/>
        <w:rPr>
          <w:sz w:val="20"/>
          <w:szCs w:val="20"/>
          <w:color w:val="auto"/>
        </w:rPr>
      </w:pPr>
    </w:p>
    <w:p>
      <w:pPr>
        <w:ind w:left="680" w:right="220" w:hanging="672"/>
        <w:spacing w:after="0" w:line="429" w:lineRule="auto"/>
        <w:tabs>
          <w:tab w:leader="none" w:pos="668" w:val="left"/>
        </w:tabs>
        <w:numPr>
          <w:ilvl w:val="0"/>
          <w:numId w:val="173"/>
        </w:numPr>
        <w:rPr>
          <w:rFonts w:ascii="Arial" w:cs="Arial" w:eastAsia="Arial" w:hAnsi="Arial"/>
          <w:sz w:val="20"/>
          <w:szCs w:val="20"/>
          <w:color w:val="0A0A0A"/>
        </w:rPr>
      </w:pPr>
      <w:r>
        <w:rPr>
          <w:rFonts w:ascii="Arial" w:cs="Arial" w:eastAsia="Arial" w:hAnsi="Arial"/>
          <w:sz w:val="20"/>
          <w:szCs w:val="20"/>
          <w:b w:val="1"/>
          <w:bCs w:val="1"/>
          <w:color w:val="0A0A0A"/>
        </w:rPr>
        <w:t xml:space="preserve">Assignment and Novation: </w:t>
      </w:r>
      <w:r>
        <w:rPr>
          <w:rFonts w:ascii="Arial" w:cs="Arial" w:eastAsia="Arial" w:hAnsi="Arial"/>
          <w:sz w:val="20"/>
          <w:szCs w:val="20"/>
          <w:color w:val="0A0A0A"/>
        </w:rPr>
        <w:t>As of the Effective Date, the Assignor assigns all rights and delegates all duties under the</w:t>
      </w:r>
      <w:r>
        <w:rPr>
          <w:rFonts w:ascii="Arial" w:cs="Arial" w:eastAsia="Arial" w:hAnsi="Arial"/>
          <w:sz w:val="20"/>
          <w:szCs w:val="20"/>
          <w:b w:val="1"/>
          <w:bCs w:val="1"/>
          <w:color w:val="0A0A0A"/>
        </w:rPr>
        <w:t xml:space="preserve"> </w:t>
      </w:r>
      <w:r>
        <w:rPr>
          <w:rFonts w:ascii="Arial" w:cs="Arial" w:eastAsia="Arial" w:hAnsi="Arial"/>
          <w:sz w:val="20"/>
          <w:szCs w:val="20"/>
          <w:color w:val="0A0A0A"/>
        </w:rPr>
        <w:t>Original Contract to the Assignee.</w:t>
      </w:r>
    </w:p>
    <w:p>
      <w:pPr>
        <w:spacing w:after="0" w:line="95" w:lineRule="exact"/>
        <w:rPr>
          <w:rFonts w:ascii="Arial" w:cs="Arial" w:eastAsia="Arial" w:hAnsi="Arial"/>
          <w:sz w:val="20"/>
          <w:szCs w:val="20"/>
          <w:color w:val="0A0A0A"/>
        </w:rPr>
      </w:pPr>
    </w:p>
    <w:p>
      <w:pPr>
        <w:ind w:left="680" w:right="240" w:hanging="672"/>
        <w:spacing w:after="0" w:line="429" w:lineRule="auto"/>
        <w:tabs>
          <w:tab w:leader="none" w:pos="668" w:val="left"/>
        </w:tabs>
        <w:numPr>
          <w:ilvl w:val="0"/>
          <w:numId w:val="173"/>
        </w:numPr>
        <w:rPr>
          <w:rFonts w:ascii="Arial" w:cs="Arial" w:eastAsia="Arial" w:hAnsi="Arial"/>
          <w:sz w:val="20"/>
          <w:szCs w:val="20"/>
          <w:color w:val="0A0A0A"/>
        </w:rPr>
      </w:pPr>
      <w:r>
        <w:rPr>
          <w:rFonts w:ascii="Arial" w:cs="Arial" w:eastAsia="Arial" w:hAnsi="Arial"/>
          <w:sz w:val="20"/>
          <w:szCs w:val="20"/>
          <w:b w:val="1"/>
          <w:bCs w:val="1"/>
          <w:color w:val="0A0A0A"/>
        </w:rPr>
        <w:t xml:space="preserve">Assumption: </w:t>
      </w:r>
      <w:r>
        <w:rPr>
          <w:rFonts w:ascii="Arial" w:cs="Arial" w:eastAsia="Arial" w:hAnsi="Arial"/>
          <w:sz w:val="20"/>
          <w:szCs w:val="20"/>
          <w:color w:val="0A0A0A"/>
        </w:rPr>
        <w:t>The Assignee agrees to perform all obligations of the Assignor and accepts the rights under the Original</w:t>
      </w:r>
      <w:r>
        <w:rPr>
          <w:rFonts w:ascii="Arial" w:cs="Arial" w:eastAsia="Arial" w:hAnsi="Arial"/>
          <w:sz w:val="20"/>
          <w:szCs w:val="20"/>
          <w:b w:val="1"/>
          <w:bCs w:val="1"/>
          <w:color w:val="0A0A0A"/>
        </w:rPr>
        <w:t xml:space="preserve"> </w:t>
      </w:r>
      <w:r>
        <w:rPr>
          <w:rFonts w:ascii="Arial" w:cs="Arial" w:eastAsia="Arial" w:hAnsi="Arial"/>
          <w:sz w:val="20"/>
          <w:szCs w:val="20"/>
          <w:color w:val="0A0A0A"/>
        </w:rPr>
        <w:t>Contract as if it were the original party.</w:t>
      </w:r>
    </w:p>
    <w:p>
      <w:pPr>
        <w:spacing w:after="0" w:line="95" w:lineRule="exact"/>
        <w:rPr>
          <w:rFonts w:ascii="Arial" w:cs="Arial" w:eastAsia="Arial" w:hAnsi="Arial"/>
          <w:sz w:val="20"/>
          <w:szCs w:val="20"/>
          <w:color w:val="0A0A0A"/>
        </w:rPr>
      </w:pPr>
    </w:p>
    <w:p>
      <w:pPr>
        <w:ind w:left="680" w:right="40" w:hanging="672"/>
        <w:spacing w:after="0" w:line="429" w:lineRule="auto"/>
        <w:tabs>
          <w:tab w:leader="none" w:pos="668" w:val="left"/>
        </w:tabs>
        <w:numPr>
          <w:ilvl w:val="0"/>
          <w:numId w:val="173"/>
        </w:numPr>
        <w:rPr>
          <w:rFonts w:ascii="Arial" w:cs="Arial" w:eastAsia="Arial" w:hAnsi="Arial"/>
          <w:sz w:val="20"/>
          <w:szCs w:val="20"/>
          <w:color w:val="0A0A0A"/>
        </w:rPr>
      </w:pPr>
      <w:r>
        <w:rPr>
          <w:rFonts w:ascii="Arial" w:cs="Arial" w:eastAsia="Arial" w:hAnsi="Arial"/>
          <w:sz w:val="20"/>
          <w:szCs w:val="20"/>
          <w:b w:val="1"/>
          <w:bCs w:val="1"/>
          <w:color w:val="0A0A0A"/>
        </w:rPr>
        <w:t xml:space="preserve">Release of Liability: </w:t>
      </w:r>
      <w:r>
        <w:rPr>
          <w:rFonts w:ascii="Arial" w:cs="Arial" w:eastAsia="Arial" w:hAnsi="Arial"/>
          <w:sz w:val="20"/>
          <w:szCs w:val="20"/>
          <w:color w:val="0A0A0A"/>
        </w:rPr>
        <w:t>The Continuing Party releases the Assignor from any further obligations, duties, or liabilities arising</w:t>
      </w:r>
      <w:r>
        <w:rPr>
          <w:rFonts w:ascii="Arial" w:cs="Arial" w:eastAsia="Arial" w:hAnsi="Arial"/>
          <w:sz w:val="20"/>
          <w:szCs w:val="20"/>
          <w:b w:val="1"/>
          <w:bCs w:val="1"/>
          <w:color w:val="0A0A0A"/>
        </w:rPr>
        <w:t xml:space="preserve"> </w:t>
      </w:r>
      <w:r>
        <w:rPr>
          <w:rFonts w:ascii="Arial" w:cs="Arial" w:eastAsia="Arial" w:hAnsi="Arial"/>
          <w:sz w:val="20"/>
          <w:szCs w:val="20"/>
          <w:color w:val="0A0A0A"/>
        </w:rPr>
        <w:t>under the Original Contract from the Effective Date onwards.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0A0A0A"/>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 xml:space="preserve">IN WITNESS </w:t>
      </w:r>
      <w:r>
        <w:rPr>
          <w:rFonts w:ascii="Arial" w:cs="Arial" w:eastAsia="Arial" w:hAnsi="Arial"/>
          <w:sz w:val="20"/>
          <w:szCs w:val="20"/>
          <w:color w:val="0A0A0A"/>
        </w:rPr>
        <w:t>of which the Parties have executed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20"/>
                <w:szCs w:val="20"/>
                <w:color w:val="auto"/>
              </w:rPr>
              <w:t>SIGNED for and on behalf of</w:t>
            </w:r>
          </w:p>
        </w:tc>
        <w:tc>
          <w:tcPr>
            <w:tcW w:w="5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20"/>
                <w:szCs w:val="20"/>
                <w:b w:val="1"/>
                <w:bCs w:val="1"/>
                <w:color w:val="auto"/>
              </w:rPr>
              <w:t>ZYMEWORKS PHARMACEUTICAL LIMITED</w:t>
            </w:r>
          </w:p>
        </w:tc>
        <w:tc>
          <w:tcPr>
            <w:tcW w:w="5600" w:type="dxa"/>
            <w:vAlign w:val="bottom"/>
            <w:vMerge w:val="restart"/>
          </w:tcPr>
          <w:p>
            <w:pPr>
              <w:ind w:left="120"/>
              <w:spacing w:after="0"/>
              <w:rPr>
                <w:sz w:val="20"/>
                <w:szCs w:val="20"/>
                <w:color w:val="auto"/>
              </w:rPr>
            </w:pPr>
            <w:r>
              <w:rPr>
                <w:rFonts w:ascii="Arial" w:cs="Arial" w:eastAsia="Arial" w:hAnsi="Arial"/>
                <w:sz w:val="20"/>
                <w:szCs w:val="20"/>
                <w:color w:val="auto"/>
              </w:rPr>
              <w:t>/s/ Kenneth Galbraith</w:t>
            </w:r>
          </w:p>
        </w:tc>
        <w:tc>
          <w:tcPr>
            <w:tcW w:w="0" w:type="dxa"/>
            <w:vAlign w:val="bottom"/>
          </w:tcPr>
          <w:p>
            <w:pPr>
              <w:spacing w:after="0"/>
              <w:rPr>
                <w:sz w:val="1"/>
                <w:szCs w:val="1"/>
                <w:color w:val="auto"/>
              </w:rPr>
            </w:pPr>
          </w:p>
        </w:tc>
      </w:tr>
      <w:tr>
        <w:trPr>
          <w:trHeight w:val="273"/>
        </w:trPr>
        <w:tc>
          <w:tcPr>
            <w:tcW w:w="5560" w:type="dxa"/>
            <w:vAlign w:val="bottom"/>
          </w:tcPr>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b w:val="1"/>
                <w:bCs w:val="1"/>
                <w:color w:val="auto"/>
              </w:rPr>
              <w:t>KENNETH GALBRAITH</w:t>
            </w:r>
          </w:p>
        </w:tc>
        <w:tc>
          <w:tcPr>
            <w:tcW w:w="5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5600" w:type="dxa"/>
            <w:vAlign w:val="bottom"/>
          </w:tcPr>
          <w:p>
            <w:pPr>
              <w:ind w:left="60"/>
              <w:spacing w:after="0"/>
              <w:rPr>
                <w:sz w:val="20"/>
                <w:szCs w:val="20"/>
                <w:color w:val="auto"/>
              </w:rPr>
            </w:pPr>
            <w:r>
              <w:rPr>
                <w:rFonts w:ascii="Arial" w:cs="Arial" w:eastAsia="Arial" w:hAnsi="Arial"/>
                <w:sz w:val="20"/>
                <w:szCs w:val="20"/>
                <w:color w:val="auto"/>
              </w:rPr>
              <w:t xml:space="preserve">Signature of </w:t>
            </w:r>
            <w:r>
              <w:rPr>
                <w:rFonts w:ascii="Arial" w:cs="Arial" w:eastAsia="Arial" w:hAnsi="Arial"/>
                <w:sz w:val="20"/>
                <w:szCs w:val="20"/>
                <w:b w:val="1"/>
                <w:bCs w:val="1"/>
                <w:color w:val="auto"/>
              </w:rPr>
              <w:t>KENNETH GALBRAITH</w:t>
            </w:r>
          </w:p>
        </w:tc>
        <w:tc>
          <w:tcPr>
            <w:tcW w:w="0" w:type="dxa"/>
            <w:vAlign w:val="bottom"/>
          </w:tcPr>
          <w:p>
            <w:pPr>
              <w:spacing w:after="0"/>
              <w:rPr>
                <w:sz w:val="1"/>
                <w:szCs w:val="1"/>
                <w:color w:val="auto"/>
              </w:rPr>
            </w:pPr>
          </w:p>
        </w:tc>
      </w:tr>
      <w:tr>
        <w:trPr>
          <w:trHeight w:val="955"/>
        </w:trPr>
        <w:tc>
          <w:tcPr>
            <w:tcW w:w="5560" w:type="dxa"/>
            <w:vAlign w:val="bottom"/>
          </w:tcPr>
          <w:p>
            <w:pPr>
              <w:spacing w:after="0"/>
              <w:rPr>
                <w:sz w:val="20"/>
                <w:szCs w:val="20"/>
                <w:color w:val="auto"/>
              </w:rPr>
            </w:pPr>
            <w:r>
              <w:rPr>
                <w:rFonts w:ascii="Arial" w:cs="Arial" w:eastAsia="Arial" w:hAnsi="Arial"/>
                <w:sz w:val="20"/>
                <w:szCs w:val="20"/>
                <w:color w:val="auto"/>
              </w:rPr>
              <w:t>SIGNED for and on behalf of</w:t>
            </w: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20"/>
                <w:szCs w:val="20"/>
                <w:b w:val="1"/>
                <w:bCs w:val="1"/>
                <w:color w:val="auto"/>
              </w:rPr>
              <w:t>ZYMEWORKS BC INC.</w:t>
            </w:r>
          </w:p>
        </w:tc>
        <w:tc>
          <w:tcPr>
            <w:tcW w:w="5600" w:type="dxa"/>
            <w:vAlign w:val="bottom"/>
            <w:vMerge w:val="restart"/>
          </w:tcPr>
          <w:p>
            <w:pPr>
              <w:ind w:left="120"/>
              <w:spacing w:after="0"/>
              <w:rPr>
                <w:sz w:val="20"/>
                <w:szCs w:val="20"/>
                <w:color w:val="auto"/>
              </w:rPr>
            </w:pPr>
            <w:r>
              <w:rPr>
                <w:rFonts w:ascii="Arial" w:cs="Arial" w:eastAsia="Arial" w:hAnsi="Arial"/>
                <w:sz w:val="20"/>
                <w:szCs w:val="20"/>
                <w:color w:val="auto"/>
              </w:rPr>
              <w:t>/s/ Kenneth Galbraith</w:t>
            </w:r>
          </w:p>
        </w:tc>
        <w:tc>
          <w:tcPr>
            <w:tcW w:w="0" w:type="dxa"/>
            <w:vAlign w:val="bottom"/>
          </w:tcPr>
          <w:p>
            <w:pPr>
              <w:spacing w:after="0"/>
              <w:rPr>
                <w:sz w:val="1"/>
                <w:szCs w:val="1"/>
                <w:color w:val="auto"/>
              </w:rPr>
            </w:pPr>
          </w:p>
        </w:tc>
      </w:tr>
      <w:tr>
        <w:trPr>
          <w:trHeight w:val="273"/>
        </w:trPr>
        <w:tc>
          <w:tcPr>
            <w:tcW w:w="5560" w:type="dxa"/>
            <w:vAlign w:val="bottom"/>
          </w:tcPr>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b w:val="1"/>
                <w:bCs w:val="1"/>
                <w:color w:val="auto"/>
              </w:rPr>
              <w:t>KENNETH GALBRAITH</w:t>
            </w:r>
          </w:p>
        </w:tc>
        <w:tc>
          <w:tcPr>
            <w:tcW w:w="5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5600" w:type="dxa"/>
            <w:vAlign w:val="bottom"/>
          </w:tcPr>
          <w:p>
            <w:pPr>
              <w:ind w:left="60"/>
              <w:spacing w:after="0"/>
              <w:rPr>
                <w:sz w:val="20"/>
                <w:szCs w:val="20"/>
                <w:color w:val="auto"/>
              </w:rPr>
            </w:pPr>
            <w:r>
              <w:rPr>
                <w:rFonts w:ascii="Arial" w:cs="Arial" w:eastAsia="Arial" w:hAnsi="Arial"/>
                <w:sz w:val="20"/>
                <w:szCs w:val="20"/>
                <w:color w:val="auto"/>
              </w:rPr>
              <w:t xml:space="preserve">Signature of </w:t>
            </w:r>
            <w:r>
              <w:rPr>
                <w:rFonts w:ascii="Arial" w:cs="Arial" w:eastAsia="Arial" w:hAnsi="Arial"/>
                <w:sz w:val="20"/>
                <w:szCs w:val="20"/>
                <w:b w:val="1"/>
                <w:bCs w:val="1"/>
                <w:color w:val="auto"/>
              </w:rPr>
              <w:t>KENNETH GALBRAITH</w:t>
            </w:r>
          </w:p>
        </w:tc>
        <w:tc>
          <w:tcPr>
            <w:tcW w:w="0" w:type="dxa"/>
            <w:vAlign w:val="bottom"/>
          </w:tcPr>
          <w:p>
            <w:pPr>
              <w:spacing w:after="0"/>
              <w:rPr>
                <w:sz w:val="1"/>
                <w:szCs w:val="1"/>
                <w:color w:val="auto"/>
              </w:rPr>
            </w:pPr>
          </w:p>
        </w:tc>
      </w:tr>
      <w:tr>
        <w:trPr>
          <w:trHeight w:val="793"/>
        </w:trPr>
        <w:tc>
          <w:tcPr>
            <w:tcW w:w="5560" w:type="dxa"/>
            <w:vAlign w:val="bottom"/>
          </w:tcPr>
          <w:p>
            <w:pPr>
              <w:spacing w:after="0"/>
              <w:rPr>
                <w:sz w:val="20"/>
                <w:szCs w:val="20"/>
                <w:color w:val="auto"/>
              </w:rPr>
            </w:pPr>
            <w:r>
              <w:rPr>
                <w:rFonts w:ascii="Arial" w:cs="Arial" w:eastAsia="Arial" w:hAnsi="Arial"/>
                <w:sz w:val="20"/>
                <w:szCs w:val="20"/>
                <w:color w:val="auto"/>
              </w:rPr>
              <w:t>SIGNED by</w:t>
            </w:r>
          </w:p>
        </w:tc>
        <w:tc>
          <w:tcPr>
            <w:tcW w:w="5600" w:type="dxa"/>
            <w:vAlign w:val="bottom"/>
            <w:vMerge w:val="restart"/>
          </w:tcPr>
          <w:p>
            <w:pPr>
              <w:ind w:left="120"/>
              <w:spacing w:after="0"/>
              <w:rPr>
                <w:sz w:val="20"/>
                <w:szCs w:val="20"/>
                <w:color w:val="auto"/>
              </w:rPr>
            </w:pPr>
            <w:r>
              <w:rPr>
                <w:rFonts w:ascii="Arial" w:cs="Arial" w:eastAsia="Arial" w:hAnsi="Arial"/>
                <w:sz w:val="20"/>
                <w:szCs w:val="20"/>
                <w:color w:val="auto"/>
              </w:rPr>
              <w:t>/s/ Jeffrey Smith</w:t>
            </w:r>
          </w:p>
        </w:tc>
        <w:tc>
          <w:tcPr>
            <w:tcW w:w="0" w:type="dxa"/>
            <w:vAlign w:val="bottom"/>
          </w:tcPr>
          <w:p>
            <w:pPr>
              <w:spacing w:after="0"/>
              <w:rPr>
                <w:sz w:val="1"/>
                <w:szCs w:val="1"/>
                <w:color w:val="auto"/>
              </w:rPr>
            </w:pPr>
          </w:p>
        </w:tc>
      </w:tr>
      <w:tr>
        <w:trPr>
          <w:trHeight w:val="273"/>
        </w:trPr>
        <w:tc>
          <w:tcPr>
            <w:tcW w:w="5560" w:type="dxa"/>
            <w:vAlign w:val="bottom"/>
          </w:tcPr>
          <w:p>
            <w:pPr>
              <w:spacing w:after="0"/>
              <w:rPr>
                <w:sz w:val="20"/>
                <w:szCs w:val="20"/>
                <w:color w:val="auto"/>
              </w:rPr>
            </w:pPr>
            <w:r>
              <w:rPr>
                <w:rFonts w:ascii="Arial" w:cs="Arial" w:eastAsia="Arial" w:hAnsi="Arial"/>
                <w:sz w:val="20"/>
                <w:szCs w:val="20"/>
                <w:b w:val="1"/>
                <w:bCs w:val="1"/>
                <w:color w:val="auto"/>
              </w:rPr>
              <w:t>JEFFREY SMITH</w:t>
            </w:r>
          </w:p>
        </w:tc>
        <w:tc>
          <w:tcPr>
            <w:tcW w:w="5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5600" w:type="dxa"/>
            <w:vAlign w:val="bottom"/>
          </w:tcPr>
          <w:p>
            <w:pPr>
              <w:ind w:left="60"/>
              <w:spacing w:after="0"/>
              <w:rPr>
                <w:sz w:val="20"/>
                <w:szCs w:val="20"/>
                <w:color w:val="auto"/>
              </w:rPr>
            </w:pPr>
            <w:r>
              <w:rPr>
                <w:rFonts w:ascii="Arial" w:cs="Arial" w:eastAsia="Arial" w:hAnsi="Arial"/>
                <w:sz w:val="20"/>
                <w:szCs w:val="20"/>
                <w:color w:val="auto"/>
              </w:rPr>
              <w:t xml:space="preserve">Signature of </w:t>
            </w:r>
            <w:r>
              <w:rPr>
                <w:rFonts w:ascii="Arial" w:cs="Arial" w:eastAsia="Arial" w:hAnsi="Arial"/>
                <w:sz w:val="20"/>
                <w:szCs w:val="20"/>
                <w:b w:val="1"/>
                <w:bCs w:val="1"/>
                <w:color w:val="auto"/>
              </w:rPr>
              <w:t>JEFFREY SMITH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MHC-38580835-2</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10.59</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This Separation Agreement and Release (“Agreement”) is made by and between Leone Patterson (“Employee”) and Zymeworks Biopharmaceuticals Inc. (the “Company”) (collectively referred to as the “Parties” or individually referred to as a “Party”; the Company, together with any of its direct or indirect parents, affiliates, or subsidiaries, is referred to as the “Company Group”; the Company’s ultimate parent Zymeworks Inc. is referred to as “Parent”).</w:t>
      </w:r>
    </w:p>
    <w:p>
      <w:pPr>
        <w:spacing w:after="0" w:line="208" w:lineRule="exact"/>
        <w:rPr>
          <w:sz w:val="20"/>
          <w:szCs w:val="20"/>
          <w:color w:val="auto"/>
        </w:rPr>
      </w:pPr>
    </w:p>
    <w:p>
      <w:pPr>
        <w:jc w:val="right"/>
        <w:ind w:right="506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06"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20"/>
          <w:szCs w:val="20"/>
          <w:color w:val="auto"/>
        </w:rPr>
        <w:t>WHEREAS, Employee has been employed at-will by the Company;</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Employee signed an Employment Agreement with the Company effective as of September 1, 2024 (the “Employment Agreement”);</w:t>
      </w:r>
    </w:p>
    <w:p>
      <w:pPr>
        <w:spacing w:after="0" w:line="14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WHEREAS, Parent granted to Employee certain equity awards of stock options and/or restricted stock units covering Parent common stock, the outstanding of such equity awards, the “Equity Awards” and each, an “Equity Award”) in each case, subject to the terms and conditions of the Parent equity incentive plan under which they were granted and the terms and conditions of the stock option agreement or restricted stock unit agreement, as applicable, related to the award (collectively, such equity plans and equity award agreements, the “Stock Agreements”);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Employee’s employment with the Company terminated effective January 31, 2026 (the “Separation Date”); and</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WHEREAS, the Parties wish to resolve any and all disputes, claims, complaints, grievances, charges, actions, petitions, and demands that the Employee may have against the Company Group and any of the Releasees as defined below, including, but not limited to, any and all claims arising out of or in any way related to Employee’s employment with or separation from the Company.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in consideration of the mutual promises made herein, the Parties hereby agree as follows:</w:t>
      </w: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220" w:lineRule="exact"/>
        <w:rPr>
          <w:sz w:val="20"/>
          <w:szCs w:val="20"/>
          <w:color w:val="auto"/>
        </w:rPr>
      </w:pPr>
    </w:p>
    <w:p>
      <w:pPr>
        <w:ind w:right="20" w:firstLine="656"/>
        <w:spacing w:after="0" w:line="269" w:lineRule="auto"/>
        <w:tabs>
          <w:tab w:leader="none" w:pos="994"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In consideration of and contingent on Employee’s execution of this Agreement, this Agreement going into effect, and Employee’s fulfillment of all of its terms and conditions, the Company agrees as follows:</w:t>
      </w:r>
    </w:p>
    <w:p>
      <w:pPr>
        <w:spacing w:after="0" w:line="155" w:lineRule="exact"/>
        <w:rPr>
          <w:rFonts w:ascii="Times New Roman" w:cs="Times New Roman" w:eastAsia="Times New Roman" w:hAnsi="Times New Roman"/>
          <w:sz w:val="20"/>
          <w:szCs w:val="20"/>
          <w:color w:val="auto"/>
        </w:rPr>
      </w:pPr>
    </w:p>
    <w:p>
      <w:pPr>
        <w:ind w:left="2060" w:hanging="432"/>
        <w:spacing w:after="0"/>
        <w:tabs>
          <w:tab w:leader="none" w:pos="2060" w:val="left"/>
        </w:tabs>
        <w:numPr>
          <w:ilvl w:val="2"/>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Severance Pay</w:t>
      </w:r>
      <w:r>
        <w:rPr>
          <w:rFonts w:ascii="Times New Roman" w:cs="Times New Roman" w:eastAsia="Times New Roman" w:hAnsi="Times New Roman"/>
          <w:sz w:val="20"/>
          <w:szCs w:val="20"/>
          <w:color w:val="auto"/>
        </w:rPr>
        <w:t>. The Company agrees to pay Employee’s current base salary of $485,000 over a period of twelve</w:t>
      </w:r>
    </w:p>
    <w:p>
      <w:pPr>
        <w:spacing w:after="0" w:line="25" w:lineRule="exact"/>
        <w:rPr>
          <w:rFonts w:ascii="Times New Roman" w:cs="Times New Roman" w:eastAsia="Times New Roman" w:hAnsi="Times New Roman"/>
          <w:sz w:val="20"/>
          <w:szCs w:val="20"/>
          <w:color w:val="auto"/>
        </w:rPr>
      </w:pPr>
    </w:p>
    <w:p>
      <w:pPr>
        <w:jc w:val="both"/>
        <w:ind w:firstLine="8"/>
        <w:spacing w:after="0" w:line="237" w:lineRule="auto"/>
        <w:tabs>
          <w:tab w:leader="none" w:pos="412"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following the Separation Date, in accordance the Company’s regular payroll procedures and less applicable withholdings, commencing on the first regular payroll date following the Effective Date, with such first installment to include amounts that would have otherwise been paid on regular payroll dates following the Separation Date but were delayed pursuant to this Agreement, and the balance of the payments to occur on the Company’s regular payroll schedule. Notwithstanding the foregoing, if the 45-day period for executing this Agreement spans two calendar years, any base salary payments that constitute “nonqualified deferred compensation” (as described in Section 9.9 of the Employment Agreement) will, subject to Section 19 and Section 20 of this Agreement, commence no earlier than January 1 of the second year, with such first installment to include amounts that would have otherwise been paid on payroll dates following the Separation Date but for such payment delay pursuant to this sentence, and the balance of the payments to occur on the Company’s regular payroll schedule.</w:t>
      </w:r>
    </w:p>
    <w:p>
      <w:pPr>
        <w:sectPr>
          <w:pgSz w:w="11900" w:h="16838" w:orient="portrait"/>
          <w:cols w:equalWidth="0" w:num="1">
            <w:col w:w="11180"/>
          </w:cols>
          <w:pgMar w:left="320" w:top="1440" w:right="399" w:bottom="1440" w:gutter="0" w:footer="0" w:header="0"/>
        </w:sectPr>
      </w:pPr>
    </w:p>
    <w:bookmarkStart w:id="253" w:name="page254"/>
    <w:bookmarkEnd w:id="253"/>
    <w:p>
      <w:pPr>
        <w:jc w:val="both"/>
        <w:ind w:left="-576" w:firstLine="1548"/>
        <w:spacing w:after="0" w:line="241" w:lineRule="auto"/>
        <w:tabs>
          <w:tab w:leader="none" w:pos="1303"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COBRA Reimbursement</w:t>
      </w:r>
      <w:r>
        <w:rPr>
          <w:rFonts w:ascii="Times New Roman" w:cs="Times New Roman" w:eastAsia="Times New Roman" w:hAnsi="Times New Roman"/>
          <w:sz w:val="20"/>
          <w:szCs w:val="20"/>
          <w:color w:val="auto"/>
        </w:rPr>
        <w:t>. The Company shall reimburse Employee for the payments Employee makes for COBRA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coverage for the first twelve (12) full calendar months that occur after the actual Separation Date, or until Employee has secured health insurance coverage through another employer, whichever occurs first, provided Employee timely elects and pays for continuation coverage pursuant to the Consolidated Omnibus Budget Reconciliation Act of 1985, as amended (“COBRA”), within the time period prescribed pursuant to COBRA. COBRA reimbursements shall be made by the Company to Employee consistent with the Company’s normal expense reimbursement policy, provided that Employee submits documentation to the Company substantiating Employee’s payments for COBRA coverage. Notwithstanding the preceding, if the Company determines in its sole discretion that it cannot provide COBRA reimbursement benefits without potentially violating applicable law (including, without limitation, Section 2716 of the Public Health Service Act), the Company will instead provide the Employee a taxable payment in an amount equal to the monthly COBRA premium that the Employee would be required to pay to continue the Employee’s group health coverage in effect on the date of termination of employment (which amount will be based on the premium for the first month of COBRA coverage), which payments will be made regardless of whether the Employee elects COBRA continuation coverage and will commence in the month following the month of the actual Separation Date and continue for the maximum number of months indicated in this paragraph.</w:t>
      </w:r>
    </w:p>
    <w:p>
      <w:pPr>
        <w:spacing w:after="0" w:line="183" w:lineRule="exact"/>
        <w:rPr>
          <w:rFonts w:ascii="Times New Roman" w:cs="Times New Roman" w:eastAsia="Times New Roman" w:hAnsi="Times New Roman"/>
          <w:sz w:val="20"/>
          <w:szCs w:val="20"/>
          <w:color w:val="auto"/>
        </w:rPr>
      </w:pPr>
    </w:p>
    <w:p>
      <w:pPr>
        <w:ind w:left="-576" w:firstLine="1548"/>
        <w:spacing w:after="0" w:line="259" w:lineRule="auto"/>
        <w:tabs>
          <w:tab w:leader="none" w:pos="1292"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Acknowledgement. </w:t>
      </w:r>
      <w:r>
        <w:rPr>
          <w:rFonts w:ascii="Times New Roman" w:cs="Times New Roman" w:eastAsia="Times New Roman" w:hAnsi="Times New Roman"/>
          <w:sz w:val="20"/>
          <w:szCs w:val="20"/>
          <w:color w:val="auto"/>
        </w:rPr>
        <w:t>Employee acknowledges that without this Agreement, Employee is otherwise not entitled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consideration listed in this Section 1.</w:t>
      </w:r>
    </w:p>
    <w:p>
      <w:pPr>
        <w:spacing w:after="0" w:line="169" w:lineRule="exact"/>
        <w:rPr>
          <w:rFonts w:ascii="Times New Roman" w:cs="Times New Roman" w:eastAsia="Times New Roman" w:hAnsi="Times New Roman"/>
          <w:sz w:val="20"/>
          <w:szCs w:val="20"/>
          <w:color w:val="auto"/>
        </w:rPr>
      </w:pPr>
    </w:p>
    <w:p>
      <w:pPr>
        <w:jc w:val="both"/>
        <w:ind w:left="-576" w:firstLine="576"/>
        <w:spacing w:after="0" w:line="254" w:lineRule="auto"/>
        <w:tabs>
          <w:tab w:leader="none" w:pos="65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Awards</w:t>
      </w:r>
      <w:r>
        <w:rPr>
          <w:rFonts w:ascii="Times New Roman" w:cs="Times New Roman" w:eastAsia="Times New Roman" w:hAnsi="Times New Roman"/>
          <w:sz w:val="20"/>
          <w:szCs w:val="20"/>
          <w:color w:val="auto"/>
        </w:rPr>
        <w:t>. The Parties agree that for purposes of determining the number of shares of Parent’s common stock that Employee has vested in pursuant to each Equity Award, Employee will be considered to have vested only up to the Separation Date. Employee’s Equity Awards shall continue to be governed by the terms and conditions of the applicable Stock Agreements.</w:t>
      </w:r>
    </w:p>
    <w:p>
      <w:pPr>
        <w:spacing w:after="0" w:line="174" w:lineRule="exact"/>
        <w:rPr>
          <w:rFonts w:ascii="Times New Roman" w:cs="Times New Roman" w:eastAsia="Times New Roman" w:hAnsi="Times New Roman"/>
          <w:sz w:val="20"/>
          <w:szCs w:val="20"/>
          <w:color w:val="auto"/>
        </w:rPr>
      </w:pPr>
    </w:p>
    <w:p>
      <w:pPr>
        <w:jc w:val="both"/>
        <w:ind w:left="-576" w:firstLine="576"/>
        <w:spacing w:after="0" w:line="244" w:lineRule="auto"/>
        <w:tabs>
          <w:tab w:leader="none" w:pos="65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Employee’s Company-sponsored health insurance benefits shall cease no later than the last day of the month in which the Separation Date occurs (or such earlier date as may be required by applicable plan terms and conditions), subject to Employee’s right to continue Employee’s health insurance under COBRA. Employee’s participation in all benefits and incidents of employment cease as of the Separation Date.</w:t>
      </w:r>
    </w:p>
    <w:p>
      <w:pPr>
        <w:spacing w:after="0" w:line="185" w:lineRule="exact"/>
        <w:rPr>
          <w:rFonts w:ascii="Times New Roman" w:cs="Times New Roman" w:eastAsia="Times New Roman" w:hAnsi="Times New Roman"/>
          <w:sz w:val="20"/>
          <w:szCs w:val="20"/>
          <w:color w:val="auto"/>
        </w:rPr>
      </w:pPr>
    </w:p>
    <w:p>
      <w:pPr>
        <w:jc w:val="both"/>
        <w:ind w:left="-576" w:firstLine="576"/>
        <w:spacing w:after="0" w:line="242" w:lineRule="auto"/>
        <w:tabs>
          <w:tab w:leader="none" w:pos="65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Salary and Receipt of All Benefits</w:t>
      </w:r>
      <w:r>
        <w:rPr>
          <w:rFonts w:ascii="Times New Roman" w:cs="Times New Roman" w:eastAsia="Times New Roman" w:hAnsi="Times New Roman"/>
          <w:sz w:val="20"/>
          <w:szCs w:val="20"/>
          <w:color w:val="auto"/>
        </w:rPr>
        <w:t>. Employee acknowledges and represents that, other than the consideration set forth in this Agreement, the Company (or, as applicable, any other entity in the Company Group) has paid or provided (to the extent applicable) all salary, wages, bonuses, vacation/paid time off, notice periods, premiums, leaves, housing allowances, relocation costs, interest, severance, outplacement costs, fees, reimbursable expenses, commissions, stock, stock options, vesting, and any and all other benefits and compensation due to Employee, and Employee is not and will not be entitled to or receive any other payments, compensation, or benefits from the Company (including, without limitation, any severance payment or benefits) or any other entity in the Company Group, whether under the Employment Agreement or otherwise, or any notice of termination of employment.</w:t>
      </w:r>
    </w:p>
    <w:p>
      <w:pPr>
        <w:spacing w:after="0" w:line="185" w:lineRule="exact"/>
        <w:rPr>
          <w:rFonts w:ascii="Times New Roman" w:cs="Times New Roman" w:eastAsia="Times New Roman" w:hAnsi="Times New Roman"/>
          <w:sz w:val="20"/>
          <w:szCs w:val="20"/>
          <w:color w:val="auto"/>
        </w:rPr>
      </w:pPr>
    </w:p>
    <w:p>
      <w:pPr>
        <w:jc w:val="both"/>
        <w:ind w:left="-576" w:firstLine="576"/>
        <w:spacing w:after="0" w:line="242" w:lineRule="auto"/>
        <w:tabs>
          <w:tab w:leader="none" w:pos="65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Employee agrees that the foregoing consideration represents settlement in full of all outstanding obligations owed to Employee by the Company, Parent, or any other entity in the Company Group, and each of their respective current and former officers, directors, employees, agents, investors, attorneys, shareholders, administrators, benefit plans, plan administrators, professional employer organizations or co-employers, insurers, trustees, divisions, predecessor and successor corporations, and assigns (collectively, the “Releasees”). Employee, on Employee’s own behalf and on behalf of Employee’s respective heirs, family members, executors, agents, and assigns, hereby and forever releases the Releasees from, and agrees not to sue concerning, or in any manner to institute, prosecute, or pursue, any claim, complaint, charge, duty, obligation, demand, or cause of action</w:t>
      </w:r>
    </w:p>
    <w:p>
      <w:pPr>
        <w:sectPr>
          <w:pgSz w:w="11900" w:h="16838" w:orient="portrait"/>
          <w:cols w:equalWidth="0" w:num="1">
            <w:col w:w="10584"/>
          </w:cols>
          <w:pgMar w:left="976" w:top="1409" w:right="339" w:bottom="1440" w:gutter="0" w:footer="0" w:header="0"/>
        </w:sectPr>
      </w:pPr>
    </w:p>
    <w:bookmarkStart w:id="254" w:name="page255"/>
    <w:bookmarkEnd w:id="254"/>
    <w:p>
      <w:pPr>
        <w:spacing w:after="0" w:line="189" w:lineRule="exact"/>
        <w:rPr>
          <w:sz w:val="20"/>
          <w:szCs w:val="20"/>
          <w:color w:val="auto"/>
        </w:rPr>
      </w:pPr>
    </w:p>
    <w:p>
      <w:pPr>
        <w:jc w:val="both"/>
        <w:ind w:left="80"/>
        <w:spacing w:after="0" w:line="254" w:lineRule="auto"/>
        <w:rPr>
          <w:sz w:val="20"/>
          <w:szCs w:val="20"/>
          <w:color w:val="auto"/>
        </w:rPr>
      </w:pPr>
      <w:r>
        <w:rPr>
          <w:rFonts w:ascii="Times New Roman" w:cs="Times New Roman" w:eastAsia="Times New Roman" w:hAnsi="Times New Roman"/>
          <w:sz w:val="20"/>
          <w:szCs w:val="20"/>
          <w:color w:val="auto"/>
        </w:rPr>
        <w:t>relating to any matters of any kind, whether presently known or unknown, suspected or unsuspected, that Employee may possess against any of the Releasees arising from any omissions, acts, facts, or damages that have occurred up until and including the date Employee signs this Agreement, including, without limitation:</w:t>
      </w:r>
    </w:p>
    <w:p>
      <w:pPr>
        <w:spacing w:after="0" w:line="215" w:lineRule="exact"/>
        <w:rPr>
          <w:sz w:val="20"/>
          <w:szCs w:val="20"/>
          <w:color w:val="auto"/>
        </w:rPr>
      </w:pPr>
    </w:p>
    <w:p>
      <w:pPr>
        <w:ind w:firstLine="1304"/>
        <w:spacing w:after="0" w:line="255" w:lineRule="auto"/>
        <w:tabs>
          <w:tab w:leader="none" w:pos="1933"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Employee’s relationship with the Company (or, as applicable, any other entity in the Company Group) and the termination of that relationship;</w:t>
      </w:r>
    </w:p>
    <w:p>
      <w:pPr>
        <w:spacing w:after="0" w:line="172"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Employee’s right to purchase, or actual purchase, or ownership, of shares of stock of Parent, the Company, or any other entity in the Company Group, including, without limitation, any claims for fraud, misrepresentation, breach of fiduciary duty, breach of duty under applicable state corporate law, and securities fraud under any state or federal law;</w:t>
      </w:r>
    </w:p>
    <w:p>
      <w:pPr>
        <w:spacing w:after="0" w:line="179"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33"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5"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Immigration Reform and Control Act, the California Family Rights Act, the California Labor Code, the California Workers’ Compensation Act, and the California Fair Employment and Housing Act;</w:t>
      </w:r>
    </w:p>
    <w:p>
      <w:pPr>
        <w:spacing w:after="0" w:line="18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20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discrimination;</w:t>
      </w:r>
    </w:p>
    <w:p>
      <w:pPr>
        <w:spacing w:after="0" w:line="193" w:lineRule="exact"/>
        <w:rPr>
          <w:rFonts w:ascii="Times New Roman" w:cs="Times New Roman" w:eastAsia="Times New Roman" w:hAnsi="Times New Roman"/>
          <w:sz w:val="20"/>
          <w:szCs w:val="20"/>
          <w:color w:val="auto"/>
        </w:rPr>
      </w:pPr>
    </w:p>
    <w:p>
      <w:pPr>
        <w:jc w:val="both"/>
        <w:ind w:firstLine="1304"/>
        <w:spacing w:after="0" w:line="247" w:lineRule="auto"/>
        <w:tabs>
          <w:tab w:leader="none" w:pos="19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proceeds received by Employee from the Company (or to the extent applicable, any other entity in the Company Group); and</w:t>
      </w:r>
    </w:p>
    <w:p>
      <w:pPr>
        <w:spacing w:after="0" w:line="19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attorneys’ fees and costs.</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Employee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This release does not extend to (i) any right Employee may have to unemployment compensation benefits, (ii) any rights, including rights of indemnification, the Employee may have (1) pursuant to that certain Indemnification Agreement between the Company and the Employee dated September 1, 2024 (the “Indemnification Agreement”) and (2) under any applicable D&amp;O insurance policy with the</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Company, in either case subject to the respective terms, conditions, and limitations of such indemnification agreement or D&amp;O insurance policy as may be applicable.</w:t>
      </w:r>
    </w:p>
    <w:p>
      <w:pPr>
        <w:spacing w:after="0" w:line="146" w:lineRule="exact"/>
        <w:rPr>
          <w:sz w:val="20"/>
          <w:szCs w:val="20"/>
          <w:color w:val="auto"/>
        </w:rPr>
      </w:pPr>
    </w:p>
    <w:p>
      <w:pPr>
        <w:jc w:val="both"/>
        <w:ind w:firstLine="656"/>
        <w:spacing w:after="0"/>
        <w:tabs>
          <w:tab w:leader="none" w:pos="129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Waiver of Claims under ADEA</w:t>
      </w:r>
      <w:r>
        <w:rPr>
          <w:rFonts w:ascii="Times New Roman" w:cs="Times New Roman" w:eastAsia="Times New Roman" w:hAnsi="Times New Roman"/>
          <w:sz w:val="20"/>
          <w:szCs w:val="20"/>
          <w:color w:val="auto"/>
        </w:rPr>
        <w:t>. Employee understands and acknowledges that Employee is waiving and releasing any rights Employee may have under the Age Discrimination in Employment Act of 1967 (“ADEA”), and that this waiver and release is knowing and voluntary. Employee understands and agrees that this waiver and release does not apply to any rights or claims that may arise under the ADEA after the date Employee signs this Agreement. Employee understands and acknowledges that the consideration given for this waiver and release is in addition to anything of value to which Employee was already entitled. Employee further understands and acknowledges that Employee has been advised by this writing that: (a) Employee should consult with an attorney prior to executing this Agreement; (b) Employee has forty-five (45) days within which to consider this Agreement; (c) as set forth in Exhibits A, B, and C hereto, Employee has been advised in writing by the Company of the class, unit, or group of individuals covered by the reduction in force, the eligibility factors for the reduction in force, and the job titles and ages of all individuals who were and were not selected; (d) Employee has seven (7) days following Employee’s execution of this Agreement to revoke this Agreement; (e) this Agreement shall not be effective until after the revocation period has expired; and (f) nothing in this Agreement prevents or precludes Employee from challenging or seeking a determination in good faith of the validity of this waiver under the ADEA, nor does it impose any condition precedent, penalties, or costs for doing so, unless specifically authorized by federal law. In the event Employee signs this Agreement and returns it to the Company in less than the 45-day period identified above, Employee hereby acknowledges that Employee has knowingly and voluntarily chosen to waive the time period allotted for considering this Agreement. Employee acknowledges and understands that revocation must be accomplished by a written notification to the person executing this Agreement on the Company’s behalf that is received prior to the Effective Date. The Parties agree that changes, whether material or immaterial, do not restart the running of the 45-day period.</w:t>
      </w:r>
    </w:p>
    <w:p>
      <w:pPr>
        <w:spacing w:after="0" w:line="221" w:lineRule="exact"/>
        <w:rPr>
          <w:rFonts w:ascii="Times New Roman" w:cs="Times New Roman" w:eastAsia="Times New Roman" w:hAnsi="Times New Roman"/>
          <w:sz w:val="20"/>
          <w:szCs w:val="20"/>
          <w:color w:val="auto"/>
        </w:rPr>
      </w:pPr>
    </w:p>
    <w:p>
      <w:pPr>
        <w:jc w:val="both"/>
        <w:ind w:right="20" w:firstLine="656"/>
        <w:spacing w:after="0" w:line="254" w:lineRule="auto"/>
        <w:tabs>
          <w:tab w:leader="none" w:pos="129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California Civil Code Section 1542</w:t>
      </w:r>
      <w:r>
        <w:rPr>
          <w:rFonts w:ascii="Times New Roman" w:cs="Times New Roman" w:eastAsia="Times New Roman" w:hAnsi="Times New Roman"/>
          <w:sz w:val="20"/>
          <w:szCs w:val="20"/>
          <w:color w:val="auto"/>
        </w:rPr>
        <w:t>. Employee acknowledges that Employee has been advised to consult with legal counsel and is familiar with the provisions of California Civil Code Section 1542, a statute that otherwise prohibits the release of unknown claims, which provides as follows:</w:t>
      </w:r>
    </w:p>
    <w:p>
      <w:pPr>
        <w:spacing w:after="0" w:line="188" w:lineRule="exact"/>
        <w:rPr>
          <w:sz w:val="20"/>
          <w:szCs w:val="20"/>
          <w:color w:val="auto"/>
        </w:rPr>
      </w:pPr>
    </w:p>
    <w:p>
      <w:pPr>
        <w:jc w:val="both"/>
        <w:ind w:left="780" w:right="780"/>
        <w:spacing w:after="0" w:line="244"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Employee, being aware of said code section, agrees to expressly waive any rights Employee may have thereunder, as well as under any other statute or common law principles of similar effect.</w:t>
      </w:r>
    </w:p>
    <w:p>
      <w:pPr>
        <w:spacing w:after="0" w:line="159" w:lineRule="exact"/>
        <w:rPr>
          <w:sz w:val="20"/>
          <w:szCs w:val="20"/>
          <w:color w:val="auto"/>
        </w:rPr>
      </w:pPr>
    </w:p>
    <w:p>
      <w:pPr>
        <w:jc w:val="both"/>
        <w:ind w:firstLine="656"/>
        <w:spacing w:after="0" w:line="244" w:lineRule="auto"/>
        <w:tabs>
          <w:tab w:leader="none" w:pos="1296"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Pending or Future Lawsuits</w:t>
      </w:r>
      <w:r>
        <w:rPr>
          <w:rFonts w:ascii="Times New Roman" w:cs="Times New Roman" w:eastAsia="Times New Roman" w:hAnsi="Times New Roman"/>
          <w:sz w:val="20"/>
          <w:szCs w:val="20"/>
          <w:color w:val="auto"/>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spacing w:after="0" w:line="212"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Employment</w:t>
      </w:r>
      <w:r>
        <w:rPr>
          <w:rFonts w:ascii="Times New Roman" w:cs="Times New Roman" w:eastAsia="Times New Roman" w:hAnsi="Times New Roman"/>
          <w:sz w:val="20"/>
          <w:szCs w:val="20"/>
          <w:color w:val="auto"/>
        </w:rPr>
        <w:t>. Employee understands and agrees that, as a condition of this Agreement, Employee shall not be entitled to any employment with the Company (or any other entity in the Company Group), and Employee hereby waives any right, or alleged right, of employment or re-employment with the Company (or any other entity in the Company Group).</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216" w:lineRule="exact"/>
        <w:rPr>
          <w:sz w:val="20"/>
          <w:szCs w:val="20"/>
          <w:color w:val="auto"/>
        </w:rPr>
      </w:pPr>
    </w:p>
    <w:p>
      <w:pPr>
        <w:jc w:val="both"/>
        <w:ind w:left="-8" w:firstLine="656"/>
        <w:spacing w:after="0" w:line="241" w:lineRule="auto"/>
        <w:tabs>
          <w:tab w:leader="none" w:pos="1279"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Trade Secrets and Proprietary Information/Company Property</w:t>
      </w:r>
      <w:r>
        <w:rPr>
          <w:rFonts w:ascii="Times New Roman" w:cs="Times New Roman" w:eastAsia="Times New Roman" w:hAnsi="Times New Roman"/>
          <w:sz w:val="20"/>
          <w:szCs w:val="20"/>
          <w:color w:val="auto"/>
        </w:rPr>
        <w:t>. Employee acknowledges that Employee remains under continuing obligations to the Company under the terms of the Employment Agreement that survive its termination under Articles 5-9 of the Employment Agreement (“Employment Agreement Surviving Provisions”), specifically including, without limitation, the provisions therein regarding nondisclosure of Confidential Information (as defined therein). Employee understands and acknowledges that Confidential Information also encompasses the confidential, proprietary, and trade secret information of any entity in the Company Group. Employee’s signature below constitutes Employee’s certification under penalty of perjury that Employee has returned all documents and other items provided to Employee by the Company Group (with the exception of a copy of the Company’s employee handbook and personnel documents specifically relating to Employee and the Company laptop issued to Employee which Employee may retain as her personal property), developed or obtained by Employee in connection with Employee’s employment with the Company, or otherwise belonging to the Company or any other entity in the Company Group, including, but not limited to, all passwords to any software or other programs or data that Employee used in performing services for the Company.</w:t>
      </w:r>
    </w:p>
    <w:p>
      <w:pPr>
        <w:spacing w:after="0" w:line="213" w:lineRule="exact"/>
        <w:rPr>
          <w:rFonts w:ascii="Times New Roman" w:cs="Times New Roman" w:eastAsia="Times New Roman" w:hAnsi="Times New Roman"/>
          <w:sz w:val="20"/>
          <w:szCs w:val="20"/>
          <w:color w:val="auto"/>
        </w:rPr>
      </w:pPr>
    </w:p>
    <w:p>
      <w:pPr>
        <w:jc w:val="both"/>
        <w:ind w:left="-8" w:firstLine="656"/>
        <w:spacing w:after="0" w:line="243" w:lineRule="auto"/>
        <w:tabs>
          <w:tab w:leader="none" w:pos="1271"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Cooperation</w:t>
      </w:r>
      <w:r>
        <w:rPr>
          <w:rFonts w:ascii="Times New Roman" w:cs="Times New Roman" w:eastAsia="Times New Roman" w:hAnsi="Times New Roman"/>
          <w:sz w:val="20"/>
          <w:szCs w:val="20"/>
          <w:color w:val="auto"/>
        </w:rPr>
        <w:t>. Subject to the “Protected Activity Not Prohibited” section below,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written request from an administrative agency or the legislature or as related directly to the ADEA waiver in this Agreement. Employee agrees both to immediately notify the Company upon receipt of any such subpoena or court order or written request from an administrative agency or the legislature, and to furnish, within three (3) business days of its receipt, a copy of such subpoena or other court order or written request from an administrative agency or the legislature. Subject to the “Protected Activity Not Prohibited” section below,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spacing w:after="0" w:line="199" w:lineRule="exact"/>
        <w:rPr>
          <w:rFonts w:ascii="Times New Roman" w:cs="Times New Roman" w:eastAsia="Times New Roman" w:hAnsi="Times New Roman"/>
          <w:sz w:val="20"/>
          <w:szCs w:val="20"/>
          <w:color w:val="auto"/>
        </w:rPr>
      </w:pPr>
    </w:p>
    <w:p>
      <w:pPr>
        <w:jc w:val="both"/>
        <w:ind w:left="-8" w:firstLine="656"/>
        <w:spacing w:after="0" w:line="256" w:lineRule="auto"/>
        <w:tabs>
          <w:tab w:leader="none" w:pos="1279" w:val="left"/>
        </w:tabs>
        <w:numPr>
          <w:ilvl w:val="1"/>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Protected Activity Not Prohibited</w:t>
      </w:r>
      <w:r>
        <w:rPr>
          <w:rFonts w:ascii="Times New Roman" w:cs="Times New Roman" w:eastAsia="Times New Roman" w:hAnsi="Times New Roman"/>
          <w:sz w:val="19"/>
          <w:szCs w:val="19"/>
          <w:color w:val="auto"/>
        </w:rPr>
        <w:t>. Employee understands that nothing in this Agreement shall in any way limit or prohibit Employee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and/or</w:t>
      </w:r>
    </w:p>
    <w:p>
      <w:pPr>
        <w:spacing w:after="0" w:line="4" w:lineRule="exact"/>
        <w:rPr>
          <w:rFonts w:ascii="Times New Roman" w:cs="Times New Roman" w:eastAsia="Times New Roman" w:hAnsi="Times New Roman"/>
          <w:sz w:val="19"/>
          <w:szCs w:val="19"/>
          <w:color w:val="auto"/>
        </w:rPr>
      </w:pPr>
    </w:p>
    <w:p>
      <w:pPr>
        <w:jc w:val="both"/>
        <w:ind w:left="-8" w:firstLine="8"/>
        <w:spacing w:after="0" w:line="238" w:lineRule="auto"/>
        <w:tabs>
          <w:tab w:leader="none" w:pos="28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discussing or disclosing information about unlawful acts in the workplace, such as harassment or discrimination or any other conduct that Employee has reason to believe is unlawful. Notwithstanding the foregoing, Employee agrees to take all reasonable precautions to prevent any unauthorized use or disclosure of any Company Group trade secrets, proprietary information, or confidential information that does not involve unlawful acts in the workplace or the activity otherwise protected herein. Employee further understands that Protected Activity does not include the disclosure of any Company Group attorney-client privileged communications or attorney work product. In addition, pursuant to the Defend Trade Secrets Act of 2016, Employee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cs="Times New Roman" w:eastAsia="Times New Roman" w:hAnsi="Times New Roman"/>
          <w:sz w:val="20"/>
          <w:szCs w:val="20"/>
          <w:i w:val="1"/>
          <w:iCs w:val="1"/>
          <w:color w:val="auto"/>
        </w:rPr>
        <w:t>solely</w:t>
      </w:r>
      <w:r>
        <w:rPr>
          <w:rFonts w:ascii="Times New Roman" w:cs="Times New Roman" w:eastAsia="Times New Roman" w:hAnsi="Times New Roman"/>
          <w:sz w:val="20"/>
          <w:szCs w:val="20"/>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-3074670</wp:posOffset>
            </wp:positionV>
            <wp:extent cx="482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3">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57" w:name="page258"/>
    <w:bookmarkEnd w:id="257"/>
    <w:p>
      <w:pPr>
        <w:jc w:val="both"/>
        <w:spacing w:after="0" w:line="244" w:lineRule="auto"/>
        <w:rPr>
          <w:sz w:val="20"/>
          <w:szCs w:val="20"/>
          <w:color w:val="auto"/>
        </w:rPr>
      </w:pPr>
      <w:r>
        <w:rPr>
          <w:rFonts w:ascii="Times New Roman" w:cs="Times New Roman" w:eastAsia="Times New Roman" w:hAnsi="Times New Roman"/>
          <w:sz w:val="20"/>
          <w:szCs w:val="20"/>
          <w:color w:val="auto"/>
        </w:rPr>
        <w:t>individual files any document containing the trade secret under seal and does not disclose the trade secret, except pursuant to court order. Finally, nothing in this Agreement constitutes a waiver of any rights Employee may have under the Sarbanes-Oxley Act or Section 7 of the National Labor Relations Act (“NLRA”). For purposes of clarity, nothing in this Agreement shall be interpreted to impair or limit Employee’s participation in any legally protected activities, such as (i) forming, joining, or supporting labor unions, (ii) bargaining collectively through representatives of employees’ choosing, (iii) discussing wages, benefits, or terms and conditions of employment, and</w:t>
      </w:r>
    </w:p>
    <w:p>
      <w:pPr>
        <w:jc w:val="both"/>
        <w:ind w:firstLine="8"/>
        <w:spacing w:after="0" w:line="237" w:lineRule="auto"/>
        <w:tabs>
          <w:tab w:leader="none" w:pos="353"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or raising complaints about, working conditions for the purpose of mutual aid or protection of Employee or the Company Group’s other current or former employees, to the extent such activities are protected by Section 7 of the NLRA. Employee understands that nothing in the Employment Agreement (or any other Company Group agreement or policy) shall limit or prohibit Employee from engaging in any protected conduct set forth in this section.</w:t>
      </w:r>
    </w:p>
    <w:p>
      <w:pPr>
        <w:spacing w:after="0" w:line="217"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7"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Subject to the “Protected Activity Not Prohibited” section above, Employee agrees to refrain from any disparagement, defamation, libel, or slander of any of the Releasees, and agrees to refrain from any tortious interference with the contracts and relationships of any of the Releasees.</w:t>
      </w:r>
    </w:p>
    <w:p>
      <w:pPr>
        <w:spacing w:after="0" w:line="201" w:lineRule="exact"/>
        <w:rPr>
          <w:rFonts w:ascii="Times New Roman" w:cs="Times New Roman" w:eastAsia="Times New Roman" w:hAnsi="Times New Roman"/>
          <w:sz w:val="20"/>
          <w:szCs w:val="20"/>
          <w:color w:val="auto"/>
        </w:rPr>
      </w:pPr>
    </w:p>
    <w:p>
      <w:pPr>
        <w:jc w:val="both"/>
        <w:ind w:firstLine="656"/>
        <w:spacing w:after="0" w:line="246" w:lineRule="auto"/>
        <w:tabs>
          <w:tab w:leader="none" w:pos="1287"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w:t>
      </w:r>
      <w:r>
        <w:rPr>
          <w:rFonts w:ascii="Times New Roman" w:cs="Times New Roman" w:eastAsia="Times New Roman" w:hAnsi="Times New Roman"/>
          <w:sz w:val="20"/>
          <w:szCs w:val="20"/>
          <w:color w:val="auto"/>
        </w:rPr>
        <w:t>. In addition to the rights provided in the “Attorneys’ Fees” section below, Employee acknowledges and agrees that any material breach of this Agreement, unless such breach constitutes a legal action by Employee challenging or seeking a determination in good faith of the validity of the waiver herein under the ADEA, or of any of the Employment Agreement Surviving Provisions shall entitle the Company immediately to recover and/or cease providing the consideration provided to Employee under this Agreement and to obtain damages, except as provided by law.</w:t>
      </w:r>
    </w:p>
    <w:p>
      <w:pPr>
        <w:spacing w:after="0" w:line="211" w:lineRule="exact"/>
        <w:rPr>
          <w:rFonts w:ascii="Times New Roman" w:cs="Times New Roman" w:eastAsia="Times New Roman" w:hAnsi="Times New Roman"/>
          <w:sz w:val="20"/>
          <w:szCs w:val="20"/>
          <w:color w:val="auto"/>
        </w:rPr>
      </w:pPr>
    </w:p>
    <w:p>
      <w:pPr>
        <w:jc w:val="both"/>
        <w:ind w:firstLine="656"/>
        <w:spacing w:after="0" w:line="243" w:lineRule="auto"/>
        <w:tabs>
          <w:tab w:leader="none" w:pos="1287"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 of Liability</w:t>
      </w:r>
      <w:r>
        <w:rPr>
          <w:rFonts w:ascii="Times New Roman" w:cs="Times New Roman" w:eastAsia="Times New Roman" w:hAnsi="Times New Roman"/>
          <w:sz w:val="20"/>
          <w:szCs w:val="20"/>
          <w:color w:val="auto"/>
        </w:rPr>
        <w:t>. Employee understands and acknowledges that with respect to all claims released herein, this Agreement constitutes a compromise and settlement of any and all actual or potential disputed claims by Employee. No action taken by the Company (or any other entity in the Company Group) hereto, either previously or in connection with this Agreement, shall be deemed or construed to be (a) an admission of the truth or falsity of any actual or potential claims or (b) an acknowledgment or admission by the Company (or any other entity in the Company Group) of any fault or liability whatsoever to Employee or to any third party.</w:t>
      </w:r>
    </w:p>
    <w:p>
      <w:pPr>
        <w:spacing w:after="0" w:line="212" w:lineRule="exact"/>
        <w:rPr>
          <w:rFonts w:ascii="Times New Roman" w:cs="Times New Roman" w:eastAsia="Times New Roman" w:hAnsi="Times New Roman"/>
          <w:sz w:val="20"/>
          <w:szCs w:val="20"/>
          <w:color w:val="auto"/>
        </w:rPr>
      </w:pPr>
    </w:p>
    <w:p>
      <w:pPr>
        <w:ind w:firstLine="656"/>
        <w:spacing w:after="0" w:line="269" w:lineRule="auto"/>
        <w:tabs>
          <w:tab w:leader="none" w:pos="1287"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w:t>
      </w:r>
      <w:r>
        <w:rPr>
          <w:rFonts w:ascii="Times New Roman" w:cs="Times New Roman" w:eastAsia="Times New Roman" w:hAnsi="Times New Roman"/>
          <w:sz w:val="20"/>
          <w:szCs w:val="20"/>
          <w:color w:val="auto"/>
        </w:rPr>
        <w:t>. The Parties shall each bear their own costs, attorneys’ fees, and other fees incurred in connection with the preparation of this Agreement.</w:t>
      </w:r>
    </w:p>
    <w:p>
      <w:pPr>
        <w:spacing w:after="0" w:line="186" w:lineRule="exact"/>
        <w:rPr>
          <w:rFonts w:ascii="Times New Roman" w:cs="Times New Roman" w:eastAsia="Times New Roman" w:hAnsi="Times New Roman"/>
          <w:sz w:val="20"/>
          <w:szCs w:val="20"/>
          <w:color w:val="auto"/>
        </w:rPr>
      </w:pPr>
    </w:p>
    <w:p>
      <w:pPr>
        <w:jc w:val="both"/>
        <w:ind w:firstLine="656"/>
        <w:spacing w:after="0"/>
        <w:tabs>
          <w:tab w:leader="none" w:pos="1287"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EXCEPT AS PROHIBITED BY LAW, THE PARTIES AGREE THAT ANY AND ALL DISPUTES ARISING OUT OF THE TERMS OF THIS AGREEMENT, THEIR INTERPRETATION, EMPLOYEE’S RELATIONSHIP WITH THE COMPANY (OR ANY OTHER ENTITY IN THE COMPANY GROUP) OR THE TERMS THEREOF, OR ANY OF THE MATTERS HEREIN RELEASED, SHALL BE SUBJECT TO ARBITRATION UNDER THE FEDERAL ARBITRATION ACT (THE “FAA”)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EMPLOYEE AGREES THAT, TO THE FULLEST EXTENT PERMITTED BY LAW, EMPLOYEE MAY BRING ANY SUCH ARBITRATION PROCEEDING ONLY IN EMPLOYEE’S INDIVIDUAL CAPACITY. ANY CLAIMS EMPLOYEE MAY BRING PURSUANT TO THE PRIVATE ATTORNEYS GENERAL ACT (“PAGA”) ON BEHALF OF THE LABOR AND WORKFORCE DEVELOPMENT AGENCY MUST BE ARBITRATED ONLY IN</w:t>
      </w:r>
    </w:p>
    <w:p>
      <w:pPr>
        <w:sectPr>
          <w:pgSz w:w="11900" w:h="16838" w:orient="portrait"/>
          <w:cols w:equalWidth="0" w:num="1">
            <w:col w:w="11240"/>
          </w:cols>
          <w:pgMar w:left="320" w:top="1413" w:right="339" w:bottom="1440" w:gutter="0" w:footer="0" w:header="0"/>
        </w:sectPr>
      </w:pPr>
    </w:p>
    <w:bookmarkStart w:id="258" w:name="page259"/>
    <w:bookmarkEnd w:id="258"/>
    <w:p>
      <w:pPr>
        <w:jc w:val="both"/>
        <w:spacing w:after="0" w:line="239" w:lineRule="auto"/>
        <w:rPr>
          <w:sz w:val="20"/>
          <w:szCs w:val="20"/>
          <w:color w:val="auto"/>
        </w:rPr>
      </w:pPr>
      <w:r>
        <w:rPr>
          <w:rFonts w:ascii="Times New Roman" w:cs="Times New Roman" w:eastAsia="Times New Roman" w:hAnsi="Times New Roman"/>
          <w:sz w:val="20"/>
          <w:szCs w:val="20"/>
          <w:color w:val="auto"/>
        </w:rPr>
        <w:t>EMPLOYEE’S INDIVIDUAL CAPACITY WITHOUT ANY JOINDER OR REPRESENTATION OF ANY CALIFORNIA LABOR CODE VIOLATIONS THAT WERE OR COULD BE ASSERTED BY OR ON BEHALF OF ANY OTHER EMPLOYEES. ANY ARBITRATION WILL OCCUR IN SAN MATEO COUNTY, BEFORE JAMS, PURSUANT TO ITS EMPLOYMENT ARBITRATION RULES &amp; 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PARTIES AGREE THAT THE ARBITRATOR SHALL ISSUE A WRITTEN DECISION ON THE MERITS. THE PARTIES ALSO AGREE THAT THE ARBITRATOR SHALL HAVE THE POWER TO AWARD ANY REMEDIES AVAILABLE UNDER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SHALL EQUALLY SHARE THE COSTS AND EXPENSES OF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ANY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SECTION CONFLICT WITH ANY OTHER ARBITRATION AGREEMENT BETWEEN THE PARTIES, THE PARTIES AGREE THAT THIS ARBITRATION AGREEMENT IN THIS SECTION SHALL GOVERN.</w:t>
      </w:r>
    </w:p>
    <w:p>
      <w:pPr>
        <w:spacing w:after="0" w:line="227" w:lineRule="exact"/>
        <w:rPr>
          <w:sz w:val="20"/>
          <w:szCs w:val="20"/>
          <w:color w:val="auto"/>
        </w:rPr>
      </w:pPr>
    </w:p>
    <w:p>
      <w:pPr>
        <w:jc w:val="both"/>
        <w:ind w:firstLine="656"/>
        <w:spacing w:after="0" w:line="254" w:lineRule="auto"/>
        <w:tabs>
          <w:tab w:leader="none" w:pos="1287"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Cooperation with Company</w:t>
      </w:r>
      <w:r>
        <w:rPr>
          <w:rFonts w:ascii="Times New Roman" w:cs="Times New Roman" w:eastAsia="Times New Roman" w:hAnsi="Times New Roman"/>
          <w:sz w:val="19"/>
          <w:szCs w:val="19"/>
          <w:color w:val="auto"/>
        </w:rPr>
        <w:t>. Employee agrees that Employee shall provide reasonable cooperation and assistance to the Company (or, as applicable, any other entity in the Company Group) in the transition of Employee’s role and in the resolution of any matters in which Employee was involved during the course of Employee’s employment, or about which Employee has knowledge, and in the defense or prosecution of any investigations, audits, claims or actions now in existence or which may be brought or threatened in the future against or on behalf of the Company, including any investigations, audits, claims or actions involving or against its officers, directors and employees. Employee’s cooperation with such matters shall include, without limitation, being available to consult with the Company (or, as applicable, any other entity in the Company Group) regarding matters in which Employee has been involved or has knowledge; to reasonably assist the Company (or, as applicable, any other entity in the Company Group) in preparing for any proceeding (including, without limitation, depositions, mediations, hearings, settlement negotiations, discovery conferences, arbitration, or trial); to provide affidavits reflecting truthful written testimony; to assist with any audit, inspection, proceeding or other inquiry; and to act as a witness to provide truthful testimony in connection with any investigation, audit, mediation, litigation or other legal proceeding affecting the Company. Employee agrees to keep the Company’s Human Resources department apprised of Employee’s current contact information, including telephone numbers, work address, home address, and email address(es), and to promptly respond to communications from the Company Group in connection with this Section. Employee understands and agrees that this provision requires Employee’s cooperation with the Company Group, but is not intended</w:t>
      </w:r>
    </w:p>
    <w:p>
      <w:pPr>
        <w:sectPr>
          <w:pgSz w:w="11900" w:h="16838" w:orient="portrait"/>
          <w:cols w:equalWidth="0" w:num="1">
            <w:col w:w="11240"/>
          </w:cols>
          <w:pgMar w:left="320" w:top="1413" w:right="339" w:bottom="1440" w:gutter="0" w:footer="0" w:header="0"/>
        </w:sectPr>
      </w:pPr>
    </w:p>
    <w:bookmarkStart w:id="259" w:name="page260"/>
    <w:bookmarkEnd w:id="259"/>
    <w:p>
      <w:pPr>
        <w:jc w:val="both"/>
        <w:spacing w:after="0" w:line="254" w:lineRule="auto"/>
        <w:rPr>
          <w:sz w:val="20"/>
          <w:szCs w:val="20"/>
          <w:color w:val="auto"/>
        </w:rPr>
      </w:pPr>
      <w:r>
        <w:rPr>
          <w:rFonts w:ascii="Times New Roman" w:cs="Times New Roman" w:eastAsia="Times New Roman" w:hAnsi="Times New Roman"/>
          <w:sz w:val="20"/>
          <w:szCs w:val="20"/>
          <w:color w:val="auto"/>
        </w:rPr>
        <w:t>to have any influence whatsoever on any specific outcome in any matter and Employee is expected at all times to provide truthful testimony and responses in connection with any matter. Employee understands and agrees that is not otherwise entitled to any additional compensation for the cooperation referenced herein, beyond the consideration provided under this Agreement.</w:t>
      </w:r>
    </w:p>
    <w:p>
      <w:pPr>
        <w:spacing w:after="0" w:line="201" w:lineRule="exact"/>
        <w:rPr>
          <w:sz w:val="20"/>
          <w:szCs w:val="20"/>
          <w:color w:val="auto"/>
        </w:rPr>
      </w:pPr>
    </w:p>
    <w:p>
      <w:pPr>
        <w:jc w:val="both"/>
        <w:ind w:firstLine="656"/>
        <w:spacing w:after="0"/>
        <w:tabs>
          <w:tab w:leader="none" w:pos="1287"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Consequences</w:t>
      </w:r>
      <w:r>
        <w:rPr>
          <w:rFonts w:ascii="Times New Roman" w:cs="Times New Roman" w:eastAsia="Times New Roman" w:hAnsi="Times New Roman"/>
          <w:sz w:val="20"/>
          <w:szCs w:val="20"/>
          <w:color w:val="auto"/>
        </w:rPr>
        <w:t>. The Company makes no representations or warranties with respect to the tax consequences of the consideration provided to Employee or made on Employee’s behalf under the terms of this Agreement. Employee agrees and understands that Employee is responsible for payment, if any, of local, state, and/or federal taxes on the consideration provided to Employee hereunder and any penalties or assessments thereon. Employee further agrees to hold the Releasees harmless from any claims, demands, deficiencies, penalties, interest, assessments, executions, judgments, or recoveries by any government agency against the Company (or any other entity in the Company Group) for any amounts claimed due on account of (a) Employee’s failure to pay or delayed payment of federal or state taxes, or (b) damages sustained by the Company (or any other entity in the Company Group) by reason of any such claims, including attorneys’ fees and costs. Employee agrees and acknowledges that the Company and Parent have the right and authority to withhold any amounts as necessary or appropriate to meet the Company’s or Parent’s, as applicable, tax withholding obligations with respect to any compensation paid to Employee, whether under this Agreement or otherwise. Further, Employee agrees that Section 9.9 (“Code Section 409A”) of the Employment Agreement and Section 9.10 (“Limitation on Payments”) of the Employment Agreements are Employment Agreement Surviving Provisions.</w:t>
      </w:r>
    </w:p>
    <w:p>
      <w:pPr>
        <w:spacing w:after="0" w:line="223" w:lineRule="exact"/>
        <w:rPr>
          <w:rFonts w:ascii="Times New Roman" w:cs="Times New Roman" w:eastAsia="Times New Roman" w:hAnsi="Times New Roman"/>
          <w:sz w:val="20"/>
          <w:szCs w:val="20"/>
          <w:color w:val="auto"/>
        </w:rPr>
      </w:pPr>
    </w:p>
    <w:p>
      <w:pPr>
        <w:jc w:val="both"/>
        <w:ind w:firstLine="656"/>
        <w:spacing w:after="0"/>
        <w:tabs>
          <w:tab w:leader="none" w:pos="1287"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It is intended that this Agreement comply with, or be exempt from, Code Section 409A and the final regulations and official guidance thereunder (“Section 409A”) and any ambiguities or ambiguous terms herein will be interpreted to so comply and/or be exempt from Section 409A. Each payment and benefit to be paid or provided under this Agreement is intended to constitute a series of separate payments for purposes of Section 1.409A-2(b)(2) of the Treasury Regulations. The Parties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Employee under Section 409A. Notwithstanding the foregoing, if and to the extent necessary to avoid subjecting Employee to an additional tax under Section 409A, any payments or benefits deemed to be separation-related deferred compensation (within the meaning of Section 409A), whether under this Agreement or any other arrangement, payable to Employee will be delayed as set forth in Sections 9.9(c) and 9.9(d) of the Employment Agreement. In no event will the Releasees have any liability or obligation to reimburse, indemnify or hold harmless Employe for any taxes or costs that may be imposed on or incurred by Employee as a result of Section 409A. In no event will Employee have discretion to determine the taxable year of payment of any separation-related payments.</w:t>
      </w:r>
    </w:p>
    <w:p>
      <w:pPr>
        <w:spacing w:after="0" w:line="223" w:lineRule="exact"/>
        <w:rPr>
          <w:rFonts w:ascii="Times New Roman" w:cs="Times New Roman" w:eastAsia="Times New Roman" w:hAnsi="Times New Roman"/>
          <w:sz w:val="20"/>
          <w:szCs w:val="20"/>
          <w:color w:val="auto"/>
        </w:rPr>
      </w:pPr>
    </w:p>
    <w:p>
      <w:pPr>
        <w:jc w:val="both"/>
        <w:ind w:firstLine="656"/>
        <w:spacing w:after="0" w:line="246" w:lineRule="auto"/>
        <w:tabs>
          <w:tab w:leader="none" w:pos="1287"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211" w:lineRule="exact"/>
        <w:rPr>
          <w:rFonts w:ascii="Times New Roman" w:cs="Times New Roman" w:eastAsia="Times New Roman" w:hAnsi="Times New Roman"/>
          <w:sz w:val="20"/>
          <w:szCs w:val="20"/>
          <w:color w:val="auto"/>
        </w:rPr>
      </w:pPr>
    </w:p>
    <w:p>
      <w:pPr>
        <w:jc w:val="both"/>
        <w:ind w:firstLine="656"/>
        <w:spacing w:after="0" w:line="247" w:lineRule="auto"/>
        <w:tabs>
          <w:tab w:leader="none" w:pos="1287"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ectPr>
          <w:pgSz w:w="11900" w:h="16838" w:orient="portrait"/>
          <w:cols w:equalWidth="0" w:num="1">
            <w:col w:w="11240"/>
          </w:cols>
          <w:pgMar w:left="320" w:top="1413" w:right="339" w:bottom="1440" w:gutter="0" w:footer="0" w:header="0"/>
        </w:sectPr>
      </w:pPr>
    </w:p>
    <w:bookmarkStart w:id="260" w:name="page261"/>
    <w:bookmarkEnd w:id="260"/>
    <w:p>
      <w:pPr>
        <w:jc w:val="both"/>
        <w:ind w:left="-656" w:firstLine="656"/>
        <w:spacing w:after="0" w:line="249" w:lineRule="auto"/>
        <w:tabs>
          <w:tab w:leader="none" w:pos="631"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Except with regard to a legal action challenging or seeking a determination in good faith of the validity of the waiver herein under the ADEA, in the event that a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pacing w:after="0" w:line="206" w:lineRule="exact"/>
        <w:rPr>
          <w:rFonts w:ascii="Times New Roman" w:cs="Times New Roman" w:eastAsia="Times New Roman" w:hAnsi="Times New Roman"/>
          <w:sz w:val="20"/>
          <w:szCs w:val="20"/>
          <w:color w:val="auto"/>
        </w:rPr>
      </w:pPr>
    </w:p>
    <w:p>
      <w:pPr>
        <w:jc w:val="both"/>
        <w:ind w:left="-656" w:firstLine="656"/>
        <w:spacing w:after="0" w:line="243" w:lineRule="auto"/>
        <w:tabs>
          <w:tab w:leader="none" w:pos="631"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 Group, with the exception of the Employment Agreement Surviving Provisions, the Indemnification Agreement and the Stock Agreements.</w:t>
      </w:r>
    </w:p>
    <w:p>
      <w:pPr>
        <w:spacing w:after="0" w:line="212" w:lineRule="exact"/>
        <w:rPr>
          <w:rFonts w:ascii="Times New Roman" w:cs="Times New Roman" w:eastAsia="Times New Roman" w:hAnsi="Times New Roman"/>
          <w:sz w:val="20"/>
          <w:szCs w:val="20"/>
          <w:color w:val="auto"/>
        </w:rPr>
      </w:pPr>
    </w:p>
    <w:p>
      <w:pPr>
        <w:ind w:left="-656" w:firstLine="656"/>
        <w:spacing w:after="0" w:line="269" w:lineRule="auto"/>
        <w:tabs>
          <w:tab w:leader="none" w:pos="631"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Employee and the Company’s Chief Executive Officer.</w:t>
      </w:r>
    </w:p>
    <w:p>
      <w:pPr>
        <w:spacing w:after="0" w:line="186" w:lineRule="exact"/>
        <w:rPr>
          <w:rFonts w:ascii="Times New Roman" w:cs="Times New Roman" w:eastAsia="Times New Roman" w:hAnsi="Times New Roman"/>
          <w:sz w:val="20"/>
          <w:szCs w:val="20"/>
          <w:color w:val="auto"/>
        </w:rPr>
      </w:pPr>
    </w:p>
    <w:p>
      <w:pPr>
        <w:ind w:left="-656" w:firstLine="656"/>
        <w:spacing w:after="0" w:line="295" w:lineRule="auto"/>
        <w:tabs>
          <w:tab w:leader="none" w:pos="631"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shall be governed by the laws of the State of California, without regard for choice-of-law provisions, except that any dispute regarding the enforceability of the “Arbitration” section of this Agreement shall be governed by the FAA.</w:t>
      </w:r>
    </w:p>
    <w:p>
      <w:pPr>
        <w:spacing w:after="0" w:line="164" w:lineRule="exact"/>
        <w:rPr>
          <w:rFonts w:ascii="Times New Roman" w:cs="Times New Roman" w:eastAsia="Times New Roman" w:hAnsi="Times New Roman"/>
          <w:sz w:val="19"/>
          <w:szCs w:val="19"/>
          <w:color w:val="auto"/>
        </w:rPr>
      </w:pPr>
    </w:p>
    <w:p>
      <w:pPr>
        <w:jc w:val="both"/>
        <w:ind w:left="-656" w:firstLine="656"/>
        <w:spacing w:after="0" w:line="246" w:lineRule="auto"/>
        <w:tabs>
          <w:tab w:leader="none" w:pos="631"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Employee understands that this Agreement shall be null and void if not executed by Employee within forty-five (45) days. Employee understands that Employee is not permitted to sign this Agreement prior to the Separation Date. Each Party has seven (7) days after that Party signs this Agreement to revoke it. This Agreement will become effective on the eighth (8th) day after Employee signed this Agreement, so long as it has been signed by the Parties and has not been revoked by either Party before that date (the “Effective Date”).</w:t>
      </w:r>
    </w:p>
    <w:p>
      <w:pPr>
        <w:spacing w:after="0" w:line="211" w:lineRule="exact"/>
        <w:rPr>
          <w:rFonts w:ascii="Times New Roman" w:cs="Times New Roman" w:eastAsia="Times New Roman" w:hAnsi="Times New Roman"/>
          <w:sz w:val="20"/>
          <w:szCs w:val="20"/>
          <w:color w:val="auto"/>
        </w:rPr>
      </w:pPr>
    </w:p>
    <w:p>
      <w:pPr>
        <w:jc w:val="both"/>
        <w:ind w:left="-656" w:firstLine="656"/>
        <w:spacing w:after="0" w:line="244" w:lineRule="auto"/>
        <w:tabs>
          <w:tab w:leader="none" w:pos="631"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Docusign/Echosign or a similarly accredited secure signature service, or other electronic transmission or signature.</w:t>
      </w:r>
    </w:p>
    <w:p>
      <w:pPr>
        <w:spacing w:after="0" w:line="212" w:lineRule="exact"/>
        <w:rPr>
          <w:rFonts w:ascii="Times New Roman" w:cs="Times New Roman" w:eastAsia="Times New Roman" w:hAnsi="Times New Roman"/>
          <w:sz w:val="20"/>
          <w:szCs w:val="20"/>
          <w:color w:val="auto"/>
        </w:rPr>
      </w:pPr>
    </w:p>
    <w:p>
      <w:pPr>
        <w:jc w:val="both"/>
        <w:ind w:left="-656" w:firstLine="656"/>
        <w:spacing w:after="0" w:line="249" w:lineRule="auto"/>
        <w:tabs>
          <w:tab w:leader="none" w:pos="631"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Execution of Agreement</w:t>
      </w:r>
      <w:r>
        <w:rPr>
          <w:rFonts w:ascii="Times New Roman" w:cs="Times New Roman" w:eastAsia="Times New Roman" w:hAnsi="Times New Roman"/>
          <w:sz w:val="20"/>
          <w:szCs w:val="20"/>
          <w:color w:val="auto"/>
        </w:rPr>
        <w:t>. Employee understands and agrees that Employee executed this Agreement voluntarily and without any duress or undue influence on the part or behalf of the Company (or any other entity in the Company Group) or any third party, with the full intent of releasing all of Employee’s claims against the Company Group and any of the other Releasees. Employee acknowledges that:</w:t>
      </w:r>
    </w:p>
    <w:p>
      <w:pPr>
        <w:spacing w:after="0" w:line="179" w:lineRule="exact"/>
        <w:rPr>
          <w:rFonts w:ascii="Times New Roman" w:cs="Times New Roman" w:eastAsia="Times New Roman" w:hAnsi="Times New Roman"/>
          <w:sz w:val="20"/>
          <w:szCs w:val="20"/>
          <w:color w:val="auto"/>
        </w:rPr>
      </w:pPr>
    </w:p>
    <w:p>
      <w:pPr>
        <w:ind w:left="1144" w:hanging="415"/>
        <w:spacing w:after="0"/>
        <w:tabs>
          <w:tab w:leader="none" w:pos="1144"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has read this Agreement;</w:t>
      </w:r>
    </w:p>
    <w:p>
      <w:pPr>
        <w:spacing w:after="0" w:line="256" w:lineRule="exact"/>
        <w:rPr>
          <w:rFonts w:ascii="Times New Roman" w:cs="Times New Roman" w:eastAsia="Times New Roman" w:hAnsi="Times New Roman"/>
          <w:sz w:val="20"/>
          <w:szCs w:val="20"/>
          <w:color w:val="auto"/>
        </w:rPr>
      </w:pPr>
    </w:p>
    <w:p>
      <w:pPr>
        <w:jc w:val="both"/>
        <w:ind w:left="1304" w:hanging="591"/>
        <w:spacing w:after="0" w:line="247" w:lineRule="auto"/>
        <w:tabs>
          <w:tab w:leader="none" w:pos="1303"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has a right to consult with an attorney regarding this Agreement, and has been represented in the preparation, negotiation, and execution of this Agreement by an attorney of Employee’s own choice or has elected not to retain an attorney;</w:t>
      </w:r>
    </w:p>
    <w:p>
      <w:pPr>
        <w:spacing w:after="0" w:line="180" w:lineRule="exact"/>
        <w:rPr>
          <w:rFonts w:ascii="Times New Roman" w:cs="Times New Roman" w:eastAsia="Times New Roman" w:hAnsi="Times New Roman"/>
          <w:sz w:val="20"/>
          <w:szCs w:val="20"/>
          <w:color w:val="auto"/>
        </w:rPr>
      </w:pPr>
    </w:p>
    <w:p>
      <w:pPr>
        <w:ind w:left="1284" w:hanging="571"/>
        <w:spacing w:after="0"/>
        <w:tabs>
          <w:tab w:leader="none" w:pos="1284"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understands the terms and consequences of this Agreement and of the releases it contains;</w:t>
      </w:r>
    </w:p>
    <w:p>
      <w:pPr>
        <w:sectPr>
          <w:pgSz w:w="11900" w:h="16838" w:orient="portrait"/>
          <w:cols w:equalWidth="0" w:num="1">
            <w:col w:w="10584"/>
          </w:cols>
          <w:pgMar w:left="976" w:top="1413" w:right="339" w:bottom="1440" w:gutter="0" w:footer="0" w:header="0"/>
        </w:sectPr>
      </w:pPr>
    </w:p>
    <w:bookmarkStart w:id="261" w:name="page262"/>
    <w:bookmarkEnd w:id="261"/>
    <w:p>
      <w:pPr>
        <w:spacing w:after="0" w:line="189" w:lineRule="exact"/>
        <w:rPr>
          <w:sz w:val="20"/>
          <w:szCs w:val="20"/>
          <w:color w:val="auto"/>
        </w:rPr>
      </w:pPr>
    </w:p>
    <w:p>
      <w:pPr>
        <w:ind w:left="1960" w:hanging="591"/>
        <w:spacing w:after="0"/>
        <w:tabs>
          <w:tab w:leader="none" w:pos="196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is fully aware of the legal and binding effect of this Agreement; and</w:t>
      </w:r>
    </w:p>
    <w:p>
      <w:pPr>
        <w:spacing w:after="0" w:line="215" w:lineRule="exact"/>
        <w:rPr>
          <w:rFonts w:ascii="Times New Roman" w:cs="Times New Roman" w:eastAsia="Times New Roman" w:hAnsi="Times New Roman"/>
          <w:sz w:val="20"/>
          <w:szCs w:val="20"/>
          <w:color w:val="auto"/>
        </w:rPr>
      </w:pPr>
    </w:p>
    <w:p>
      <w:pPr>
        <w:ind w:left="1960" w:hanging="591"/>
        <w:spacing w:after="0" w:line="269" w:lineRule="auto"/>
        <w:tabs>
          <w:tab w:leader="none" w:pos="194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has not relied upon any representations or statements made by the Company (or any other entity in the Company Group) that are not specifically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respective dates set forth below.</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LEONE PATTERSON, an individual</w:t>
      </w:r>
    </w:p>
    <w:p>
      <w:pPr>
        <w:spacing w:after="0" w:line="200" w:lineRule="exact"/>
        <w:rPr>
          <w:sz w:val="20"/>
          <w:szCs w:val="20"/>
          <w:color w:val="auto"/>
        </w:rPr>
      </w:pPr>
    </w:p>
    <w:p>
      <w:pPr>
        <w:spacing w:after="0" w:line="245"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20"/>
          <w:szCs w:val="20"/>
          <w:color w:val="auto"/>
        </w:rPr>
        <w:t>Dated: February 1, 2026</w:t>
      </w:r>
      <w:r>
        <w:rPr>
          <w:sz w:val="20"/>
          <w:szCs w:val="20"/>
          <w:color w:val="auto"/>
        </w:rPr>
        <w:tab/>
      </w:r>
      <w:r>
        <w:rPr>
          <w:rFonts w:ascii="Times New Roman" w:cs="Times New Roman" w:eastAsia="Times New Roman" w:hAnsi="Times New Roman"/>
          <w:sz w:val="19"/>
          <w:szCs w:val="19"/>
          <w:color w:val="auto"/>
        </w:rPr>
        <w:t>/s/ Leone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-10795</wp:posOffset>
            </wp:positionV>
            <wp:extent cx="21075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4">
                      <a:extLst>
                        <a:ext uri="{28A0092B-C50C-407E-A947-70E740481C1C}"/>
                      </a:extLst>
                    </a:blip>
                    <a:srcRect/>
                    <a:stretch>
                      <a:fillRect/>
                    </a:stretch>
                  </pic:blipFill>
                  <pic:spPr bwMode="auto">
                    <a:xfrm>
                      <a:off x="0" y="0"/>
                      <a:ext cx="2107565"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0"/>
          <w:szCs w:val="20"/>
          <w:color w:val="auto"/>
        </w:rPr>
        <w:t>Leone Patterson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ZYMEWORKS BIOPHARMACEUTICALS INC.</w:t>
      </w:r>
    </w:p>
    <w:p>
      <w:pPr>
        <w:spacing w:after="0" w:line="200" w:lineRule="exact"/>
        <w:rPr>
          <w:sz w:val="20"/>
          <w:szCs w:val="20"/>
          <w:color w:val="auto"/>
        </w:rPr>
      </w:pPr>
    </w:p>
    <w:p>
      <w:pPr>
        <w:spacing w:after="0" w:line="232"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20"/>
          <w:szCs w:val="20"/>
          <w:color w:val="auto"/>
        </w:rPr>
        <w:t>Dated: January 30, 2026</w:t>
      </w:r>
      <w:r>
        <w:rPr>
          <w:sz w:val="20"/>
          <w:szCs w:val="20"/>
          <w:color w:val="auto"/>
        </w:rPr>
        <w:tab/>
      </w:r>
      <w:r>
        <w:rPr>
          <w:rFonts w:ascii="Times New Roman" w:cs="Times New Roman" w:eastAsia="Times New Roman" w:hAnsi="Times New Roman"/>
          <w:sz w:val="19"/>
          <w:szCs w:val="19"/>
          <w:color w:val="auto"/>
        </w:rPr>
        <w:t>By /s/ Laura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-10795</wp:posOffset>
            </wp:positionV>
            <wp:extent cx="2306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5">
                      <a:extLst>
                        <a:ext uri="{28A0092B-C50C-407E-A947-70E740481C1C}"/>
                      </a:extLst>
                    </a:blip>
                    <a:srcRect/>
                    <a:stretch>
                      <a:fillRect/>
                    </a:stretch>
                  </pic:blipFill>
                  <pic:spPr bwMode="auto">
                    <a:xfrm>
                      <a:off x="0" y="0"/>
                      <a:ext cx="2306320"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0"/>
          <w:szCs w:val="20"/>
          <w:color w:val="auto"/>
        </w:rPr>
        <w:t>Laura O’Connor</w:t>
      </w:r>
    </w:p>
    <w:p>
      <w:pPr>
        <w:ind w:left="4220"/>
        <w:spacing w:after="0"/>
        <w:rPr>
          <w:sz w:val="20"/>
          <w:szCs w:val="20"/>
          <w:color w:val="auto"/>
        </w:rPr>
      </w:pPr>
      <w:r>
        <w:rPr>
          <w:rFonts w:ascii="Times New Roman" w:cs="Times New Roman" w:eastAsia="Times New Roman" w:hAnsi="Times New Roman"/>
          <w:sz w:val="20"/>
          <w:szCs w:val="20"/>
          <w:color w:val="auto"/>
        </w:rPr>
        <w:t>Vice President, Global HR &amp; DEI</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DECISIONAL UNIT INFORMATION</w:t>
      </w:r>
    </w:p>
    <w:p>
      <w:pPr>
        <w:spacing w:after="0" w:line="220" w:lineRule="exact"/>
        <w:rPr>
          <w:sz w:val="20"/>
          <w:szCs w:val="20"/>
          <w:color w:val="auto"/>
        </w:rPr>
      </w:pPr>
    </w:p>
    <w:p>
      <w:pPr>
        <w:ind w:right="20" w:firstLine="713"/>
        <w:spacing w:after="0" w:line="255" w:lineRule="auto"/>
        <w:rPr>
          <w:sz w:val="20"/>
          <w:szCs w:val="20"/>
          <w:color w:val="auto"/>
        </w:rPr>
      </w:pPr>
      <w:r>
        <w:rPr>
          <w:rFonts w:ascii="Times New Roman" w:cs="Times New Roman" w:eastAsia="Times New Roman" w:hAnsi="Times New Roman"/>
          <w:sz w:val="20"/>
          <w:szCs w:val="20"/>
          <w:color w:val="auto"/>
        </w:rPr>
        <w:t>The following information is provided under federal law to assist you in making a decision whether to sign this Separation Agreement and Release, and accept the severance benefits offered by the Company:</w:t>
      </w:r>
    </w:p>
    <w:p>
      <w:pPr>
        <w:spacing w:after="0" w:line="169" w:lineRule="exact"/>
        <w:rPr>
          <w:sz w:val="20"/>
          <w:szCs w:val="20"/>
          <w:color w:val="auto"/>
        </w:rPr>
      </w:pPr>
    </w:p>
    <w:p>
      <w:pPr>
        <w:ind w:firstLine="721"/>
        <w:spacing w:after="0" w:line="273" w:lineRule="auto"/>
        <w:tabs>
          <w:tab w:leader="none" w:pos="1293"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Decisional Unit</w:t>
      </w:r>
      <w:r>
        <w:rPr>
          <w:rFonts w:ascii="Times New Roman" w:cs="Times New Roman" w:eastAsia="Times New Roman" w:hAnsi="Times New Roman"/>
          <w:sz w:val="20"/>
          <w:szCs w:val="20"/>
          <w:color w:val="auto"/>
        </w:rPr>
        <w:t>. The decisional unit for this reduction in force is all employees in the executive team of the Company,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exception of the Chief Executive Officer.</w:t>
      </w:r>
    </w:p>
    <w:p>
      <w:pPr>
        <w:spacing w:after="0" w:line="151" w:lineRule="exact"/>
        <w:rPr>
          <w:rFonts w:ascii="Times New Roman" w:cs="Times New Roman" w:eastAsia="Times New Roman" w:hAnsi="Times New Roman"/>
          <w:sz w:val="20"/>
          <w:szCs w:val="20"/>
          <w:b w:val="1"/>
          <w:bCs w:val="1"/>
          <w:color w:val="auto"/>
        </w:rPr>
      </w:pPr>
    </w:p>
    <w:p>
      <w:pPr>
        <w:ind w:firstLine="721"/>
        <w:spacing w:after="0" w:line="273" w:lineRule="auto"/>
        <w:tabs>
          <w:tab w:leader="none" w:pos="1293"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Eligibility</w:t>
      </w:r>
      <w:r>
        <w:rPr>
          <w:rFonts w:ascii="Times New Roman" w:cs="Times New Roman" w:eastAsia="Times New Roman" w:hAnsi="Times New Roman"/>
          <w:sz w:val="20"/>
          <w:szCs w:val="20"/>
          <w:color w:val="auto"/>
        </w:rPr>
        <w:t>. All employees included in the decisional unit are eligible for the program. All employees who are being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terminated in the reduction in force are selected for the program.</w:t>
      </w:r>
    </w:p>
    <w:p>
      <w:pPr>
        <w:spacing w:after="0" w:line="151" w:lineRule="exact"/>
        <w:rPr>
          <w:rFonts w:ascii="Times New Roman" w:cs="Times New Roman" w:eastAsia="Times New Roman" w:hAnsi="Times New Roman"/>
          <w:sz w:val="20"/>
          <w:szCs w:val="20"/>
          <w:b w:val="1"/>
          <w:bCs w:val="1"/>
          <w:color w:val="auto"/>
        </w:rPr>
      </w:pPr>
    </w:p>
    <w:p>
      <w:pPr>
        <w:jc w:val="both"/>
        <w:ind w:firstLine="721"/>
        <w:spacing w:after="0" w:line="246" w:lineRule="auto"/>
        <w:tabs>
          <w:tab w:leader="none" w:pos="1293"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Long to Decide</w:t>
      </w:r>
      <w:r>
        <w:rPr>
          <w:rFonts w:ascii="Times New Roman" w:cs="Times New Roman" w:eastAsia="Times New Roman" w:hAnsi="Times New Roman"/>
          <w:sz w:val="20"/>
          <w:szCs w:val="20"/>
          <w:color w:val="auto"/>
        </w:rPr>
        <w:t>. You will have forty-five (45) days from the receipt of this Agreement in which to decide whether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 this Agreement and return it to the Company. The offer of severance benefits contained in this Agreement will expire on February 22, 2026. Please note that once you have signed this Agreement, you will have seven (7) days to revoke your signature and acceptance of the terms of this Agreement.</w:t>
      </w:r>
    </w:p>
    <w:p>
      <w:pPr>
        <w:spacing w:after="0" w:line="177" w:lineRule="exact"/>
        <w:rPr>
          <w:rFonts w:ascii="Times New Roman" w:cs="Times New Roman" w:eastAsia="Times New Roman" w:hAnsi="Times New Roman"/>
          <w:sz w:val="20"/>
          <w:szCs w:val="20"/>
          <w:b w:val="1"/>
          <w:bCs w:val="1"/>
          <w:color w:val="auto"/>
        </w:rPr>
      </w:pPr>
    </w:p>
    <w:p>
      <w:pPr>
        <w:jc w:val="both"/>
        <w:ind w:firstLine="721"/>
        <w:spacing w:after="0" w:line="249" w:lineRule="auto"/>
        <w:tabs>
          <w:tab w:leader="none" w:pos="1293"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Selection Information</w:t>
      </w:r>
      <w:r>
        <w:rPr>
          <w:rFonts w:ascii="Times New Roman" w:cs="Times New Roman" w:eastAsia="Times New Roman" w:hAnsi="Times New Roman"/>
          <w:sz w:val="20"/>
          <w:szCs w:val="20"/>
          <w:color w:val="auto"/>
        </w:rPr>
        <w:t>. Federal law provides certain information be given to you concerning individuals who were eligible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selected for the reduction in force and individuals who were eligible but not selected for the reduction in force. This information can be found in Exhibits B and C, which follow this Exhibit A.</w:t>
      </w:r>
    </w:p>
    <w:p>
      <w:pPr>
        <w:sectPr>
          <w:pgSz w:w="11900" w:h="16838" w:orient="portrait"/>
          <w:cols w:equalWidth="0" w:num="1">
            <w:col w:w="11240"/>
          </w:cols>
          <w:pgMar w:left="320" w:top="1440" w:right="339" w:bottom="1440" w:gutter="0" w:footer="0" w:header="0"/>
        </w:sectPr>
      </w:pPr>
    </w:p>
    <w:bookmarkStart w:id="263" w:name="page264"/>
    <w:bookmarkEnd w:id="26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Data Sheet by Age</w:t>
      </w:r>
    </w:p>
    <w:p>
      <w:pPr>
        <w:sectPr>
          <w:pgSz w:w="11900" w:h="16838" w:orient="portrait"/>
          <w:cols w:equalWidth="0" w:num="1">
            <w:col w:w="9019"/>
          </w:cols>
          <w:pgMar w:left="1440" w:top="1409" w:right="1440" w:bottom="1440" w:gutter="0" w:footer="0" w:header="0"/>
        </w:sectPr>
      </w:pP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January 8th, 2026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 page omitted}</w:t>
      </w:r>
    </w:p>
    <w:p>
      <w:pPr>
        <w:sectPr>
          <w:pgSz w:w="11900" w:h="16838" w:orient="portrait"/>
          <w:cols w:equalWidth="0" w:num="1">
            <w:col w:w="9019"/>
          </w:cols>
          <w:pgMar w:left="1440" w:top="1409" w:right="1440" w:bottom="1440" w:gutter="0" w:footer="0" w:header="0"/>
          <w:type w:val="continuous"/>
        </w:sectPr>
      </w:pPr>
    </w:p>
    <w:bookmarkStart w:id="264" w:name="page265"/>
    <w:bookmarkEnd w:id="264"/>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Data Sheet by Age</w:t>
      </w:r>
    </w:p>
    <w:p>
      <w:pPr>
        <w:sectPr>
          <w:pgSz w:w="11900" w:h="16838" w:orient="portrait"/>
          <w:cols w:equalWidth="0" w:num="1">
            <w:col w:w="9019"/>
          </w:cols>
          <w:pgMar w:left="1440" w:top="1436" w:right="1440" w:bottom="1440" w:gutter="0" w:footer="0" w:header="0"/>
        </w:sectPr>
      </w:pPr>
    </w:p>
    <w:p>
      <w:pPr>
        <w:spacing w:after="0" w:line="15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January 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2026</w:t>
      </w:r>
    </w:p>
    <w:p>
      <w:pPr>
        <w:spacing w:after="0" w:line="9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1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 page omitted}</w:t>
      </w:r>
    </w:p>
    <w:p>
      <w:pPr>
        <w:sectPr>
          <w:pgSz w:w="11900" w:h="16838" w:orient="portrait"/>
          <w:cols w:equalWidth="0" w:num="1">
            <w:col w:w="9019"/>
          </w:cols>
          <w:pgMar w:left="1440" w:top="1436" w:right="1440" w:bottom="1440" w:gutter="0" w:footer="0" w:header="0"/>
          <w:type w:val="continuous"/>
        </w:sectPr>
      </w:pPr>
    </w:p>
    <w:bookmarkStart w:id="265" w:name="page266"/>
    <w:bookmarkEnd w:id="265"/>
    <w:p>
      <w:pPr>
        <w:ind w:left="1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40575" cy="9861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6">
                      <a:extLst>
                        <a:ext uri="{28A0092B-C50C-407E-A947-70E740481C1C}"/>
                      </a:extLst>
                    </a:blip>
                    <a:srcRect/>
                    <a:stretch>
                      <a:fillRect/>
                    </a:stretch>
                  </pic:blipFill>
                  <pic:spPr bwMode="auto">
                    <a:xfrm>
                      <a:off x="0" y="0"/>
                      <a:ext cx="7140575" cy="986155"/>
                    </a:xfrm>
                    <a:prstGeom prst="rect">
                      <a:avLst/>
                    </a:prstGeom>
                    <a:noFill/>
                  </pic:spPr>
                </pic:pic>
              </a:graphicData>
            </a:graphic>
          </wp:anchor>
        </w:drawing>
        <w:t>Insider Trading Policy</w:t>
      </w:r>
    </w:p>
    <w:p>
      <w:pPr>
        <w:spacing w:after="0" w:line="283"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 xml:space="preserve">Document Number: </w:t>
      </w:r>
      <w:r>
        <w:rPr>
          <w:rFonts w:ascii="Arial" w:cs="Arial" w:eastAsia="Arial" w:hAnsi="Arial"/>
          <w:sz w:val="18"/>
          <w:szCs w:val="18"/>
          <w:color w:val="1D1C1D"/>
          <w:highlight w:val="white"/>
        </w:rPr>
        <w:t>Non-GxP-POL-0016</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This insider trading policy (the “</w:t>
      </w:r>
      <w:r>
        <w:rPr>
          <w:rFonts w:ascii="Arial" w:cs="Arial" w:eastAsia="Arial" w:hAnsi="Arial"/>
          <w:sz w:val="18"/>
          <w:szCs w:val="18"/>
          <w:b w:val="1"/>
          <w:bCs w:val="1"/>
          <w:color w:val="auto"/>
        </w:rPr>
        <w:t>Insider Trading Policy</w:t>
      </w:r>
      <w:r>
        <w:rPr>
          <w:rFonts w:ascii="Arial" w:cs="Arial" w:eastAsia="Arial" w:hAnsi="Arial"/>
          <w:sz w:val="18"/>
          <w:szCs w:val="18"/>
          <w:color w:val="auto"/>
        </w:rPr>
        <w:t>”) has been adopted by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Zymeworks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80" w:lineRule="exact"/>
        <w:rPr>
          <w:sz w:val="20"/>
          <w:szCs w:val="20"/>
          <w:color w:val="auto"/>
        </w:rPr>
      </w:pPr>
    </w:p>
    <w:p>
      <w:pPr>
        <w:ind w:left="320" w:hanging="312"/>
        <w:spacing w:after="0"/>
        <w:tabs>
          <w:tab w:leader="none" w:pos="32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98"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Zymeworks is a publicly traded company and is subject to securities laws in the United States and Canada. The Board has implemented this Insider Trading Policy to prevent insider trading, tipping and recommending violations by people who have access to Material Information (as defined below) that is not available to the general public.</w:t>
      </w:r>
    </w:p>
    <w:p>
      <w:pPr>
        <w:spacing w:after="0" w:line="143"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Any violation of this Insider Trading Policy or insider trading law can result in disciplinary action, including termination of employment with Zymeworks, as well as legal consequences such as fines or imprisonment. Preventing insider trading and tipping keeps markets fair and ensures all investors have access to the same information.</w:t>
      </w:r>
    </w:p>
    <w:p>
      <w:pPr>
        <w:spacing w:after="0" w:line="130"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It is the personal responsibility of each Zymeworks director, officer, employee and other personnel that Zymeworks may determine should be subject to this Insider Trading Policy, such as contractors, consultants or advisors (“</w:t>
      </w:r>
      <w:r>
        <w:rPr>
          <w:rFonts w:ascii="Arial" w:cs="Arial" w:eastAsia="Arial" w:hAnsi="Arial"/>
          <w:sz w:val="18"/>
          <w:szCs w:val="18"/>
          <w:b w:val="1"/>
          <w:bCs w:val="1"/>
          <w:color w:val="auto"/>
        </w:rPr>
        <w:t>Other Personnel</w:t>
      </w:r>
      <w:r>
        <w:rPr>
          <w:rFonts w:ascii="Arial" w:cs="Arial" w:eastAsia="Arial" w:hAnsi="Arial"/>
          <w:sz w:val="18"/>
          <w:szCs w:val="18"/>
          <w:color w:val="auto"/>
        </w:rPr>
        <w:t>”) to comply with this Insider Trading Policy and all applicable securities laws when trading in Zymeworks’ securities or the securities of companies with which Zymeworks does business. If there is ever any conflict between this Insider Trading Policy and applicable securities laws, only the sections of this policy permitted by applicable law or regulation will apply.</w:t>
      </w:r>
    </w:p>
    <w:p>
      <w:pPr>
        <w:spacing w:after="0" w:line="139" w:lineRule="exact"/>
        <w:rPr>
          <w:sz w:val="20"/>
          <w:szCs w:val="20"/>
          <w:color w:val="auto"/>
        </w:rPr>
      </w:pPr>
    </w:p>
    <w:p>
      <w:pPr>
        <w:ind w:left="320" w:hanging="312"/>
        <w:spacing w:after="0"/>
        <w:tabs>
          <w:tab w:leader="none" w:pos="32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w:t>
      </w:r>
    </w:p>
    <w:p>
      <w:pPr>
        <w:spacing w:after="0" w:line="20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Who does this Insider Trading Policy apply to?</w:t>
      </w:r>
    </w:p>
    <w:p>
      <w:pPr>
        <w:spacing w:after="0" w:line="19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This Insider Trading Policy applies to the following persons (collectively, “</w:t>
      </w:r>
      <w:r>
        <w:rPr>
          <w:rFonts w:ascii="Arial" w:cs="Arial" w:eastAsia="Arial" w:hAnsi="Arial"/>
          <w:sz w:val="18"/>
          <w:szCs w:val="18"/>
          <w:b w:val="1"/>
          <w:bCs w:val="1"/>
          <w:color w:val="auto"/>
        </w:rPr>
        <w:t>Covered Persons</w:t>
      </w:r>
      <w:r>
        <w:rPr>
          <w:rFonts w:ascii="Arial" w:cs="Arial" w:eastAsia="Arial" w:hAnsi="Arial"/>
          <w:sz w:val="18"/>
          <w:szCs w:val="18"/>
          <w:color w:val="auto"/>
        </w:rPr>
        <w:t>”):</w:t>
      </w:r>
    </w:p>
    <w:p>
      <w:pPr>
        <w:spacing w:after="0" w:line="184" w:lineRule="exact"/>
        <w:rPr>
          <w:rFonts w:ascii="Arial" w:cs="Arial" w:eastAsia="Arial" w:hAnsi="Arial"/>
          <w:sz w:val="18"/>
          <w:szCs w:val="18"/>
          <w:b w:val="1"/>
          <w:bCs w:val="1"/>
          <w:color w:val="auto"/>
        </w:rPr>
      </w:pPr>
    </w:p>
    <w:p>
      <w:pPr>
        <w:ind w:left="660" w:hanging="328"/>
        <w:spacing w:after="0"/>
        <w:tabs>
          <w:tab w:leader="none" w:pos="660" w:val="left"/>
        </w:tabs>
        <w:numPr>
          <w:ilvl w:val="1"/>
          <w:numId w:val="190"/>
        </w:numPr>
        <w:rPr>
          <w:rFonts w:ascii="Times New Roman" w:cs="Times New Roman" w:eastAsia="Times New Roman" w:hAnsi="Times New Roman"/>
          <w:sz w:val="18"/>
          <w:szCs w:val="18"/>
          <w:color w:val="auto"/>
        </w:rPr>
      </w:pPr>
      <w:r>
        <w:rPr>
          <w:rFonts w:ascii="Arial" w:cs="Arial" w:eastAsia="Arial" w:hAnsi="Arial"/>
          <w:sz w:val="18"/>
          <w:szCs w:val="18"/>
          <w:color w:val="auto"/>
        </w:rPr>
        <w:t>all Zymeworks directors, officers, employees and Other Personnel (for the purpose of this policy, “</w:t>
      </w:r>
      <w:r>
        <w:rPr>
          <w:rFonts w:ascii="Arial" w:cs="Arial" w:eastAsia="Arial" w:hAnsi="Arial"/>
          <w:sz w:val="18"/>
          <w:szCs w:val="18"/>
          <w:b w:val="1"/>
          <w:bCs w:val="1"/>
          <w:color w:val="auto"/>
        </w:rPr>
        <w:t>insiders</w:t>
      </w:r>
      <w:r>
        <w:rPr>
          <w:rFonts w:ascii="Arial" w:cs="Arial" w:eastAsia="Arial" w:hAnsi="Arial"/>
          <w:sz w:val="18"/>
          <w:szCs w:val="18"/>
          <w:color w:val="auto"/>
        </w:rPr>
        <w:t>”);</w:t>
      </w:r>
    </w:p>
    <w:p>
      <w:pPr>
        <w:spacing w:after="0" w:line="22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1"/>
          <w:numId w:val="190"/>
        </w:numPr>
        <w:rPr>
          <w:rFonts w:ascii="Times New Roman" w:cs="Times New Roman" w:eastAsia="Times New Roman" w:hAnsi="Times New Roman"/>
          <w:sz w:val="18"/>
          <w:szCs w:val="18"/>
          <w:color w:val="auto"/>
        </w:rPr>
      </w:pPr>
      <w:r>
        <w:rPr>
          <w:rFonts w:ascii="Arial" w:cs="Arial" w:eastAsia="Arial" w:hAnsi="Arial"/>
          <w:sz w:val="18"/>
          <w:szCs w:val="18"/>
          <w:color w:val="auto"/>
        </w:rPr>
        <w:t>any person or entity (such as a corporation, trust, partnership, investment fund etc.) an insider controls, exercises substantial influence over, serves as a trustee or in a similar fiduciary capacity of or is otherwise involved with, in connection with securities trading or investment decisions; and</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0"/>
        </w:numPr>
        <w:rPr>
          <w:rFonts w:ascii="Times New Roman" w:cs="Times New Roman" w:eastAsia="Times New Roman" w:hAnsi="Times New Roman"/>
          <w:sz w:val="18"/>
          <w:szCs w:val="18"/>
          <w:color w:val="auto"/>
        </w:rPr>
      </w:pPr>
      <w:r>
        <w:rPr>
          <w:rFonts w:ascii="Arial" w:cs="Arial" w:eastAsia="Arial" w:hAnsi="Arial"/>
          <w:sz w:val="18"/>
          <w:szCs w:val="18"/>
          <w:color w:val="auto"/>
        </w:rPr>
        <w:t>an insider’s spouse, partner, parents, children, dependents and other family members or roommates.</w:t>
      </w:r>
    </w:p>
    <w:p>
      <w:pPr>
        <w:spacing w:after="0" w:line="22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Each insider shall ensure that they, as well as each Covered Person to which this Insider Trading Policy applies as a result of such Covered Person’s relationship with such insider, comply with this Insider Trading Policy. Notwithstanding the foregoing, this Insider Trading Policy shall not apply to any entity that engages in the investment of securities in the ordinary course of business (e.g. investment fund or partnership) if such an entity has established its own insider trading controls and procedures in compliance with applicable securities laws. This Insider Trading Policy continues to apply even if an insider leaves the Company or is otherwise no longer affiliated with or providing services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813" w:right="339" w:bottom="1440" w:gutter="0" w:footer="0" w:header="0"/>
        </w:sectPr>
      </w:pPr>
    </w:p>
    <w:bookmarkStart w:id="266" w:name="page267"/>
    <w:bookmarkEnd w:id="2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Company, for as long as such insider remains in possession of non-public Material Information. In addition, if an insider is subject to a trading blackout under this Insider Trading Policy at the time of leaving the Company, such insider must abide by the applicable trading restrictions until at least the end of the relevant blackout period.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What type of transactions does this Insider Trading Policy cover?</w:t>
      </w:r>
    </w:p>
    <w:p>
      <w:pPr>
        <w:spacing w:after="0" w:line="19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This Insider Trading Policy applies to all transactions in Zymeworks’ securities, including Zymeworks’ common stock, or any debt instruments, or puts, calls, options or other rights to purchase or sell Zymeworks’ securities, or any security that is in any way tied to Zymeworks’ share price (collectively, “</w:t>
      </w:r>
      <w:r>
        <w:rPr>
          <w:rFonts w:ascii="Arial" w:cs="Arial" w:eastAsia="Arial" w:hAnsi="Arial"/>
          <w:sz w:val="18"/>
          <w:szCs w:val="18"/>
          <w:b w:val="1"/>
          <w:bCs w:val="1"/>
          <w:color w:val="auto"/>
        </w:rPr>
        <w:t>Zymeworks Securities</w:t>
      </w:r>
      <w:r>
        <w:rPr>
          <w:rFonts w:ascii="Arial" w:cs="Arial" w:eastAsia="Arial" w:hAnsi="Arial"/>
          <w:sz w:val="18"/>
          <w:szCs w:val="18"/>
          <w:color w:val="auto"/>
        </w:rPr>
        <w:t>”). Any disposition in the form of a gift of any Zymeworks Securities is a transaction that is subject to this Insider Trading Policy. Any distribution to holders of interests in an entity if the entity is subject to this Insider Trading Policy is a transaction that is subject to this policy. Every Covered Person is prohibited from engaging in insider trading, tipping or recommending as it relates to Zymeworks Securities.</w:t>
      </w:r>
    </w:p>
    <w:p>
      <w:pPr>
        <w:spacing w:after="0" w:line="142"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This Insider Trading Policy also applies to non-public Material Information of other companies with which Zymeworks does business, including partners and customers, as well as potential merger or acquisition candidates. For the purpose of this Insider Trading Policy, information about these companies should be treated in the same way as information directly related to Zymeworks.</w:t>
      </w:r>
    </w:p>
    <w:p>
      <w:pPr>
        <w:spacing w:after="0" w:line="130"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Every Zymeworks Covered Person is prohibited from speculative or indirect trading in Zymeworks Securities – such as short sales, trading in puts, calls or options (not stock options granted by Zymeworks) – or similar rights or obligations to buy or sell Zymeworks Securities, or the purchase of Zymeworks Securities with the intention of quickly reselling them.</w:t>
      </w:r>
    </w:p>
    <w:p>
      <w:pPr>
        <w:spacing w:after="0" w:line="144"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Zymeworks Covered Persons may not buy Zymeworks Securities on margin, and are prohibited from purchasing financial instruments designed to hedge or offset a decrease in the market value of Zymeworks Securities. Covered Persons are prohibited from pledging Zymeworks Securities as collateral for any loan, in margin accounts, or as part of any other pledging transactions, regardless of whether such Covered Person is in possession of non-public Material Information or not.</w:t>
      </w:r>
    </w:p>
    <w:p>
      <w:pPr>
        <w:spacing w:after="0" w:line="136"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A violation of insider trading, tipping or recommending laws can result in civil or criminal penalties not only for the person who trades in possession of non-public Material Information, but also for anyone who tips or otherwise aids the person doing the trading.</w:t>
      </w:r>
    </w:p>
    <w:p>
      <w:pPr>
        <w:spacing w:after="0" w:line="112" w:lineRule="exact"/>
        <w:rPr>
          <w:sz w:val="20"/>
          <w:szCs w:val="20"/>
          <w:color w:val="auto"/>
        </w:rPr>
      </w:pPr>
    </w:p>
    <w:p>
      <w:pPr>
        <w:ind w:left="320" w:hanging="312"/>
        <w:spacing w:after="0"/>
        <w:tabs>
          <w:tab w:leader="none" w:pos="32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INSIDER TRADING</w:t>
      </w:r>
    </w:p>
    <w:p>
      <w:pPr>
        <w:spacing w:after="0" w:line="198"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It is illegal for anyone to buy or sell shares or other securities of any reporting issuer (i.e. public company) at any time when a person is in possession of Material Information related to that issuer that has not yet been made publicly available. To do so would be insider trading. In addition, if you learn of non-public Material Information through your service with the Company that could be expected to affect the trading price of the securities of another issuer, you cannot (x) use that information to trade, directly or indirectly through others, or (y) provide that information to another person in order to trade, in the securities of that other issuer.</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TIPPING AND RECOMMENDING</w:t>
      </w:r>
    </w:p>
    <w:p>
      <w:pPr>
        <w:spacing w:after="0" w:line="198"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Subject to limited defenses, such as disclosure made “in the necessary course of business”, it is illegal to share Material Information that has not yet been made public with another person (including friends and family members) because they may decide to buy or sell securities based on that information. It is illegal to make recommendations or express opinions to another person regarding trading in any securities (whether Zymeworks Securities or another issuer’s) on the basis of non-public Material Information. To do so would be tipping. Further, recommending or encouraging a third party to purchase or sell the Company’s securities while in possession of non-public Material Information is also illegal. Both the person who provides the information, recommendation or opinion, and the person who trades based on it, may be liable for tipping or recommending, as the case may be.</w:t>
      </w:r>
    </w:p>
    <w:p>
      <w:pPr>
        <w:spacing w:after="0" w:line="142"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“necessary course of business” generally means sharing information that is reasonably necessary in the course of Zymeworks business with:</w:t>
      </w:r>
    </w:p>
    <w:p>
      <w:pPr>
        <w:spacing w:after="0" w:line="112" w:lineRule="exact"/>
        <w:rPr>
          <w:sz w:val="20"/>
          <w:szCs w:val="20"/>
          <w:color w:val="auto"/>
        </w:rPr>
      </w:pPr>
    </w:p>
    <w:p>
      <w:pPr>
        <w:ind w:left="320" w:hanging="312"/>
        <w:spacing w:after="0"/>
        <w:tabs>
          <w:tab w:leader="none" w:pos="320" w:val="left"/>
        </w:tabs>
        <w:numPr>
          <w:ilvl w:val="0"/>
          <w:numId w:val="193"/>
        </w:numPr>
        <w:rPr>
          <w:rFonts w:ascii="Times New Roman" w:cs="Times New Roman" w:eastAsia="Times New Roman" w:hAnsi="Times New Roman"/>
          <w:sz w:val="18"/>
          <w:szCs w:val="18"/>
          <w:color w:val="auto"/>
        </w:rPr>
      </w:pPr>
      <w:r>
        <w:rPr>
          <w:rFonts w:ascii="Arial" w:cs="Arial" w:eastAsia="Arial" w:hAnsi="Arial"/>
          <w:sz w:val="18"/>
          <w:szCs w:val="18"/>
          <w:color w:val="auto"/>
        </w:rPr>
        <w:t>employees, officers and directors;</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3"/>
        </w:numPr>
        <w:rPr>
          <w:rFonts w:ascii="Times New Roman" w:cs="Times New Roman" w:eastAsia="Times New Roman" w:hAnsi="Times New Roman"/>
          <w:sz w:val="18"/>
          <w:szCs w:val="18"/>
          <w:color w:val="auto"/>
        </w:rPr>
      </w:pPr>
      <w:r>
        <w:rPr>
          <w:rFonts w:ascii="Arial" w:cs="Arial" w:eastAsia="Arial" w:hAnsi="Arial"/>
          <w:sz w:val="18"/>
          <w:szCs w:val="18"/>
          <w:color w:val="auto"/>
        </w:rPr>
        <w:t>partners on issues such as research and development;</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3"/>
        </w:numPr>
        <w:rPr>
          <w:rFonts w:ascii="Times New Roman" w:cs="Times New Roman" w:eastAsia="Times New Roman" w:hAnsi="Times New Roman"/>
          <w:sz w:val="18"/>
          <w:szCs w:val="18"/>
          <w:color w:val="auto"/>
        </w:rPr>
      </w:pPr>
      <w:r>
        <w:rPr>
          <w:rFonts w:ascii="Arial" w:cs="Arial" w:eastAsia="Arial" w:hAnsi="Arial"/>
          <w:sz w:val="18"/>
          <w:szCs w:val="18"/>
          <w:color w:val="auto"/>
        </w:rPr>
        <w:t>lenders, legal counsel, auditors, underwriters and financial or other professional advisors;</w:t>
      </w:r>
    </w:p>
    <w:p>
      <w:pPr>
        <w:spacing w:after="0" w:line="19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3"/>
        </w:numPr>
        <w:rPr>
          <w:rFonts w:ascii="Times New Roman" w:cs="Times New Roman" w:eastAsia="Times New Roman" w:hAnsi="Times New Roman"/>
          <w:sz w:val="18"/>
          <w:szCs w:val="18"/>
          <w:color w:val="auto"/>
        </w:rPr>
      </w:pPr>
      <w:r>
        <w:rPr>
          <w:rFonts w:ascii="Arial" w:cs="Arial" w:eastAsia="Arial" w:hAnsi="Arial"/>
          <w:sz w:val="18"/>
          <w:szCs w:val="18"/>
          <w:color w:val="auto"/>
        </w:rPr>
        <w:t>parties to negotiations;</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3"/>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agencies and non-governmental regulators; or</w:t>
      </w:r>
    </w:p>
    <w:p>
      <w:pPr>
        <w:spacing w:after="0" w:line="183" w:lineRule="exact"/>
        <w:rPr>
          <w:rFonts w:ascii="Times New Roman" w:cs="Times New Roman" w:eastAsia="Times New Roman" w:hAnsi="Times New Roman"/>
          <w:sz w:val="18"/>
          <w:szCs w:val="18"/>
          <w:color w:val="auto"/>
        </w:rPr>
      </w:pPr>
    </w:p>
    <w:p>
      <w:pPr>
        <w:ind w:left="340" w:right="20" w:hanging="332"/>
        <w:spacing w:after="0" w:line="255" w:lineRule="auto"/>
        <w:tabs>
          <w:tab w:leader="none" w:pos="335" w:val="left"/>
        </w:tabs>
        <w:numPr>
          <w:ilvl w:val="0"/>
          <w:numId w:val="193"/>
        </w:numPr>
        <w:rPr>
          <w:rFonts w:ascii="Times New Roman" w:cs="Times New Roman" w:eastAsia="Times New Roman" w:hAnsi="Times New Roman"/>
          <w:sz w:val="18"/>
          <w:szCs w:val="18"/>
          <w:color w:val="auto"/>
        </w:rPr>
      </w:pPr>
      <w:r>
        <w:rPr>
          <w:rFonts w:ascii="Arial" w:cs="Arial" w:eastAsia="Arial" w:hAnsi="Arial"/>
          <w:sz w:val="18"/>
          <w:szCs w:val="18"/>
          <w:color w:val="auto"/>
        </w:rPr>
        <w:t>credit rating agencies (provided that the information is disclosed for the purpose of assisting the agency to formulate a credit rating and the agency’s ratings generally are or will be publicly available).</w:t>
      </w:r>
    </w:p>
    <w:p>
      <w:pPr>
        <w:spacing w:after="0" w:line="153"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If you are ever unsure of whether or not communications are reasonably necessary in the necessary course of business, speak to the Head of Legal.</w:t>
      </w:r>
    </w:p>
    <w:p>
      <w:pPr>
        <w:spacing w:after="0" w:line="112" w:lineRule="exact"/>
        <w:rPr>
          <w:sz w:val="20"/>
          <w:szCs w:val="20"/>
          <w:color w:val="auto"/>
        </w:rPr>
      </w:pPr>
    </w:p>
    <w:p>
      <w:pPr>
        <w:ind w:left="320" w:hanging="315"/>
        <w:spacing w:after="0"/>
        <w:tabs>
          <w:tab w:leader="none" w:pos="32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MATERIAL INFORMATION</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Information</w:t>
      </w:r>
      <w:r>
        <w:rPr>
          <w:rFonts w:ascii="Arial" w:cs="Arial" w:eastAsia="Arial" w:hAnsi="Arial"/>
          <w:sz w:val="18"/>
          <w:szCs w:val="18"/>
          <w:color w:val="auto"/>
        </w:rPr>
        <w:t>” includes, without limitation, any of the following:</w:t>
      </w:r>
    </w:p>
    <w:p>
      <w:pPr>
        <w:spacing w:after="0" w:line="185" w:lineRule="exact"/>
        <w:rPr>
          <w:sz w:val="20"/>
          <w:szCs w:val="20"/>
          <w:color w:val="auto"/>
        </w:rPr>
      </w:pPr>
    </w:p>
    <w:p>
      <w:pPr>
        <w:ind w:left="340" w:hanging="332"/>
        <w:spacing w:after="0" w:line="239" w:lineRule="auto"/>
        <w:tabs>
          <w:tab w:leader="none" w:pos="335" w:val="left"/>
        </w:tabs>
        <w:numPr>
          <w:ilvl w:val="0"/>
          <w:numId w:val="195"/>
        </w:numPr>
        <w:rPr>
          <w:rFonts w:ascii="Times New Roman" w:cs="Times New Roman" w:eastAsia="Times New Roman" w:hAnsi="Times New Roman"/>
          <w:sz w:val="18"/>
          <w:szCs w:val="18"/>
          <w:color w:val="auto"/>
        </w:rPr>
      </w:pPr>
      <w:r>
        <w:rPr>
          <w:rFonts w:ascii="Arial" w:cs="Arial" w:eastAsia="Arial" w:hAnsi="Arial"/>
          <w:sz w:val="18"/>
          <w:szCs w:val="18"/>
          <w:color w:val="auto"/>
        </w:rPr>
        <w:t>any fact that significantly affects, or would reasonably be expected to have a significant effect on, the market price or value of an issuer’s securities;</w:t>
      </w:r>
    </w:p>
    <w:p>
      <w:pPr>
        <w:spacing w:after="0" w:line="1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5"/>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if there is a substantial likelihood that a reasonable investor would consider it important in making an investment decision;</w:t>
      </w:r>
    </w:p>
    <w:p>
      <w:pPr>
        <w:spacing w:after="0" w:line="19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5"/>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that would significantly alter the total mix of information available to investors;</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5"/>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that could reasonably be expected to have a significant effect on the market price or value of an issuer’s securities; or</w:t>
      </w:r>
    </w:p>
    <w:p>
      <w:pPr>
        <w:spacing w:after="0" w:line="183" w:lineRule="exact"/>
        <w:rPr>
          <w:rFonts w:ascii="Times New Roman" w:cs="Times New Roman" w:eastAsia="Times New Roman" w:hAnsi="Times New Roman"/>
          <w:sz w:val="18"/>
          <w:szCs w:val="18"/>
          <w:color w:val="auto"/>
        </w:rPr>
      </w:pPr>
    </w:p>
    <w:p>
      <w:pPr>
        <w:ind w:left="340" w:hanging="332"/>
        <w:spacing w:after="0" w:line="255" w:lineRule="auto"/>
        <w:tabs>
          <w:tab w:leader="none" w:pos="335" w:val="left"/>
        </w:tabs>
        <w:numPr>
          <w:ilvl w:val="0"/>
          <w:numId w:val="195"/>
        </w:numPr>
        <w:rPr>
          <w:rFonts w:ascii="Times New Roman" w:cs="Times New Roman" w:eastAsia="Times New Roman" w:hAnsi="Times New Roman"/>
          <w:sz w:val="18"/>
          <w:szCs w:val="18"/>
          <w:color w:val="auto"/>
        </w:rPr>
      </w:pPr>
      <w:r>
        <w:rPr>
          <w:rFonts w:ascii="Arial" w:cs="Arial" w:eastAsia="Arial" w:hAnsi="Arial"/>
          <w:sz w:val="18"/>
          <w:szCs w:val="18"/>
          <w:color w:val="auto"/>
        </w:rPr>
        <w:t>if the Board or executive team has made a decision to implement a material change – even if such change has not yet occurred – the decision itself may be Material Information.</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Either good or bad information may be Material Information. Some examples of information that may be considered to be Material Information are listed in Appendix “A” hereto.</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What does it mean for Material Information to be publicly available?</w:t>
      </w:r>
    </w:p>
    <w:p>
      <w:pPr>
        <w:spacing w:after="0" w:line="19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Material Information about Zymeworks should always be considered to be non-public unless the information has been widely distributed in a manner making it generally available to investors, such as when Zymeworks has: (i) issued a press release or (ii) made a regulatory filing with applicable Canadian securities regulators or the U.S.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about the information, and a reasonable period of time has passed for the markets to react to the information and investors have had time to buy or sell based on the information.</w:t>
      </w:r>
    </w:p>
    <w:p>
      <w:pPr>
        <w:spacing w:after="0" w:line="139"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Material Information has to be distributed by Zymeworks to be publicly available – the circulation of rumours, even if accurate and reported in the media (print, web, social), does not constitute effective public dissemination.</w:t>
      </w:r>
    </w:p>
    <w:p>
      <w:pPr>
        <w:spacing w:after="0" w:line="112" w:lineRule="exact"/>
        <w:rPr>
          <w:sz w:val="20"/>
          <w:szCs w:val="20"/>
          <w:color w:val="auto"/>
        </w:rPr>
      </w:pPr>
    </w:p>
    <w:p>
      <w:pPr>
        <w:ind w:left="340" w:right="6280" w:hanging="332"/>
        <w:spacing w:after="0" w:line="469" w:lineRule="auto"/>
        <w:tabs>
          <w:tab w:leader="none" w:pos="332"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BLACKOUT PERIODS; PRE-CLEARANCE OF TRADES </w:t>
      </w:r>
      <w:r>
        <w:rPr>
          <w:rFonts w:ascii="Arial" w:cs="Arial" w:eastAsia="Arial" w:hAnsi="Arial"/>
          <w:sz w:val="18"/>
          <w:szCs w:val="18"/>
          <w:b w:val="1"/>
          <w:bCs w:val="1"/>
          <w:i w:val="1"/>
          <w:iCs w:val="1"/>
          <w:color w:val="auto"/>
        </w:rPr>
        <w:t>Special Blackout Periods</w:t>
      </w:r>
    </w:p>
    <w:p>
      <w:pPr>
        <w:spacing w:after="0" w:line="1"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addition to the general prohibition against insider trading, tipping and recommending described above, Zymeworks may, from time to time, impose blackout periods on some or all insiders, during which they cannot buy or sell Zymeworks Securities. If insiders receive a notice not to trade, they are prohibited from trading in Zymeworks Securities until they are notified by the Head of Legal that the blackout period has ended. Insiders shall not advise others as to the existence of the blackout period.</w:t>
      </w:r>
    </w:p>
    <w:p>
      <w:pPr>
        <w:spacing w:after="0" w:line="13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Orders placed with a broker should be cancellable upon the start of any blackout period.</w:t>
      </w:r>
    </w:p>
    <w:p>
      <w:pPr>
        <w:spacing w:after="0" w:line="184" w:lineRule="exact"/>
        <w:rPr>
          <w:rFonts w:ascii="Arial" w:cs="Arial" w:eastAsia="Arial" w:hAnsi="Arial"/>
          <w:sz w:val="18"/>
          <w:szCs w:val="18"/>
          <w:b w:val="1"/>
          <w:bCs w:val="1"/>
          <w:color w:val="auto"/>
        </w:rPr>
      </w:pPr>
    </w:p>
    <w:p>
      <w:pPr>
        <w:ind w:left="340" w:right="20"/>
        <w:spacing w:after="0" w:line="28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Covered Persons are never permitted to trade with knowledge of any non-public Material Information, regardless of whether or not there is a blackout period in effect.</w:t>
      </w:r>
    </w:p>
    <w:p>
      <w:pPr>
        <w:spacing w:after="0" w:line="1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Quarterly Blackout Periods</w:t>
      </w:r>
    </w:p>
    <w:p>
      <w:pPr>
        <w:spacing w:after="0" w:line="182"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All directors, officers and current employees of the Company must refrain from conducting transactions involving the Company’s securities during quarterly blackout periods. Individuals subject to quarterly blackout periods will be informed by the Head of Legal that they are listed on the covered persons list maintained by the Head of Legal (the “</w:t>
      </w:r>
      <w:r>
        <w:rPr>
          <w:rFonts w:ascii="Arial" w:cs="Arial" w:eastAsia="Arial" w:hAnsi="Arial"/>
          <w:sz w:val="18"/>
          <w:szCs w:val="18"/>
          <w:b w:val="1"/>
          <w:bCs w:val="1"/>
          <w:color w:val="auto"/>
        </w:rPr>
        <w:t>Covered Persons List</w:t>
      </w:r>
      <w:r>
        <w:rPr>
          <w:rFonts w:ascii="Arial" w:cs="Arial" w:eastAsia="Arial" w:hAnsi="Arial"/>
          <w:sz w:val="18"/>
          <w:szCs w:val="18"/>
          <w:color w:val="auto"/>
        </w:rPr>
        <w:t>”). 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42"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Quarterly blackout periods will start at the end of the trading day on the seventh (7</w:t>
      </w:r>
      <w:r>
        <w:rPr>
          <w:rFonts w:ascii="Arial" w:cs="Arial" w:eastAsia="Arial" w:hAnsi="Arial"/>
          <w:sz w:val="23"/>
          <w:szCs w:val="23"/>
          <w:color w:val="auto"/>
          <w:vertAlign w:val="superscript"/>
        </w:rPr>
        <w:t>th</w:t>
      </w:r>
      <w:r>
        <w:rPr>
          <w:rFonts w:ascii="Arial" w:cs="Arial" w:eastAsia="Arial" w:hAnsi="Arial"/>
          <w:sz w:val="18"/>
          <w:szCs w:val="18"/>
          <w:color w:val="auto"/>
        </w:rPr>
        <w:t>) calendar day prior to the filing date of the Company’s Form 10-K or Form 10-Q for the recently completed fiscal period and will end at the end of the first full trading day following filing of such Form 10-K or Form 10-Q.</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spacing w:after="0" w:line="142"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From time to time, the Company may identify other persons who should be subject to quarterly blackout periods, and the Head of Legal may update and revise the Covered Persons List as appropriate.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Pre-clearance</w:t>
      </w:r>
    </w:p>
    <w:p>
      <w:pPr>
        <w:spacing w:after="0" w:line="18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All directors and officers and any other persons identified by the Head of Legal as being subject to pre-clearance requirements must obtain pre-clearance prior to trading Zymeworks Securities. If you are subject to pre-clearance requirements, you should submit a pre-clearance request to the Head of Legal at least two business days prior to your desired trade date. The pre-clearance request must be made on the form provided by the Head of Legal. The person requesting pre-clearance will be asked to certify that he or she is not in possession of non-public Material Information. The Head of Legal is under no obligation to approve a transaction submitted for pre-clearance and may determine not to permit the transaction.</w:t>
      </w:r>
    </w:p>
    <w:p>
      <w:pPr>
        <w:spacing w:after="0" w:line="142"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If the Head of Legal is the requester, then the Company’s Chief Executive Officer, Chief Financial Officer, or their delegate, must pre-clear or deny any trade. All trades must be executed within two business days of any pre-clearance.</w:t>
      </w:r>
    </w:p>
    <w:p>
      <w:pPr>
        <w:spacing w:after="0" w:line="126"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Even after preclearance, a person may not trade in Zymeworks Securities if they become subject to a blackout period (either special or quarterly) or aware of non-public Material Information prior to the trade being executed.</w:t>
      </w:r>
    </w:p>
    <w:p>
      <w:pPr>
        <w:spacing w:after="0" w:line="112"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From time to time, the Head of Legal may identify other persons who should be subject to the pre-clearance requirements set forth above.</w:t>
      </w:r>
    </w:p>
    <w:p>
      <w:pPr>
        <w:spacing w:after="0" w:line="112" w:lineRule="exact"/>
        <w:rPr>
          <w:sz w:val="20"/>
          <w:szCs w:val="20"/>
          <w:color w:val="auto"/>
        </w:rPr>
      </w:pPr>
    </w:p>
    <w:p>
      <w:pPr>
        <w:ind w:left="320" w:hanging="312"/>
        <w:spacing w:after="0"/>
        <w:tabs>
          <w:tab w:leader="none" w:pos="32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OF VIOLATION</w:t>
      </w:r>
    </w:p>
    <w:p>
      <w:pPr>
        <w:spacing w:after="0" w:line="198"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consequences of insider trading or tipping can be severe and may include civil penalties, fines and criminal sanctions. Insiders who violate this Insider Trading Policy will also be subject to disciplinary action by Zymeworks, up to and including possible termination of employment or other relationship with Zymeworks. In addition to these penalties, persons sanctioned for violations of securities laws may be limited from engaging in other types of business in the future. If an insider were even accused of securities law violations it would have very damaging effects on their reputation and Zymeworks’ reputation.</w:t>
      </w:r>
    </w:p>
    <w:p>
      <w:pPr>
        <w:spacing w:after="0" w:line="152"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Insiders may also be liable for improper trading by any person to whom the insider has disclosed non-public Material Information or to whom the insider has made recommendations or expressed opinions as to trading in Zymeworks Securities. Securities regulators have imposed large penalties even when</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disclosing person did not profit from the trading. Securities regulators use sophisticated electronic surveillance techniques to uncover insider trading.</w:t>
      </w:r>
    </w:p>
    <w:p>
      <w:pPr>
        <w:spacing w:after="0" w:line="112" w:lineRule="exact"/>
        <w:rPr>
          <w:sz w:val="20"/>
          <w:szCs w:val="20"/>
          <w:color w:val="auto"/>
        </w:rPr>
      </w:pPr>
    </w:p>
    <w:p>
      <w:pPr>
        <w:ind w:left="320" w:hanging="312"/>
        <w:spacing w:after="0"/>
        <w:tabs>
          <w:tab w:leader="none" w:pos="32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PROTECTED ACTIVITY NOT PROHIBITED</w:t>
      </w:r>
    </w:p>
    <w:p>
      <w:pPr>
        <w:spacing w:after="0" w:line="198"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Nothing in this Insider Trading Policy, or any related guidelines or other documents or information provided in connection with this Insider Trading Policy, shall in any way limit or prohibit you from engaging in any of the protected activities set forth in Zymeworks’ Whistleblower Policy, as amended from time to time.</w:t>
      </w:r>
    </w:p>
    <w:p>
      <w:pPr>
        <w:spacing w:after="0" w:line="144" w:lineRule="exact"/>
        <w:rPr>
          <w:sz w:val="20"/>
          <w:szCs w:val="20"/>
          <w:color w:val="auto"/>
        </w:rPr>
      </w:pPr>
    </w:p>
    <w:p>
      <w:pPr>
        <w:ind w:left="320" w:hanging="312"/>
        <w:spacing w:after="0"/>
        <w:tabs>
          <w:tab w:leader="none" w:pos="32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INSIDERS</w:t>
      </w:r>
    </w:p>
    <w:p>
      <w:pPr>
        <w:spacing w:after="0" w:line="198"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Section 16 Reporting. </w:t>
      </w:r>
      <w:r>
        <w:rPr>
          <w:rFonts w:ascii="Arial" w:cs="Arial" w:eastAsia="Arial" w:hAnsi="Arial"/>
          <w:sz w:val="18"/>
          <w:szCs w:val="18"/>
          <w:color w:val="auto"/>
        </w:rPr>
        <w:t>Any director, executive officer or beneficial owner of more than 10% of the outstanding shares of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(collectively, “</w:t>
      </w:r>
      <w:r>
        <w:rPr>
          <w:rFonts w:ascii="Arial" w:cs="Arial" w:eastAsia="Arial" w:hAnsi="Arial"/>
          <w:sz w:val="18"/>
          <w:szCs w:val="18"/>
          <w:b w:val="1"/>
          <w:bCs w:val="1"/>
          <w:color w:val="auto"/>
        </w:rPr>
        <w:t>Reporting Insiders</w:t>
      </w:r>
      <w:r>
        <w:rPr>
          <w:rFonts w:ascii="Arial" w:cs="Arial" w:eastAsia="Arial" w:hAnsi="Arial"/>
          <w:sz w:val="18"/>
          <w:szCs w:val="18"/>
          <w:color w:val="auto"/>
        </w:rPr>
        <w:t>”) is subject to Section 16 of the Securities and Exchange Act of 1934, as amended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and must file Forms 3, 4 and 5, as applicable, with the SEC disclosing any changes in their direct and indirect pecuniary interest of</w:t>
      </w:r>
      <w:r>
        <w:rPr>
          <w:rFonts w:ascii="Arial" w:cs="Arial" w:eastAsia="Arial" w:hAnsi="Arial"/>
          <w:sz w:val="18"/>
          <w:szCs w:val="18"/>
          <w:b w:val="1"/>
          <w:bCs w:val="1"/>
          <w:color w:val="auto"/>
        </w:rPr>
        <w:t xml:space="preserve"> </w:t>
      </w:r>
      <w:r>
        <w:rPr>
          <w:rFonts w:ascii="Arial" w:cs="Arial" w:eastAsia="Arial" w:hAnsi="Arial"/>
          <w:sz w:val="18"/>
          <w:szCs w:val="18"/>
          <w:color w:val="auto"/>
        </w:rPr>
        <w:t>Zymeworks Securities. A Reporting Insider is required to disclose a reportable transaction in a Form 4 filed with the SEC before 10:00 p.m. Eastern on the second business day following such transaction.</w:t>
      </w:r>
    </w:p>
    <w:p>
      <w:pPr>
        <w:spacing w:after="0" w:line="138"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U.S. Securities Laws Restrictions and Exemptions; Rule 144. </w:t>
      </w:r>
      <w:r>
        <w:rPr>
          <w:rFonts w:ascii="Arial" w:cs="Arial" w:eastAsia="Arial" w:hAnsi="Arial"/>
          <w:sz w:val="18"/>
          <w:szCs w:val="18"/>
          <w:color w:val="auto"/>
        </w:rPr>
        <w:t>In addition, Reporting Insiders who sell Zymeworks Securities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through The Nasdaq Stock Market LLC must comply with the volume, manner of sale and notice requirements of Rule 144 under the U.S. Securities Act of 1933. Reporting Insiders who are considered “affiliates” of Zymeworks under U.S. securities laws by virtue of reasons other than being a member of the board of directors or officer (e.g. the Reporting Insider is a significant stockholder instead of a member of the board of directors or an officer) must also comply with additional requirements under U.S. federal securities laws in connection with sales of Zymeworks Securities, even if such sales take place outside the United States, and should consult legal counsel in advance of such sales.</w:t>
      </w:r>
    </w:p>
    <w:p>
      <w:pPr>
        <w:spacing w:after="0" w:line="142"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Filings. </w:t>
      </w:r>
      <w:r>
        <w:rPr>
          <w:rFonts w:ascii="Arial" w:cs="Arial" w:eastAsia="Arial" w:hAnsi="Arial"/>
          <w:sz w:val="18"/>
          <w:szCs w:val="18"/>
          <w:color w:val="auto"/>
        </w:rPr>
        <w:t>Reporting Insiders are legally responsible for ensuring that they are in compliance with reporting requirements, however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Head of Legal will, when asked, arrange to file the required insider reports with the securities regulatory authorities on behalf of the Reporting Insider. Such Reporting Insiders are responsible for ensuring the accuracy of any such reports. While Zymeworks may assist directors or executive officers of the Company with filing the required reports and forms, such directors or executive officers have the ultimate responsibility for complying with applicable securities laws in connection with their sale of Zymeworks Securities.</w:t>
      </w:r>
    </w:p>
    <w:p>
      <w:pPr>
        <w:spacing w:after="0" w:line="152" w:lineRule="exact"/>
        <w:rPr>
          <w:rFonts w:ascii="Arial" w:cs="Arial" w:eastAsia="Arial" w:hAnsi="Arial"/>
          <w:sz w:val="18"/>
          <w:szCs w:val="18"/>
          <w:b w:val="1"/>
          <w:bCs w:val="1"/>
          <w:color w:val="auto"/>
        </w:rPr>
      </w:pPr>
    </w:p>
    <w:p>
      <w:pPr>
        <w:ind w:left="3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Directors and executive officers are required to promptly provide a copy of any insider trading reports to the Head of Legal so that Zymeworks may update its records.</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RULE 10B5-1 TRADING PLANS; AUTOMATIC SECURITIES DISPOSITION PLANS</w:t>
      </w:r>
    </w:p>
    <w:p>
      <w:pPr>
        <w:spacing w:after="0" w:line="198" w:lineRule="exact"/>
        <w:rPr>
          <w:rFonts w:ascii="Arial" w:cs="Arial" w:eastAsia="Arial" w:hAnsi="Arial"/>
          <w:sz w:val="18"/>
          <w:szCs w:val="18"/>
          <w:b w:val="1"/>
          <w:bCs w:val="1"/>
          <w:color w:val="auto"/>
        </w:rPr>
      </w:pPr>
    </w:p>
    <w:p>
      <w:pPr>
        <w:jc w:val="both"/>
        <w:ind w:left="3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A Rule 10b5-1 trading plan (“</w:t>
      </w:r>
      <w:r>
        <w:rPr>
          <w:rFonts w:ascii="Arial" w:cs="Arial" w:eastAsia="Arial" w:hAnsi="Arial"/>
          <w:sz w:val="18"/>
          <w:szCs w:val="18"/>
          <w:b w:val="1"/>
          <w:bCs w:val="1"/>
          <w:color w:val="auto"/>
        </w:rPr>
        <w:t>10b5-1 Plan</w:t>
      </w:r>
      <w:r>
        <w:rPr>
          <w:rFonts w:ascii="Arial" w:cs="Arial" w:eastAsia="Arial" w:hAnsi="Arial"/>
          <w:sz w:val="18"/>
          <w:szCs w:val="18"/>
          <w:color w:val="auto"/>
        </w:rPr>
        <w:t>”) or an automatic securities disposition plan (“</w:t>
      </w:r>
      <w:r>
        <w:rPr>
          <w:rFonts w:ascii="Arial" w:cs="Arial" w:eastAsia="Arial" w:hAnsi="Arial"/>
          <w:sz w:val="18"/>
          <w:szCs w:val="18"/>
          <w:b w:val="1"/>
          <w:bCs w:val="1"/>
          <w:color w:val="auto"/>
        </w:rPr>
        <w:t>ASDP</w:t>
      </w:r>
      <w:r>
        <w:rPr>
          <w:rFonts w:ascii="Arial" w:cs="Arial" w:eastAsia="Arial" w:hAnsi="Arial"/>
          <w:sz w:val="18"/>
          <w:szCs w:val="18"/>
          <w:color w:val="auto"/>
        </w:rPr>
        <w:t>” and together with 10b5-1 Plan, “</w:t>
      </w:r>
      <w:r>
        <w:rPr>
          <w:rFonts w:ascii="Arial" w:cs="Arial" w:eastAsia="Arial" w:hAnsi="Arial"/>
          <w:sz w:val="18"/>
          <w:szCs w:val="18"/>
          <w:b w:val="1"/>
          <w:bCs w:val="1"/>
          <w:color w:val="auto"/>
        </w:rPr>
        <w:t>Trading</w:t>
      </w:r>
      <w:r>
        <w:rPr>
          <w:rFonts w:ascii="Arial" w:cs="Arial" w:eastAsia="Arial" w:hAnsi="Arial"/>
          <w:sz w:val="18"/>
          <w:szCs w:val="18"/>
          <w:color w:val="auto"/>
        </w:rPr>
        <w:t xml:space="preserve"> </w:t>
      </w:r>
      <w:r>
        <w:rPr>
          <w:rFonts w:ascii="Arial" w:cs="Arial" w:eastAsia="Arial" w:hAnsi="Arial"/>
          <w:sz w:val="18"/>
          <w:szCs w:val="18"/>
          <w:b w:val="1"/>
          <w:bCs w:val="1"/>
          <w:color w:val="auto"/>
        </w:rPr>
        <w:t>Plans</w:t>
      </w:r>
      <w:r>
        <w:rPr>
          <w:rFonts w:ascii="Arial" w:cs="Arial" w:eastAsia="Arial" w:hAnsi="Arial"/>
          <w:sz w:val="18"/>
          <w:szCs w:val="18"/>
          <w:color w:val="auto"/>
        </w:rPr>
        <w:t>”) is a plan established by an insider with a broker while the insider is not in possession of any non-public Material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not subject to a blackout period (either special or quarterly), to allow, for example, for exercises of options or dispositions in accordance with pre-arranged instructions, which can then occur even if the insider would not otherwise be allowed to trade.</w:t>
      </w:r>
    </w:p>
    <w:p>
      <w:pPr>
        <w:spacing w:after="0" w:line="135"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Board has approved in principle the adoption by insiders of Trading Plans and Zymeworks will participate in the establishment of Trading Plans in accordance with this Insider Trading Policy as long as a Trading Plan complies with all applicable Canadian and U.S. securities laws. See Appendix “B” hereto for more detail on Trading Plans.</w:t>
      </w:r>
    </w:p>
    <w:p>
      <w:pPr>
        <w:spacing w:after="0" w:line="143" w:lineRule="exact"/>
        <w:rPr>
          <w:rFonts w:ascii="Arial" w:cs="Arial" w:eastAsia="Arial" w:hAnsi="Arial"/>
          <w:sz w:val="18"/>
          <w:szCs w:val="18"/>
          <w:b w:val="1"/>
          <w:bCs w:val="1"/>
          <w:color w:val="auto"/>
        </w:rPr>
      </w:pPr>
    </w:p>
    <w:p>
      <w:pPr>
        <w:ind w:left="300" w:hanging="292"/>
        <w:spacing w:after="0"/>
        <w:tabs>
          <w:tab w:leader="none" w:pos="30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LEGAL CAUTION</w:t>
      </w:r>
    </w:p>
    <w:p>
      <w:pPr>
        <w:spacing w:after="0" w:line="198"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This Insider Trading Policy is only a general framework and should be viewed as the minimum standard for compliance with insider trading laws. Every insider has the ultimate responsibility for complying with insider trading laws. Questions about the Insider Trading Policy may be directed to the Head of Legal.</w:t>
      </w:r>
    </w:p>
    <w:p>
      <w:pPr>
        <w:spacing w:after="0" w:line="130"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Board may, from time to time, permit departures from the terms hereof, either prospectively or retrospectively, and no provision contained herein is intended to give rise to civil liability to stockholders, competitors, employees or other persons, or to any other liability whatsoever.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Dated:</w:t>
        <w:tab/>
        <w:t>December 11, 2025</w:t>
      </w:r>
    </w:p>
    <w:p>
      <w:pPr>
        <w:spacing w:after="0" w:line="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Approved by:</w:t>
        <w:tab/>
        <w:t>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are examples of the types of events or information that may be Material Information. This list is not exhaustive and is not a substitute for exercising judgment in making materiality determinations. In making materiality judgments, it is necessary to take into account a number of factors that cannot be captured in a single bright-line standard or 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Corporate Structure</w:t>
      </w:r>
    </w:p>
    <w:p>
      <w:pPr>
        <w:spacing w:after="0" w:line="117" w:lineRule="exact"/>
        <w:rPr>
          <w:sz w:val="20"/>
          <w:szCs w:val="20"/>
          <w:color w:val="auto"/>
        </w:rPr>
      </w:pPr>
    </w:p>
    <w:p>
      <w:pPr>
        <w:ind w:left="320" w:hanging="312"/>
        <w:spacing w:after="0"/>
        <w:tabs>
          <w:tab w:leader="none" w:pos="320" w:val="left"/>
        </w:tabs>
        <w:numPr>
          <w:ilvl w:val="0"/>
          <w:numId w:val="20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share ownership that may affect control of the Company.</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1"/>
        </w:numPr>
        <w:rPr>
          <w:rFonts w:ascii="Times New Roman" w:cs="Times New Roman" w:eastAsia="Times New Roman" w:hAnsi="Times New Roman"/>
          <w:sz w:val="18"/>
          <w:szCs w:val="18"/>
          <w:color w:val="auto"/>
        </w:rPr>
      </w:pPr>
      <w:r>
        <w:rPr>
          <w:rFonts w:ascii="Arial" w:cs="Arial" w:eastAsia="Arial" w:hAnsi="Arial"/>
          <w:sz w:val="18"/>
          <w:szCs w:val="18"/>
          <w:color w:val="auto"/>
        </w:rPr>
        <w:t>major reorganizations, amalgamations or mergers.</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1"/>
        </w:numPr>
        <w:rPr>
          <w:rFonts w:ascii="Times New Roman" w:cs="Times New Roman" w:eastAsia="Times New Roman" w:hAnsi="Times New Roman"/>
          <w:sz w:val="18"/>
          <w:szCs w:val="18"/>
          <w:color w:val="auto"/>
        </w:rPr>
      </w:pPr>
      <w:r>
        <w:rPr>
          <w:rFonts w:ascii="Arial" w:cs="Arial" w:eastAsia="Arial" w:hAnsi="Arial"/>
          <w:sz w:val="18"/>
          <w:szCs w:val="18"/>
          <w:color w:val="auto"/>
        </w:rPr>
        <w:t>take-over bids, issuer bids or insider bids.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 Structure</w:t>
      </w:r>
    </w:p>
    <w:p>
      <w:pPr>
        <w:spacing w:after="0" w:line="117" w:lineRule="exact"/>
        <w:rPr>
          <w:sz w:val="20"/>
          <w:szCs w:val="20"/>
          <w:color w:val="auto"/>
        </w:rPr>
      </w:pPr>
    </w:p>
    <w:p>
      <w:pPr>
        <w:ind w:left="320" w:hanging="312"/>
        <w:spacing w:after="0"/>
        <w:tabs>
          <w:tab w:leader="none" w:pos="32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 or private sale of additional securities.</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planned repurchases or redemptions of securities.</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planned splits of shares or offerings of warrants or rights to buy shares.</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any share consolidation, share exchange or stock dividend.</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initiation of a proxy fight.</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material modifications to rights of security 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Results</w:t>
      </w:r>
    </w:p>
    <w:p>
      <w:pPr>
        <w:spacing w:after="0" w:line="117" w:lineRule="exact"/>
        <w:rPr>
          <w:sz w:val="20"/>
          <w:szCs w:val="20"/>
          <w:color w:val="auto"/>
        </w:rPr>
      </w:pPr>
    </w:p>
    <w:p>
      <w:pPr>
        <w:ind w:left="320" w:hanging="312"/>
        <w:spacing w:after="0"/>
        <w:tabs>
          <w:tab w:leader="none" w:pos="320" w:val="left"/>
        </w:tabs>
        <w:numPr>
          <w:ilvl w:val="0"/>
          <w:numId w:val="203"/>
        </w:numPr>
        <w:rPr>
          <w:rFonts w:ascii="Times New Roman" w:cs="Times New Roman" w:eastAsia="Times New Roman" w:hAnsi="Times New Roman"/>
          <w:sz w:val="18"/>
          <w:szCs w:val="18"/>
          <w:color w:val="auto"/>
        </w:rPr>
      </w:pPr>
      <w:r>
        <w:rPr>
          <w:rFonts w:ascii="Arial" w:cs="Arial" w:eastAsia="Arial" w:hAnsi="Arial"/>
          <w:sz w:val="18"/>
          <w:szCs w:val="18"/>
          <w:color w:val="auto"/>
        </w:rPr>
        <w:t>a significant increase or decrease in earnings.</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3"/>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the financial results for any periods.</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3"/>
        </w:numPr>
        <w:rPr>
          <w:rFonts w:ascii="Times New Roman" w:cs="Times New Roman" w:eastAsia="Times New Roman" w:hAnsi="Times New Roman"/>
          <w:sz w:val="18"/>
          <w:szCs w:val="18"/>
          <w:color w:val="auto"/>
        </w:rPr>
      </w:pPr>
      <w:r>
        <w:rPr>
          <w:rFonts w:ascii="Arial" w:cs="Arial" w:eastAsia="Arial" w:hAnsi="Arial"/>
          <w:sz w:val="18"/>
          <w:szCs w:val="18"/>
          <w:color w:val="auto"/>
        </w:rPr>
        <w:t>shifts in financial circumstances, such as cash flow reductions, major asset write-offs or write-downs.</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value or composition of the Company’s assets.</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3"/>
        </w:numPr>
        <w:rPr>
          <w:rFonts w:ascii="Times New Roman" w:cs="Times New Roman" w:eastAsia="Times New Roman" w:hAnsi="Times New Roman"/>
          <w:sz w:val="18"/>
          <w:szCs w:val="18"/>
          <w:color w:val="auto"/>
        </w:rPr>
      </w:pPr>
      <w:r>
        <w:rPr>
          <w:rFonts w:ascii="Arial" w:cs="Arial" w:eastAsia="Arial" w:hAnsi="Arial"/>
          <w:sz w:val="18"/>
          <w:szCs w:val="18"/>
          <w:color w:val="auto"/>
        </w:rPr>
        <w:t>any material change in the Company’s accounting policy.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Business and Operations</w:t>
      </w:r>
    </w:p>
    <w:p>
      <w:pPr>
        <w:spacing w:after="0" w:line="104" w:lineRule="exact"/>
        <w:rPr>
          <w:sz w:val="20"/>
          <w:szCs w:val="20"/>
          <w:color w:val="auto"/>
        </w:rPr>
      </w:pPr>
    </w:p>
    <w:p>
      <w:pPr>
        <w:ind w:left="320" w:hanging="312"/>
        <w:spacing w:after="0"/>
        <w:tabs>
          <w:tab w:leader="none" w:pos="320" w:val="left"/>
        </w:tabs>
        <w:numPr>
          <w:ilvl w:val="0"/>
          <w:numId w:val="204"/>
        </w:numPr>
        <w:rPr>
          <w:rFonts w:ascii="Times New Roman" w:cs="Times New Roman" w:eastAsia="Times New Roman" w:hAnsi="Times New Roman"/>
          <w:sz w:val="18"/>
          <w:szCs w:val="18"/>
          <w:color w:val="auto"/>
        </w:rPr>
      </w:pPr>
      <w:r>
        <w:rPr>
          <w:rFonts w:ascii="Arial" w:cs="Arial" w:eastAsia="Arial" w:hAnsi="Arial"/>
          <w:sz w:val="18"/>
          <w:szCs w:val="18"/>
          <w:color w:val="auto"/>
        </w:rPr>
        <w:t>any development that affects the Company’s research, products or markets.</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4"/>
        </w:numPr>
        <w:rPr>
          <w:rFonts w:ascii="Times New Roman" w:cs="Times New Roman" w:eastAsia="Times New Roman" w:hAnsi="Times New Roman"/>
          <w:sz w:val="18"/>
          <w:szCs w:val="18"/>
          <w:color w:val="auto"/>
        </w:rPr>
      </w:pPr>
      <w:r>
        <w:rPr>
          <w:rFonts w:ascii="Arial" w:cs="Arial" w:eastAsia="Arial" w:hAnsi="Arial"/>
          <w:sz w:val="18"/>
          <w:szCs w:val="18"/>
          <w:color w:val="auto"/>
        </w:rPr>
        <w:t>a significant change in capital investment plans or corporate objectives.</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4"/>
        </w:numPr>
        <w:rPr>
          <w:rFonts w:ascii="Times New Roman" w:cs="Times New Roman" w:eastAsia="Times New Roman" w:hAnsi="Times New Roman"/>
          <w:sz w:val="18"/>
          <w:szCs w:val="18"/>
          <w:color w:val="auto"/>
        </w:rPr>
      </w:pPr>
      <w:r>
        <w:rPr>
          <w:rFonts w:ascii="Arial" w:cs="Arial" w:eastAsia="Arial" w:hAnsi="Arial"/>
          <w:sz w:val="18"/>
          <w:szCs w:val="18"/>
          <w:color w:val="auto"/>
        </w:rPr>
        <w:t>product and research developments, clinical results, approval and other regulatory actions.</w:t>
      </w:r>
    </w:p>
    <w:p>
      <w:pPr>
        <w:spacing w:after="0" w:line="8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4"/>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inspections.</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new contracts, products or patents or significant losses of contracts or business.</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4"/>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the board of directors, executive management or employee layoffs.</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40" w:right="339" w:bottom="144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1D1C1D"/>
          <w:highlight w:val="white"/>
        </w:rPr>
        <w:t>Non-GxP-POL-0016</w:t>
      </w:r>
    </w:p>
    <w:p>
      <w:pPr>
        <w:sectPr>
          <w:pgSz w:w="11900" w:h="16838" w:orient="portrait"/>
          <w:cols w:equalWidth="0" w:num="1">
            <w:col w:w="11240"/>
          </w:cols>
          <w:pgMar w:left="320" w:top="1440" w:right="339" w:bottom="1440" w:gutter="0" w:footer="0" w:header="0"/>
          <w:type w:val="continuous"/>
        </w:sectPr>
      </w:pPr>
    </w:p>
    <w:bookmarkStart w:id="273" w:name="page274"/>
    <w:bookmarkEnd w:id="2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0" w:hanging="312"/>
        <w:spacing w:after="0"/>
        <w:tabs>
          <w:tab w:leader="none" w:pos="320" w:val="left"/>
        </w:tabs>
        <w:numPr>
          <w:ilvl w:val="0"/>
          <w:numId w:val="205"/>
        </w:numPr>
        <w:rPr>
          <w:rFonts w:ascii="Times New Roman" w:cs="Times New Roman" w:eastAsia="Times New Roman" w:hAnsi="Times New Roman"/>
          <w:sz w:val="18"/>
          <w:szCs w:val="18"/>
          <w:color w:val="auto"/>
        </w:rPr>
      </w:pPr>
      <w:r>
        <w:rPr>
          <w:rFonts w:ascii="Arial" w:cs="Arial" w:eastAsia="Arial" w:hAnsi="Arial"/>
          <w:sz w:val="18"/>
          <w:szCs w:val="18"/>
          <w:color w:val="auto"/>
        </w:rPr>
        <w:t>the commencement of, or developments in, material legal proceedings or regulatory matters.</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5"/>
        </w:numPr>
        <w:rPr>
          <w:rFonts w:ascii="Times New Roman" w:cs="Times New Roman" w:eastAsia="Times New Roman" w:hAnsi="Times New Roman"/>
          <w:sz w:val="18"/>
          <w:szCs w:val="18"/>
          <w:color w:val="auto"/>
        </w:rPr>
      </w:pPr>
      <w:r>
        <w:rPr>
          <w:rFonts w:ascii="Arial" w:cs="Arial" w:eastAsia="Arial" w:hAnsi="Arial"/>
          <w:sz w:val="18"/>
          <w:szCs w:val="18"/>
          <w:color w:val="auto"/>
        </w:rPr>
        <w:t>waivers of corporate ethics and conduct rules for directors, officers and other key employees.</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5"/>
        </w:numPr>
        <w:rPr>
          <w:rFonts w:ascii="Times New Roman" w:cs="Times New Roman" w:eastAsia="Times New Roman" w:hAnsi="Times New Roman"/>
          <w:sz w:val="18"/>
          <w:szCs w:val="18"/>
          <w:color w:val="auto"/>
        </w:rPr>
      </w:pPr>
      <w:r>
        <w:rPr>
          <w:rFonts w:ascii="Arial" w:cs="Arial" w:eastAsia="Arial" w:hAnsi="Arial"/>
          <w:sz w:val="18"/>
          <w:szCs w:val="18"/>
          <w:color w:val="auto"/>
        </w:rPr>
        <w:t>any notice that reliance on a prior audit is no longer permissible.</w:t>
      </w:r>
    </w:p>
    <w:p>
      <w:pPr>
        <w:spacing w:after="0" w:line="8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5"/>
        </w:numPr>
        <w:rPr>
          <w:rFonts w:ascii="Times New Roman" w:cs="Times New Roman" w:eastAsia="Times New Roman" w:hAnsi="Times New Roman"/>
          <w:sz w:val="18"/>
          <w:szCs w:val="18"/>
          <w:color w:val="auto"/>
        </w:rPr>
      </w:pPr>
      <w:r>
        <w:rPr>
          <w:rFonts w:ascii="Arial" w:cs="Arial" w:eastAsia="Arial" w:hAnsi="Arial"/>
          <w:sz w:val="18"/>
          <w:szCs w:val="18"/>
          <w:color w:val="auto"/>
        </w:rPr>
        <w:t>de-listing of the Company’s securities or their movement from one quotation system or exchange to another.</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5"/>
        </w:numPr>
        <w:rPr>
          <w:rFonts w:ascii="Times New Roman" w:cs="Times New Roman" w:eastAsia="Times New Roman" w:hAnsi="Times New Roman"/>
          <w:sz w:val="18"/>
          <w:szCs w:val="18"/>
          <w:color w:val="auto"/>
        </w:rPr>
      </w:pPr>
      <w:r>
        <w:rPr>
          <w:rFonts w:ascii="Arial" w:cs="Arial" w:eastAsia="Arial" w:hAnsi="Arial"/>
          <w:sz w:val="18"/>
          <w:szCs w:val="18"/>
          <w:color w:val="auto"/>
        </w:rPr>
        <w:t>a cybersecurity incident or risk that may adversely impact the Company’s business, reputation or share value.</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5"/>
        </w:numPr>
        <w:rPr>
          <w:rFonts w:ascii="Times New Roman" w:cs="Times New Roman" w:eastAsia="Times New Roman" w:hAnsi="Times New Roman"/>
          <w:sz w:val="18"/>
          <w:szCs w:val="18"/>
          <w:color w:val="auto"/>
        </w:rPr>
      </w:pPr>
      <w:r>
        <w:rPr>
          <w:rFonts w:ascii="Arial" w:cs="Arial" w:eastAsia="Arial" w:hAnsi="Arial"/>
          <w:sz w:val="18"/>
          <w:szCs w:val="18"/>
          <w:color w:val="auto"/>
        </w:rPr>
        <w:t>the existence of a special blackout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w:t>
      </w:r>
    </w:p>
    <w:p>
      <w:pPr>
        <w:spacing w:after="0" w:line="117" w:lineRule="exact"/>
        <w:rPr>
          <w:sz w:val="20"/>
          <w:szCs w:val="20"/>
          <w:color w:val="auto"/>
        </w:rPr>
      </w:pPr>
    </w:p>
    <w:p>
      <w:pPr>
        <w:ind w:left="320" w:hanging="312"/>
        <w:spacing w:after="0"/>
        <w:tabs>
          <w:tab w:leader="none" w:pos="320" w:val="left"/>
        </w:tabs>
        <w:numPr>
          <w:ilvl w:val="0"/>
          <w:numId w:val="206"/>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acquisitions or dispositions of assets, property or joint venture interest.</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6"/>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of other companies, including a take-over bid, or merger with, another company.</w:t>
      </w:r>
    </w:p>
    <w:p>
      <w:pPr>
        <w:spacing w:after="0" w:line="116"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35" w:val="left"/>
        </w:tabs>
        <w:numPr>
          <w:ilvl w:val="0"/>
          <w:numId w:val="206"/>
        </w:numPr>
        <w:rPr>
          <w:rFonts w:ascii="Times New Roman" w:cs="Times New Roman" w:eastAsia="Times New Roman" w:hAnsi="Times New Roman"/>
          <w:sz w:val="18"/>
          <w:szCs w:val="18"/>
          <w:color w:val="auto"/>
        </w:rPr>
      </w:pPr>
      <w:r>
        <w:rPr>
          <w:rFonts w:ascii="Arial" w:cs="Arial" w:eastAsia="Arial" w:hAnsi="Arial"/>
          <w:sz w:val="18"/>
          <w:szCs w:val="18"/>
          <w:color w:val="auto"/>
        </w:rPr>
        <w:t>partnerships and collaborations; research or development agreements; in-licensing or out-licensing of products or product candidates; marketing, co-marketing and co-promotion agreements; acquisitions or other business combinations and strategic equity investments.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Credit Arrangements</w:t>
      </w:r>
    </w:p>
    <w:p>
      <w:pPr>
        <w:spacing w:after="0" w:line="117" w:lineRule="exact"/>
        <w:rPr>
          <w:sz w:val="20"/>
          <w:szCs w:val="20"/>
          <w:color w:val="auto"/>
        </w:rPr>
      </w:pPr>
    </w:p>
    <w:p>
      <w:pPr>
        <w:ind w:left="320" w:hanging="312"/>
        <w:spacing w:after="0"/>
        <w:tabs>
          <w:tab w:leader="none" w:pos="320" w:val="left"/>
        </w:tabs>
        <w:numPr>
          <w:ilvl w:val="0"/>
          <w:numId w:val="207"/>
        </w:numPr>
        <w:rPr>
          <w:rFonts w:ascii="Times New Roman" w:cs="Times New Roman" w:eastAsia="Times New Roman" w:hAnsi="Times New Roman"/>
          <w:sz w:val="18"/>
          <w:szCs w:val="18"/>
          <w:color w:val="auto"/>
        </w:rPr>
      </w:pPr>
      <w:r>
        <w:rPr>
          <w:rFonts w:ascii="Arial" w:cs="Arial" w:eastAsia="Arial" w:hAnsi="Arial"/>
          <w:sz w:val="18"/>
          <w:szCs w:val="18"/>
          <w:color w:val="auto"/>
        </w:rPr>
        <w:t>the borrowing or lending of a significant amount of money.</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7"/>
        </w:numPr>
        <w:rPr>
          <w:rFonts w:ascii="Times New Roman" w:cs="Times New Roman" w:eastAsia="Times New Roman" w:hAnsi="Times New Roman"/>
          <w:sz w:val="18"/>
          <w:szCs w:val="18"/>
          <w:color w:val="auto"/>
        </w:rPr>
      </w:pPr>
      <w:r>
        <w:rPr>
          <w:rFonts w:ascii="Arial" w:cs="Arial" w:eastAsia="Arial" w:hAnsi="Arial"/>
          <w:sz w:val="18"/>
          <w:szCs w:val="18"/>
          <w:color w:val="auto"/>
        </w:rPr>
        <w:t>any mortgaging or encumbering of the Company’s assets.</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7"/>
        </w:numPr>
        <w:rPr>
          <w:rFonts w:ascii="Times New Roman" w:cs="Times New Roman" w:eastAsia="Times New Roman" w:hAnsi="Times New Roman"/>
          <w:sz w:val="18"/>
          <w:szCs w:val="18"/>
          <w:color w:val="auto"/>
        </w:rPr>
      </w:pPr>
      <w:r>
        <w:rPr>
          <w:rFonts w:ascii="Arial" w:cs="Arial" w:eastAsia="Arial" w:hAnsi="Arial"/>
          <w:sz w:val="18"/>
          <w:szCs w:val="18"/>
          <w:color w:val="auto"/>
        </w:rPr>
        <w:t>defaults under debt obligations, agreements to restructure debt or planned enforcement procedures by a bank or any other creditors.</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rating agency decisions.</w:t>
      </w:r>
    </w:p>
    <w:p>
      <w:pPr>
        <w:spacing w:after="0" w:line="1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7"/>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new credit arrangements.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insider wishing to set up a Trading Plan must provide to the Head of Legal:</w:t>
      </w:r>
    </w:p>
    <w:p>
      <w:pPr>
        <w:spacing w:after="0" w:line="225" w:lineRule="exact"/>
        <w:rPr>
          <w:sz w:val="20"/>
          <w:szCs w:val="20"/>
          <w:color w:val="auto"/>
        </w:rPr>
      </w:pPr>
    </w:p>
    <w:p>
      <w:pPr>
        <w:jc w:val="both"/>
        <w:ind w:left="340" w:hanging="332"/>
        <w:spacing w:after="0" w:line="257" w:lineRule="auto"/>
        <w:tabs>
          <w:tab w:leader="none" w:pos="335" w:val="left"/>
        </w:tabs>
        <w:numPr>
          <w:ilvl w:val="0"/>
          <w:numId w:val="208"/>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 draft of the Trading Plan, including a schedule of planned transactions (e.g., exercises of options or dispositions) and representations by the insider that he or she (i) is not in possession of non-public Material Information, (ii) is entering into the Trading Plan in good faith and not as part of a plan or scheme to evade the prohibitions of Rule 10b5-1(c), Section 76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or other applicable securities laws and (iii) will act in good faith with respect to the Trading Plan. 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determining whether to clear the adoption of a Trading Plan by an insider, the Head of Legal will consider whether the Trading Plan complies with the following guidelines:</w:t>
      </w:r>
    </w:p>
    <w:p>
      <w:pPr>
        <w:spacing w:after="0" w:line="139" w:lineRule="exact"/>
        <w:rPr>
          <w:sz w:val="20"/>
          <w:szCs w:val="20"/>
          <w:color w:val="auto"/>
        </w:rPr>
      </w:pPr>
    </w:p>
    <w:p>
      <w:pPr>
        <w:jc w:val="both"/>
        <w:ind w:left="340" w:hanging="332"/>
        <w:spacing w:after="0" w:line="227" w:lineRule="auto"/>
        <w:tabs>
          <w:tab w:leader="none" w:pos="335" w:val="left"/>
        </w:tabs>
        <w:numPr>
          <w:ilvl w:val="0"/>
          <w:numId w:val="209"/>
        </w:numPr>
        <w:rPr>
          <w:rFonts w:ascii="Times New Roman" w:cs="Times New Roman" w:eastAsia="Times New Roman" w:hAnsi="Times New Roman"/>
          <w:sz w:val="18"/>
          <w:szCs w:val="18"/>
          <w:color w:val="auto"/>
        </w:rPr>
      </w:pPr>
      <w:r>
        <w:rPr>
          <w:rFonts w:ascii="Arial" w:cs="Arial" w:eastAsia="Arial" w:hAnsi="Arial"/>
          <w:sz w:val="18"/>
          <w:szCs w:val="18"/>
          <w:color w:val="auto"/>
        </w:rPr>
        <w:t>Operation of a Trading Plan: an insider must demonstrate that he or she (i) does not have decision-making ability over trading governed by the Trading Plan and (ii) cannot make “discrete investment decisions” through the Trading Plan. If the Trading Plan grants discretion to a stockbroker or other person with respect to the execution of trades under the Trading Plan:</w:t>
      </w:r>
    </w:p>
    <w:p>
      <w:pPr>
        <w:spacing w:after="0" w:line="73" w:lineRule="exact"/>
        <w:rPr>
          <w:rFonts w:ascii="Times New Roman" w:cs="Times New Roman" w:eastAsia="Times New Roman" w:hAnsi="Times New Roman"/>
          <w:sz w:val="18"/>
          <w:szCs w:val="18"/>
          <w:color w:val="auto"/>
        </w:rPr>
      </w:pPr>
    </w:p>
    <w:p>
      <w:pPr>
        <w:ind w:left="1620" w:hanging="640"/>
        <w:spacing w:after="0" w:line="287" w:lineRule="auto"/>
        <w:tabs>
          <w:tab w:leader="none" w:pos="160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trades made under the Trading Plan must be executed by someone other than the stockbroker or other person that executes trades in other securities for the person adopting the Trading Plan;</w:t>
      </w:r>
    </w:p>
    <w:p>
      <w:pPr>
        <w:spacing w:after="0" w:line="44" w:lineRule="exact"/>
        <w:rPr>
          <w:rFonts w:ascii="Arial" w:cs="Arial" w:eastAsia="Arial" w:hAnsi="Arial"/>
          <w:sz w:val="18"/>
          <w:szCs w:val="18"/>
          <w:color w:val="auto"/>
        </w:rPr>
      </w:pPr>
    </w:p>
    <w:p>
      <w:pPr>
        <w:ind w:left="1620" w:right="20" w:hanging="640"/>
        <w:spacing w:after="0" w:line="287" w:lineRule="auto"/>
        <w:tabs>
          <w:tab w:leader="none" w:pos="160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person adopting the Trading Plan may not confer with the person administering the Trading Plan regarding the Company or its securities; and</w:t>
      </w:r>
    </w:p>
    <w:p>
      <w:pPr>
        <w:spacing w:after="0" w:line="44" w:lineRule="exact"/>
        <w:rPr>
          <w:rFonts w:ascii="Arial" w:cs="Arial" w:eastAsia="Arial" w:hAnsi="Arial"/>
          <w:sz w:val="18"/>
          <w:szCs w:val="18"/>
          <w:color w:val="auto"/>
        </w:rPr>
      </w:pPr>
    </w:p>
    <w:p>
      <w:pPr>
        <w:ind w:left="1620" w:right="20" w:hanging="640"/>
        <w:spacing w:after="0" w:line="287" w:lineRule="auto"/>
        <w:tabs>
          <w:tab w:leader="none" w:pos="161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person administering the Trading Plan must provide prompt notice to the Company of the execution of a transaction pursuant to the Trading Plan.</w:t>
      </w:r>
    </w:p>
    <w:p>
      <w:pPr>
        <w:spacing w:after="0" w:line="139" w:lineRule="exact"/>
        <w:rPr>
          <w:rFonts w:ascii="Arial" w:cs="Arial" w:eastAsia="Arial" w:hAnsi="Arial"/>
          <w:sz w:val="18"/>
          <w:szCs w:val="18"/>
          <w:color w:val="auto"/>
        </w:rPr>
      </w:pPr>
    </w:p>
    <w:p>
      <w:pPr>
        <w:jc w:val="both"/>
        <w:ind w:left="340" w:hanging="332"/>
        <w:spacing w:after="0" w:line="218" w:lineRule="auto"/>
        <w:tabs>
          <w:tab w:leader="none" w:pos="335" w:val="left"/>
        </w:tabs>
        <w:numPr>
          <w:ilvl w:val="0"/>
          <w:numId w:val="209"/>
        </w:numPr>
        <w:rPr>
          <w:rFonts w:ascii="Times New Roman" w:cs="Times New Roman" w:eastAsia="Times New Roman" w:hAnsi="Times New Roman"/>
          <w:sz w:val="18"/>
          <w:szCs w:val="18"/>
          <w:color w:val="auto"/>
        </w:rPr>
      </w:pPr>
      <w:r>
        <w:rPr>
          <w:rFonts w:ascii="Arial" w:cs="Arial" w:eastAsia="Arial" w:hAnsi="Arial"/>
          <w:sz w:val="18"/>
          <w:szCs w:val="18"/>
          <w:color w:val="auto"/>
        </w:rPr>
        <w:t>Multiple, Overlapping Trading Plans: except as permitted by Rule 10b5-1(c), the insider adopting the Trading Plan may not have an outstanding (and may not subsequently enter into any additional) Trading Plan.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Head of Legal prior to the early termination of an existing Trading Plan.</w:t>
      </w:r>
    </w:p>
    <w:p>
      <w:pPr>
        <w:spacing w:after="0" w:line="154" w:lineRule="exact"/>
        <w:rPr>
          <w:rFonts w:ascii="Times New Roman" w:cs="Times New Roman" w:eastAsia="Times New Roman" w:hAnsi="Times New Roman"/>
          <w:sz w:val="18"/>
          <w:szCs w:val="18"/>
          <w:color w:val="auto"/>
        </w:rPr>
      </w:pPr>
    </w:p>
    <w:p>
      <w:pPr>
        <w:ind w:left="340" w:right="20" w:hanging="332"/>
        <w:spacing w:after="0" w:line="239" w:lineRule="auto"/>
        <w:tabs>
          <w:tab w:leader="none" w:pos="335" w:val="left"/>
        </w:tabs>
        <w:numPr>
          <w:ilvl w:val="0"/>
          <w:numId w:val="209"/>
        </w:numPr>
        <w:rPr>
          <w:rFonts w:ascii="Times New Roman" w:cs="Times New Roman" w:eastAsia="Times New Roman" w:hAnsi="Times New Roman"/>
          <w:sz w:val="18"/>
          <w:szCs w:val="18"/>
          <w:color w:val="auto"/>
        </w:rPr>
      </w:pPr>
      <w:r>
        <w:rPr>
          <w:rFonts w:ascii="Arial" w:cs="Arial" w:eastAsia="Arial" w:hAnsi="Arial"/>
          <w:sz w:val="18"/>
          <w:szCs w:val="18"/>
          <w:color w:val="auto"/>
        </w:rPr>
        <w:t>Single-Trade Plans: a person may adopt a Trading Plan designed to cover a single trade only once in any consecutive 12-month period except as permitted by Rule 10b5-1.</w:t>
      </w:r>
    </w:p>
    <w:p>
      <w:pPr>
        <w:spacing w:after="0" w:line="167" w:lineRule="exact"/>
        <w:rPr>
          <w:rFonts w:ascii="Times New Roman" w:cs="Times New Roman" w:eastAsia="Times New Roman" w:hAnsi="Times New Roman"/>
          <w:sz w:val="18"/>
          <w:szCs w:val="18"/>
          <w:color w:val="auto"/>
        </w:rPr>
      </w:pPr>
    </w:p>
    <w:p>
      <w:pPr>
        <w:jc w:val="both"/>
        <w:ind w:left="340" w:hanging="332"/>
        <w:spacing w:after="0" w:line="227" w:lineRule="auto"/>
        <w:tabs>
          <w:tab w:leader="none" w:pos="335" w:val="left"/>
        </w:tabs>
        <w:numPr>
          <w:ilvl w:val="0"/>
          <w:numId w:val="209"/>
        </w:numPr>
        <w:rPr>
          <w:rFonts w:ascii="Times New Roman" w:cs="Times New Roman" w:eastAsia="Times New Roman" w:hAnsi="Times New Roman"/>
          <w:sz w:val="18"/>
          <w:szCs w:val="18"/>
          <w:color w:val="auto"/>
        </w:rPr>
      </w:pPr>
      <w:r>
        <w:rPr>
          <w:rFonts w:ascii="Arial" w:cs="Arial" w:eastAsia="Arial" w:hAnsi="Arial"/>
          <w:sz w:val="18"/>
          <w:szCs w:val="18"/>
          <w:color w:val="auto"/>
        </w:rPr>
        <w:t>Timing for Adopting a Trading Plan: a Trading Plan may not be adopted, amended or terminated during a blackout period (either special, quarterly or other trading blackout) or during a time an insider is in possession of non-public Material Information. The insider will be required to provide their broker with a certificate from the Company confirming that the Company is aware of the Trading Plan and</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that, to the best of its knowledge, the insider is not in possession of any non-public Material Information.</w:t>
      </w:r>
    </w:p>
    <w:p>
      <w:pPr>
        <w:spacing w:after="0" w:line="185" w:lineRule="exact"/>
        <w:rPr>
          <w:sz w:val="20"/>
          <w:szCs w:val="20"/>
          <w:color w:val="auto"/>
        </w:rPr>
      </w:pPr>
    </w:p>
    <w:p>
      <w:pPr>
        <w:jc w:val="both"/>
        <w:ind w:left="340" w:hanging="332"/>
        <w:spacing w:after="0" w:line="220" w:lineRule="auto"/>
        <w:tabs>
          <w:tab w:leader="none" w:pos="335"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Cooling-Off Period: the first trade under a Trading Plan for directors and officers (as defined in Rule 16a-1(f) of the Exchange Act)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 The first trade under a Trading Plan for all other persons (other than the Company) may not occur until the expiration of a cooling-off period that is 30 calendar days after adoption of the Trading Plan.</w:t>
      </w:r>
    </w:p>
    <w:p>
      <w:pPr>
        <w:spacing w:after="0" w:line="156" w:lineRule="exact"/>
        <w:rPr>
          <w:rFonts w:ascii="Times New Roman" w:cs="Times New Roman" w:eastAsia="Times New Roman" w:hAnsi="Times New Roman"/>
          <w:sz w:val="18"/>
          <w:szCs w:val="18"/>
          <w:color w:val="auto"/>
        </w:rPr>
      </w:pPr>
    </w:p>
    <w:p>
      <w:pPr>
        <w:jc w:val="both"/>
        <w:ind w:left="340" w:hanging="332"/>
        <w:spacing w:after="0" w:line="232" w:lineRule="auto"/>
        <w:tabs>
          <w:tab w:leader="none" w:pos="335"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Simplicity: the trading parameters and instructions should be set out in the written Trading Plan document. Insiders should avoid complex sales formulae that may be hard to apply, misinterpreted or that may require the broker under the Trading Plan to seek guidance from the insider.</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20" w:lineRule="auto"/>
        <w:tabs>
          <w:tab w:leader="none" w:pos="335"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Modification and Termination: the Trading Plan must contain “meaningful restrictions” on the ability of the insider to vary, suspend or terminate the Trading Plan so that the insider cannot profit from material undisclosed information by deciding to vary, suspend or terminate the Trading Plan. Any modification or change to the amount, price or timing of transactions under a Trading Plan is deemed the termination of the Trading Plan and the adoption of a new Trading Plan, which means such modification is subject to the same conditions as a new Trading Plan as set forth herein. The Company must be promptly notified of any Modification or termination of the Trading Plan, including any suspension of trading under the Trading Plan.</w:t>
      </w:r>
    </w:p>
    <w:p>
      <w:pPr>
        <w:spacing w:after="0" w:line="156" w:lineRule="exact"/>
        <w:rPr>
          <w:rFonts w:ascii="Times New Roman" w:cs="Times New Roman" w:eastAsia="Times New Roman" w:hAnsi="Times New Roman"/>
          <w:sz w:val="18"/>
          <w:szCs w:val="18"/>
          <w:color w:val="auto"/>
        </w:rPr>
      </w:pPr>
    </w:p>
    <w:p>
      <w:pPr>
        <w:ind w:left="340" w:right="20" w:hanging="332"/>
        <w:spacing w:after="0" w:line="239" w:lineRule="auto"/>
        <w:tabs>
          <w:tab w:leader="none" w:pos="335"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Suspensions and Cancellations: the Company must have authority to require the suspension or cancellation of the Trading Plan at any time.</w:t>
      </w:r>
    </w:p>
    <w:p>
      <w:pPr>
        <w:spacing w:after="0" w:line="167" w:lineRule="exact"/>
        <w:rPr>
          <w:rFonts w:ascii="Times New Roman" w:cs="Times New Roman" w:eastAsia="Times New Roman" w:hAnsi="Times New Roman"/>
          <w:sz w:val="18"/>
          <w:szCs w:val="18"/>
          <w:color w:val="auto"/>
        </w:rPr>
      </w:pPr>
    </w:p>
    <w:p>
      <w:pPr>
        <w:jc w:val="both"/>
        <w:ind w:left="340" w:hanging="332"/>
        <w:spacing w:after="0" w:line="227" w:lineRule="auto"/>
        <w:tabs>
          <w:tab w:leader="none" w:pos="335"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Other Requirements and Best Practices: all transactions under the Trading Plan must be in accordance with applicable law. The Head of Legal may also consider such other “best practices” as they exist at the time with respect to Trading Plans, and may impose such additional requirements, or grant such exceptions, as they determine are necessary or appropriate.</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Head of Legal, in consultation with executive management of the Company, may determine that the Company must disclose the adoption, modification or termination of a Trading Plan. Insider trading reports are required for each trade under a Reporting Insider’s Trading Plan, unless an exemption applies.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Following the adoption of the Trading Plan, the insider may not vary, suspend or terminate the Trading Plan unless: (i) pre-clearance is obtained from the Head of Legal; and (ii) the insider certifies to the Head of Legal that: (A) he or she is not then in possession of non-public Material Information, and (B) the insider is modifying or terminating the Trading Plan in good faith and not as part of a plan or scheme to evade the prohibitions of Rule 10b5-1(c), Section 76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or other applicable securities laws. No such variance, suspension or termination may occur during a blackout period (either special or quarterly). In pre-clearing the adoption, modification or termination of a Trading Plan by an insider, the Company shall not be responsible for determining whether such Trading Plan is in compliance with the provisions of applicable securities laws.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Compliance with applicable securities laws is the responsibility of the insider. Insiders should consult with their own legal advisors before adopting a Trading Plan.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the 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190"/>
        </w:trPr>
        <w:tc>
          <w:tcPr>
            <w:tcW w:w="4480" w:type="dxa"/>
            <w:vAlign w:val="bottom"/>
          </w:tcPr>
          <w:p>
            <w:pPr>
              <w:jc w:val="center"/>
              <w:ind w:right="752"/>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418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State or Jurisdiction of Incorporation or Organization</w:t>
            </w:r>
          </w:p>
        </w:tc>
      </w:tr>
      <w:tr>
        <w:trPr>
          <w:trHeight w:val="267"/>
        </w:trPr>
        <w:tc>
          <w:tcPr>
            <w:tcW w:w="4480" w:type="dxa"/>
            <w:vAlign w:val="bottom"/>
          </w:tcPr>
          <w:p>
            <w:pPr>
              <w:jc w:val="center"/>
              <w:ind w:right="932"/>
              <w:spacing w:after="0"/>
              <w:rPr>
                <w:sz w:val="20"/>
                <w:szCs w:val="20"/>
                <w:color w:val="auto"/>
              </w:rPr>
            </w:pPr>
            <w:r>
              <w:rPr>
                <w:rFonts w:ascii="Times New Roman" w:cs="Times New Roman" w:eastAsia="Times New Roman" w:hAnsi="Times New Roman"/>
                <w:sz w:val="18"/>
                <w:szCs w:val="18"/>
                <w:color w:val="auto"/>
                <w:w w:val="99"/>
              </w:rPr>
              <w:t>Zymeworks CallCo ULC</w:t>
            </w:r>
          </w:p>
        </w:tc>
        <w:tc>
          <w:tcPr>
            <w:tcW w:w="41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Province of British Columbia</w:t>
            </w:r>
          </w:p>
        </w:tc>
      </w:tr>
      <w:tr>
        <w:trPr>
          <w:trHeight w:val="270"/>
        </w:trPr>
        <w:tc>
          <w:tcPr>
            <w:tcW w:w="4480" w:type="dxa"/>
            <w:vAlign w:val="bottom"/>
          </w:tcPr>
          <w:p>
            <w:pPr>
              <w:jc w:val="center"/>
              <w:ind w:right="932"/>
              <w:spacing w:after="0"/>
              <w:rPr>
                <w:sz w:val="20"/>
                <w:szCs w:val="20"/>
                <w:color w:val="auto"/>
              </w:rPr>
            </w:pPr>
            <w:r>
              <w:rPr>
                <w:rFonts w:ascii="Times New Roman" w:cs="Times New Roman" w:eastAsia="Times New Roman" w:hAnsi="Times New Roman"/>
                <w:sz w:val="18"/>
                <w:szCs w:val="18"/>
                <w:color w:val="auto"/>
              </w:rPr>
              <w:t>Zymeworks ExchangeCo Ltd.</w:t>
            </w:r>
          </w:p>
        </w:tc>
        <w:tc>
          <w:tcPr>
            <w:tcW w:w="41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Province of British Columbia</w:t>
            </w:r>
          </w:p>
        </w:tc>
      </w:tr>
      <w:tr>
        <w:trPr>
          <w:trHeight w:val="270"/>
        </w:trPr>
        <w:tc>
          <w:tcPr>
            <w:tcW w:w="4480" w:type="dxa"/>
            <w:vAlign w:val="bottom"/>
          </w:tcPr>
          <w:p>
            <w:pPr>
              <w:jc w:val="center"/>
              <w:ind w:right="932"/>
              <w:spacing w:after="0"/>
              <w:rPr>
                <w:sz w:val="20"/>
                <w:szCs w:val="20"/>
                <w:color w:val="auto"/>
              </w:rPr>
            </w:pPr>
            <w:r>
              <w:rPr>
                <w:rFonts w:ascii="Times New Roman" w:cs="Times New Roman" w:eastAsia="Times New Roman" w:hAnsi="Times New Roman"/>
                <w:sz w:val="18"/>
                <w:szCs w:val="18"/>
                <w:color w:val="auto"/>
                <w:w w:val="99"/>
              </w:rPr>
              <w:t>Zymeworks BC Inc.</w:t>
            </w:r>
          </w:p>
        </w:tc>
        <w:tc>
          <w:tcPr>
            <w:tcW w:w="41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Province of British Columbia</w:t>
            </w:r>
          </w:p>
        </w:tc>
      </w:tr>
      <w:tr>
        <w:trPr>
          <w:trHeight w:val="270"/>
        </w:trPr>
        <w:tc>
          <w:tcPr>
            <w:tcW w:w="4480" w:type="dxa"/>
            <w:vAlign w:val="bottom"/>
          </w:tcPr>
          <w:p>
            <w:pPr>
              <w:jc w:val="center"/>
              <w:ind w:right="932"/>
              <w:spacing w:after="0"/>
              <w:rPr>
                <w:sz w:val="20"/>
                <w:szCs w:val="20"/>
                <w:color w:val="auto"/>
              </w:rPr>
            </w:pPr>
            <w:r>
              <w:rPr>
                <w:rFonts w:ascii="Times New Roman" w:cs="Times New Roman" w:eastAsia="Times New Roman" w:hAnsi="Times New Roman"/>
                <w:sz w:val="18"/>
                <w:szCs w:val="18"/>
                <w:color w:val="auto"/>
              </w:rPr>
              <w:t>Zymeworks Management Inc.</w:t>
            </w:r>
          </w:p>
        </w:tc>
        <w:tc>
          <w:tcPr>
            <w:tcW w:w="41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Province of British Columbia</w:t>
            </w:r>
          </w:p>
        </w:tc>
      </w:tr>
      <w:tr>
        <w:trPr>
          <w:trHeight w:val="270"/>
        </w:trPr>
        <w:tc>
          <w:tcPr>
            <w:tcW w:w="4480" w:type="dxa"/>
            <w:vAlign w:val="bottom"/>
          </w:tcPr>
          <w:p>
            <w:pPr>
              <w:jc w:val="center"/>
              <w:ind w:right="932"/>
              <w:spacing w:after="0"/>
              <w:rPr>
                <w:sz w:val="20"/>
                <w:szCs w:val="20"/>
                <w:color w:val="auto"/>
              </w:rPr>
            </w:pPr>
            <w:r>
              <w:rPr>
                <w:rFonts w:ascii="Times New Roman" w:cs="Times New Roman" w:eastAsia="Times New Roman" w:hAnsi="Times New Roman"/>
                <w:sz w:val="18"/>
                <w:szCs w:val="18"/>
                <w:color w:val="auto"/>
                <w:w w:val="99"/>
              </w:rPr>
              <w:t>Zymeworks Royalty Partnership Limited</w:t>
            </w:r>
          </w:p>
        </w:tc>
        <w:tc>
          <w:tcPr>
            <w:tcW w:w="41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Province of British Columbia</w:t>
            </w:r>
          </w:p>
        </w:tc>
      </w:tr>
      <w:tr>
        <w:trPr>
          <w:trHeight w:val="270"/>
        </w:trPr>
        <w:tc>
          <w:tcPr>
            <w:tcW w:w="4480" w:type="dxa"/>
            <w:vAlign w:val="bottom"/>
          </w:tcPr>
          <w:p>
            <w:pPr>
              <w:jc w:val="center"/>
              <w:ind w:right="932"/>
              <w:spacing w:after="0"/>
              <w:rPr>
                <w:sz w:val="20"/>
                <w:szCs w:val="20"/>
                <w:color w:val="auto"/>
              </w:rPr>
            </w:pPr>
            <w:r>
              <w:rPr>
                <w:rFonts w:ascii="Times New Roman" w:cs="Times New Roman" w:eastAsia="Times New Roman" w:hAnsi="Times New Roman"/>
                <w:sz w:val="18"/>
                <w:szCs w:val="18"/>
                <w:color w:val="auto"/>
              </w:rPr>
              <w:t>Zymeworks General Partner ULC</w:t>
            </w:r>
          </w:p>
        </w:tc>
        <w:tc>
          <w:tcPr>
            <w:tcW w:w="41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Province of British Columbia</w:t>
            </w:r>
          </w:p>
        </w:tc>
      </w:tr>
      <w:tr>
        <w:trPr>
          <w:trHeight w:val="270"/>
        </w:trPr>
        <w:tc>
          <w:tcPr>
            <w:tcW w:w="4480" w:type="dxa"/>
            <w:vAlign w:val="bottom"/>
          </w:tcPr>
          <w:p>
            <w:pPr>
              <w:jc w:val="center"/>
              <w:ind w:right="752"/>
              <w:spacing w:after="0"/>
              <w:rPr>
                <w:sz w:val="20"/>
                <w:szCs w:val="20"/>
                <w:color w:val="auto"/>
              </w:rPr>
            </w:pPr>
            <w:r>
              <w:rPr>
                <w:rFonts w:ascii="Times New Roman" w:cs="Times New Roman" w:eastAsia="Times New Roman" w:hAnsi="Times New Roman"/>
                <w:sz w:val="18"/>
                <w:szCs w:val="18"/>
                <w:color w:val="auto"/>
                <w:w w:val="99"/>
              </w:rPr>
              <w:t>Zymeworks Management Inc. (UK Establishment)</w:t>
            </w:r>
          </w:p>
        </w:tc>
        <w:tc>
          <w:tcPr>
            <w:tcW w:w="41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70"/>
        </w:trPr>
        <w:tc>
          <w:tcPr>
            <w:tcW w:w="4480" w:type="dxa"/>
            <w:vAlign w:val="bottom"/>
          </w:tcPr>
          <w:p>
            <w:pPr>
              <w:jc w:val="center"/>
              <w:ind w:right="932"/>
              <w:spacing w:after="0"/>
              <w:rPr>
                <w:sz w:val="20"/>
                <w:szCs w:val="20"/>
                <w:color w:val="auto"/>
              </w:rPr>
            </w:pPr>
            <w:r>
              <w:rPr>
                <w:rFonts w:ascii="Times New Roman" w:cs="Times New Roman" w:eastAsia="Times New Roman" w:hAnsi="Times New Roman"/>
                <w:sz w:val="18"/>
                <w:szCs w:val="18"/>
                <w:color w:val="auto"/>
              </w:rPr>
              <w:t>Zymeworks Biopharmaceuticals Inc.</w:t>
            </w:r>
          </w:p>
        </w:tc>
        <w:tc>
          <w:tcPr>
            <w:tcW w:w="41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6"/>
              </w:rPr>
              <w:t>Washington</w:t>
            </w:r>
          </w:p>
        </w:tc>
      </w:tr>
      <w:tr>
        <w:trPr>
          <w:trHeight w:val="270"/>
        </w:trPr>
        <w:tc>
          <w:tcPr>
            <w:tcW w:w="4480" w:type="dxa"/>
            <w:vAlign w:val="bottom"/>
          </w:tcPr>
          <w:p>
            <w:pPr>
              <w:jc w:val="center"/>
              <w:ind w:right="932"/>
              <w:spacing w:after="0"/>
              <w:rPr>
                <w:sz w:val="20"/>
                <w:szCs w:val="20"/>
                <w:color w:val="auto"/>
              </w:rPr>
            </w:pPr>
            <w:r>
              <w:rPr>
                <w:rFonts w:ascii="Times New Roman" w:cs="Times New Roman" w:eastAsia="Times New Roman" w:hAnsi="Times New Roman"/>
                <w:sz w:val="18"/>
                <w:szCs w:val="18"/>
                <w:color w:val="auto"/>
                <w:w w:val="99"/>
              </w:rPr>
              <w:t>Zymeworks Pharmaceuticals Limited</w:t>
            </w:r>
          </w:p>
        </w:tc>
        <w:tc>
          <w:tcPr>
            <w:tcW w:w="41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4480" w:type="dxa"/>
            <w:vAlign w:val="bottom"/>
          </w:tcPr>
          <w:p>
            <w:pPr>
              <w:jc w:val="center"/>
              <w:ind w:right="932"/>
              <w:spacing w:after="0"/>
              <w:rPr>
                <w:sz w:val="20"/>
                <w:szCs w:val="20"/>
                <w:color w:val="auto"/>
              </w:rPr>
            </w:pPr>
            <w:r>
              <w:rPr>
                <w:rFonts w:ascii="Times New Roman" w:cs="Times New Roman" w:eastAsia="Times New Roman" w:hAnsi="Times New Roman"/>
                <w:sz w:val="18"/>
                <w:szCs w:val="18"/>
                <w:color w:val="auto"/>
                <w:w w:val="99"/>
              </w:rPr>
              <w:t>Zymeworks Lifesciences Pte. Ltd.</w:t>
            </w:r>
          </w:p>
        </w:tc>
        <w:tc>
          <w:tcPr>
            <w:tcW w:w="418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Singapore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0" w:right="460" w:hanging="374"/>
        <w:spacing w:after="0" w:line="282" w:lineRule="auto"/>
        <w:tabs>
          <w:tab w:leader="none" w:pos="3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on the list above is not an admission that any of the above entities, individually or in the aggregate, constitutes a significant subsidiary within the meaning of Rule 1-02(w) of Regulation S-X and Item 601(b)(21)(ii) of Regulation S-K.</w:t>
      </w:r>
    </w:p>
    <w:p>
      <w:pPr>
        <w:sectPr>
          <w:pgSz w:w="11900" w:h="16838" w:orient="portrait"/>
          <w:cols w:equalWidth="0" w:num="1">
            <w:col w:w="11220"/>
          </w:cols>
          <w:pgMar w:left="340" w:top="1440"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Zymeworks Inc.</w:t>
      </w:r>
    </w:p>
    <w:p>
      <w:pPr>
        <w:spacing w:after="0" w:line="2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We consent to the use of our report dated March 2, 2026, on the consolidated financial statements of Zymeworks Inc. (the “Entity”), which comprise the consolidated balance sheets as of December 31, 2025 and December 31, 2024, the related consolidated statements of loss and comprehensive loss, changes in stockholders’ equity, and cash flows for each of the years in the three-year period ended December 31, 2025, and the related notes (collectively, the “consolidated financial statements”), which is included in the Annual Report on Form 10-K of the Entity for the fiscal year ended December 31, 2025.</w:t>
      </w:r>
    </w:p>
    <w:p>
      <w:pPr>
        <w:spacing w:after="0" w:line="172"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7"/>
          <w:szCs w:val="17"/>
          <w:color w:val="auto"/>
        </w:rPr>
        <w:t>We also consent to the incorporation by reference of such report in the Registration Statements (Nos. 333-285577, 333-285579, 333-277721, 333-270338, 333-225556-01, 333-257819-01, 333-263043-01 and 333-263042-01) on Form S-8, and (Nos. 333-279073 and 333-277751) on Form S-3 of the Entity.</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rPr>
          <w:sz w:val="20"/>
          <w:szCs w:val="20"/>
          <w:color w:val="auto"/>
        </w:rPr>
      </w:pPr>
      <w:r>
        <w:rPr>
          <w:rFonts w:ascii="Times New Roman" w:cs="Times New Roman" w:eastAsia="Times New Roman" w:hAnsi="Times New Roman"/>
          <w:sz w:val="18"/>
          <w:szCs w:val="18"/>
          <w:color w:val="auto"/>
        </w:rPr>
        <w:t>Vancouver, Canada</w:t>
      </w:r>
    </w:p>
    <w:p>
      <w:pPr>
        <w:sectPr>
          <w:pgSz w:w="11900" w:h="16838" w:orient="portrait"/>
          <w:cols w:equalWidth="0" w:num="1">
            <w:col w:w="11240"/>
          </w:cols>
          <w:pgMar w:left="320" w:top="104"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Galbraith, certify that:</w:t>
      </w:r>
    </w:p>
    <w:p>
      <w:pPr>
        <w:spacing w:after="0" w:line="117" w:lineRule="exact"/>
        <w:rPr>
          <w:sz w:val="20"/>
          <w:szCs w:val="20"/>
          <w:color w:val="auto"/>
        </w:rPr>
      </w:pPr>
    </w:p>
    <w:p>
      <w:pPr>
        <w:ind w:left="520" w:hanging="188"/>
        <w:spacing w:after="0"/>
        <w:tabs>
          <w:tab w:leader="none" w:pos="5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Zymeworks Inc.;</w:t>
      </w:r>
    </w:p>
    <w:p>
      <w:pPr>
        <w:spacing w:after="0" w:line="225"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right="460" w:firstLine="332"/>
        <w:spacing w:after="0" w:line="266" w:lineRule="auto"/>
        <w:tabs>
          <w:tab w:leader="none" w:pos="56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960" w:firstLine="332"/>
        <w:spacing w:after="0" w:line="282" w:lineRule="auto"/>
        <w:tabs>
          <w:tab w:leader="none" w:pos="56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332"/>
        <w:spacing w:after="0" w:line="266" w:lineRule="auto"/>
        <w:tabs>
          <w:tab w:leader="none" w:pos="57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20" w:firstLine="332"/>
        <w:spacing w:after="0" w:line="282" w:lineRule="auto"/>
        <w:tabs>
          <w:tab w:leader="none" w:pos="50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360" w:firstLine="332"/>
        <w:spacing w:after="0" w:line="282" w:lineRule="auto"/>
        <w:tabs>
          <w:tab w:leader="none" w:pos="56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00" w:firstLine="332"/>
        <w:spacing w:after="0" w:line="282" w:lineRule="auto"/>
        <w:tabs>
          <w:tab w:leader="none" w:pos="57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Galbraith, certify that:</w:t>
      </w:r>
    </w:p>
    <w:p>
      <w:pPr>
        <w:spacing w:after="0" w:line="117" w:lineRule="exact"/>
        <w:rPr>
          <w:sz w:val="20"/>
          <w:szCs w:val="20"/>
          <w:color w:val="auto"/>
        </w:rPr>
      </w:pPr>
    </w:p>
    <w:p>
      <w:pPr>
        <w:ind w:left="520" w:hanging="188"/>
        <w:spacing w:after="0"/>
        <w:tabs>
          <w:tab w:leader="none" w:pos="5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Zymeworks Inc.;</w:t>
      </w:r>
    </w:p>
    <w:p>
      <w:pPr>
        <w:spacing w:after="0" w:line="225"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right="460" w:firstLine="332"/>
        <w:spacing w:after="0" w:line="266" w:lineRule="auto"/>
        <w:tabs>
          <w:tab w:leader="none" w:pos="56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960" w:firstLine="332"/>
        <w:spacing w:after="0" w:line="282" w:lineRule="auto"/>
        <w:tabs>
          <w:tab w:leader="none" w:pos="56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332"/>
        <w:spacing w:after="0" w:line="266" w:lineRule="auto"/>
        <w:tabs>
          <w:tab w:leader="none" w:pos="57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20" w:firstLine="332"/>
        <w:spacing w:after="0" w:line="282" w:lineRule="auto"/>
        <w:tabs>
          <w:tab w:leader="none" w:pos="50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360" w:firstLine="332"/>
        <w:spacing w:after="0" w:line="282" w:lineRule="auto"/>
        <w:tabs>
          <w:tab w:leader="none" w:pos="56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00" w:firstLine="332"/>
        <w:spacing w:after="0" w:line="282" w:lineRule="auto"/>
        <w:tabs>
          <w:tab w:leader="none" w:pos="57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828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8">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1103"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in connection with the Annual Report on Form 10-K of Zymeworks Inc. for the annual period ended December 31, 2025 as filed with the Securities and Exchange Commission on the date hereof (the “Report”), the undersigned officer hereby certifies, to such officer’s knowledge, that:</w:t>
      </w:r>
    </w:p>
    <w:p>
      <w:pPr>
        <w:spacing w:after="0" w:line="68" w:lineRule="exact"/>
        <w:rPr>
          <w:sz w:val="20"/>
          <w:szCs w:val="20"/>
          <w:color w:val="auto"/>
        </w:rPr>
      </w:pPr>
    </w:p>
    <w:p>
      <w:pPr>
        <w:ind w:left="480" w:hanging="472"/>
        <w:spacing w:after="0"/>
        <w:tabs>
          <w:tab w:leader="none" w:pos="4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Zymeworks Inc.</w:t>
      </w:r>
    </w:p>
    <w:p>
      <w:pPr>
        <w:spacing w:after="0" w:line="3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Kenneth Galbraith</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218"/>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Kenneth Galbraith</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 2026</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§906 of the Sarbanes-Oxley Act of 2002 and shall not, except to the extent required by the Sarbanes-Oxley Act of 2002, be deemed “filed” by the Company for purposes of §18 of the Securities Exchange Act of 1934, as amended, or otherwise subject to the liability of that section.</w:t>
      </w:r>
    </w:p>
    <w:p>
      <w:pPr>
        <w:sectPr>
          <w:pgSz w:w="11900" w:h="16838" w:orient="portrait"/>
          <w:cols w:equalWidth="0" w:num="1">
            <w:col w:w="11240"/>
          </w:cols>
          <w:pgMar w:left="320" w:top="1103"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in connection with the Annual Report on Form 10-K of Zymeworks Inc. for the annual period ended December 31, 2025 as filed with the Securities and Exchange Commission on the date hereof (the “Report”), the undersigned officer hereby certifies, to such officer’s knowledge, that:</w:t>
      </w:r>
    </w:p>
    <w:p>
      <w:pPr>
        <w:spacing w:after="0" w:line="68" w:lineRule="exact"/>
        <w:rPr>
          <w:sz w:val="20"/>
          <w:szCs w:val="20"/>
          <w:color w:val="auto"/>
        </w:rPr>
      </w:pPr>
    </w:p>
    <w:p>
      <w:pPr>
        <w:ind w:left="480" w:hanging="472"/>
        <w:spacing w:after="0"/>
        <w:tabs>
          <w:tab w:leader="none" w:pos="4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Zymeworks Inc.</w:t>
      </w:r>
    </w:p>
    <w:p>
      <w:pPr>
        <w:spacing w:after="0" w:line="3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Kenneth Galbraith</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218"/>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Kenneth Galbraith</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 2026</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§906 of the Sarbanes-Oxley Act of 2002 and shall not, except to the extent required by the Sarbanes-Oxley Act of 2002, be deemed “filed” by the Company for purposes of §18 of the Securities Exchange Act of 1934, as amended, or otherwise subject to the liability of that section.</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3584BCB"/>
    <w:multiLevelType w:val="hybridMultilevel"/>
    <w:lvl w:ilvl="0">
      <w:lvlJc w:val="left"/>
      <w:lvlText w:val="☒"/>
      <w:numFmt w:val="bullet"/>
      <w:start w:val="1"/>
    </w:lvl>
  </w:abstractNum>
  <w:abstractNum w:abstractNumId="1">
    <w:nsid w:val="415E286C"/>
    <w:multiLevelType w:val="hybridMultilevel"/>
    <w:lvl w:ilvl="0">
      <w:lvlJc w:val="left"/>
      <w:lvlText w:val="☐"/>
      <w:numFmt w:val="bullet"/>
      <w:start w:val="1"/>
    </w:lvl>
  </w:abstractNum>
  <w:abstractNum w:abstractNumId="2">
    <w:nsid w:val="7C58FD05"/>
    <w:multiLevelType w:val="hybridMultilevel"/>
    <w:lvl w:ilvl="0">
      <w:lvlJc w:val="left"/>
      <w:lvlText w:val="•"/>
      <w:numFmt w:val="bullet"/>
      <w:start w:val="1"/>
    </w:lvl>
  </w:abstractNum>
  <w:abstractNum w:abstractNumId="3">
    <w:nsid w:val="23D86AAC"/>
    <w:multiLevelType w:val="hybridMultilevel"/>
    <w:lvl w:ilvl="0">
      <w:lvlJc w:val="left"/>
      <w:lvlText w:val="•"/>
      <w:numFmt w:val="bullet"/>
      <w:start w:val="1"/>
    </w:lvl>
  </w:abstractNum>
  <w:abstractNum w:abstractNumId="4">
    <w:nsid w:val="45E6D486"/>
    <w:multiLevelType w:val="hybridMultilevel"/>
    <w:lvl w:ilvl="0">
      <w:lvlJc w:val="left"/>
      <w:lvlText w:val="•"/>
      <w:numFmt w:val="bullet"/>
      <w:start w:val="1"/>
    </w:lvl>
  </w:abstractNum>
  <w:abstractNum w:abstractNumId="5">
    <w:nsid w:val="5C10FE21"/>
    <w:multiLevelType w:val="hybridMultilevel"/>
    <w:lvl w:ilvl="0">
      <w:lvlJc w:val="left"/>
      <w:lvlText w:val="•"/>
      <w:numFmt w:val="bullet"/>
      <w:start w:val="1"/>
    </w:lvl>
  </w:abstractNum>
  <w:abstractNum w:abstractNumId="6">
    <w:nsid w:val="E7FFA2B"/>
    <w:multiLevelType w:val="hybridMultilevel"/>
    <w:lvl w:ilvl="0">
      <w:lvlJc w:val="left"/>
      <w:lvlText w:val="•"/>
      <w:numFmt w:val="bullet"/>
      <w:start w:val="1"/>
    </w:lvl>
  </w:abstractNum>
  <w:abstractNum w:abstractNumId="7">
    <w:nsid w:val="3C5991AA"/>
    <w:multiLevelType w:val="hybridMultilevel"/>
    <w:lvl w:ilvl="0">
      <w:lvlJc w:val="left"/>
      <w:lvlText w:val="•"/>
      <w:numFmt w:val="bullet"/>
      <w:start w:val="1"/>
    </w:lvl>
  </w:abstractNum>
  <w:abstractNum w:abstractNumId="8">
    <w:nsid w:val="4BD8591A"/>
    <w:multiLevelType w:val="hybridMultilevel"/>
    <w:lvl w:ilvl="0">
      <w:lvlJc w:val="left"/>
      <w:lvlText w:val="(%1)"/>
      <w:numFmt w:val="decimal"/>
      <w:start w:val="1"/>
    </w:lvl>
  </w:abstractNum>
  <w:abstractNum w:abstractNumId="9">
    <w:nsid w:val="78DF6A55"/>
    <w:multiLevelType w:val="hybridMultilevel"/>
    <w:lvl w:ilvl="0">
      <w:lvlJc w:val="left"/>
      <w:lvlText w:val="(%1)"/>
      <w:numFmt w:val="decimal"/>
      <w:start w:val="2"/>
    </w:lvl>
  </w:abstractNum>
  <w:abstractNum w:abstractNumId="10">
    <w:nsid w:val="39B7AAA2"/>
    <w:multiLevelType w:val="hybridMultilevel"/>
    <w:lvl w:ilvl="0">
      <w:lvlJc w:val="left"/>
      <w:lvlText w:val="•"/>
      <w:numFmt w:val="bullet"/>
      <w:start w:val="1"/>
    </w:lvl>
  </w:abstractNum>
  <w:abstractNum w:abstractNumId="11">
    <w:nsid w:val="2B0D8DBE"/>
    <w:multiLevelType w:val="hybridMultilevel"/>
    <w:lvl w:ilvl="0">
      <w:lvlJc w:val="left"/>
      <w:lvlText w:val="•"/>
      <w:numFmt w:val="bullet"/>
      <w:start w:val="1"/>
    </w:lvl>
  </w:abstractNum>
  <w:abstractNum w:abstractNumId="12">
    <w:nsid w:val="6C80EC70"/>
    <w:multiLevelType w:val="hybridMultilevel"/>
    <w:lvl w:ilvl="0">
      <w:lvlJc w:val="left"/>
      <w:lvlText w:val="•"/>
      <w:numFmt w:val="bullet"/>
      <w:start w:val="1"/>
    </w:lvl>
  </w:abstractNum>
  <w:abstractNum w:abstractNumId="13">
    <w:nsid w:val="379E21B5"/>
    <w:multiLevelType w:val="hybridMultilevel"/>
    <w:lvl w:ilvl="0">
      <w:lvlJc w:val="left"/>
      <w:lvlText w:val="•"/>
      <w:numFmt w:val="bullet"/>
      <w:start w:val="1"/>
    </w:lvl>
  </w:abstractNum>
  <w:abstractNum w:abstractNumId="14">
    <w:nsid w:val="69E373"/>
    <w:multiLevelType w:val="hybridMultilevel"/>
    <w:lvl w:ilvl="0">
      <w:lvlJc w:val="left"/>
      <w:lvlText w:val="•"/>
      <w:numFmt w:val="bullet"/>
      <w:start w:val="1"/>
    </w:lvl>
  </w:abstractNum>
  <w:abstractNum w:abstractNumId="15">
    <w:nsid w:val="2C27173B"/>
    <w:multiLevelType w:val="hybridMultilevel"/>
    <w:lvl w:ilvl="0">
      <w:lvlJc w:val="left"/>
      <w:lvlText w:val="•"/>
      <w:numFmt w:val="bullet"/>
      <w:start w:val="1"/>
    </w:lvl>
  </w:abstractNum>
  <w:abstractNum w:abstractNumId="16">
    <w:nsid w:val="4C9B0904"/>
    <w:multiLevelType w:val="hybridMultilevel"/>
    <w:lvl w:ilvl="0">
      <w:lvlJc w:val="left"/>
      <w:lvlText w:val="•"/>
      <w:numFmt w:val="bullet"/>
      <w:start w:val="1"/>
    </w:lvl>
  </w:abstractNum>
  <w:abstractNum w:abstractNumId="17">
    <w:nsid w:val="6AA7B75C"/>
    <w:multiLevelType w:val="hybridMultilevel"/>
    <w:lvl w:ilvl="0">
      <w:lvlJc w:val="left"/>
      <w:lvlText w:val="•"/>
      <w:numFmt w:val="bullet"/>
      <w:start w:val="1"/>
    </w:lvl>
  </w:abstractNum>
  <w:abstractNum w:abstractNumId="18">
    <w:nsid w:val="1DF029D3"/>
    <w:multiLevelType w:val="hybridMultilevel"/>
    <w:lvl w:ilvl="0">
      <w:lvlJc w:val="left"/>
      <w:lvlText w:val="•"/>
      <w:numFmt w:val="bullet"/>
      <w:start w:val="1"/>
    </w:lvl>
  </w:abstractNum>
  <w:abstractNum w:abstractNumId="19">
    <w:nsid w:val="5675FF36"/>
    <w:multiLevelType w:val="hybridMultilevel"/>
    <w:lvl w:ilvl="0">
      <w:lvlJc w:val="left"/>
      <w:lvlText w:val="•"/>
      <w:numFmt w:val="bullet"/>
      <w:start w:val="1"/>
    </w:lvl>
  </w:abstractNum>
  <w:abstractNum w:abstractNumId="20">
    <w:nsid w:val="3DD15094"/>
    <w:multiLevelType w:val="hybridMultilevel"/>
    <w:lvl w:ilvl="0">
      <w:lvlJc w:val="left"/>
      <w:lvlText w:val="•"/>
      <w:numFmt w:val="bullet"/>
      <w:start w:val="1"/>
    </w:lvl>
  </w:abstractNum>
  <w:abstractNum w:abstractNumId="21">
    <w:nsid w:val="3DB012B3"/>
    <w:multiLevelType w:val="hybridMultilevel"/>
    <w:lvl w:ilvl="0">
      <w:lvlJc w:val="left"/>
      <w:lvlText w:val="•"/>
      <w:numFmt w:val="bullet"/>
      <w:start w:val="1"/>
    </w:lvl>
  </w:abstractNum>
  <w:abstractNum w:abstractNumId="22">
    <w:nsid w:val="2708C9AF"/>
    <w:multiLevelType w:val="hybridMultilevel"/>
    <w:lvl w:ilvl="0">
      <w:lvlJc w:val="left"/>
      <w:lvlText w:val="•"/>
      <w:numFmt w:val="bullet"/>
      <w:start w:val="1"/>
    </w:lvl>
  </w:abstractNum>
  <w:abstractNum w:abstractNumId="23">
    <w:nsid w:val="5B25ACE2"/>
    <w:multiLevelType w:val="hybridMultilevel"/>
    <w:lvl w:ilvl="0">
      <w:lvlJc w:val="left"/>
      <w:lvlText w:val="•"/>
      <w:numFmt w:val="bullet"/>
      <w:start w:val="1"/>
    </w:lvl>
  </w:abstractNum>
  <w:abstractNum w:abstractNumId="24">
    <w:nsid w:val="175DFCF0"/>
    <w:multiLevelType w:val="hybridMultilevel"/>
    <w:lvl w:ilvl="0">
      <w:lvlJc w:val="left"/>
      <w:lvlText w:val="•"/>
      <w:numFmt w:val="bullet"/>
      <w:start w:val="1"/>
    </w:lvl>
  </w:abstractNum>
  <w:abstractNum w:abstractNumId="25">
    <w:nsid w:val="4F97E3E4"/>
    <w:multiLevelType w:val="hybridMultilevel"/>
    <w:lvl w:ilvl="0">
      <w:lvlJc w:val="left"/>
      <w:lvlText w:val="•"/>
      <w:numFmt w:val="bullet"/>
      <w:start w:val="1"/>
    </w:lvl>
  </w:abstractNum>
  <w:abstractNum w:abstractNumId="26">
    <w:nsid w:val="53B0A9E"/>
    <w:multiLevelType w:val="hybridMultilevel"/>
    <w:lvl w:ilvl="0">
      <w:lvlJc w:val="left"/>
      <w:lvlText w:val="•"/>
      <w:numFmt w:val="bullet"/>
      <w:start w:val="1"/>
    </w:lvl>
  </w:abstractNum>
  <w:abstractNum w:abstractNumId="27">
    <w:nsid w:val="34FD6B4F"/>
    <w:multiLevelType w:val="hybridMultilevel"/>
    <w:lvl w:ilvl="0">
      <w:lvlJc w:val="left"/>
      <w:lvlText w:val="•"/>
      <w:numFmt w:val="bullet"/>
      <w:start w:val="1"/>
    </w:lvl>
  </w:abstractNum>
  <w:abstractNum w:abstractNumId="28">
    <w:nsid w:val="5915FF32"/>
    <w:multiLevelType w:val="hybridMultilevel"/>
    <w:lvl w:ilvl="0">
      <w:lvlJc w:val="left"/>
      <w:lvlText w:val="(%1)"/>
      <w:numFmt w:val="lowerRoman"/>
      <w:start w:val="3"/>
    </w:lvl>
  </w:abstractNum>
  <w:abstractNum w:abstractNumId="29">
    <w:nsid w:val="56438D15"/>
    <w:multiLevelType w:val="hybridMultilevel"/>
    <w:lvl w:ilvl="0">
      <w:lvlJc w:val="left"/>
      <w:lvlText w:val="•"/>
      <w:numFmt w:val="bullet"/>
      <w:start w:val="1"/>
    </w:lvl>
  </w:abstractNum>
  <w:abstractNum w:abstractNumId="30">
    <w:nsid w:val="519E3149"/>
    <w:multiLevelType w:val="hybridMultilevel"/>
    <w:lvl w:ilvl="0">
      <w:lvlJc w:val="left"/>
      <w:lvlText w:val="•"/>
      <w:numFmt w:val="bullet"/>
      <w:start w:val="1"/>
    </w:lvl>
  </w:abstractNum>
  <w:abstractNum w:abstractNumId="31">
    <w:nsid w:val="2C6E4AFD"/>
    <w:multiLevelType w:val="hybridMultilevel"/>
    <w:lvl w:ilvl="0">
      <w:lvlJc w:val="left"/>
      <w:lvlText w:val="•"/>
      <w:numFmt w:val="bullet"/>
      <w:start w:val="1"/>
    </w:lvl>
  </w:abstractNum>
  <w:abstractNum w:abstractNumId="32">
    <w:nsid w:val="17A1B582"/>
    <w:multiLevelType w:val="hybridMultilevel"/>
    <w:lvl w:ilvl="0">
      <w:lvlJc w:val="left"/>
      <w:lvlText w:val="•"/>
      <w:numFmt w:val="bullet"/>
      <w:start w:val="1"/>
    </w:lvl>
  </w:abstractNum>
  <w:abstractNum w:abstractNumId="33">
    <w:nsid w:val="4DF72E4E"/>
    <w:multiLevelType w:val="hybridMultilevel"/>
    <w:lvl w:ilvl="0">
      <w:lvlJc w:val="left"/>
      <w:lvlText w:val="•"/>
      <w:numFmt w:val="bullet"/>
      <w:start w:val="1"/>
    </w:lvl>
  </w:abstractNum>
  <w:abstractNum w:abstractNumId="34">
    <w:nsid w:val="5046B5A9"/>
    <w:multiLevelType w:val="hybridMultilevel"/>
    <w:lvl w:ilvl="0">
      <w:lvlJc w:val="left"/>
      <w:lvlText w:val="•"/>
      <w:numFmt w:val="bullet"/>
      <w:start w:val="1"/>
    </w:lvl>
  </w:abstractNum>
  <w:abstractNum w:abstractNumId="35">
    <w:nsid w:val="5D888A08"/>
    <w:multiLevelType w:val="hybridMultilevel"/>
    <w:lvl w:ilvl="0">
      <w:lvlJc w:val="left"/>
      <w:lvlText w:val="•"/>
      <w:numFmt w:val="bullet"/>
      <w:start w:val="1"/>
    </w:lvl>
  </w:abstractNum>
  <w:abstractNum w:abstractNumId="36">
    <w:nsid w:val="2A082C70"/>
    <w:multiLevelType w:val="hybridMultilevel"/>
    <w:lvl w:ilvl="0">
      <w:lvlJc w:val="left"/>
      <w:lvlText w:val="•"/>
      <w:numFmt w:val="bullet"/>
      <w:start w:val="1"/>
    </w:lvl>
  </w:abstractNum>
  <w:abstractNum w:abstractNumId="37">
    <w:nsid w:val="5EC6AFD4"/>
    <w:multiLevelType w:val="hybridMultilevel"/>
    <w:lvl w:ilvl="0">
      <w:lvlJc w:val="left"/>
      <w:lvlText w:val="•"/>
      <w:numFmt w:val="bullet"/>
      <w:start w:val="1"/>
    </w:lvl>
  </w:abstractNum>
  <w:abstractNum w:abstractNumId="38">
    <w:nsid w:val="19E21BB2"/>
    <w:multiLevelType w:val="hybridMultilevel"/>
    <w:lvl w:ilvl="0">
      <w:lvlJc w:val="left"/>
      <w:lvlText w:val="•"/>
      <w:numFmt w:val="bullet"/>
      <w:start w:val="1"/>
    </w:lvl>
  </w:abstractNum>
  <w:abstractNum w:abstractNumId="39">
    <w:nsid w:val="75E0858A"/>
    <w:multiLevelType w:val="hybridMultilevel"/>
    <w:lvl w:ilvl="0">
      <w:lvlJc w:val="left"/>
      <w:lvlText w:val="•"/>
      <w:numFmt w:val="bullet"/>
      <w:start w:val="1"/>
    </w:lvl>
  </w:abstractNum>
  <w:abstractNum w:abstractNumId="40">
    <w:nsid w:val="57A61A29"/>
    <w:multiLevelType w:val="hybridMultilevel"/>
    <w:lvl w:ilvl="0">
      <w:lvlJc w:val="left"/>
      <w:lvlText w:val="•"/>
      <w:numFmt w:val="bullet"/>
      <w:start w:val="1"/>
    </w:lvl>
  </w:abstractNum>
  <w:abstractNum w:abstractNumId="41">
    <w:nsid w:val="5399C654"/>
    <w:multiLevelType w:val="hybridMultilevel"/>
    <w:lvl w:ilvl="0">
      <w:lvlJc w:val="left"/>
      <w:lvlText w:val="•"/>
      <w:numFmt w:val="bullet"/>
      <w:start w:val="1"/>
    </w:lvl>
  </w:abstractNum>
  <w:abstractNum w:abstractNumId="42">
    <w:nsid w:val="20EE1348"/>
    <w:multiLevelType w:val="hybridMultilevel"/>
    <w:lvl w:ilvl="0">
      <w:lvlJc w:val="left"/>
      <w:lvlText w:val="•"/>
      <w:numFmt w:val="bullet"/>
      <w:start w:val="1"/>
    </w:lvl>
  </w:abstractNum>
  <w:abstractNum w:abstractNumId="43">
    <w:nsid w:val="4427069A"/>
    <w:multiLevelType w:val="hybridMultilevel"/>
    <w:lvl w:ilvl="0">
      <w:lvlJc w:val="left"/>
      <w:lvlText w:val="•"/>
      <w:numFmt w:val="bullet"/>
      <w:start w:val="1"/>
    </w:lvl>
  </w:abstractNum>
  <w:abstractNum w:abstractNumId="44">
    <w:nsid w:val="B37E80A"/>
    <w:multiLevelType w:val="hybridMultilevel"/>
    <w:lvl w:ilvl="0">
      <w:lvlJc w:val="left"/>
      <w:lvlText w:val="•"/>
      <w:numFmt w:val="bullet"/>
      <w:start w:val="1"/>
    </w:lvl>
  </w:abstractNum>
  <w:abstractNum w:abstractNumId="45">
    <w:nsid w:val="2157F6BC"/>
    <w:multiLevelType w:val="hybridMultilevel"/>
    <w:lvl w:ilvl="0">
      <w:lvlJc w:val="left"/>
      <w:lvlText w:val="•"/>
      <w:numFmt w:val="bullet"/>
      <w:start w:val="1"/>
    </w:lvl>
  </w:abstractNum>
  <w:abstractNum w:abstractNumId="46">
    <w:nsid w:val="704E1DD5"/>
    <w:multiLevelType w:val="hybridMultilevel"/>
    <w:lvl w:ilvl="0">
      <w:lvlJc w:val="left"/>
      <w:lvlText w:val="•"/>
      <w:numFmt w:val="bullet"/>
      <w:start w:val="1"/>
    </w:lvl>
  </w:abstractNum>
  <w:abstractNum w:abstractNumId="47">
    <w:nsid w:val="57D2F10E"/>
    <w:multiLevelType w:val="hybridMultilevel"/>
    <w:lvl w:ilvl="0">
      <w:lvlJc w:val="left"/>
      <w:lvlText w:val="•"/>
      <w:numFmt w:val="bullet"/>
      <w:start w:val="1"/>
    </w:lvl>
  </w:abstractNum>
  <w:abstractNum w:abstractNumId="48">
    <w:nsid w:val="BFFAE18"/>
    <w:multiLevelType w:val="hybridMultilevel"/>
    <w:lvl w:ilvl="0">
      <w:lvlJc w:val="left"/>
      <w:lvlText w:val="•"/>
      <w:numFmt w:val="bullet"/>
      <w:start w:val="1"/>
    </w:lvl>
  </w:abstractNum>
  <w:abstractNum w:abstractNumId="49">
    <w:nsid w:val="E3E47A8"/>
    <w:multiLevelType w:val="hybridMultilevel"/>
    <w:lvl w:ilvl="0">
      <w:lvlJc w:val="left"/>
      <w:lvlText w:val="•"/>
      <w:numFmt w:val="bullet"/>
      <w:start w:val="1"/>
    </w:lvl>
  </w:abstractNum>
  <w:abstractNum w:abstractNumId="50">
    <w:nsid w:val="2E48F044"/>
    <w:multiLevelType w:val="hybridMultilevel"/>
    <w:lvl w:ilvl="0">
      <w:lvlJc w:val="left"/>
      <w:lvlText w:val="%1."/>
      <w:numFmt w:val="lowerLetter"/>
      <w:start w:val="1"/>
    </w:lvl>
  </w:abstractNum>
  <w:abstractNum w:abstractNumId="51">
    <w:nsid w:val="49D0FEAC"/>
    <w:multiLevelType w:val="hybridMultilevel"/>
    <w:lvl w:ilvl="0">
      <w:lvlJc w:val="left"/>
      <w:lvlText w:val="%1."/>
      <w:numFmt w:val="lowerLetter"/>
      <w:start w:val="2"/>
    </w:lvl>
  </w:abstractNum>
  <w:abstractNum w:abstractNumId="52">
    <w:nsid w:val="4BEE5A5B"/>
    <w:multiLevelType w:val="hybridMultilevel"/>
    <w:lvl w:ilvl="0">
      <w:lvlJc w:val="left"/>
      <w:lvlText w:val="%1."/>
      <w:numFmt w:val="lowerLetter"/>
      <w:start w:val="3"/>
    </w:lvl>
  </w:abstractNum>
  <w:abstractNum w:abstractNumId="53">
    <w:nsid w:val="5551B9F3"/>
    <w:multiLevelType w:val="hybridMultilevel"/>
    <w:lvl w:ilvl="0">
      <w:lvlJc w:val="left"/>
      <w:lvlText w:val="%1."/>
      <w:numFmt w:val="lowerLetter"/>
      <w:start w:val="4"/>
    </w:lvl>
  </w:abstractNum>
  <w:abstractNum w:abstractNumId="54">
    <w:nsid w:val="24F6AB8E"/>
    <w:multiLevelType w:val="hybridMultilevel"/>
    <w:lvl w:ilvl="0">
      <w:lvlJc w:val="left"/>
      <w:lvlText w:val="%1."/>
      <w:numFmt w:val="lowerLetter"/>
      <w:start w:val="5"/>
    </w:lvl>
  </w:abstractNum>
  <w:abstractNum w:abstractNumId="55">
    <w:nsid w:val="634C574C"/>
    <w:multiLevelType w:val="hybridMultilevel"/>
    <w:lvl w:ilvl="0">
      <w:lvlJc w:val="left"/>
      <w:lvlText w:val="%1."/>
      <w:numFmt w:val="lowerLetter"/>
      <w:start w:val="6"/>
    </w:lvl>
  </w:abstractNum>
  <w:abstractNum w:abstractNumId="56">
    <w:nsid w:val="24E99DD7"/>
    <w:multiLevelType w:val="hybridMultilevel"/>
    <w:lvl w:ilvl="0">
      <w:lvlJc w:val="left"/>
      <w:lvlText w:val="(%1)"/>
      <w:numFmt w:val="decimal"/>
      <w:start w:val="1"/>
    </w:lvl>
  </w:abstractNum>
  <w:abstractNum w:abstractNumId="57">
    <w:nsid w:val="2A31B62D"/>
    <w:multiLevelType w:val="hybridMultilevel"/>
    <w:lvl w:ilvl="0">
      <w:lvlJc w:val="left"/>
      <w:lvlText w:val="(%1)"/>
      <w:numFmt w:val="decimal"/>
      <w:start w:val="1"/>
    </w:lvl>
  </w:abstractNum>
  <w:abstractNum w:abstractNumId="58">
    <w:nsid w:val="1849C29B"/>
    <w:multiLevelType w:val="hybridMultilevel"/>
    <w:lvl w:ilvl="0">
      <w:lvlJc w:val="left"/>
      <w:lvlText w:val="•"/>
      <w:numFmt w:val="bullet"/>
      <w:start w:val="1"/>
    </w:lvl>
    <w:lvl w:ilvl="1">
      <w:lvlJc w:val="left"/>
      <w:lvlText w:val="◦"/>
      <w:numFmt w:val="bullet"/>
      <w:start w:val="1"/>
    </w:lvl>
  </w:abstractNum>
  <w:abstractNum w:abstractNumId="59">
    <w:nsid w:val="7DFF9D09"/>
    <w:multiLevelType w:val="hybridMultilevel"/>
    <w:lvl w:ilvl="0">
      <w:lvlJc w:val="left"/>
      <w:lvlText w:val="•"/>
      <w:numFmt w:val="bullet"/>
      <w:start w:val="1"/>
    </w:lvl>
  </w:abstractNum>
  <w:abstractNum w:abstractNumId="60">
    <w:nsid w:val="754342"/>
    <w:multiLevelType w:val="hybridMultilevel"/>
    <w:lvl w:ilvl="0">
      <w:lvlJc w:val="left"/>
      <w:lvlText w:val="•"/>
      <w:numFmt w:val="bullet"/>
      <w:start w:val="1"/>
    </w:lvl>
  </w:abstractNum>
  <w:abstractNum w:abstractNumId="61">
    <w:nsid w:val="69E7F3E5"/>
    <w:multiLevelType w:val="hybridMultilevel"/>
    <w:lvl w:ilvl="0">
      <w:lvlJc w:val="left"/>
      <w:lvlText w:val="•"/>
      <w:numFmt w:val="bullet"/>
      <w:start w:val="1"/>
    </w:lvl>
  </w:abstractNum>
  <w:abstractNum w:abstractNumId="62">
    <w:nsid w:val="2A6DE806"/>
    <w:multiLevelType w:val="hybridMultilevel"/>
    <w:lvl w:ilvl="0">
      <w:lvlJc w:val="left"/>
      <w:lvlText w:val="•"/>
      <w:numFmt w:val="bullet"/>
      <w:start w:val="1"/>
    </w:lvl>
  </w:abstractNum>
  <w:abstractNum w:abstractNumId="63">
    <w:nsid w:val="1816F8C4"/>
    <w:multiLevelType w:val="hybridMultilevel"/>
    <w:lvl w:ilvl="0">
      <w:lvlJc w:val="left"/>
      <w:lvlText w:val="•"/>
      <w:numFmt w:val="bullet"/>
      <w:start w:val="1"/>
    </w:lvl>
  </w:abstractNum>
  <w:abstractNum w:abstractNumId="64">
    <w:nsid w:val="37DF2233"/>
    <w:multiLevelType w:val="hybridMultilevel"/>
    <w:lvl w:ilvl="0">
      <w:lvlJc w:val="left"/>
      <w:lvlText w:val="•"/>
      <w:numFmt w:val="bullet"/>
      <w:start w:val="1"/>
    </w:lvl>
  </w:abstractNum>
  <w:abstractNum w:abstractNumId="65">
    <w:nsid w:val="7AB49DAF"/>
    <w:multiLevelType w:val="hybridMultilevel"/>
    <w:lvl w:ilvl="0">
      <w:lvlJc w:val="left"/>
      <w:lvlText w:val="(%1)"/>
      <w:numFmt w:val="decimal"/>
      <w:start w:val="1"/>
    </w:lvl>
  </w:abstractNum>
  <w:abstractNum w:abstractNumId="66">
    <w:nsid w:val="759F82CD"/>
    <w:multiLevelType w:val="hybridMultilevel"/>
    <w:lvl w:ilvl="0">
      <w:lvlJc w:val="left"/>
      <w:lvlText w:val="•"/>
      <w:numFmt w:val="bullet"/>
      <w:start w:val="1"/>
    </w:lvl>
  </w:abstractNum>
  <w:abstractNum w:abstractNumId="67">
    <w:nsid w:val="61E74EA3"/>
    <w:multiLevelType w:val="hybridMultilevel"/>
    <w:lvl w:ilvl="0">
      <w:lvlJc w:val="left"/>
      <w:lvlText w:val="(%1)"/>
      <w:numFmt w:val="decimal"/>
      <w:start w:val="1"/>
    </w:lvl>
  </w:abstractNum>
  <w:abstractNum w:abstractNumId="68">
    <w:nsid w:val="597B4D84"/>
    <w:multiLevelType w:val="hybridMultilevel"/>
    <w:lvl w:ilvl="0">
      <w:lvlJc w:val="left"/>
      <w:lvlText w:val="(%1)"/>
      <w:numFmt w:val="decimal"/>
      <w:start w:val="1"/>
    </w:lvl>
  </w:abstractNum>
  <w:abstractNum w:abstractNumId="69">
    <w:nsid w:val="F819E7F"/>
    <w:multiLevelType w:val="hybridMultilevel"/>
    <w:lvl w:ilvl="0">
      <w:lvlJc w:val="left"/>
      <w:lvlText w:val="(%1)"/>
      <w:numFmt w:val="decimal"/>
      <w:start w:val="1"/>
    </w:lvl>
  </w:abstractNum>
  <w:abstractNum w:abstractNumId="70">
    <w:nsid w:val="57C7D42D"/>
    <w:multiLevelType w:val="hybridMultilevel"/>
    <w:lvl w:ilvl="0">
      <w:lvlJc w:val="left"/>
      <w:lvlText w:val="(%1)"/>
      <w:numFmt w:val="decimal"/>
      <w:start w:val="1"/>
    </w:lvl>
  </w:abstractNum>
  <w:abstractNum w:abstractNumId="71">
    <w:nsid w:val="312167AD"/>
    <w:multiLevelType w:val="hybridMultilevel"/>
    <w:lvl w:ilvl="0">
      <w:lvlJc w:val="left"/>
      <w:lvlText w:val="(%1)"/>
      <w:numFmt w:val="decimal"/>
      <w:start w:val="1"/>
    </w:lvl>
  </w:abstractNum>
  <w:abstractNum w:abstractNumId="72">
    <w:nsid w:val="631B64D4"/>
    <w:multiLevelType w:val="hybridMultilevel"/>
    <w:lvl w:ilvl="0">
      <w:lvlJc w:val="left"/>
      <w:lvlText w:val="(%1)"/>
      <w:numFmt w:val="decimal"/>
      <w:start w:val="4"/>
    </w:lvl>
  </w:abstractNum>
  <w:abstractNum w:abstractNumId="73">
    <w:nsid w:val="78B5E776"/>
    <w:multiLevelType w:val="hybridMultilevel"/>
    <w:lvl w:ilvl="0">
      <w:lvlJc w:val="left"/>
      <w:lvlText w:val="(%1)"/>
      <w:numFmt w:val="decimal"/>
      <w:start w:val="10"/>
    </w:lvl>
  </w:abstractNum>
  <w:abstractNum w:abstractNumId="74">
    <w:nsid w:val="75486E47"/>
    <w:multiLevelType w:val="hybridMultilevel"/>
    <w:lvl w:ilvl="0">
      <w:lvlJc w:val="left"/>
      <w:lvlText w:val="(%1)"/>
      <w:numFmt w:val="decimal"/>
      <w:start w:val="1"/>
    </w:lvl>
  </w:abstractNum>
  <w:abstractNum w:abstractNumId="75">
    <w:nsid w:val="6E534CDE"/>
    <w:multiLevelType w:val="hybridMultilevel"/>
    <w:lvl w:ilvl="0">
      <w:lvlJc w:val="left"/>
      <w:lvlText w:val="•"/>
      <w:numFmt w:val="bullet"/>
      <w:start w:val="1"/>
    </w:lvl>
  </w:abstractNum>
  <w:abstractNum w:abstractNumId="76">
    <w:nsid w:val="1A0DDE32"/>
    <w:multiLevelType w:val="hybridMultilevel"/>
    <w:lvl w:ilvl="0">
      <w:lvlJc w:val="left"/>
      <w:lvlText w:val="•"/>
      <w:numFmt w:val="bullet"/>
      <w:start w:val="1"/>
    </w:lvl>
  </w:abstractNum>
  <w:abstractNum w:abstractNumId="77">
    <w:nsid w:val="65968C1C"/>
    <w:multiLevelType w:val="hybridMultilevel"/>
    <w:lvl w:ilvl="0">
      <w:lvlJc w:val="left"/>
      <w:lvlText w:val="•"/>
      <w:numFmt w:val="bullet"/>
      <w:start w:val="1"/>
    </w:lvl>
  </w:abstractNum>
  <w:abstractNum w:abstractNumId="78">
    <w:nsid w:val="46263DEC"/>
    <w:multiLevelType w:val="hybridMultilevel"/>
    <w:lvl w:ilvl="0">
      <w:lvlJc w:val="left"/>
      <w:lvlText w:val="•"/>
      <w:numFmt w:val="bullet"/>
      <w:start w:val="1"/>
    </w:lvl>
  </w:abstractNum>
  <w:abstractNum w:abstractNumId="79">
    <w:nsid w:val="260D8C4A"/>
    <w:multiLevelType w:val="hybridMultilevel"/>
    <w:lvl w:ilvl="0">
      <w:lvlJc w:val="left"/>
      <w:lvlText w:val="•"/>
      <w:numFmt w:val="bullet"/>
      <w:start w:val="1"/>
    </w:lvl>
  </w:abstractNum>
  <w:abstractNum w:abstractNumId="80">
    <w:nsid w:val="73D4D3C4"/>
    <w:multiLevelType w:val="hybridMultilevel"/>
    <w:lvl w:ilvl="0">
      <w:lvlJc w:val="left"/>
      <w:lvlText w:val="•"/>
      <w:numFmt w:val="bullet"/>
      <w:start w:val="1"/>
    </w:lvl>
  </w:abstractNum>
  <w:abstractNum w:abstractNumId="81">
    <w:nsid w:val="746F2E30"/>
    <w:multiLevelType w:val="hybridMultilevel"/>
    <w:lvl w:ilvl="0">
      <w:lvlJc w:val="left"/>
      <w:lvlText w:val="(%1)"/>
      <w:numFmt w:val="decimal"/>
      <w:start w:val="1"/>
    </w:lvl>
  </w:abstractNum>
  <w:abstractNum w:abstractNumId="82">
    <w:nsid w:val="6FDE8AF6"/>
    <w:multiLevelType w:val="hybridMultilevel"/>
    <w:lvl w:ilvl="0">
      <w:lvlJc w:val="left"/>
      <w:lvlText w:val="(%1)"/>
      <w:numFmt w:val="decimal"/>
      <w:start w:val="1"/>
    </w:lvl>
  </w:abstractNum>
  <w:abstractNum w:abstractNumId="83">
    <w:nsid w:val="3FC32E20"/>
    <w:multiLevelType w:val="hybridMultilevel"/>
    <w:lvl w:ilvl="0">
      <w:lvlJc w:val="left"/>
      <w:lvlText w:val="(%1)"/>
      <w:numFmt w:val="decimal"/>
      <w:start w:val="4"/>
    </w:lvl>
  </w:abstractNum>
  <w:abstractNum w:abstractNumId="84">
    <w:nsid w:val="49C0E823"/>
    <w:multiLevelType w:val="hybridMultilevel"/>
    <w:lvl w:ilvl="0">
      <w:lvlJc w:val="left"/>
      <w:lvlText w:val="•"/>
      <w:numFmt w:val="bullet"/>
      <w:start w:val="1"/>
    </w:lvl>
  </w:abstractNum>
  <w:abstractNum w:abstractNumId="85">
    <w:nsid w:val="14D53685"/>
    <w:multiLevelType w:val="hybridMultilevel"/>
    <w:lvl w:ilvl="0">
      <w:lvlJc w:val="left"/>
      <w:lvlText w:val="†"/>
      <w:numFmt w:val="bullet"/>
      <w:start w:val="1"/>
    </w:lvl>
  </w:abstractNum>
  <w:abstractNum w:abstractNumId="86">
    <w:nsid w:val="230F856C"/>
    <w:multiLevelType w:val="hybridMultilevel"/>
    <w:lvl w:ilvl="0">
      <w:lvlJc w:val="left"/>
      <w:lvlText w:val="(%1)"/>
      <w:numFmt w:val="decimal"/>
      <w:start w:val="1"/>
    </w:lvl>
  </w:abstractNum>
  <w:abstractNum w:abstractNumId="87">
    <w:nsid w:val="6EAA85FB"/>
    <w:multiLevelType w:val="hybridMultilevel"/>
    <w:lvl w:ilvl="0">
      <w:lvlJc w:val="left"/>
      <w:lvlText w:val="(%1)"/>
      <w:numFmt w:val="decimal"/>
      <w:start w:val="1"/>
    </w:lvl>
  </w:abstractNum>
  <w:abstractNum w:abstractNumId="88">
    <w:nsid w:val="3F06ECB2"/>
    <w:multiLevelType w:val="hybridMultilevel"/>
    <w:lvl w:ilvl="0">
      <w:lvlJc w:val="left"/>
      <w:lvlText w:val="%1"/>
      <w:numFmt w:val="decimal"/>
      <w:start w:val="101"/>
    </w:lvl>
  </w:abstractNum>
  <w:abstractNum w:abstractNumId="89">
    <w:nsid w:val="3B594807"/>
    <w:multiLevelType w:val="hybridMultilevel"/>
    <w:lvl w:ilvl="0">
      <w:lvlJc w:val="left"/>
      <w:lvlText w:val="+"/>
      <w:numFmt w:val="bullet"/>
      <w:start w:val="1"/>
    </w:lvl>
  </w:abstractNum>
  <w:abstractNum w:abstractNumId="90">
    <w:nsid w:val="6CAA2304"/>
    <w:multiLevelType w:val="hybridMultilevel"/>
    <w:lvl w:ilvl="0">
      <w:lvlJc w:val="left"/>
      <w:lvlText w:val="•"/>
      <w:numFmt w:val="bullet"/>
      <w:start w:val="1"/>
    </w:lvl>
  </w:abstractNum>
  <w:abstractNum w:abstractNumId="91">
    <w:nsid w:val="3F7C2FF4"/>
    <w:multiLevelType w:val="hybridMultilevel"/>
    <w:lvl w:ilvl="0">
      <w:lvlJc w:val="left"/>
      <w:lvlText w:val="•"/>
      <w:numFmt w:val="bullet"/>
      <w:start w:val="1"/>
    </w:lvl>
  </w:abstractNum>
  <w:abstractNum w:abstractNumId="92">
    <w:nsid w:val="25413BEC"/>
    <w:multiLevelType w:val="hybridMultilevel"/>
    <w:lvl w:ilvl="0">
      <w:lvlJc w:val="left"/>
      <w:lvlText w:val="•"/>
      <w:numFmt w:val="bullet"/>
      <w:start w:val="1"/>
    </w:lvl>
  </w:abstractNum>
  <w:abstractNum w:abstractNumId="93">
    <w:nsid w:val="17180B0B"/>
    <w:multiLevelType w:val="hybridMultilevel"/>
    <w:lvl w:ilvl="0">
      <w:lvlJc w:val="left"/>
      <w:lvlText w:val="•"/>
      <w:numFmt w:val="bullet"/>
      <w:start w:val="1"/>
    </w:lvl>
  </w:abstractNum>
  <w:abstractNum w:abstractNumId="94">
    <w:nsid w:val="579328B9"/>
    <w:multiLevelType w:val="hybridMultilevel"/>
    <w:lvl w:ilvl="0">
      <w:lvlJc w:val="left"/>
      <w:lvlText w:val="•"/>
      <w:numFmt w:val="bullet"/>
      <w:start w:val="1"/>
    </w:lvl>
  </w:abstractNum>
  <w:abstractNum w:abstractNumId="95">
    <w:nsid w:val="5D205E20"/>
    <w:multiLevelType w:val="hybridMultilevel"/>
    <w:lvl w:ilvl="0">
      <w:lvlJc w:val="left"/>
      <w:lvlText w:val="•"/>
      <w:numFmt w:val="bullet"/>
      <w:start w:val="1"/>
    </w:lvl>
  </w:abstractNum>
  <w:abstractNum w:abstractNumId="96">
    <w:nsid w:val="11CCA8BA"/>
    <w:multiLevelType w:val="hybridMultilevel"/>
    <w:lvl w:ilvl="0">
      <w:lvlJc w:val="left"/>
      <w:lvlText w:val="•"/>
      <w:numFmt w:val="bullet"/>
      <w:start w:val="1"/>
    </w:lvl>
  </w:abstractNum>
  <w:abstractNum w:abstractNumId="97">
    <w:nsid w:val="4D32AB86"/>
    <w:multiLevelType w:val="hybridMultilevel"/>
    <w:lvl w:ilvl="0">
      <w:lvlJc w:val="left"/>
      <w:lvlText w:val="%1."/>
      <w:numFmt w:val="upperLetter"/>
      <w:start w:val="1"/>
    </w:lvl>
  </w:abstractNum>
  <w:abstractNum w:abstractNumId="98">
    <w:nsid w:val="3F07ACC3"/>
    <w:multiLevelType w:val="hybridMultilevel"/>
    <w:lvl w:ilvl="0">
      <w:lvlJc w:val="left"/>
      <w:lvlText w:val="(%1)"/>
      <w:numFmt w:val="lowerLetter"/>
      <w:start w:val="1"/>
    </w:lvl>
  </w:abstractNum>
  <w:abstractNum w:abstractNumId="99">
    <w:nsid w:val="6B47F63E"/>
    <w:multiLevelType w:val="hybridMultilevel"/>
    <w:lvl w:ilvl="0">
      <w:lvlJc w:val="left"/>
      <w:lvlText w:val="%1"/>
      <w:numFmt w:val="lowerLetter"/>
      <w:start w:val="1"/>
    </w:lvl>
    <w:lvl w:ilvl="1">
      <w:lvlJc w:val="left"/>
      <w:lvlText w:val="(%2)"/>
      <w:numFmt w:val="lowerRoman"/>
      <w:start w:val="1"/>
    </w:lvl>
  </w:abstractNum>
  <w:abstractNum w:abstractNumId="100">
    <w:nsid w:val="5CB44A05"/>
    <w:multiLevelType w:val="hybridMultilevel"/>
    <w:lvl w:ilvl="0">
      <w:lvlJc w:val="left"/>
      <w:lvlText w:val="(%1)"/>
      <w:numFmt w:val="lowerLetter"/>
      <w:start w:val="3"/>
    </w:lvl>
    <w:lvl w:ilvl="1">
      <w:lvlJc w:val="left"/>
      <w:lvlText w:val="(%2)"/>
      <w:numFmt w:val="lowerRoman"/>
      <w:start w:val="1"/>
    </w:lvl>
  </w:abstractNum>
  <w:abstractNum w:abstractNumId="101">
    <w:nsid w:val="16CF80F1"/>
    <w:multiLevelType w:val="hybridMultilevel"/>
    <w:lvl w:ilvl="0">
      <w:lvlJc w:val="left"/>
      <w:lvlText w:val="(%1)"/>
      <w:numFmt w:val="lowerLetter"/>
      <w:start w:val="5"/>
    </w:lvl>
  </w:abstractNum>
  <w:abstractNum w:abstractNumId="102">
    <w:nsid w:val="1C695DEC"/>
    <w:multiLevelType w:val="hybridMultilevel"/>
    <w:lvl w:ilvl="0">
      <w:lvlJc w:val="left"/>
      <w:lvlText w:val="(%1)"/>
      <w:numFmt w:val="lowerLetter"/>
      <w:start w:val="1"/>
    </w:lvl>
  </w:abstractNum>
  <w:abstractNum w:abstractNumId="103">
    <w:nsid w:val="3FCFAED9"/>
    <w:multiLevelType w:val="hybridMultilevel"/>
    <w:lvl w:ilvl="0">
      <w:lvlJc w:val="left"/>
      <w:lvlText w:val="(%1)"/>
      <w:numFmt w:val="lowerLetter"/>
      <w:start w:val="1"/>
    </w:lvl>
  </w:abstractNum>
  <w:abstractNum w:abstractNumId="104">
    <w:nsid w:val="F856867"/>
    <w:multiLevelType w:val="hybridMultilevel"/>
    <w:lvl w:ilvl="0">
      <w:lvlJc w:val="left"/>
      <w:lvlText w:val="(%1)"/>
      <w:numFmt w:val="lowerLetter"/>
      <w:start w:val="5"/>
    </w:lvl>
  </w:abstractNum>
  <w:abstractNum w:abstractNumId="105">
    <w:nsid w:val="11B1CC33"/>
    <w:multiLevelType w:val="hybridMultilevel"/>
    <w:lvl w:ilvl="0">
      <w:lvlJc w:val="left"/>
      <w:lvlText w:val="(%1)"/>
      <w:numFmt w:val="lowerLetter"/>
      <w:start w:val="1"/>
    </w:lvl>
    <w:lvl w:ilvl="1">
      <w:lvlJc w:val="left"/>
      <w:lvlText w:val="(%2)"/>
      <w:numFmt w:val="lowerRoman"/>
      <w:start w:val="1"/>
    </w:lvl>
  </w:abstractNum>
  <w:abstractNum w:abstractNumId="106">
    <w:nsid w:val="2E22FBB7"/>
    <w:multiLevelType w:val="hybridMultilevel"/>
    <w:lvl w:ilvl="0">
      <w:lvlJc w:val="left"/>
      <w:lvlText w:val="(%1)"/>
      <w:numFmt w:val="lowerRoman"/>
      <w:start w:val="1"/>
    </w:lvl>
  </w:abstractNum>
  <w:abstractNum w:abstractNumId="107">
    <w:nsid w:val="29934699"/>
    <w:multiLevelType w:val="hybridMultilevel"/>
    <w:lvl w:ilvl="0">
      <w:lvlJc w:val="left"/>
      <w:lvlText w:val="(%1)"/>
      <w:numFmt w:val="lowerLetter"/>
      <w:start w:val="1"/>
    </w:lvl>
    <w:lvl w:ilvl="1">
      <w:lvlJc w:val="left"/>
      <w:lvlText w:val="(%2)"/>
      <w:numFmt w:val="lowerRoman"/>
      <w:start w:val="1"/>
    </w:lvl>
  </w:abstractNum>
  <w:abstractNum w:abstractNumId="108">
    <w:nsid w:val="77485850"/>
    <w:multiLevelType w:val="hybridMultilevel"/>
    <w:lvl w:ilvl="0">
      <w:lvlJc w:val="left"/>
      <w:lvlText w:val="(%1)"/>
      <w:numFmt w:val="lowerLetter"/>
      <w:start w:val="5"/>
    </w:lvl>
    <w:lvl w:ilvl="1">
      <w:lvlJc w:val="left"/>
      <w:lvlText w:val="(%2)"/>
      <w:numFmt w:val="lowerRoman"/>
      <w:start w:val="1"/>
    </w:lvl>
  </w:abstractNum>
  <w:abstractNum w:abstractNumId="109">
    <w:nsid w:val="744939A3"/>
    <w:multiLevelType w:val="hybridMultilevel"/>
    <w:lvl w:ilvl="0">
      <w:lvlJc w:val="left"/>
      <w:lvlText w:val="(%1)"/>
      <w:numFmt w:val="lowerLetter"/>
      <w:start w:val="1"/>
    </w:lvl>
  </w:abstractNum>
  <w:abstractNum w:abstractNumId="110">
    <w:nsid w:val="4FA0D2E3"/>
    <w:multiLevelType w:val="hybridMultilevel"/>
    <w:lvl w:ilvl="0">
      <w:lvlJc w:val="left"/>
      <w:lvlText w:val="(%1)"/>
      <w:numFmt w:val="lowerLetter"/>
      <w:start w:val="5"/>
    </w:lvl>
  </w:abstractNum>
  <w:abstractNum w:abstractNumId="111">
    <w:nsid w:val="6B1D2C14"/>
    <w:multiLevelType w:val="hybridMultilevel"/>
    <w:lvl w:ilvl="0">
      <w:lvlJc w:val="left"/>
      <w:lvlText w:val="(%1)"/>
      <w:numFmt w:val="lowerLetter"/>
      <w:start w:val="1"/>
    </w:lvl>
  </w:abstractNum>
  <w:abstractNum w:abstractNumId="112">
    <w:nsid w:val="68B867D3"/>
    <w:multiLevelType w:val="hybridMultilevel"/>
    <w:lvl w:ilvl="0">
      <w:lvlJc w:val="left"/>
      <w:lvlText w:val="•"/>
      <w:numFmt w:val="bullet"/>
      <w:start w:val="1"/>
    </w:lvl>
  </w:abstractNum>
  <w:abstractNum w:abstractNumId="113">
    <w:nsid w:val="3F7F5DD9"/>
    <w:multiLevelType w:val="hybridMultilevel"/>
    <w:lvl w:ilvl="0">
      <w:lvlJc w:val="left"/>
      <w:lvlText w:val="%1."/>
      <w:numFmt w:val="upperLetter"/>
      <w:start w:val="1"/>
    </w:lvl>
  </w:abstractNum>
  <w:abstractNum w:abstractNumId="114">
    <w:nsid w:val="2AE05A34"/>
    <w:multiLevelType w:val="hybridMultilevel"/>
    <w:lvl w:ilvl="0">
      <w:lvlJc w:val="left"/>
      <w:lvlText w:val="(%1)"/>
      <w:numFmt w:val="lowerLetter"/>
      <w:start w:val="1"/>
    </w:lvl>
    <w:lvl w:ilvl="1">
      <w:lvlJc w:val="left"/>
      <w:lvlText w:val="(%2)"/>
      <w:numFmt w:val="lowerRoman"/>
      <w:start w:val="1"/>
    </w:lvl>
  </w:abstractNum>
  <w:abstractNum w:abstractNumId="115">
    <w:nsid w:val="32794FF7"/>
    <w:multiLevelType w:val="hybridMultilevel"/>
    <w:lvl w:ilvl="0">
      <w:lvlJc w:val="left"/>
      <w:lvlText w:val="(%1)"/>
      <w:numFmt w:val="lowerLetter"/>
      <w:start w:val="3"/>
    </w:lvl>
  </w:abstractNum>
  <w:abstractNum w:abstractNumId="116">
    <w:nsid w:val="5454945E"/>
    <w:multiLevelType w:val="hybridMultilevel"/>
    <w:lvl w:ilvl="0">
      <w:lvlJc w:val="left"/>
      <w:lvlText w:val="(%1)"/>
      <w:numFmt w:val="lowerLetter"/>
      <w:start w:val="1"/>
    </w:lvl>
  </w:abstractNum>
  <w:abstractNum w:abstractNumId="117">
    <w:nsid w:val="4DEFDFA0"/>
    <w:multiLevelType w:val="hybridMultilevel"/>
    <w:lvl w:ilvl="0">
      <w:lvlJc w:val="left"/>
      <w:lvlText w:val="(%1)"/>
      <w:numFmt w:val="lowerLetter"/>
      <w:start w:val="1"/>
    </w:lvl>
  </w:abstractNum>
  <w:abstractNum w:abstractNumId="118">
    <w:nsid w:val="2123D5F2"/>
    <w:multiLevelType w:val="hybridMultilevel"/>
    <w:lvl w:ilvl="0">
      <w:lvlJc w:val="left"/>
      <w:lvlText w:val="(%1)"/>
      <w:numFmt w:val="decimal"/>
      <w:start w:val="3"/>
    </w:lvl>
  </w:abstractNum>
  <w:abstractNum w:abstractNumId="119">
    <w:nsid w:val="135B8110"/>
    <w:multiLevelType w:val="hybridMultilevel"/>
    <w:lvl w:ilvl="0">
      <w:lvlJc w:val="left"/>
      <w:lvlText w:val="(%1)"/>
      <w:numFmt w:val="lowerLetter"/>
      <w:start w:val="1"/>
    </w:lvl>
  </w:abstractNum>
  <w:abstractNum w:abstractNumId="120">
    <w:nsid w:val="94927A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1">
    <w:nsid w:val="DCDF8F6"/>
    <w:multiLevelType w:val="hybridMultilevel"/>
    <w:lvl w:ilvl="0">
      <w:lvlJc w:val="left"/>
      <w:lvlText w:val="(%1)"/>
      <w:numFmt w:val="lowerRoman"/>
      <w:start w:val="1"/>
    </w:lvl>
  </w:abstractNum>
  <w:abstractNum w:abstractNumId="122">
    <w:nsid w:val="52D7B105"/>
    <w:multiLevelType w:val="hybridMultilevel"/>
    <w:lvl w:ilvl="0">
      <w:lvlJc w:val="left"/>
      <w:lvlText w:val="(%1)"/>
      <w:numFmt w:val="lowerLetter"/>
      <w:start w:val="5"/>
    </w:lvl>
  </w:abstractNum>
  <w:abstractNum w:abstractNumId="123">
    <w:nsid w:val="2E8A6394"/>
    <w:multiLevelType w:val="hybridMultilevel"/>
    <w:lvl w:ilvl="0">
      <w:lvlJc w:val="left"/>
      <w:lvlText w:val="(%1)"/>
      <w:numFmt w:val="lowerLetter"/>
      <w:start w:val="1"/>
    </w:lvl>
  </w:abstractNum>
  <w:abstractNum w:abstractNumId="124">
    <w:nsid w:val="24E60401"/>
    <w:multiLevelType w:val="hybridMultilevel"/>
    <w:lvl w:ilvl="0">
      <w:lvlJc w:val="left"/>
      <w:lvlText w:val="%1"/>
      <w:numFmt w:val="lowerLetter"/>
      <w:start w:val="1"/>
    </w:lvl>
    <w:lvl w:ilvl="1">
      <w:lvlJc w:val="left"/>
      <w:lvlText w:val="(%2)"/>
      <w:numFmt w:val="lowerRoman"/>
      <w:start w:val="1"/>
    </w:lvl>
  </w:abstractNum>
  <w:abstractNum w:abstractNumId="125">
    <w:nsid w:val="2A6AD9BE"/>
    <w:multiLevelType w:val="hybridMultilevel"/>
    <w:lvl w:ilvl="0">
      <w:lvlJc w:val="left"/>
      <w:lvlText w:val="(%1)"/>
      <w:numFmt w:val="lowerLetter"/>
      <w:start w:val="3"/>
    </w:lvl>
    <w:lvl w:ilvl="1">
      <w:lvlJc w:val="left"/>
      <w:lvlText w:val="%2"/>
      <w:numFmt w:val="lowerRoman"/>
      <w:start w:val="1"/>
    </w:lvl>
  </w:abstractNum>
  <w:abstractNum w:abstractNumId="126">
    <w:nsid w:val="BAAC1B4"/>
    <w:multiLevelType w:val="hybridMultilevel"/>
    <w:lvl w:ilvl="0">
      <w:lvlJc w:val="left"/>
      <w:lvlText w:val="(%1)"/>
      <w:numFmt w:val="lowerRoman"/>
      <w:start w:val="1"/>
    </w:lvl>
  </w:abstractNum>
  <w:abstractNum w:abstractNumId="127">
    <w:nsid w:val="36B2ACBC"/>
    <w:multiLevelType w:val="hybridMultilevel"/>
    <w:lvl w:ilvl="0">
      <w:lvlJc w:val="left"/>
      <w:lvlText w:val="(%1)"/>
      <w:numFmt w:val="lowerLetter"/>
      <w:start w:val="4"/>
    </w:lvl>
    <w:lvl w:ilvl="1">
      <w:lvlJc w:val="left"/>
      <w:lvlText w:val="(%2)"/>
      <w:numFmt w:val="lowerRoman"/>
      <w:start w:val="1"/>
    </w:lvl>
  </w:abstractNum>
  <w:abstractNum w:abstractNumId="128">
    <w:nsid w:val="779D8544"/>
    <w:multiLevelType w:val="hybridMultilevel"/>
    <w:lvl w:ilvl="0">
      <w:lvlJc w:val="left"/>
      <w:lvlText w:val="(%1)"/>
      <w:numFmt w:val="lowerRoman"/>
      <w:start w:val="3"/>
    </w:lvl>
  </w:abstractNum>
  <w:abstractNum w:abstractNumId="129">
    <w:nsid w:val="4AB26E78"/>
    <w:multiLevelType w:val="hybridMultilevel"/>
    <w:lvl w:ilvl="0">
      <w:lvlJc w:val="left"/>
      <w:lvlText w:val="(%1)"/>
      <w:numFmt w:val="lowerLetter"/>
      <w:start w:val="1"/>
    </w:lvl>
  </w:abstractNum>
  <w:abstractNum w:abstractNumId="130">
    <w:nsid w:val="21FAA2FA"/>
    <w:multiLevelType w:val="hybridMultilevel"/>
    <w:lvl w:ilvl="0">
      <w:lvlJc w:val="left"/>
      <w:lvlText w:val="(%1)"/>
      <w:numFmt w:val="lowerLetter"/>
      <w:start w:val="6"/>
    </w:lvl>
  </w:abstractNum>
  <w:abstractNum w:abstractNumId="131">
    <w:nsid w:val="5451CF49"/>
    <w:multiLevelType w:val="hybridMultilevel"/>
    <w:lvl w:ilvl="0">
      <w:lvlJc w:val="left"/>
      <w:lvlText w:val="(%1)"/>
      <w:numFmt w:val="lowerLetter"/>
      <w:start w:val="1"/>
    </w:lvl>
    <w:lvl w:ilvl="1">
      <w:lvlJc w:val="left"/>
      <w:lvlText w:val="(%2)"/>
      <w:numFmt w:val="lowerRoman"/>
      <w:start w:val="1"/>
    </w:lvl>
  </w:abstractNum>
  <w:abstractNum w:abstractNumId="132">
    <w:nsid w:val="6181EF69"/>
    <w:multiLevelType w:val="hybridMultilevel"/>
    <w:lvl w:ilvl="0">
      <w:lvlJc w:val="left"/>
      <w:lvlText w:val="(%1)"/>
      <w:numFmt w:val="lowerRoman"/>
      <w:start w:val="1"/>
    </w:lvl>
  </w:abstractNum>
  <w:abstractNum w:abstractNumId="133">
    <w:nsid w:val="3E6400E6"/>
    <w:multiLevelType w:val="hybridMultilevel"/>
    <w:lvl w:ilvl="0">
      <w:lvlJc w:val="left"/>
      <w:lvlText w:val="(%1)"/>
      <w:numFmt w:val="lowerLetter"/>
      <w:start w:val="1"/>
    </w:lvl>
  </w:abstractNum>
  <w:abstractNum w:abstractNumId="134">
    <w:nsid w:val="14217E23"/>
    <w:multiLevelType w:val="hybridMultilevel"/>
    <w:lvl w:ilvl="0">
      <w:lvlJc w:val="left"/>
      <w:lvlText w:val="(%1)"/>
      <w:numFmt w:val="lowerLetter"/>
      <w:start w:val="1"/>
    </w:lvl>
  </w:abstractNum>
  <w:abstractNum w:abstractNumId="135">
    <w:nsid w:val="710757D0"/>
    <w:multiLevelType w:val="hybridMultilevel"/>
    <w:lvl w:ilvl="0">
      <w:lvlJc w:val="left"/>
      <w:lvlText w:val="(%1)"/>
      <w:numFmt w:val="lowerLetter"/>
      <w:start w:val="1"/>
    </w:lvl>
  </w:abstractNum>
  <w:abstractNum w:abstractNumId="136">
    <w:nsid w:val="5015CD1A"/>
    <w:multiLevelType w:val="hybridMultilevel"/>
    <w:lvl w:ilvl="0">
      <w:lvlJc w:val="left"/>
      <w:lvlText w:val="(%1)"/>
      <w:numFmt w:val="lowerLetter"/>
      <w:start w:val="2"/>
    </w:lvl>
    <w:lvl w:ilvl="1">
      <w:lvlJc w:val="left"/>
      <w:lvlText w:val="(%2)"/>
      <w:numFmt w:val="lowerRoman"/>
      <w:start w:val="1"/>
    </w:lvl>
  </w:abstractNum>
  <w:abstractNum w:abstractNumId="137">
    <w:nsid w:val="424479DA"/>
    <w:multiLevelType w:val="hybridMultilevel"/>
    <w:lvl w:ilvl="0">
      <w:lvlJc w:val="left"/>
      <w:lvlText w:val="(%1)"/>
      <w:numFmt w:val="lowerLetter"/>
      <w:start w:val="1"/>
    </w:lvl>
    <w:lvl w:ilvl="1">
      <w:lvlJc w:val="left"/>
      <w:lvlText w:val="(%2)"/>
      <w:numFmt w:val="lowerRoman"/>
      <w:start w:val="1"/>
    </w:lvl>
  </w:abstractNum>
  <w:abstractNum w:abstractNumId="138">
    <w:nsid w:val="1A9A9E69"/>
    <w:multiLevelType w:val="hybridMultilevel"/>
    <w:lvl w:ilvl="0">
      <w:lvlJc w:val="left"/>
      <w:lvlText w:val="(%1)"/>
      <w:numFmt w:val="lowerLetter"/>
      <w:start w:val="2"/>
    </w:lvl>
  </w:abstractNum>
  <w:abstractNum w:abstractNumId="139">
    <w:nsid w:val="475E256A"/>
    <w:multiLevelType w:val="hybridMultilevel"/>
    <w:lvl w:ilvl="0">
      <w:lvlJc w:val="left"/>
      <w:lvlText w:val="(%1)"/>
      <w:numFmt w:val="decimal"/>
      <w:start w:val="1"/>
    </w:lvl>
  </w:abstractNum>
  <w:abstractNum w:abstractNumId="140">
    <w:nsid w:val="368DB37E"/>
    <w:multiLevelType w:val="hybridMultilevel"/>
    <w:lvl w:ilvl="0">
      <w:lvlJc w:val="left"/>
      <w:lvlText w:val="(%1)"/>
      <w:numFmt w:val="upperLetter"/>
      <w:start w:val="1"/>
    </w:lvl>
  </w:abstractNum>
  <w:abstractNum w:abstractNumId="141">
    <w:nsid w:val="6A3B714C"/>
    <w:multiLevelType w:val="hybridMultilevel"/>
    <w:lvl w:ilvl="0">
      <w:lvlJc w:val="left"/>
      <w:lvlText w:val="1"/>
      <w:numFmt w:val="bullet"/>
      <w:start w:val="1"/>
    </w:lvl>
  </w:abstractNum>
  <w:abstractNum w:abstractNumId="142">
    <w:nsid w:val="327B517E"/>
    <w:multiLevelType w:val="hybridMultilevel"/>
    <w:lvl w:ilvl="0">
      <w:lvlJc w:val="left"/>
      <w:lvlText w:val="(%1)"/>
      <w:numFmt w:val="upperLetter"/>
      <w:start w:val="1"/>
    </w:lvl>
  </w:abstractNum>
  <w:abstractNum w:abstractNumId="143">
    <w:nsid w:val="1F461B51"/>
    <w:multiLevelType w:val="hybridMultilevel"/>
    <w:lvl w:ilvl="0">
      <w:lvlJc w:val="left"/>
      <w:lvlText w:val="(%1)"/>
      <w:numFmt w:val="upperLetter"/>
      <w:start w:val="4"/>
    </w:lvl>
  </w:abstractNum>
  <w:abstractNum w:abstractNumId="144">
    <w:nsid w:val="29BACF25"/>
    <w:multiLevelType w:val="hybridMultilevel"/>
    <w:lvl w:ilvl="0">
      <w:lvlJc w:val="left"/>
      <w:lvlText w:val="2"/>
      <w:numFmt w:val="bullet"/>
      <w:start w:val="1"/>
    </w:lvl>
  </w:abstractNum>
  <w:abstractNum w:abstractNumId="145">
    <w:nsid w:val="5D5BABB3"/>
    <w:multiLevelType w:val="hybridMultilevel"/>
    <w:lvl w:ilvl="0">
      <w:lvlJc w:val="left"/>
      <w:lvlText w:val="3"/>
      <w:numFmt w:val="bullet"/>
      <w:start w:val="1"/>
    </w:lvl>
  </w:abstractNum>
  <w:abstractNum w:abstractNumId="146">
    <w:nsid w:val="51BF6B48"/>
    <w:multiLevelType w:val="hybridMultilevel"/>
    <w:lvl w:ilvl="0">
      <w:lvlJc w:val="left"/>
      <w:lvlText w:val="(%1)"/>
      <w:numFmt w:val="lowerRoman"/>
      <w:start w:val="1"/>
    </w:lvl>
  </w:abstractNum>
  <w:abstractNum w:abstractNumId="147">
    <w:nsid w:val="7E0F6384"/>
    <w:multiLevelType w:val="hybridMultilevel"/>
    <w:lvl w:ilvl="0">
      <w:lvlJc w:val="left"/>
      <w:lvlText w:val="•"/>
      <w:numFmt w:val="bullet"/>
      <w:start w:val="1"/>
    </w:lvl>
  </w:abstractNum>
  <w:abstractNum w:abstractNumId="148">
    <w:nsid w:val="2B4B8B53"/>
    <w:multiLevelType w:val="hybridMultilevel"/>
    <w:lvl w:ilvl="0">
      <w:lvlJc w:val="left"/>
      <w:lvlText w:val="4"/>
      <w:numFmt w:val="bullet"/>
      <w:start w:val="1"/>
    </w:lvl>
  </w:abstractNum>
  <w:abstractNum w:abstractNumId="149">
    <w:nsid w:val="72E3413A"/>
    <w:multiLevelType w:val="hybridMultilevel"/>
    <w:lvl w:ilvl="0">
      <w:lvlJc w:val="left"/>
      <w:lvlText w:val="5"/>
      <w:numFmt w:val="bullet"/>
      <w:start w:val="1"/>
    </w:lvl>
  </w:abstractNum>
  <w:abstractNum w:abstractNumId="150">
    <w:nsid w:val="116AE494"/>
    <w:multiLevelType w:val="hybridMultilevel"/>
    <w:lvl w:ilvl="0">
      <w:lvlJc w:val="left"/>
      <w:lvlText w:val="6"/>
      <w:numFmt w:val="bullet"/>
      <w:start w:val="1"/>
    </w:lvl>
  </w:abstractNum>
  <w:abstractNum w:abstractNumId="151">
    <w:nsid w:val="3494B2FB"/>
    <w:multiLevelType w:val="hybridMultilevel"/>
    <w:lvl w:ilvl="0">
      <w:lvlJc w:val="left"/>
      <w:lvlText w:val="7"/>
      <w:numFmt w:val="bullet"/>
      <w:start w:val="1"/>
    </w:lvl>
  </w:abstractNum>
  <w:abstractNum w:abstractNumId="152">
    <w:nsid w:val="B13A31"/>
    <w:multiLevelType w:val="hybridMultilevel"/>
    <w:lvl w:ilvl="0">
      <w:lvlJc w:val="left"/>
      <w:lvlText w:val="8"/>
      <w:numFmt w:val="bullet"/>
      <w:start w:val="1"/>
    </w:lvl>
  </w:abstractNum>
  <w:abstractNum w:abstractNumId="153">
    <w:nsid w:val="64429599"/>
    <w:multiLevelType w:val="hybridMultilevel"/>
    <w:lvl w:ilvl="0">
      <w:lvlJc w:val="left"/>
      <w:lvlText w:val="9"/>
      <w:numFmt w:val="bullet"/>
      <w:start w:val="1"/>
    </w:lvl>
  </w:abstractNum>
  <w:abstractNum w:abstractNumId="154">
    <w:nsid w:val="631F1690"/>
    <w:multiLevelType w:val="hybridMultilevel"/>
    <w:lvl w:ilvl="0">
      <w:lvlJc w:val="left"/>
      <w:lvlText w:val="%1"/>
      <w:numFmt w:val="decimal"/>
      <w:start w:val="10"/>
    </w:lvl>
  </w:abstractNum>
  <w:abstractNum w:abstractNumId="155">
    <w:nsid w:val="25973E32"/>
    <w:multiLevelType w:val="hybridMultilevel"/>
    <w:lvl w:ilvl="0">
      <w:lvlJc w:val="left"/>
      <w:lvlText w:val="%1"/>
      <w:numFmt w:val="decimal"/>
      <w:start w:val="12"/>
    </w:lvl>
  </w:abstractNum>
  <w:abstractNum w:abstractNumId="156">
    <w:nsid w:val="EAD6F57"/>
    <w:multiLevelType w:val="hybridMultilevel"/>
    <w:lvl w:ilvl="0">
      <w:lvlJc w:val="left"/>
      <w:lvlText w:val="%1"/>
      <w:numFmt w:val="decimal"/>
      <w:start w:val="14"/>
    </w:lvl>
  </w:abstractNum>
  <w:abstractNum w:abstractNumId="157">
    <w:nsid w:val="6EC9D844"/>
    <w:multiLevelType w:val="hybridMultilevel"/>
    <w:lvl w:ilvl="0">
      <w:lvlJc w:val="left"/>
      <w:lvlText w:val="(%1)"/>
      <w:numFmt w:val="decimal"/>
      <w:start w:val="1"/>
    </w:lvl>
  </w:abstractNum>
  <w:abstractNum w:abstractNumId="158">
    <w:nsid w:val="5C49EAEE"/>
    <w:multiLevelType w:val="hybridMultilevel"/>
    <w:lvl w:ilvl="0">
      <w:lvlJc w:val="left"/>
      <w:lvlText w:val="1"/>
      <w:numFmt w:val="bullet"/>
      <w:start w:val="1"/>
    </w:lvl>
  </w:abstractNum>
  <w:abstractNum w:abstractNumId="159">
    <w:nsid w:val="64AF49B"/>
    <w:multiLevelType w:val="hybridMultilevel"/>
    <w:lvl w:ilvl="0">
      <w:lvlJc w:val="left"/>
      <w:lvlText w:val="(%1)"/>
      <w:numFmt w:val="lowerLetter"/>
      <w:start w:val="1"/>
    </w:lvl>
  </w:abstractNum>
  <w:abstractNum w:abstractNumId="160">
    <w:nsid w:val="397C46BC"/>
    <w:multiLevelType w:val="hybridMultilevel"/>
    <w:lvl w:ilvl="0">
      <w:lvlJc w:val="left"/>
      <w:lvlText w:val="2"/>
      <w:numFmt w:val="bullet"/>
      <w:start w:val="1"/>
    </w:lvl>
  </w:abstractNum>
  <w:abstractNum w:abstractNumId="161">
    <w:nsid w:val="7E448DE9"/>
    <w:multiLevelType w:val="hybridMultilevel"/>
    <w:lvl w:ilvl="0">
      <w:lvlJc w:val="left"/>
      <w:lvlText w:val="3"/>
      <w:numFmt w:val="bullet"/>
      <w:start w:val="1"/>
    </w:lvl>
  </w:abstractNum>
  <w:abstractNum w:abstractNumId="162">
    <w:nsid w:val="5A9CC3E5"/>
    <w:multiLevelType w:val="hybridMultilevel"/>
    <w:lvl w:ilvl="0">
      <w:lvlJc w:val="left"/>
      <w:lvlText w:val="4"/>
      <w:numFmt w:val="bullet"/>
      <w:start w:val="1"/>
    </w:lvl>
  </w:abstractNum>
  <w:abstractNum w:abstractNumId="163">
    <w:nsid w:val="1AFE3625"/>
    <w:multiLevelType w:val="hybridMultilevel"/>
    <w:lvl w:ilvl="0">
      <w:lvlJc w:val="left"/>
      <w:lvlText w:val="5"/>
      <w:numFmt w:val="bullet"/>
      <w:start w:val="1"/>
    </w:lvl>
  </w:abstractNum>
  <w:abstractNum w:abstractNumId="164">
    <w:nsid w:val="3CA88ECF"/>
    <w:multiLevelType w:val="hybridMultilevel"/>
    <w:lvl w:ilvl="0">
      <w:lvlJc w:val="left"/>
      <w:lvlText w:val="6"/>
      <w:numFmt w:val="bullet"/>
      <w:start w:val="1"/>
    </w:lvl>
  </w:abstractNum>
  <w:abstractNum w:abstractNumId="165">
    <w:nsid w:val="6EBE4208"/>
    <w:multiLevelType w:val="hybridMultilevel"/>
    <w:lvl w:ilvl="0">
      <w:lvlJc w:val="left"/>
      <w:lvlText w:val="7"/>
      <w:numFmt w:val="bullet"/>
      <w:start w:val="1"/>
    </w:lvl>
  </w:abstractNum>
  <w:abstractNum w:abstractNumId="166">
    <w:nsid w:val="C058DF5"/>
    <w:multiLevelType w:val="hybridMultilevel"/>
    <w:lvl w:ilvl="0">
      <w:lvlJc w:val="left"/>
      <w:lvlText w:val="8"/>
      <w:numFmt w:val="bullet"/>
      <w:start w:val="1"/>
    </w:lvl>
  </w:abstractNum>
  <w:abstractNum w:abstractNumId="167">
    <w:nsid w:val="CBE5BE9"/>
    <w:multiLevelType w:val="hybridMultilevel"/>
    <w:lvl w:ilvl="0">
      <w:lvlJc w:val="left"/>
      <w:lvlText w:val="9"/>
      <w:numFmt w:val="bullet"/>
      <w:start w:val="1"/>
    </w:lvl>
  </w:abstractNum>
  <w:abstractNum w:abstractNumId="168">
    <w:nsid w:val="3102BBE2"/>
    <w:multiLevelType w:val="hybridMultilevel"/>
    <w:lvl w:ilvl="0">
      <w:lvlJc w:val="left"/>
      <w:lvlText w:val="(%1)"/>
      <w:numFmt w:val="upperLetter"/>
      <w:start w:val="1"/>
    </w:lvl>
  </w:abstractNum>
  <w:abstractNum w:abstractNumId="169">
    <w:nsid w:val="26A02C5E"/>
    <w:multiLevelType w:val="hybridMultilevel"/>
    <w:lvl w:ilvl="0">
      <w:lvlJc w:val="left"/>
      <w:lvlText w:val="%1"/>
      <w:numFmt w:val="decimal"/>
      <w:start w:val="15"/>
    </w:lvl>
  </w:abstractNum>
  <w:abstractNum w:abstractNumId="170">
    <w:nsid w:val="541C8153"/>
    <w:multiLevelType w:val="hybridMultilevel"/>
    <w:lvl w:ilvl="0">
      <w:lvlJc w:val="left"/>
      <w:lvlText w:val="(%1)"/>
      <w:numFmt w:val="decimal"/>
      <w:start w:val="1"/>
    </w:lvl>
  </w:abstractNum>
  <w:abstractNum w:abstractNumId="171">
    <w:nsid w:val="67906F60"/>
    <w:multiLevelType w:val="hybridMultilevel"/>
    <w:lvl w:ilvl="0">
      <w:lvlJc w:val="left"/>
      <w:lvlText w:val="%1."/>
      <w:numFmt w:val="upperLetter"/>
      <w:start w:val="1"/>
    </w:lvl>
  </w:abstractNum>
  <w:abstractNum w:abstractNumId="172">
    <w:nsid w:val="10DB9DAA"/>
    <w:multiLevelType w:val="hybridMultilevel"/>
    <w:lvl w:ilvl="0">
      <w:lvlJc w:val="left"/>
      <w:lvlText w:val="%1."/>
      <w:numFmt w:val="decimal"/>
      <w:start w:val="1"/>
    </w:lvl>
  </w:abstractNum>
  <w:abstractNum w:abstractNumId="173">
    <w:nsid w:val="697D2D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74">
    <w:nsid w:val="6D68AB2"/>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175">
    <w:nsid w:val="3A966CD0"/>
    <w:multiLevelType w:val="hybridMultilevel"/>
    <w:lvl w:ilvl="0">
      <w:lvlJc w:val="left"/>
      <w:lvlText w:val="%1"/>
      <w:numFmt w:val="decimal"/>
      <w:start w:val="1"/>
    </w:lvl>
    <w:lvl w:ilvl="1">
      <w:lvlJc w:val="left"/>
      <w:lvlText w:val="%2."/>
      <w:numFmt w:val="lowerLetter"/>
      <w:start w:val="2"/>
    </w:lvl>
  </w:abstractNum>
  <w:abstractNum w:abstractNumId="176">
    <w:nsid w:val="63F37E85"/>
    <w:multiLevelType w:val="hybridMultilevel"/>
    <w:lvl w:ilvl="0">
      <w:lvlJc w:val="left"/>
      <w:lvlText w:val="%1."/>
      <w:numFmt w:val="decimal"/>
      <w:start w:val="2"/>
    </w:lvl>
    <w:lvl w:ilvl="1">
      <w:lvlJc w:val="left"/>
      <w:lvlText w:val="%2"/>
      <w:numFmt w:val="lowerLetter"/>
      <w:start w:val="1"/>
    </w:lvl>
  </w:abstractNum>
  <w:abstractNum w:abstractNumId="177">
    <w:nsid w:val="5895F5FA"/>
    <w:multiLevelType w:val="hybridMultilevel"/>
    <w:lvl w:ilvl="0">
      <w:lvlJc w:val="left"/>
      <w:lvlText w:val="%1."/>
      <w:numFmt w:val="lowerLetter"/>
      <w:start w:val="1"/>
    </w:lvl>
  </w:abstractNum>
  <w:abstractNum w:abstractNumId="178">
    <w:nsid w:val="38A5D054"/>
    <w:multiLevelType w:val="hybridMultilevel"/>
    <w:lvl w:ilvl="0">
      <w:lvlJc w:val="left"/>
      <w:lvlText w:val="%1."/>
      <w:numFmt w:val="decimal"/>
      <w:start w:val="6"/>
    </w:lvl>
  </w:abstractNum>
  <w:abstractNum w:abstractNumId="179">
    <w:nsid w:val="F3F09D8"/>
    <w:multiLevelType w:val="hybridMultilevel"/>
    <w:lvl w:ilvl="0">
      <w:lvlJc w:val="left"/>
      <w:lvlText w:val="%1."/>
      <w:numFmt w:val="decimal"/>
      <w:start w:val="8"/>
    </w:lvl>
  </w:abstractNum>
  <w:abstractNum w:abstractNumId="180">
    <w:nsid w:val="4B793735"/>
    <w:multiLevelType w:val="hybridMultilevel"/>
    <w:lvl w:ilvl="0">
      <w:lvlJc w:val="left"/>
      <w:lvlText w:val="%1"/>
      <w:numFmt w:val="lowerRoman"/>
      <w:start w:val="1"/>
    </w:lvl>
    <w:lvl w:ilvl="1">
      <w:lvlJc w:val="left"/>
      <w:lvlText w:val="%2."/>
      <w:numFmt w:val="decimal"/>
      <w:start w:val="10"/>
    </w:lvl>
  </w:abstractNum>
  <w:abstractNum w:abstractNumId="181">
    <w:nsid w:val="4A10B4E8"/>
    <w:multiLevelType w:val="hybridMultilevel"/>
    <w:lvl w:ilvl="0">
      <w:lvlJc w:val="left"/>
      <w:lvlText w:val="(%1)"/>
      <w:numFmt w:val="lowerRoman"/>
      <w:start w:val="2"/>
    </w:lvl>
    <w:lvl w:ilvl="1">
      <w:lvlJc w:val="left"/>
      <w:lvlText w:val="%2"/>
      <w:numFmt w:val="decimal"/>
      <w:start w:val="1"/>
    </w:lvl>
  </w:abstractNum>
  <w:abstractNum w:abstractNumId="182">
    <w:nsid w:val="43D3BCD4"/>
    <w:multiLevelType w:val="hybridMultilevel"/>
    <w:lvl w:ilvl="0">
      <w:lvlJc w:val="left"/>
      <w:lvlText w:val="(%1)"/>
      <w:numFmt w:val="lowerRoman"/>
      <w:start w:val="4"/>
    </w:lvl>
    <w:lvl w:ilvl="1">
      <w:lvlJc w:val="left"/>
      <w:lvlText w:val="%2."/>
      <w:numFmt w:val="decimal"/>
      <w:start w:val="13"/>
    </w:lvl>
  </w:abstractNum>
  <w:abstractNum w:abstractNumId="183">
    <w:nsid w:val="4C2A7166"/>
    <w:multiLevelType w:val="hybridMultilevel"/>
    <w:lvl w:ilvl="0">
      <w:lvlJc w:val="left"/>
      <w:lvlText w:val="%1."/>
      <w:numFmt w:val="decimal"/>
      <w:start w:val="18"/>
    </w:lvl>
  </w:abstractNum>
  <w:abstractNum w:abstractNumId="184">
    <w:nsid w:val="2E534A82"/>
    <w:multiLevelType w:val="hybridMultilevel"/>
    <w:lvl w:ilvl="0">
      <w:lvlJc w:val="left"/>
      <w:lvlText w:val="%1."/>
      <w:numFmt w:val="decimal"/>
      <w:start w:val="19"/>
    </w:lvl>
  </w:abstractNum>
  <w:abstractNum w:abstractNumId="185">
    <w:nsid w:val="26F2D364"/>
    <w:multiLevelType w:val="hybridMultilevel"/>
    <w:lvl w:ilvl="0">
      <w:lvlJc w:val="left"/>
      <w:lvlText w:val="%1."/>
      <w:numFmt w:val="decimal"/>
      <w:start w:val="23"/>
    </w:lvl>
    <w:lvl w:ilvl="1">
      <w:lvlJc w:val="left"/>
      <w:lvlText w:val="(%2)"/>
      <w:numFmt w:val="lowerLetter"/>
      <w:start w:val="2"/>
    </w:lvl>
    <w:lvl w:ilvl="2">
      <w:lvlJc w:val="left"/>
      <w:lvlText w:val="(%3)"/>
      <w:numFmt w:val="lowerLetter"/>
      <w:start w:val="1"/>
    </w:lvl>
  </w:abstractNum>
  <w:abstractNum w:abstractNumId="186">
    <w:nsid w:val="71C1AF98"/>
    <w:multiLevelType w:val="hybridMultilevel"/>
    <w:lvl w:ilvl="0">
      <w:lvlJc w:val="left"/>
      <w:lvlText w:val="(%1)"/>
      <w:numFmt w:val="lowerLetter"/>
      <w:start w:val="4"/>
    </w:lvl>
  </w:abstractNum>
  <w:abstractNum w:abstractNumId="187">
    <w:nsid w:val="3D00B9D9"/>
    <w:multiLevelType w:val="hybridMultilevel"/>
    <w:lvl w:ilvl="0">
      <w:lvlJc w:val="left"/>
      <w:lvlText w:val="%1."/>
      <w:numFmt w:val="decimal"/>
      <w:start w:val="1"/>
    </w:lvl>
  </w:abstractNum>
  <w:abstractNum w:abstractNumId="188">
    <w:nsid w:val="15BCABA8"/>
    <w:multiLevelType w:val="hybridMultilevel"/>
    <w:lvl w:ilvl="0">
      <w:lvlJc w:val="left"/>
      <w:lvlText w:val="1"/>
      <w:numFmt w:val="bullet"/>
      <w:start w:val="1"/>
    </w:lvl>
  </w:abstractNum>
  <w:abstractNum w:abstractNumId="189">
    <w:nsid w:val="4E0B9A87"/>
    <w:multiLevelType w:val="hybridMultilevel"/>
    <w:lvl w:ilvl="0">
      <w:lvlJc w:val="left"/>
      <w:lvlText w:val="2"/>
      <w:numFmt w:val="bullet"/>
      <w:start w:val="1"/>
    </w:lvl>
    <w:lvl w:ilvl="1">
      <w:lvlJc w:val="left"/>
      <w:lvlText w:val="•"/>
      <w:numFmt w:val="bullet"/>
      <w:start w:val="1"/>
    </w:lvl>
  </w:abstractNum>
  <w:abstractNum w:abstractNumId="190">
    <w:nsid w:val="434BAE75"/>
    <w:multiLevelType w:val="hybridMultilevel"/>
    <w:lvl w:ilvl="0">
      <w:lvlJc w:val="left"/>
      <w:lvlText w:val="3"/>
      <w:numFmt w:val="bullet"/>
      <w:start w:val="1"/>
    </w:lvl>
  </w:abstractNum>
  <w:abstractNum w:abstractNumId="191">
    <w:nsid w:val="4F38F265"/>
    <w:multiLevelType w:val="hybridMultilevel"/>
    <w:lvl w:ilvl="0">
      <w:lvlJc w:val="left"/>
      <w:lvlText w:val="4"/>
      <w:numFmt w:val="bullet"/>
      <w:start w:val="1"/>
    </w:lvl>
  </w:abstractNum>
  <w:abstractNum w:abstractNumId="192">
    <w:nsid w:val="4C502870"/>
    <w:multiLevelType w:val="hybridMultilevel"/>
    <w:lvl w:ilvl="0">
      <w:lvlJc w:val="left"/>
      <w:lvlText w:val="•"/>
      <w:numFmt w:val="bullet"/>
      <w:start w:val="1"/>
    </w:lvl>
  </w:abstractNum>
  <w:abstractNum w:abstractNumId="193">
    <w:nsid w:val="1DE8725A"/>
    <w:multiLevelType w:val="hybridMultilevel"/>
    <w:lvl w:ilvl="0">
      <w:lvlJc w:val="left"/>
      <w:lvlText w:val="5"/>
      <w:numFmt w:val="bullet"/>
      <w:start w:val="1"/>
    </w:lvl>
  </w:abstractNum>
  <w:abstractNum w:abstractNumId="194">
    <w:nsid w:val="6A37288A"/>
    <w:multiLevelType w:val="hybridMultilevel"/>
    <w:lvl w:ilvl="0">
      <w:lvlJc w:val="left"/>
      <w:lvlText w:val="•"/>
      <w:numFmt w:val="bullet"/>
      <w:start w:val="1"/>
    </w:lvl>
  </w:abstractNum>
  <w:abstractNum w:abstractNumId="195">
    <w:nsid w:val="8F8B73F"/>
    <w:multiLevelType w:val="hybridMultilevel"/>
    <w:lvl w:ilvl="0">
      <w:lvlJc w:val="left"/>
      <w:lvlText w:val="6"/>
      <w:numFmt w:val="bullet"/>
      <w:start w:val="1"/>
    </w:lvl>
  </w:abstractNum>
  <w:abstractNum w:abstractNumId="196">
    <w:nsid w:val="CA6B462"/>
    <w:multiLevelType w:val="hybridMultilevel"/>
    <w:lvl w:ilvl="0">
      <w:lvlJc w:val="left"/>
      <w:lvlText w:val="7"/>
      <w:numFmt w:val="bullet"/>
      <w:start w:val="1"/>
    </w:lvl>
  </w:abstractNum>
  <w:abstractNum w:abstractNumId="197">
    <w:nsid w:val="763CB680"/>
    <w:multiLevelType w:val="hybridMultilevel"/>
    <w:lvl w:ilvl="0">
      <w:lvlJc w:val="left"/>
      <w:lvlText w:val="8"/>
      <w:numFmt w:val="bullet"/>
      <w:start w:val="1"/>
    </w:lvl>
  </w:abstractNum>
  <w:abstractNum w:abstractNumId="198">
    <w:nsid w:val="15B71329"/>
    <w:multiLevelType w:val="hybridMultilevel"/>
    <w:lvl w:ilvl="0">
      <w:lvlJc w:val="left"/>
      <w:lvlText w:val="9"/>
      <w:numFmt w:val="bullet"/>
      <w:start w:val="1"/>
    </w:lvl>
  </w:abstractNum>
  <w:abstractNum w:abstractNumId="199">
    <w:nsid w:val="3DA97044"/>
    <w:multiLevelType w:val="hybridMultilevel"/>
    <w:lvl w:ilvl="0">
      <w:lvlJc w:val="left"/>
      <w:lvlText w:val="%1"/>
      <w:numFmt w:val="decimal"/>
      <w:start w:val="10"/>
    </w:lvl>
  </w:abstractNum>
  <w:abstractNum w:abstractNumId="200">
    <w:nsid w:val="1CDCE2DE"/>
    <w:multiLevelType w:val="hybridMultilevel"/>
    <w:lvl w:ilvl="0">
      <w:lvlJc w:val="left"/>
      <w:lvlText w:val="•"/>
      <w:numFmt w:val="bullet"/>
      <w:start w:val="1"/>
    </w:lvl>
  </w:abstractNum>
  <w:abstractNum w:abstractNumId="201">
    <w:nsid w:val="69D3947C"/>
    <w:multiLevelType w:val="hybridMultilevel"/>
    <w:lvl w:ilvl="0">
      <w:lvlJc w:val="left"/>
      <w:lvlText w:val="•"/>
      <w:numFmt w:val="bullet"/>
      <w:start w:val="1"/>
    </w:lvl>
  </w:abstractNum>
  <w:abstractNum w:abstractNumId="202">
    <w:nsid w:val="2539DFA5"/>
    <w:multiLevelType w:val="hybridMultilevel"/>
    <w:lvl w:ilvl="0">
      <w:lvlJc w:val="left"/>
      <w:lvlText w:val="•"/>
      <w:numFmt w:val="bullet"/>
      <w:start w:val="1"/>
    </w:lvl>
  </w:abstractNum>
  <w:abstractNum w:abstractNumId="203">
    <w:nsid w:val="2DB88089"/>
    <w:multiLevelType w:val="hybridMultilevel"/>
    <w:lvl w:ilvl="0">
      <w:lvlJc w:val="left"/>
      <w:lvlText w:val="•"/>
      <w:numFmt w:val="bullet"/>
      <w:start w:val="1"/>
    </w:lvl>
  </w:abstractNum>
  <w:abstractNum w:abstractNumId="204">
    <w:nsid w:val="706B674E"/>
    <w:multiLevelType w:val="hybridMultilevel"/>
    <w:lvl w:ilvl="0">
      <w:lvlJc w:val="left"/>
      <w:lvlText w:val="•"/>
      <w:numFmt w:val="bullet"/>
      <w:start w:val="1"/>
    </w:lvl>
  </w:abstractNum>
  <w:abstractNum w:abstractNumId="205">
    <w:nsid w:val="2C106A57"/>
    <w:multiLevelType w:val="hybridMultilevel"/>
    <w:lvl w:ilvl="0">
      <w:lvlJc w:val="left"/>
      <w:lvlText w:val="•"/>
      <w:numFmt w:val="bullet"/>
      <w:start w:val="1"/>
    </w:lvl>
  </w:abstractNum>
  <w:abstractNum w:abstractNumId="206">
    <w:nsid w:val="684EED59"/>
    <w:multiLevelType w:val="hybridMultilevel"/>
    <w:lvl w:ilvl="0">
      <w:lvlJc w:val="left"/>
      <w:lvlText w:val="•"/>
      <w:numFmt w:val="bullet"/>
      <w:start w:val="1"/>
    </w:lvl>
  </w:abstractNum>
  <w:abstractNum w:abstractNumId="207">
    <w:nsid w:val="545EE5D3"/>
    <w:multiLevelType w:val="hybridMultilevel"/>
    <w:lvl w:ilvl="0">
      <w:lvlJc w:val="left"/>
      <w:lvlText w:val="•"/>
      <w:numFmt w:val="bullet"/>
      <w:start w:val="1"/>
    </w:lvl>
  </w:abstractNum>
  <w:abstractNum w:abstractNumId="208">
    <w:nsid w:val="4A66051"/>
    <w:multiLevelType w:val="hybridMultilevel"/>
    <w:lvl w:ilvl="0">
      <w:lvlJc w:val="left"/>
      <w:lvlText w:val="•"/>
      <w:numFmt w:val="bullet"/>
      <w:start w:val="1"/>
    </w:lvl>
    <w:lvl w:ilvl="1">
      <w:lvlJc w:val="left"/>
      <w:lvlText w:val="%2."/>
      <w:numFmt w:val="lowerLetter"/>
      <w:start w:val="1"/>
    </w:lvl>
  </w:abstractNum>
  <w:abstractNum w:abstractNumId="209">
    <w:nsid w:val="20F4BDAD"/>
    <w:multiLevelType w:val="hybridMultilevel"/>
    <w:lvl w:ilvl="0">
      <w:lvlJc w:val="left"/>
      <w:lvlText w:val="•"/>
      <w:numFmt w:val="bullet"/>
      <w:start w:val="1"/>
    </w:lvl>
  </w:abstractNum>
  <w:abstractNum w:abstractNumId="210">
    <w:nsid w:val="639DEFAC"/>
    <w:multiLevelType w:val="hybridMultilevel"/>
    <w:lvl w:ilvl="0">
      <w:lvlJc w:val="left"/>
      <w:lvlText w:val="*"/>
      <w:numFmt w:val="bullet"/>
      <w:start w:val="1"/>
    </w:lvl>
  </w:abstractNum>
  <w:abstractNum w:abstractNumId="211">
    <w:nsid w:val="501F9786"/>
    <w:multiLevelType w:val="hybridMultilevel"/>
    <w:lvl w:ilvl="0">
      <w:lvlJc w:val="left"/>
      <w:lvlText w:val="%1."/>
      <w:numFmt w:val="decimal"/>
      <w:start w:val="1"/>
    </w:lvl>
  </w:abstractNum>
  <w:abstractNum w:abstractNumId="212">
    <w:nsid w:val="6B057295"/>
    <w:multiLevelType w:val="hybridMultilevel"/>
    <w:lvl w:ilvl="0">
      <w:lvlJc w:val="left"/>
      <w:lvlText w:val="(%1)"/>
      <w:numFmt w:val="lowerLetter"/>
      <w:start w:val="1"/>
    </w:lvl>
  </w:abstractNum>
  <w:abstractNum w:abstractNumId="213">
    <w:nsid w:val="2771AC80"/>
    <w:multiLevelType w:val="hybridMultilevel"/>
    <w:lvl w:ilvl="0">
      <w:lvlJc w:val="left"/>
      <w:lvlText w:val="%1."/>
      <w:numFmt w:val="decimal"/>
      <w:start w:val="5"/>
    </w:lvl>
  </w:abstractNum>
  <w:abstractNum w:abstractNumId="214">
    <w:nsid w:val="1C4A08EC"/>
    <w:multiLevelType w:val="hybridMultilevel"/>
    <w:lvl w:ilvl="0">
      <w:lvlJc w:val="left"/>
      <w:lvlText w:val="(%1)"/>
      <w:numFmt w:val="lowerLetter"/>
      <w:start w:val="1"/>
    </w:lvl>
  </w:abstractNum>
  <w:abstractNum w:abstractNumId="215">
    <w:nsid w:val="1958BD17"/>
    <w:multiLevelType w:val="hybridMultilevel"/>
    <w:lvl w:ilvl="0">
      <w:lvlJc w:val="left"/>
      <w:lvlText w:val="%1."/>
      <w:numFmt w:val="decimal"/>
      <w:start w:val="1"/>
    </w:lvl>
  </w:abstractNum>
  <w:abstractNum w:abstractNumId="216">
    <w:nsid w:val="4E647FE4"/>
    <w:multiLevelType w:val="hybridMultilevel"/>
    <w:lvl w:ilvl="0">
      <w:lvlJc w:val="left"/>
      <w:lvlText w:val="(%1)"/>
      <w:numFmt w:val="lowerLetter"/>
      <w:start w:val="1"/>
    </w:lvl>
  </w:abstractNum>
  <w:abstractNum w:abstractNumId="217">
    <w:nsid w:val="E0BB885"/>
    <w:multiLevelType w:val="hybridMultilevel"/>
    <w:lvl w:ilvl="0">
      <w:lvlJc w:val="left"/>
      <w:lvlText w:val="%1."/>
      <w:numFmt w:val="decimal"/>
      <w:start w:val="5"/>
    </w:lvl>
  </w:abstractNum>
  <w:abstractNum w:abstractNumId="218">
    <w:nsid w:val="565976F1"/>
    <w:multiLevelType w:val="hybridMultilevel"/>
    <w:lvl w:ilvl="0">
      <w:lvlJc w:val="left"/>
      <w:lvlText w:val="(%1)"/>
      <w:numFmt w:val="lowerLetter"/>
      <w:start w:val="1"/>
    </w:lvl>
  </w:abstractNum>
  <w:abstractNum w:abstractNumId="219">
    <w:nsid w:val="64212B8C"/>
    <w:multiLevelType w:val="hybridMultilevel"/>
    <w:lvl w:ilvl="0">
      <w:lvlJc w:val="left"/>
      <w:lvlText w:val="(%1)"/>
      <w:numFmt w:val="decimal"/>
      <w:start w:val="1"/>
    </w:lvl>
  </w:abstractNum>
  <w:abstractNum w:abstractNumId="220">
    <w:nsid w:val="5C17530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46" Type="http://schemas.openxmlformats.org/officeDocument/2006/relationships/image" Target="media/image177.png"/><Relationship Id="rId247" Type="http://schemas.openxmlformats.org/officeDocument/2006/relationships/image" Target="media/image178.png"/><Relationship Id="rId250" Type="http://schemas.openxmlformats.org/officeDocument/2006/relationships/image" Target="media/image179.png"/><Relationship Id="rId251" Type="http://schemas.openxmlformats.org/officeDocument/2006/relationships/image" Target="media/image180.png"/><Relationship Id="rId252" Type="http://schemas.openxmlformats.org/officeDocument/2006/relationships/image" Target="media/image181.png"/><Relationship Id="rId253" Type="http://schemas.openxmlformats.org/officeDocument/2006/relationships/image" Target="media/image182.png"/><Relationship Id="rId254" Type="http://schemas.openxmlformats.org/officeDocument/2006/relationships/image" Target="media/image183.png"/><Relationship Id="rId255" Type="http://schemas.openxmlformats.org/officeDocument/2006/relationships/image" Target="media/image184.png"/><Relationship Id="rId256" Type="http://schemas.openxmlformats.org/officeDocument/2006/relationships/image" Target="media/image185.png"/><Relationship Id="rId257" Type="http://schemas.openxmlformats.org/officeDocument/2006/relationships/image" Target="media/image186.png"/><Relationship Id="rId258" Type="http://schemas.openxmlformats.org/officeDocument/2006/relationships/image" Target="media/image187.png"/><Relationship Id="rId259" Type="http://schemas.openxmlformats.org/officeDocument/2006/relationships/image" Target="media/image188.png"/><Relationship Id="rId260" Type="http://schemas.openxmlformats.org/officeDocument/2006/relationships/image" Target="media/image189.png"/><Relationship Id="rId261" Type="http://schemas.openxmlformats.org/officeDocument/2006/relationships/image" Target="media/image190.png"/><Relationship Id="rId262" Type="http://schemas.openxmlformats.org/officeDocument/2006/relationships/image" Target="media/image191.png"/><Relationship Id="rId263" Type="http://schemas.openxmlformats.org/officeDocument/2006/relationships/image" Target="media/image192.png"/><Relationship Id="rId264" Type="http://schemas.openxmlformats.org/officeDocument/2006/relationships/image" Target="media/image193.jpeg"/><Relationship Id="rId265" Type="http://schemas.openxmlformats.org/officeDocument/2006/relationships/image" Target="media/image194.png"/><Relationship Id="rId266" Type="http://schemas.openxmlformats.org/officeDocument/2006/relationships/image" Target="media/image195.jpeg"/><Relationship Id="rId267" Type="http://schemas.openxmlformats.org/officeDocument/2006/relationships/image" Target="media/image196.jpeg"/><Relationship Id="rId268" Type="http://schemas.openxmlformats.org/officeDocument/2006/relationships/image" Target="media/image197.jpeg"/><Relationship Id="rId269" Type="http://schemas.openxmlformats.org/officeDocument/2006/relationships/image" Target="media/image198.jpeg"/><Relationship Id="rId270" Type="http://schemas.openxmlformats.org/officeDocument/2006/relationships/image" Target="media/image199.jpeg"/><Relationship Id="rId271" Type="http://schemas.openxmlformats.org/officeDocument/2006/relationships/image" Target="media/image200.jpeg"/><Relationship Id="rId272" Type="http://schemas.openxmlformats.org/officeDocument/2006/relationships/image" Target="media/image201.jpeg"/><Relationship Id="rId273" Type="http://schemas.openxmlformats.org/officeDocument/2006/relationships/image" Target="media/image202.jpeg"/><Relationship Id="rId274" Type="http://schemas.openxmlformats.org/officeDocument/2006/relationships/image" Target="media/image203.jpeg"/><Relationship Id="rId275" Type="http://schemas.openxmlformats.org/officeDocument/2006/relationships/image" Target="media/image204.jpeg"/><Relationship Id="rId276" Type="http://schemas.openxmlformats.org/officeDocument/2006/relationships/image" Target="media/image205.jpeg"/><Relationship Id="rId277" Type="http://schemas.openxmlformats.org/officeDocument/2006/relationships/image" Target="media/image206.jpeg"/><Relationship Id="rId278" Type="http://schemas.openxmlformats.org/officeDocument/2006/relationships/image" Target="media/image207.jpeg"/><Relationship Id="rId279" Type="http://schemas.openxmlformats.org/officeDocument/2006/relationships/image" Target="media/image208.jpeg"/><Relationship Id="rId280" Type="http://schemas.openxmlformats.org/officeDocument/2006/relationships/image" Target="media/image209.jpeg"/><Relationship Id="rId281" Type="http://schemas.openxmlformats.org/officeDocument/2006/relationships/image" Target="media/image210.jpeg"/><Relationship Id="rId282" Type="http://schemas.openxmlformats.org/officeDocument/2006/relationships/image" Target="media/image211.png"/><Relationship Id="rId283" Type="http://schemas.openxmlformats.org/officeDocument/2006/relationships/image" Target="media/image212.jpeg"/><Relationship Id="rId284" Type="http://schemas.openxmlformats.org/officeDocument/2006/relationships/image" Target="media/image213.jpeg"/><Relationship Id="rId285" Type="http://schemas.openxmlformats.org/officeDocument/2006/relationships/image" Target="media/image214.jpeg"/><Relationship Id="rId286" Type="http://schemas.openxmlformats.org/officeDocument/2006/relationships/image" Target="media/image215.jpeg"/><Relationship Id="rId287" Type="http://schemas.openxmlformats.org/officeDocument/2006/relationships/image" Target="media/image216.png"/><Relationship Id="rId288" Type="http://schemas.openxmlformats.org/officeDocument/2006/relationships/image" Target="media/image217.jpeg"/><Relationship Id="rId289" Type="http://schemas.openxmlformats.org/officeDocument/2006/relationships/image" Target="media/image218.jpeg"/><Relationship Id="rId290" Type="http://schemas.openxmlformats.org/officeDocument/2006/relationships/image" Target="media/image219.jpeg"/><Relationship Id="rId291" Type="http://schemas.openxmlformats.org/officeDocument/2006/relationships/image" Target="media/image220.jpeg"/><Relationship Id="rId292" Type="http://schemas.openxmlformats.org/officeDocument/2006/relationships/image" Target="media/image221.jpeg"/><Relationship Id="rId293" Type="http://schemas.openxmlformats.org/officeDocument/2006/relationships/image" Target="media/image222.jpeg"/><Relationship Id="rId294" Type="http://schemas.openxmlformats.org/officeDocument/2006/relationships/image" Target="media/image223.jpeg"/><Relationship Id="rId295" Type="http://schemas.openxmlformats.org/officeDocument/2006/relationships/image" Target="media/image224.jpeg"/><Relationship Id="rId296" Type="http://schemas.openxmlformats.org/officeDocument/2006/relationships/image" Target="media/image225.jpeg"/><Relationship Id="rId297" Type="http://schemas.openxmlformats.org/officeDocument/2006/relationships/image" Target="media/image226.jpeg"/><Relationship Id="rId298" Type="http://schemas.openxmlformats.org/officeDocument/2006/relationships/image" Target="media/image227.jpeg"/><Relationship Id="rId299" Type="http://schemas.openxmlformats.org/officeDocument/2006/relationships/image" Target="media/image228.jpeg"/><Relationship Id="rId300" Type="http://schemas.openxmlformats.org/officeDocument/2006/relationships/image" Target="media/image229.jpeg"/><Relationship Id="rId301" Type="http://schemas.openxmlformats.org/officeDocument/2006/relationships/image" Target="media/image230.jpeg"/><Relationship Id="rId302" Type="http://schemas.openxmlformats.org/officeDocument/2006/relationships/image" Target="media/image231.jpeg"/><Relationship Id="rId303" Type="http://schemas.openxmlformats.org/officeDocument/2006/relationships/image" Target="media/image232.jpeg"/><Relationship Id="rId304" Type="http://schemas.openxmlformats.org/officeDocument/2006/relationships/image" Target="media/image233.jpeg"/><Relationship Id="rId305" Type="http://schemas.openxmlformats.org/officeDocument/2006/relationships/image" Target="media/image234.jpeg"/><Relationship Id="rId306" Type="http://schemas.openxmlformats.org/officeDocument/2006/relationships/image" Target="media/image235.jpeg"/><Relationship Id="rId307" Type="http://schemas.openxmlformats.org/officeDocument/2006/relationships/image" Target="media/image236.jpeg"/><Relationship Id="rId308" Type="http://schemas.openxmlformats.org/officeDocument/2006/relationships/image" Target="media/image237.jpeg"/><Relationship Id="rId309" Type="http://schemas.openxmlformats.org/officeDocument/2006/relationships/image" Target="media/image238.jpeg"/><Relationship Id="rId310" Type="http://schemas.openxmlformats.org/officeDocument/2006/relationships/image" Target="media/image239.png"/><Relationship Id="rId311" Type="http://schemas.openxmlformats.org/officeDocument/2006/relationships/image" Target="media/image240.png"/><Relationship Id="rId312" Type="http://schemas.openxmlformats.org/officeDocument/2006/relationships/image" Target="media/image241.png"/><Relationship Id="rId313" Type="http://schemas.openxmlformats.org/officeDocument/2006/relationships/image" Target="media/image242.png"/><Relationship Id="rId314" Type="http://schemas.openxmlformats.org/officeDocument/2006/relationships/image" Target="media/image243.png"/><Relationship Id="rId315" Type="http://schemas.openxmlformats.org/officeDocument/2006/relationships/image" Target="media/image244.png"/><Relationship Id="rId316" Type="http://schemas.openxmlformats.org/officeDocument/2006/relationships/image" Target="media/image245.png"/><Relationship Id="rId317" Type="http://schemas.openxmlformats.org/officeDocument/2006/relationships/image" Target="media/image246.png"/><Relationship Id="rId318" Type="http://schemas.openxmlformats.org/officeDocument/2006/relationships/image" Target="media/image247.png"/><Relationship Id="rId178" Type="http://schemas.openxmlformats.org/officeDocument/2006/relationships/hyperlink" Target="https://www.sec.gov/Archives/edgar/data/1937653/000119312522225399/d722206ds4a.htm#tx722206_123" TargetMode="External"/><Relationship Id="rId179" Type="http://schemas.openxmlformats.org/officeDocument/2006/relationships/hyperlink" Target="https://www.sec.gov/Archives/edgar/data/1937653/000119312522225399/d722206ds4a.htm#tx722206_141" TargetMode="External"/><Relationship Id="rId180" Type="http://schemas.openxmlformats.org/officeDocument/2006/relationships/hyperlink" Target="https://www.sec.gov/Archives/edgar/data/1937653/000119312522261838/d351779dex23.htm" TargetMode="External"/><Relationship Id="rId181" Type="http://schemas.openxmlformats.org/officeDocument/2006/relationships/hyperlink" Target="https://www.sec.gov/Archives/edgar/data/1937653/000119312522261838/d351779dex24.htm" TargetMode="External"/><Relationship Id="rId182" Type="http://schemas.openxmlformats.org/officeDocument/2006/relationships/hyperlink" Target="https://www.sec.gov/Archives/edgar/data/1937653/000119312522261838/d351779dex31.htm" TargetMode="External"/><Relationship Id="rId183" Type="http://schemas.openxmlformats.org/officeDocument/2006/relationships/hyperlink" Target="https://www.sec.gov/Archives/edgar/data/1937653/000119312523071337/d485013dex31.htm" TargetMode="External"/><Relationship Id="rId184" Type="http://schemas.openxmlformats.org/officeDocument/2006/relationships/hyperlink" Target="https://www.sec.gov/Archives/edgar/data/1937653/000119312523165284/d505663dex31.htm" TargetMode="External"/><Relationship Id="rId185" Type="http://schemas.openxmlformats.org/officeDocument/2006/relationships/hyperlink" Target="https://www.sec.gov/Archives/edgar/data/1937653/000119312522261838/d351779dex32.htm" TargetMode="External"/><Relationship Id="rId186" Type="http://schemas.openxmlformats.org/officeDocument/2006/relationships/hyperlink" Target="https://www.sec.gov/Archives/edgar/data/1937653/000119312522225399/d722206dex41.htm" TargetMode="External"/><Relationship Id="rId187" Type="http://schemas.openxmlformats.org/officeDocument/2006/relationships/hyperlink" Target="https://www.sec.gov/Archives/edgar/data/1403752/000119312517107264/d293184dex1022.htm" TargetMode="External"/><Relationship Id="rId188" Type="http://schemas.openxmlformats.org/officeDocument/2006/relationships/hyperlink" Target="https://www.sec.gov/Archives/edgar/data/1403752/000134100417000445/ex99-1.htm" TargetMode="External"/><Relationship Id="rId189" Type="http://schemas.openxmlformats.org/officeDocument/2006/relationships/hyperlink" Target="https://www.sec.gov/Archives/edgar/data/1403752/000140375220000004/zyme-20200331xex991.htm" TargetMode="External"/><Relationship Id="rId192" Type="http://schemas.openxmlformats.org/officeDocument/2006/relationships/hyperlink" Target="https://www.sec.gov/Archives/edgar/data/1403752/000140375220000012/zyme-20200630xex102.htm" TargetMode="External"/><Relationship Id="rId193" Type="http://schemas.openxmlformats.org/officeDocument/2006/relationships/hyperlink" Target="https://www.sec.gov/Archives/edgar/data/1403752/000140375221000015/zyme-20210630xex994.htm" TargetMode="External"/><Relationship Id="rId194" Type="http://schemas.openxmlformats.org/officeDocument/2006/relationships/hyperlink" Target="https://www.sec.gov/Archives/edgar/data/1403752/000140375221000020/zyme-20210930xex991.htm" TargetMode="External"/><Relationship Id="rId195" Type="http://schemas.openxmlformats.org/officeDocument/2006/relationships/hyperlink" Target="https://www.sec.gov/Archives/edgar/data/1403752/000119312517107264/d293184dex1023.htm" TargetMode="External"/><Relationship Id="rId196" Type="http://schemas.openxmlformats.org/officeDocument/2006/relationships/hyperlink" Target="https://www.sec.gov/Archives/edgar/data/1403752/000119312519065609/d662324dex992.htm" TargetMode="External"/><Relationship Id="rId197" Type="http://schemas.openxmlformats.org/officeDocument/2006/relationships/hyperlink" Target="https://www.sec.gov/Archives/edgar/data/1403752/000119312520058902/d829510dex994.htm" TargetMode="External"/><Relationship Id="rId198" Type="http://schemas.openxmlformats.org/officeDocument/2006/relationships/hyperlink" Target="https://www.sec.gov/Archives/edgar/data/1403752/000119312520058902/d829510dex995.htm" TargetMode="External"/><Relationship Id="rId199" Type="http://schemas.openxmlformats.org/officeDocument/2006/relationships/hyperlink" Target="https://www.sec.gov/Archives/edgar/data/1403752/000119312520058902/d829510dex996.htm" TargetMode="External"/><Relationship Id="rId200" Type="http://schemas.openxmlformats.org/officeDocument/2006/relationships/hyperlink" Target="https://www.sec.gov/Archives/edgar/data/1403752/000140375221000005/zyme-20201231xex9911.htm" TargetMode="External"/><Relationship Id="rId201" Type="http://schemas.openxmlformats.org/officeDocument/2006/relationships/hyperlink" Target="https://www.sec.gov/Archives/edgar/data/1403752/000119312517107264/d293184dex1024.htm" TargetMode="External"/><Relationship Id="rId202" Type="http://schemas.openxmlformats.org/officeDocument/2006/relationships/hyperlink" Target="https://www.sec.gov/Archives/edgar/data/1403752/000134100419000364/ex99-1.htm" TargetMode="External"/><Relationship Id="rId203" Type="http://schemas.openxmlformats.org/officeDocument/2006/relationships/hyperlink" Target="https://www.sec.gov/Archives/edgar/data/1403752/000140375221000015/zyme-20210630xex997.htm" TargetMode="External"/><Relationship Id="rId204" Type="http://schemas.openxmlformats.org/officeDocument/2006/relationships/hyperlink" Target="https://www.sec.gov/Archives/edgar/data/1403752/000114420417060772/tv480196_ex99-1.htm" TargetMode="External"/><Relationship Id="rId205" Type="http://schemas.openxmlformats.org/officeDocument/2006/relationships/hyperlink" Target="https://www.sec.gov/Archives/edgar/data/1403752/000119312519065609/d662324dex993.htm" TargetMode="External"/><Relationship Id="rId206" Type="http://schemas.openxmlformats.org/officeDocument/2006/relationships/hyperlink" Target="https://www.sec.gov/Archives/edgar/data/1403752/000119312518167931/d591104dex991.htm" TargetMode="External"/><Relationship Id="rId207" Type="http://schemas.openxmlformats.org/officeDocument/2006/relationships/hyperlink" Target="https://www.sec.gov/Archives/edgar/data/1937653/000193765323000018/zyme-20230331xex102.htm" TargetMode="External"/><Relationship Id="rId210" Type="http://schemas.openxmlformats.org/officeDocument/2006/relationships/hyperlink" Target="https://www.sec.gov/Archives/edgar/data/1403752/000134100418000648/ex99-1.htm" TargetMode="External"/><Relationship Id="rId211" Type="http://schemas.openxmlformats.org/officeDocument/2006/relationships/hyperlink" Target="https://www.sec.gov/Archives/edgar/data/1403752/000140375221000010/zyme-20210331xex992.htm" TargetMode="External"/><Relationship Id="rId212" Type="http://schemas.openxmlformats.org/officeDocument/2006/relationships/hyperlink" Target="https://www.sec.gov/Archives/edgar/data/1403752/000140375221000020/zyme-20210930xex992.htm" TargetMode="External"/><Relationship Id="rId213" Type="http://schemas.openxmlformats.org/officeDocument/2006/relationships/hyperlink" Target="https://www.sec.gov/Archives/edgar/data/1937653/000119312523239601/d549533dex102.htm" TargetMode="External"/><Relationship Id="rId214" Type="http://schemas.openxmlformats.org/officeDocument/2006/relationships/hyperlink" Target="https://www.sec.gov/Archives/edgar/data/1403752/000140375221000015/zyme-20210630xex991.htm" TargetMode="External"/><Relationship Id="rId215" Type="http://schemas.openxmlformats.org/officeDocument/2006/relationships/hyperlink" Target="https://www.sec.gov/Archives/edgar/data/1403752/000119312519065609/d662324dex1029.htm" TargetMode="External"/><Relationship Id="rId216" Type="http://schemas.openxmlformats.org/officeDocument/2006/relationships/hyperlink" Target="https://www.sec.gov/Archives/edgar/data/1403752/000140375220000004/zyme-20200331xex992.htm" TargetMode="External"/><Relationship Id="rId217" Type="http://schemas.openxmlformats.org/officeDocument/2006/relationships/hyperlink" Target="https://www.sec.gov/Archives/edgar/data/1403752/000140375220000004/zyme-20200331xex993.htm" TargetMode="External"/><Relationship Id="rId218" Type="http://schemas.openxmlformats.org/officeDocument/2006/relationships/hyperlink" Target="https://www.sec.gov/Archives/edgar/data/1403752/000140375221000010/zyme-20210331xex991.htm" TargetMode="External"/><Relationship Id="rId219" Type="http://schemas.openxmlformats.org/officeDocument/2006/relationships/hyperlink" Target="https://www.sec.gov/Archives/edgar/data/1403752/000140375221000015/zyme-20210630xex995.htm" TargetMode="External"/><Relationship Id="rId220" Type="http://schemas.openxmlformats.org/officeDocument/2006/relationships/hyperlink" Target="https://www.sec.gov/Archives/edgar/data/1403752/000140375222000020/zyme-20220630xex101.htm" TargetMode="External"/><Relationship Id="rId221" Type="http://schemas.openxmlformats.org/officeDocument/2006/relationships/hyperlink" Target="https://www.sec.gov/Archives/edgar/data/1403752/000140375222000020/zyme-20220630xex102.htm" TargetMode="External"/><Relationship Id="rId222" Type="http://schemas.openxmlformats.org/officeDocument/2006/relationships/hyperlink" Target="https://www.sec.gov/Archives/edgar/data/1937653/000193765324000050/zyme-20240930xex104.htm" TargetMode="External"/><Relationship Id="rId223" Type="http://schemas.openxmlformats.org/officeDocument/2006/relationships/hyperlink" Target="https://www.sec.gov/Archives/edgar/data/1403752/000119312522002772/d207208dex101.htm" TargetMode="External"/><Relationship Id="rId224" Type="http://schemas.openxmlformats.org/officeDocument/2006/relationships/hyperlink" Target="https://www.sec.gov/Archives/edgar/data/1937653/000119312522315452/d302668dex101.htm" TargetMode="External"/><Relationship Id="rId225" Type="http://schemas.openxmlformats.org/officeDocument/2006/relationships/hyperlink" Target="https://www.sec.gov/Archives/edgar/data/1937653/000119312524002851/d657602dex101.htm" TargetMode="External"/><Relationship Id="rId226" Type="http://schemas.openxmlformats.org/officeDocument/2006/relationships/hyperlink" Target="https://www.sec.gov/Archives/edgar/data/1937653/000193765324000019/zyme-20231231xex1042.htm" TargetMode="External"/><Relationship Id="rId229" Type="http://schemas.openxmlformats.org/officeDocument/2006/relationships/hyperlink" Target="https://www.sec.gov/Archives/edgar/data/1937653/000193765324000019/zyme-20231231xex1043.htm" TargetMode="External"/><Relationship Id="rId230" Type="http://schemas.openxmlformats.org/officeDocument/2006/relationships/hyperlink" Target="https://www.sec.gov/Archives/edgar/data/0001937653/000119312524184871/d810428dex101.htm" TargetMode="External"/><Relationship Id="rId231" Type="http://schemas.openxmlformats.org/officeDocument/2006/relationships/hyperlink" Target="https://www.sec.gov/Archives/edgar/data/1937653/000193765323000011/zyme-20221231xex1064.htm" TargetMode="External"/><Relationship Id="rId232" Type="http://schemas.openxmlformats.org/officeDocument/2006/relationships/hyperlink" Target="https://www.sec.gov/Archives/edgar/data/1937653/000119312522194928/d722206dex1073.htm" TargetMode="External"/><Relationship Id="rId233" Type="http://schemas.openxmlformats.org/officeDocument/2006/relationships/hyperlink" Target="https://www.sec.gov/Archives/edgar/data/1937653/000193765323000028/zyme-20230630xex102.htm" TargetMode="External"/><Relationship Id="rId234" Type="http://schemas.openxmlformats.org/officeDocument/2006/relationships/hyperlink" Target="https://www.sec.gov/Archives/edgar/data/1937653/000119312522225399/d722206dex1079.htm" TargetMode="External"/><Relationship Id="rId235" Type="http://schemas.openxmlformats.org/officeDocument/2006/relationships/hyperlink" Target="https://www.sec.gov/Archives/edgar/data/1937653/000119312522225399/d722206dex1080.htm" TargetMode="External"/><Relationship Id="rId236" Type="http://schemas.openxmlformats.org/officeDocument/2006/relationships/hyperlink" Target="https://www.sec.gov/Archives/edgar/data/1937653/000119312524184871/d810428dex102.htm" TargetMode="External"/><Relationship Id="rId237" Type="http://schemas.openxmlformats.org/officeDocument/2006/relationships/hyperlink" Target="https://www.sec.gov/Archives/edgar/data/1937653/000193765324000041/zyme-20240630xex102.htm" TargetMode="External"/><Relationship Id="rId238" Type="http://schemas.openxmlformats.org/officeDocument/2006/relationships/hyperlink" Target="https://www.sec.gov/Archives/edgar/data/1937653/000119312522261838/d351779dex104.htm" TargetMode="External"/><Relationship Id="rId239" Type="http://schemas.openxmlformats.org/officeDocument/2006/relationships/hyperlink" Target="https://www.sec.gov/Archives/edgar/data/1937653/000119312522261838/d351779dex105.htm" TargetMode="External"/><Relationship Id="rId240" Type="http://schemas.openxmlformats.org/officeDocument/2006/relationships/hyperlink" Target="https://www.sec.gov/Archives/edgar/data/1937653/000119312524192058/d842353dex11.htm" TargetMode="External"/><Relationship Id="rId241" Type="http://schemas.openxmlformats.org/officeDocument/2006/relationships/hyperlink" Target="https://www.sec.gov/Archives/edgar/data/1937653/000119312523145682/d481028dex101.htm" TargetMode="External"/><Relationship Id="rId242" Type="http://schemas.openxmlformats.org/officeDocument/2006/relationships/hyperlink" Target="https://www.sec.gov/Archives/edgar/data/1937653/000193765323000028/zyme-20230630xex104.htm" TargetMode="External"/><Relationship Id="rId243" Type="http://schemas.openxmlformats.org/officeDocument/2006/relationships/hyperlink" Target="https://www.sec.gov/Archives/edgar/data/1937653/000193765323000028/zyme-20230630xex105.htm" TargetMode="External"/><Relationship Id="rId244" Type="http://schemas.openxmlformats.org/officeDocument/2006/relationships/hyperlink" Target="https://www.sec.gov/Archives/edgar/data/1937653/000193765325000027/zyme-20250331xex101.htm" TargetMode="External"/><Relationship Id="rId245" Type="http://schemas.openxmlformats.org/officeDocument/2006/relationships/hyperlink" Target="https://www.sec.gov/Archives/edgar/data/1937653/000193765325000049/zyme-20250630xex102.htm" TargetMode="External"/><Relationship Id="rId248" Type="http://schemas.openxmlformats.org/officeDocument/2006/relationships/hyperlink" Target="https://www.sec.gov/Archives/edgar/data/1937653/000119312525177505/d86037dex101.htm" TargetMode="External"/><Relationship Id="rId249" Type="http://schemas.openxmlformats.org/officeDocument/2006/relationships/hyperlink" Target="https://www.sec.gov/Archives/edgar/data/1937653/000193765324000019/zyme-20231231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2026-03-02T05:38:05Z</dcterms:created>
  <dcterms:modified xsi:type="dcterms:W3CDTF">2026-03-02T05:38:05Z</dcterms:modified>
</cp:coreProperties>
</file>