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Zymeworks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98985W102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Daniel Cookson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Blue Falcons FZE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Office 2301</w:t>
      </w:r>
    </w:p>
    <w:p>
      <w:pPr>
        <w:jc w:val="center"/>
        <w:ind w:right="40"/>
        <w:spacing w:after="0" w:line="192"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Floor API Trio Tower</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 Barsha 1</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Dubai, United Arab Emirates</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+971555241459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 Authorized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Receive Notices and Communications)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240.13d-7(b) for other parties to whom copies are to be sent.</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2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98985W102</w:t>
            </w:r>
          </w:p>
        </w:tc>
        <w:tc>
          <w:tcPr>
            <w:tcW w:w="2920" w:type="dxa"/>
            <w:vAlign w:val="bottom"/>
            <w:tcBorders>
              <w:right w:val="single" w:sz="8" w:color="auto"/>
            </w:tcBorders>
          </w:tcPr>
          <w:p>
            <w:pPr>
              <w:spacing w:after="0"/>
              <w:rPr>
                <w:sz w:val="21"/>
                <w:szCs w:val="21"/>
                <w:color w:val="auto"/>
              </w:rPr>
            </w:pPr>
          </w:p>
        </w:tc>
        <w:tc>
          <w:tcPr>
            <w:tcW w:w="3120" w:type="dxa"/>
            <w:vAlign w:val="bottom"/>
            <w:tcBorders>
              <w:top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000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Blue Falcons FZE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1" w:lineRule="exact"/>
        <w:rPr>
          <w:sz w:val="20"/>
          <w:szCs w:val="20"/>
          <w:color w:val="auto"/>
        </w:rPr>
      </w:pPr>
    </w:p>
    <w:p>
      <w:pPr>
        <w:sectPr>
          <w:pgSz w:w="11900" w:h="16838" w:orient="portrait"/>
          <w:cols w:equalWidth="0" w:num="2">
            <w:col w:w="560" w:space="560"/>
            <w:col w:w="10120"/>
          </w:cols>
          <w:pgMar w:left="320" w:top="337" w:right="339" w:bottom="1440" w:gutter="0" w:footer="0" w:header="0"/>
          <w:type w:val="continuous"/>
        </w:sectPr>
      </w:pPr>
    </w:p>
    <w:p>
      <w:pPr>
        <w:ind w:left="1120" w:hanging="651"/>
        <w:spacing w:after="0" w:line="257" w:lineRule="exact"/>
        <w:tabs>
          <w:tab w:leader="none" w:pos="1120" w:val="left"/>
        </w:tabs>
        <w:numPr>
          <w:ilvl w:val="0"/>
          <w:numId w:val="1"/>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 xml:space="preserve">(a) </w:t>
      </w:r>
      <w:r>
        <w:rPr>
          <w:rFonts w:ascii="MS PGothic" w:cs="MS PGothic" w:eastAsia="MS PGothic" w:hAnsi="MS PGothic"/>
          <w:sz w:val="15"/>
          <w:szCs w:val="15"/>
          <w:color w:val="auto"/>
        </w:rPr>
        <w:t>☐</w:t>
      </w:r>
    </w:p>
    <w:p>
      <w:pPr>
        <w:ind w:left="1120"/>
        <w:spacing w:after="0" w:line="207" w:lineRule="exact"/>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2" w:lineRule="exact"/>
        <w:rPr>
          <w:sz w:val="20"/>
          <w:szCs w:val="20"/>
          <w:color w:val="auto"/>
        </w:rPr>
      </w:pPr>
    </w:p>
    <w:p>
      <w:pPr>
        <w:ind w:left="1120" w:hanging="651"/>
        <w:spacing w:after="0"/>
        <w:tabs>
          <w:tab w:leader="none" w:pos="1120" w:val="left"/>
        </w:tabs>
        <w:numPr>
          <w:ilvl w:val="0"/>
          <w:numId w:val="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9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40" w:type="dxa"/>
            <w:vAlign w:val="bottom"/>
            <w:vMerge w:val="continue"/>
          </w:tcPr>
          <w:p>
            <w:pPr>
              <w:spacing w:after="0"/>
              <w:rPr>
                <w:sz w:val="14"/>
                <w:szCs w:val="14"/>
                <w:color w:val="auto"/>
              </w:rPr>
            </w:pPr>
          </w:p>
        </w:tc>
        <w:tc>
          <w:tcPr>
            <w:tcW w:w="9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OO</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942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40" w:type="dxa"/>
            <w:vAlign w:val="bottom"/>
            <w:tcBorders>
              <w:bottom w:val="single" w:sz="8" w:color="auto"/>
            </w:tcBorders>
          </w:tcPr>
          <w:p>
            <w:pPr>
              <w:spacing w:after="0"/>
              <w:rPr>
                <w:sz w:val="8"/>
                <w:szCs w:val="8"/>
                <w:color w:val="auto"/>
              </w:rPr>
            </w:pPr>
          </w:p>
        </w:tc>
        <w:tc>
          <w:tcPr>
            <w:tcW w:w="9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8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9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9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840" w:type="dxa"/>
            <w:vAlign w:val="bottom"/>
            <w:vMerge w:val="continue"/>
          </w:tcPr>
          <w:p>
            <w:pPr>
              <w:spacing w:after="0"/>
              <w:rPr>
                <w:sz w:val="7"/>
                <w:szCs w:val="7"/>
                <w:color w:val="auto"/>
              </w:rPr>
            </w:pPr>
          </w:p>
        </w:tc>
        <w:tc>
          <w:tcPr>
            <w:tcW w:w="9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CITIZENSHIP OR PLACE OF ORGANIZATION</w:t>
      </w:r>
    </w:p>
    <w:p>
      <w:pPr>
        <w:ind w:left="1120" w:hanging="651"/>
        <w:spacing w:after="0" w:line="181" w:lineRule="auto"/>
        <w:tabs>
          <w:tab w:leader="none" w:pos="1120" w:val="left"/>
        </w:tabs>
        <w:numPr>
          <w:ilvl w:val="0"/>
          <w:numId w:val="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United Arab Emirates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60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68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00" w:type="dxa"/>
            <w:vAlign w:val="bottom"/>
          </w:tcPr>
          <w:p>
            <w:pPr>
              <w:spacing w:after="0"/>
              <w:rPr>
                <w:sz w:val="24"/>
                <w:szCs w:val="24"/>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1160" w:type="dxa"/>
            <w:vAlign w:val="bottom"/>
            <w:tcBorders>
              <w:right w:val="single" w:sz="8" w:color="auto"/>
            </w:tcBorders>
            <w:vMerge w:val="continue"/>
          </w:tcPr>
          <w:p>
            <w:pPr>
              <w:spacing w:after="0"/>
              <w:rPr>
                <w:sz w:val="24"/>
                <w:szCs w:val="24"/>
                <w:color w:val="auto"/>
              </w:rPr>
            </w:pPr>
          </w:p>
        </w:tc>
        <w:tc>
          <w:tcPr>
            <w:tcW w:w="6820" w:type="dxa"/>
            <w:vAlign w:val="bottom"/>
          </w:tcPr>
          <w:p>
            <w:pPr>
              <w:ind w:left="100"/>
              <w:spacing w:after="0" w:line="298" w:lineRule="exact"/>
              <w:rPr>
                <w:sz w:val="20"/>
                <w:szCs w:val="20"/>
                <w:color w:val="auto"/>
              </w:rPr>
            </w:pPr>
            <w:r>
              <w:rPr>
                <w:rFonts w:ascii="Times New Roman" w:cs="Times New Roman" w:eastAsia="Times New Roman" w:hAnsi="Times New Roman"/>
                <w:sz w:val="18"/>
                <w:szCs w:val="18"/>
                <w:color w:val="auto"/>
              </w:rPr>
              <w:t>3,419,498</w:t>
            </w:r>
            <w:r>
              <w:rPr>
                <w:rFonts w:ascii="Times New Roman" w:cs="Times New Roman" w:eastAsia="Times New Roman" w:hAnsi="Times New Roman"/>
                <w:sz w:val="29"/>
                <w:szCs w:val="29"/>
                <w:color w:val="auto"/>
                <w:vertAlign w:val="superscript"/>
              </w:rPr>
              <w:t>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600" w:type="dxa"/>
            <w:vAlign w:val="bottom"/>
          </w:tcPr>
          <w:p>
            <w:pPr>
              <w:spacing w:after="0"/>
              <w:rPr>
                <w:sz w:val="3"/>
                <w:szCs w:val="3"/>
                <w:color w:val="auto"/>
              </w:rPr>
            </w:pPr>
          </w:p>
        </w:tc>
        <w:tc>
          <w:tcPr>
            <w:tcW w:w="1660" w:type="dxa"/>
            <w:vAlign w:val="bottom"/>
            <w:tcBorders>
              <w:right w:val="single" w:sz="8" w:color="auto"/>
            </w:tcBorders>
            <w:vMerge w:val="continue"/>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6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
        </w:trPr>
        <w:tc>
          <w:tcPr>
            <w:tcW w:w="600" w:type="dxa"/>
            <w:vAlign w:val="bottom"/>
          </w:tcPr>
          <w:p>
            <w:pPr>
              <w:spacing w:after="0"/>
              <w:rPr>
                <w:sz w:val="2"/>
                <w:szCs w:val="2"/>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SHARES</w:t>
            </w:r>
          </w:p>
        </w:tc>
        <w:tc>
          <w:tcPr>
            <w:tcW w:w="116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68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6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60" w:type="dxa"/>
            <w:vAlign w:val="bottom"/>
            <w:tcBorders>
              <w:right w:val="single" w:sz="8" w:color="auto"/>
            </w:tcBorders>
            <w:gridSpan w:val="2"/>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68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00" w:type="dxa"/>
            <w:vAlign w:val="bottom"/>
          </w:tcPr>
          <w:p>
            <w:pPr>
              <w:spacing w:after="0"/>
              <w:rPr>
                <w:sz w:val="12"/>
                <w:szCs w:val="12"/>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OWNED BY</w:t>
            </w:r>
          </w:p>
        </w:tc>
        <w:tc>
          <w:tcPr>
            <w:tcW w:w="1160" w:type="dxa"/>
            <w:vAlign w:val="bottom"/>
            <w:tcBorders>
              <w:right w:val="single" w:sz="8" w:color="auto"/>
            </w:tcBorders>
          </w:tcPr>
          <w:p>
            <w:pPr>
              <w:spacing w:after="0"/>
              <w:rPr>
                <w:sz w:val="12"/>
                <w:szCs w:val="12"/>
                <w:color w:val="auto"/>
              </w:rPr>
            </w:pPr>
          </w:p>
        </w:tc>
        <w:tc>
          <w:tcPr>
            <w:tcW w:w="68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68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1660" w:type="dxa"/>
            <w:vAlign w:val="bottom"/>
            <w:tcBorders>
              <w:right w:val="single" w:sz="8" w:color="auto"/>
            </w:tcBorders>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160" w:type="dxa"/>
            <w:vAlign w:val="bottom"/>
            <w:tcBorders>
              <w:right w:val="single" w:sz="8" w:color="auto"/>
            </w:tcBorders>
          </w:tcPr>
          <w:p>
            <w:pPr>
              <w:spacing w:after="0"/>
              <w:rPr>
                <w:sz w:val="15"/>
                <w:szCs w:val="15"/>
                <w:color w:val="auto"/>
              </w:rPr>
            </w:pPr>
          </w:p>
        </w:tc>
        <w:tc>
          <w:tcPr>
            <w:tcW w:w="68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600" w:type="dxa"/>
            <w:vAlign w:val="bottom"/>
          </w:tcPr>
          <w:p>
            <w:pPr>
              <w:spacing w:after="0"/>
              <w:rPr>
                <w:sz w:val="9"/>
                <w:szCs w:val="9"/>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REPORTING</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68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600" w:type="dxa"/>
            <w:vAlign w:val="bottom"/>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6820" w:type="dxa"/>
            <w:vAlign w:val="bottom"/>
            <w:vMerge w:val="restart"/>
          </w:tcPr>
          <w:p>
            <w:pPr>
              <w:ind w:left="100"/>
              <w:spacing w:after="0" w:line="284" w:lineRule="exact"/>
              <w:rPr>
                <w:sz w:val="20"/>
                <w:szCs w:val="20"/>
                <w:color w:val="auto"/>
              </w:rPr>
            </w:pPr>
            <w:r>
              <w:rPr>
                <w:rFonts w:ascii="Times New Roman" w:cs="Times New Roman" w:eastAsia="Times New Roman" w:hAnsi="Times New Roman"/>
                <w:sz w:val="18"/>
                <w:szCs w:val="18"/>
                <w:color w:val="auto"/>
              </w:rPr>
              <w:t>3,419,498</w:t>
            </w:r>
            <w:r>
              <w:rPr>
                <w:rFonts w:ascii="Times New Roman" w:cs="Times New Roman" w:eastAsia="Times New Roman" w:hAnsi="Times New Roman"/>
                <w:sz w:val="29"/>
                <w:szCs w:val="29"/>
                <w:color w:val="auto"/>
                <w:vertAlign w:val="superscript"/>
              </w:rPr>
              <w:t>1</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PERSON</w:t>
            </w:r>
          </w:p>
        </w:tc>
        <w:tc>
          <w:tcPr>
            <w:tcW w:w="1160" w:type="dxa"/>
            <w:vAlign w:val="bottom"/>
            <w:tcBorders>
              <w:right w:val="single" w:sz="8" w:color="auto"/>
            </w:tcBorders>
            <w:vMerge w:val="continue"/>
          </w:tcPr>
          <w:p>
            <w:pPr>
              <w:spacing w:after="0"/>
              <w:rPr>
                <w:sz w:val="15"/>
                <w:szCs w:val="15"/>
                <w:color w:val="auto"/>
              </w:rPr>
            </w:pPr>
          </w:p>
        </w:tc>
        <w:tc>
          <w:tcPr>
            <w:tcW w:w="68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00" w:type="dxa"/>
            <w:vAlign w:val="bottom"/>
          </w:tcPr>
          <w:p>
            <w:pPr>
              <w:spacing w:after="0"/>
              <w:rPr>
                <w:sz w:val="3"/>
                <w:szCs w:val="3"/>
                <w:color w:val="auto"/>
              </w:rPr>
            </w:pPr>
          </w:p>
        </w:tc>
        <w:tc>
          <w:tcPr>
            <w:tcW w:w="1660" w:type="dxa"/>
            <w:vAlign w:val="bottom"/>
            <w:tcBorders>
              <w:right w:val="single" w:sz="8" w:color="auto"/>
            </w:tcBorders>
            <w:vMerge w:val="continue"/>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6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00" w:type="dxa"/>
            <w:vAlign w:val="bottom"/>
          </w:tcPr>
          <w:p>
            <w:pPr>
              <w:spacing w:after="0"/>
              <w:rPr>
                <w:sz w:val="3"/>
                <w:szCs w:val="3"/>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WITH</w:t>
            </w:r>
          </w:p>
        </w:tc>
        <w:tc>
          <w:tcPr>
            <w:tcW w:w="1160" w:type="dxa"/>
            <w:vAlign w:val="bottom"/>
            <w:tcBorders>
              <w:bottom w:val="single" w:sz="8" w:color="auto"/>
              <w:right w:val="single" w:sz="8" w:color="auto"/>
            </w:tcBorders>
          </w:tcPr>
          <w:p>
            <w:pPr>
              <w:spacing w:after="0"/>
              <w:rPr>
                <w:sz w:val="3"/>
                <w:szCs w:val="3"/>
                <w:color w:val="auto"/>
              </w:rPr>
            </w:pPr>
          </w:p>
        </w:tc>
        <w:tc>
          <w:tcPr>
            <w:tcW w:w="68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8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00" w:type="dxa"/>
            <w:vAlign w:val="bottom"/>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6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68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68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00" w:type="dxa"/>
            <w:vAlign w:val="bottom"/>
            <w:tcBorders>
              <w:bottom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68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6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00" w:type="dxa"/>
            <w:vAlign w:val="bottom"/>
            <w:tcBorders>
              <w:bottom w:val="single" w:sz="8" w:color="auto"/>
            </w:tcBorders>
            <w:vMerge w:val="continue"/>
          </w:tcPr>
          <w:p>
            <w:pPr>
              <w:spacing w:after="0"/>
              <w:rPr>
                <w:sz w:val="24"/>
                <w:szCs w:val="24"/>
                <w:color w:val="auto"/>
              </w:rPr>
            </w:pPr>
          </w:p>
        </w:tc>
        <w:tc>
          <w:tcPr>
            <w:tcW w:w="16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3,419,498</w:t>
            </w:r>
            <w:r>
              <w:rPr>
                <w:rFonts w:ascii="Times New Roman" w:cs="Times New Roman" w:eastAsia="Times New Roman" w:hAnsi="Times New Roman"/>
                <w:sz w:val="29"/>
                <w:szCs w:val="29"/>
                <w:color w:val="auto"/>
                <w:vertAlign w:val="superscript"/>
              </w:rPr>
              <w:t>1</w:t>
            </w:r>
          </w:p>
        </w:tc>
        <w:tc>
          <w:tcPr>
            <w:tcW w:w="116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6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10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spacing w:after="0" w:line="4" w:lineRule="exact"/>
        <w:rPr>
          <w:sz w:val="20"/>
          <w:szCs w:val="20"/>
          <w:color w:val="auto"/>
        </w:rPr>
      </w:pPr>
    </w:p>
    <w:p>
      <w:pPr>
        <w:ind w:left="1120" w:hanging="696"/>
        <w:spacing w:after="0"/>
        <w:tabs>
          <w:tab w:leader="none" w:pos="112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5.92%</w:t>
      </w:r>
      <w:r>
        <w:rPr>
          <w:rFonts w:ascii="Times New Roman" w:cs="Times New Roman" w:eastAsia="Times New Roman" w:hAnsi="Times New Roman"/>
          <w:sz w:val="29"/>
          <w:szCs w:val="29"/>
          <w:color w:val="auto"/>
          <w:vertAlign w:val="superscript"/>
        </w:rPr>
        <w:t>2</w:t>
      </w:r>
    </w:p>
    <w:p>
      <w:pPr>
        <w:spacing w:after="0" w:line="36" w:lineRule="exact"/>
        <w:rPr>
          <w:rFonts w:ascii="Times New Roman" w:cs="Times New Roman" w:eastAsia="Times New Roman" w:hAnsi="Times New Roman"/>
          <w:sz w:val="36"/>
          <w:szCs w:val="36"/>
          <w:color w:val="auto"/>
          <w:vertAlign w:val="superscript"/>
        </w:rPr>
      </w:pPr>
    </w:p>
    <w:p>
      <w:pPr>
        <w:ind w:left="1120"/>
        <w:spacing w:after="0" w:line="223"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TYPE OF REPORTING PERSON (See Instructions)</w:t>
      </w:r>
    </w:p>
    <w:p>
      <w:pPr>
        <w:ind w:left="1120" w:hanging="696"/>
        <w:spacing w:after="0" w:line="183" w:lineRule="auto"/>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32"/>
          <w:szCs w:val="32"/>
          <w:color w:val="auto"/>
          <w:vertAlign w:val="subscript"/>
        </w:rPr>
        <w:t>OO</w:t>
      </w:r>
    </w:p>
    <w:p>
      <w:pPr>
        <w:spacing w:after="0" w:line="333" w:lineRule="exact"/>
        <w:rPr>
          <w:rFonts w:ascii="Times New Roman" w:cs="Times New Roman" w:eastAsia="Times New Roman" w:hAnsi="Times New Roman"/>
          <w:sz w:val="16"/>
          <w:szCs w:val="16"/>
          <w:color w:val="auto"/>
        </w:rPr>
      </w:pPr>
    </w:p>
    <w:p>
      <w:pPr>
        <w:ind w:left="920" w:right="20" w:hanging="337"/>
        <w:spacing w:after="0" w:line="199" w:lineRule="auto"/>
        <w:rPr>
          <w:rFonts w:ascii="Times New Roman" w:cs="Times New Roman" w:eastAsia="Times New Roman" w:hAnsi="Times New Roman"/>
          <w:sz w:val="16"/>
          <w:szCs w:val="16"/>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Represents the sum of (i) 3,139,498 Shares directly beneficially owned by All Blue Falcons FZE as of the date hereof and (ii) 280,000 Shares underlying call options as described below in Item 5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0" w:lineRule="exact"/>
        <w:rPr>
          <w:sz w:val="20"/>
          <w:szCs w:val="20"/>
          <w:color w:val="auto"/>
        </w:rPr>
      </w:pPr>
    </w:p>
    <w:p>
      <w:pPr>
        <w:ind w:left="920" w:hanging="345"/>
        <w:spacing w:after="0" w:line="195" w:lineRule="auto"/>
        <w:tabs>
          <w:tab w:leader="none" w:pos="9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57,736,293 Shares issued and outstanding as of February 22, 2022, as disclosed in the Annual Report on Form 10-K filed by the Company with the SEC on February 24, 2022 (the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2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98985W102</w:t>
            </w:r>
          </w:p>
        </w:tc>
        <w:tc>
          <w:tcPr>
            <w:tcW w:w="2920" w:type="dxa"/>
            <w:vAlign w:val="bottom"/>
            <w:tcBorders>
              <w:right w:val="single" w:sz="8" w:color="auto"/>
            </w:tcBorders>
          </w:tcPr>
          <w:p>
            <w:pPr>
              <w:spacing w:after="0"/>
              <w:rPr>
                <w:sz w:val="21"/>
                <w:szCs w:val="21"/>
                <w:color w:val="auto"/>
              </w:rPr>
            </w:pPr>
          </w:p>
        </w:tc>
        <w:tc>
          <w:tcPr>
            <w:tcW w:w="3120" w:type="dxa"/>
            <w:vAlign w:val="bottom"/>
            <w:tcBorders>
              <w:top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Page 3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846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464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Edward Llewellen Cookson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1" w:lineRule="exact"/>
        <w:rPr>
          <w:sz w:val="20"/>
          <w:szCs w:val="20"/>
          <w:color w:val="auto"/>
        </w:rPr>
      </w:pPr>
    </w:p>
    <w:p>
      <w:pPr>
        <w:sectPr>
          <w:pgSz w:w="11900" w:h="16838" w:orient="portrait"/>
          <w:cols w:equalWidth="0" w:num="2">
            <w:col w:w="560" w:space="560"/>
            <w:col w:w="10120"/>
          </w:cols>
          <w:pgMar w:left="320" w:top="337" w:right="339" w:bottom="1440" w:gutter="0" w:footer="0" w:header="0"/>
          <w:type w:val="continuous"/>
        </w:sectPr>
      </w:pPr>
    </w:p>
    <w:p>
      <w:pPr>
        <w:ind w:left="1120" w:hanging="651"/>
        <w:spacing w:after="0" w:line="257" w:lineRule="exact"/>
        <w:tabs>
          <w:tab w:leader="none" w:pos="1120" w:val="left"/>
        </w:tabs>
        <w:numPr>
          <w:ilvl w:val="0"/>
          <w:numId w:val="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 xml:space="preserve">(a) </w:t>
      </w:r>
      <w:r>
        <w:rPr>
          <w:rFonts w:ascii="MS PGothic" w:cs="MS PGothic" w:eastAsia="MS PGothic" w:hAnsi="MS PGothic"/>
          <w:sz w:val="15"/>
          <w:szCs w:val="15"/>
          <w:color w:val="auto"/>
        </w:rPr>
        <w:t>☐</w:t>
      </w:r>
    </w:p>
    <w:p>
      <w:pPr>
        <w:ind w:left="1120"/>
        <w:spacing w:after="0" w:line="207" w:lineRule="exact"/>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2" w:lineRule="exact"/>
        <w:rPr>
          <w:sz w:val="20"/>
          <w:szCs w:val="20"/>
          <w:color w:val="auto"/>
        </w:rPr>
      </w:pPr>
    </w:p>
    <w:p>
      <w:pPr>
        <w:ind w:left="1120" w:hanging="651"/>
        <w:spacing w:after="0"/>
        <w:tabs>
          <w:tab w:leader="none" w:pos="1120" w:val="left"/>
        </w:tabs>
        <w:numPr>
          <w:ilvl w:val="0"/>
          <w:numId w:val="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SEC USE ONLY</w:t>
      </w:r>
    </w:p>
    <w:p>
      <w:pPr>
        <w:spacing w:after="0" w:line="126" w:lineRule="exact"/>
        <w:rPr>
          <w:sz w:val="20"/>
          <w:szCs w:val="20"/>
          <w:color w:val="auto"/>
        </w:rPr>
      </w:pPr>
    </w:p>
    <w:p>
      <w:pPr>
        <w:ind w:left="1120" w:hanging="651"/>
        <w:spacing w:after="0"/>
        <w:tabs>
          <w:tab w:leader="none" w:pos="1120" w:val="left"/>
        </w:tabs>
        <w:numPr>
          <w:ilvl w:val="0"/>
          <w:numId w:val="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SOURCE OF FUNDS (See Instructions)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0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rPr>
              <w:t>5</w:t>
            </w:r>
          </w:p>
        </w:tc>
        <w:tc>
          <w:tcPr>
            <w:tcW w:w="96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9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2"/>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60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rPr>
              <w:t>6</w:t>
            </w:r>
          </w:p>
        </w:tc>
        <w:tc>
          <w:tcPr>
            <w:tcW w:w="96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00" w:type="dxa"/>
            <w:vAlign w:val="bottom"/>
            <w:vMerge w:val="continue"/>
          </w:tcPr>
          <w:p>
            <w:pPr>
              <w:spacing w:after="0"/>
              <w:rPr>
                <w:sz w:val="14"/>
                <w:szCs w:val="14"/>
                <w:color w:val="auto"/>
              </w:rPr>
            </w:pPr>
          </w:p>
        </w:tc>
        <w:tc>
          <w:tcPr>
            <w:tcW w:w="19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United Kingdom</w:t>
            </w:r>
          </w:p>
        </w:tc>
        <w:tc>
          <w:tcPr>
            <w:tcW w:w="88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6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60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7</w:t>
            </w:r>
          </w:p>
        </w:tc>
        <w:tc>
          <w:tcPr>
            <w:tcW w:w="6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00" w:type="dxa"/>
            <w:vAlign w:val="bottom"/>
          </w:tcPr>
          <w:p>
            <w:pPr>
              <w:spacing w:after="0"/>
              <w:rPr>
                <w:sz w:val="24"/>
                <w:szCs w:val="24"/>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24"/>
                <w:szCs w:val="24"/>
                <w:color w:val="auto"/>
              </w:rPr>
            </w:pPr>
          </w:p>
        </w:tc>
        <w:tc>
          <w:tcPr>
            <w:tcW w:w="880" w:type="dxa"/>
            <w:vAlign w:val="bottom"/>
            <w:tcBorders>
              <w:right w:val="single" w:sz="8" w:color="auto"/>
            </w:tcBorders>
            <w:vMerge w:val="continue"/>
          </w:tcPr>
          <w:p>
            <w:pPr>
              <w:spacing w:after="0"/>
              <w:rPr>
                <w:sz w:val="24"/>
                <w:szCs w:val="24"/>
                <w:color w:val="auto"/>
              </w:rPr>
            </w:pPr>
          </w:p>
        </w:tc>
        <w:tc>
          <w:tcPr>
            <w:tcW w:w="6840" w:type="dxa"/>
            <w:vAlign w:val="bottom"/>
          </w:tcPr>
          <w:p>
            <w:pPr>
              <w:ind w:left="100"/>
              <w:spacing w:after="0" w:line="298" w:lineRule="exact"/>
              <w:rPr>
                <w:sz w:val="20"/>
                <w:szCs w:val="20"/>
                <w:color w:val="auto"/>
              </w:rPr>
            </w:pPr>
            <w:r>
              <w:rPr>
                <w:rFonts w:ascii="Times New Roman" w:cs="Times New Roman" w:eastAsia="Times New Roman" w:hAnsi="Times New Roman"/>
                <w:sz w:val="18"/>
                <w:szCs w:val="18"/>
                <w:color w:val="auto"/>
              </w:rPr>
              <w:t>3,419,498</w:t>
            </w:r>
            <w:r>
              <w:rPr>
                <w:rFonts w:ascii="Times New Roman" w:cs="Times New Roman" w:eastAsia="Times New Roman" w:hAnsi="Times New Roman"/>
                <w:sz w:val="29"/>
                <w:szCs w:val="29"/>
                <w:color w:val="auto"/>
                <w:vertAlign w:val="superscript"/>
              </w:rPr>
              <w:t>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600" w:type="dxa"/>
            <w:vAlign w:val="bottom"/>
          </w:tcPr>
          <w:p>
            <w:pPr>
              <w:spacing w:after="0"/>
              <w:rPr>
                <w:sz w:val="3"/>
                <w:szCs w:val="3"/>
                <w:color w:val="auto"/>
              </w:rPr>
            </w:pPr>
          </w:p>
        </w:tc>
        <w:tc>
          <w:tcPr>
            <w:tcW w:w="1660" w:type="dxa"/>
            <w:vAlign w:val="bottom"/>
            <w:tcBorders>
              <w:right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6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
        </w:trPr>
        <w:tc>
          <w:tcPr>
            <w:tcW w:w="600" w:type="dxa"/>
            <w:vAlign w:val="bottom"/>
          </w:tcPr>
          <w:p>
            <w:pPr>
              <w:spacing w:after="0"/>
              <w:rPr>
                <w:sz w:val="2"/>
                <w:szCs w:val="2"/>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00" w:type="dxa"/>
            <w:vAlign w:val="bottom"/>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0"/>
                <w:szCs w:val="10"/>
                <w:color w:val="auto"/>
              </w:rPr>
            </w:pPr>
          </w:p>
        </w:tc>
        <w:tc>
          <w:tcPr>
            <w:tcW w:w="8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8</w:t>
            </w:r>
          </w:p>
        </w:tc>
        <w:tc>
          <w:tcPr>
            <w:tcW w:w="68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60" w:type="dxa"/>
            <w:vAlign w:val="bottom"/>
            <w:tcBorders>
              <w:right w:val="single" w:sz="8" w:color="auto"/>
            </w:tcBorders>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6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00" w:type="dxa"/>
            <w:vAlign w:val="bottom"/>
          </w:tcPr>
          <w:p>
            <w:pPr>
              <w:spacing w:after="0"/>
              <w:rPr>
                <w:sz w:val="12"/>
                <w:szCs w:val="12"/>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8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68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1660" w:type="dxa"/>
            <w:vAlign w:val="bottom"/>
            <w:tcBorders>
              <w:right w:val="single" w:sz="8" w:color="auto"/>
            </w:tcBorders>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600" w:type="dxa"/>
            <w:vAlign w:val="bottom"/>
          </w:tcPr>
          <w:p>
            <w:pPr>
              <w:spacing w:after="0"/>
              <w:rPr>
                <w:sz w:val="9"/>
                <w:szCs w:val="9"/>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tcPr>
          <w:p>
            <w:pPr>
              <w:spacing w:after="0"/>
              <w:rPr>
                <w:sz w:val="9"/>
                <w:szCs w:val="9"/>
                <w:color w:val="auto"/>
              </w:rPr>
            </w:pPr>
          </w:p>
        </w:tc>
        <w:tc>
          <w:tcPr>
            <w:tcW w:w="8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9</w:t>
            </w:r>
          </w:p>
        </w:tc>
        <w:tc>
          <w:tcPr>
            <w:tcW w:w="68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600" w:type="dxa"/>
            <w:vAlign w:val="bottom"/>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6840" w:type="dxa"/>
            <w:vAlign w:val="bottom"/>
            <w:vMerge w:val="restart"/>
          </w:tcPr>
          <w:p>
            <w:pPr>
              <w:ind w:left="100"/>
              <w:spacing w:after="0" w:line="284" w:lineRule="exact"/>
              <w:rPr>
                <w:sz w:val="20"/>
                <w:szCs w:val="20"/>
                <w:color w:val="auto"/>
              </w:rPr>
            </w:pPr>
            <w:r>
              <w:rPr>
                <w:rFonts w:ascii="Times New Roman" w:cs="Times New Roman" w:eastAsia="Times New Roman" w:hAnsi="Times New Roman"/>
                <w:sz w:val="18"/>
                <w:szCs w:val="18"/>
                <w:color w:val="auto"/>
              </w:rPr>
              <w:t>3,419,498</w:t>
            </w:r>
            <w:r>
              <w:rPr>
                <w:rFonts w:ascii="Times New Roman" w:cs="Times New Roman" w:eastAsia="Times New Roman" w:hAnsi="Times New Roman"/>
                <w:sz w:val="29"/>
                <w:szCs w:val="29"/>
                <w:color w:val="auto"/>
                <w:vertAlign w:val="superscript"/>
              </w:rPr>
              <w:t>3</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68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00" w:type="dxa"/>
            <w:vAlign w:val="bottom"/>
          </w:tcPr>
          <w:p>
            <w:pPr>
              <w:spacing w:after="0"/>
              <w:rPr>
                <w:sz w:val="3"/>
                <w:szCs w:val="3"/>
                <w:color w:val="auto"/>
              </w:rPr>
            </w:pPr>
          </w:p>
        </w:tc>
        <w:tc>
          <w:tcPr>
            <w:tcW w:w="1660" w:type="dxa"/>
            <w:vAlign w:val="bottom"/>
            <w:tcBorders>
              <w:right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6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00" w:type="dxa"/>
            <w:vAlign w:val="bottom"/>
          </w:tcPr>
          <w:p>
            <w:pPr>
              <w:spacing w:after="0"/>
              <w:rPr>
                <w:sz w:val="3"/>
                <w:szCs w:val="3"/>
                <w:color w:val="auto"/>
              </w:rPr>
            </w:pPr>
          </w:p>
        </w:tc>
        <w:tc>
          <w:tcPr>
            <w:tcW w:w="166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WITH</w:t>
            </w: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68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w:t>
            </w:r>
          </w:p>
        </w:tc>
        <w:tc>
          <w:tcPr>
            <w:tcW w:w="6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00" w:type="dxa"/>
            <w:vAlign w:val="bottom"/>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68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6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8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00" w:type="dxa"/>
            <w:vAlign w:val="bottom"/>
            <w:tcBorders>
              <w:bottom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gridSpan w:val="2"/>
          </w:tcPr>
          <w:p>
            <w:pPr>
              <w:spacing w:after="0"/>
              <w:rPr>
                <w:sz w:val="8"/>
                <w:szCs w:val="8"/>
                <w:color w:val="auto"/>
              </w:rPr>
            </w:pPr>
          </w:p>
        </w:tc>
        <w:tc>
          <w:tcPr>
            <w:tcW w:w="68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60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11</w:t>
            </w:r>
          </w:p>
        </w:tc>
        <w:tc>
          <w:tcPr>
            <w:tcW w:w="96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00" w:type="dxa"/>
            <w:vAlign w:val="bottom"/>
            <w:tcBorders>
              <w:bottom w:val="single" w:sz="8" w:color="auto"/>
            </w:tcBorders>
            <w:vMerge w:val="continue"/>
          </w:tcPr>
          <w:p>
            <w:pPr>
              <w:spacing w:after="0"/>
              <w:rPr>
                <w:sz w:val="24"/>
                <w:szCs w:val="24"/>
                <w:color w:val="auto"/>
              </w:rPr>
            </w:pPr>
          </w:p>
        </w:tc>
        <w:tc>
          <w:tcPr>
            <w:tcW w:w="16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3,419,498</w:t>
            </w:r>
            <w:r>
              <w:rPr>
                <w:rFonts w:ascii="Times New Roman" w:cs="Times New Roman" w:eastAsia="Times New Roman" w:hAnsi="Times New Roman"/>
                <w:sz w:val="29"/>
                <w:szCs w:val="29"/>
                <w:color w:val="auto"/>
                <w:vertAlign w:val="superscript"/>
              </w:rPr>
              <w:t>3</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12</w:t>
            </w:r>
          </w:p>
        </w:tc>
        <w:tc>
          <w:tcPr>
            <w:tcW w:w="96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9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spacing w:after="0" w:line="4" w:lineRule="exact"/>
        <w:rPr>
          <w:sz w:val="20"/>
          <w:szCs w:val="20"/>
          <w:color w:val="auto"/>
        </w:rPr>
      </w:pPr>
    </w:p>
    <w:p>
      <w:pPr>
        <w:ind w:left="1120" w:hanging="696"/>
        <w:spacing w:after="0"/>
        <w:tabs>
          <w:tab w:leader="none" w:pos="112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5.92%</w:t>
      </w:r>
      <w:r>
        <w:rPr>
          <w:rFonts w:ascii="Times New Roman" w:cs="Times New Roman" w:eastAsia="Times New Roman" w:hAnsi="Times New Roman"/>
          <w:sz w:val="29"/>
          <w:szCs w:val="29"/>
          <w:color w:val="auto"/>
          <w:vertAlign w:val="superscript"/>
        </w:rPr>
        <w:t>4</w:t>
      </w:r>
    </w:p>
    <w:p>
      <w:pPr>
        <w:spacing w:after="0" w:line="61" w:lineRule="exact"/>
        <w:rPr>
          <w:rFonts w:ascii="Times New Roman" w:cs="Times New Roman" w:eastAsia="Times New Roman" w:hAnsi="Times New Roman"/>
          <w:sz w:val="36"/>
          <w:szCs w:val="36"/>
          <w:color w:val="auto"/>
          <w:vertAlign w:val="superscript"/>
        </w:rPr>
      </w:pPr>
    </w:p>
    <w:p>
      <w:pPr>
        <w:ind w:left="112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36"/>
          <w:szCs w:val="36"/>
          <w:color w:val="auto"/>
          <w:vertAlign w:val="superscript"/>
        </w:rPr>
      </w:pPr>
    </w:p>
    <w:p>
      <w:pPr>
        <w:ind w:left="1120" w:hanging="696"/>
        <w:spacing w:after="0" w:line="180" w:lineRule="auto"/>
        <w:tabs>
          <w:tab w:leader="none" w:pos="112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920" w:right="20" w:hanging="345"/>
        <w:spacing w:after="0" w:line="195" w:lineRule="auto"/>
        <w:tabs>
          <w:tab w:leader="none" w:pos="9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sum of (i) 3,139,498 Shares directly beneficially owned by All Blue Falcons FZE as of the date hereof and (ii) 280,000 Shares underlying call options as described below in Item 5 of this Schedule 13D.</w:t>
      </w:r>
    </w:p>
    <w:p>
      <w:pPr>
        <w:spacing w:after="0" w:line="200" w:lineRule="exact"/>
        <w:rPr>
          <w:sz w:val="20"/>
          <w:szCs w:val="20"/>
          <w:color w:val="auto"/>
        </w:rPr>
      </w:pPr>
    </w:p>
    <w:p>
      <w:pPr>
        <w:ind w:left="5580" w:right="2540" w:hanging="5005"/>
        <w:spacing w:after="0" w:line="623" w:lineRule="auto"/>
        <w:tabs>
          <w:tab w:leader="none" w:pos="913"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57,736,293 Shares issued and outstanding as of February 24, 2022, as disclosed in the Form 10-K.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SCHEDULE 13D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Amendment No. 1 to Schedule 13D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being filed by All Blue Falcons FZE, a company organized in the Ras Al Kaihamh Economic Zone of the Emirate of Ras Al Khaimah in the United Arab Emirates (“</w:t>
      </w:r>
      <w:r>
        <w:rPr>
          <w:rFonts w:ascii="Times New Roman" w:cs="Times New Roman" w:eastAsia="Times New Roman" w:hAnsi="Times New Roman"/>
          <w:sz w:val="18"/>
          <w:szCs w:val="18"/>
          <w:u w:val="single" w:color="auto"/>
          <w:color w:val="auto"/>
        </w:rPr>
        <w:t>All Blue Falcons</w:t>
      </w:r>
      <w:r>
        <w:rPr>
          <w:rFonts w:ascii="Times New Roman" w:cs="Times New Roman" w:eastAsia="Times New Roman" w:hAnsi="Times New Roman"/>
          <w:sz w:val="18"/>
          <w:szCs w:val="18"/>
          <w:color w:val="auto"/>
        </w:rPr>
        <w:t>”), and Daniel Edward Llewellen Cookson (“</w:t>
      </w:r>
      <w:r>
        <w:rPr>
          <w:rFonts w:ascii="Times New Roman" w:cs="Times New Roman" w:eastAsia="Times New Roman" w:hAnsi="Times New Roman"/>
          <w:sz w:val="18"/>
          <w:szCs w:val="18"/>
          <w:u w:val="single" w:color="auto"/>
          <w:color w:val="auto"/>
        </w:rPr>
        <w:t>Mr. Cookson</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to amend the Schedule 13D originally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April 22, 2022 (the “</w:t>
      </w:r>
      <w:r>
        <w:rPr>
          <w:rFonts w:ascii="Times New Roman" w:cs="Times New Roman" w:eastAsia="Times New Roman" w:hAnsi="Times New Roman"/>
          <w:sz w:val="18"/>
          <w:szCs w:val="18"/>
          <w:u w:val="single" w:color="auto"/>
          <w:color w:val="auto"/>
        </w:rPr>
        <w:t>Original Statement</w:t>
      </w:r>
      <w:r>
        <w:rPr>
          <w:rFonts w:ascii="Times New Roman" w:cs="Times New Roman" w:eastAsia="Times New Roman" w:hAnsi="Times New Roman"/>
          <w:sz w:val="18"/>
          <w:szCs w:val="18"/>
          <w:color w:val="auto"/>
        </w:rPr>
        <w:t>” and, as amended and supplemented by this Amendment,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relating to the common shares, no par value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Zymeworks Inc., a corporation organized under the laws of the province of British Columbia under the Business Corporations Act (</w:t>
      </w:r>
      <w:r>
        <w:rPr>
          <w:rFonts w:ascii="Times New Roman" w:cs="Times New Roman" w:eastAsia="Times New Roman" w:hAnsi="Times New Roman"/>
          <w:sz w:val="18"/>
          <w:szCs w:val="18"/>
          <w:i w:val="1"/>
          <w:iCs w:val="1"/>
          <w:color w:val="auto"/>
        </w:rPr>
        <w:t>British Columbia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Capitalized terms used herein but not defined have the respective meanings ascribed to them in the Original Statement.</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Original Statement is hereby amended and supplemented by adding the following information: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2022, All Blue Falcons delivered to the board of directors of the Issuer (the “Board”) a letter (the “</w:t>
      </w:r>
      <w:r>
        <w:rPr>
          <w:rFonts w:ascii="Times New Roman" w:cs="Times New Roman" w:eastAsia="Times New Roman" w:hAnsi="Times New Roman"/>
          <w:sz w:val="18"/>
          <w:szCs w:val="18"/>
          <w:u w:val="single" w:color="auto"/>
          <w:color w:val="auto"/>
        </w:rPr>
        <w:t>Offer Letter</w:t>
      </w:r>
      <w:r>
        <w:rPr>
          <w:rFonts w:ascii="Times New Roman" w:cs="Times New Roman" w:eastAsia="Times New Roman" w:hAnsi="Times New Roman"/>
          <w:sz w:val="18"/>
          <w:szCs w:val="18"/>
          <w:color w:val="auto"/>
        </w:rPr>
        <w:t>”) outlining a non-binding proposal to acquire the Issuer for $10.50 per Share in cash (the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The Offer Letter indicates that the Proposal is subject to execution of a definitive transaction agreement and completion of a confirmatory due diligence review of the Issuer by All Blue Falcons. The Offer Letter states that All Blue Falcons seeks an opportunity to discuss the Proposal with the Board and is prepared to enter into an appropriate confidentiality agreement to commence confirmatory due diligence immediately.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Proposal, All Blue Falcons has entered into discussions with potential co-investors and financing partners that have expressed interest in providing financing for the proposed acquisition. The Reporting Persons (and their affiliates) may, directly or indirectly, take such additional steps as they may deem appropriate from time to time in connection with the Proposal, including, without limitation, engaging in discussions with other shareholders, potential financing partners or sources of financing and other relevant parties, entering into confidentiality agreements, financing commitments and other agreements, arrangements and understandings in connection with the proposed transaction, and engaging financial, legal and other professional advisors.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Proposal may result in one or more of the matters specified in clauses (a) – (j) of Item 4 of Schedule 13D. There can be no assurances that any discussions among the Reporting Persons (or their affiliates) and the Board or other representatives of the Issuer or any other persons relating to the Proposal will take place or that any transaction will result from the Proposal or any such discussions. The Proposal is non-binding, and the Reporting Persons (or their affiliates) are under no obligation to engage in any discussions or consummate any transaction. The Reporting Persons may determine to change the terms of the Proposal, withdraw the Proposal or otherwise change their intentions with respect to the Issuer, in each case, at any time and without prior notice.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Proposal is qualified in its entirety by reference to the full text of the Offer Letter, a copy of which is attached as Exhibit 99.2 hereto and incorporated by reference herein.”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the Original Statement is hereby amended and supplemented by adding the following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“99.2 Letter to the Board of Directors of the Issuer, dated April 28,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Dated:</w:t>
        <w:tab/>
        <w:t>April 28, 2022</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ALL BLUE FALCONS FZE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Cookson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Cookson, Director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Daniel Cookson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Daniel Cookson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Office 2301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00150" cy="840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0" cy="8401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API Trio Tower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 Barsha, Dubai,</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mnovak@allbluecapital.com</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+44 7502 018701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 AND HAND DELIVERY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Zymeworks Inc.</w:t>
      </w:r>
    </w:p>
    <w:p>
      <w:pPr>
        <w:spacing w:after="0" w:line="192" w:lineRule="auto"/>
        <w:rPr>
          <w:sz w:val="20"/>
          <w:szCs w:val="20"/>
          <w:color w:val="auto"/>
        </w:rPr>
      </w:pPr>
      <w:r>
        <w:rPr>
          <w:rFonts w:ascii="Times New Roman" w:cs="Times New Roman" w:eastAsia="Times New Roman" w:hAnsi="Times New Roman"/>
          <w:sz w:val="18"/>
          <w:szCs w:val="18"/>
          <w:color w:val="auto"/>
        </w:rPr>
        <w:t>540-1385 West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p>
      <w:pPr>
        <w:spacing w:after="0"/>
        <w:rPr>
          <w:sz w:val="20"/>
          <w:szCs w:val="20"/>
          <w:color w:val="auto"/>
        </w:rPr>
      </w:pPr>
      <w:r>
        <w:rPr>
          <w:rFonts w:ascii="Times New Roman" w:cs="Times New Roman" w:eastAsia="Times New Roman" w:hAnsi="Times New Roman"/>
          <w:sz w:val="18"/>
          <w:szCs w:val="18"/>
          <w:color w:val="auto"/>
        </w:rPr>
        <w:t>Vancouver, BC V6H 3V9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 of Directors:</w:t>
      </w:r>
    </w:p>
    <w:p>
      <w:pPr>
        <w:spacing w:after="0" w:line="22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behalf of All Blue Falcons FZE (“</w:t>
      </w:r>
      <w:r>
        <w:rPr>
          <w:rFonts w:ascii="Times New Roman" w:cs="Times New Roman" w:eastAsia="Times New Roman" w:hAnsi="Times New Roman"/>
          <w:sz w:val="18"/>
          <w:szCs w:val="18"/>
          <w:b w:val="1"/>
          <w:bCs w:val="1"/>
          <w:color w:val="auto"/>
        </w:rPr>
        <w:t>All Blue</w:t>
      </w:r>
      <w:r>
        <w:rPr>
          <w:rFonts w:ascii="Times New Roman" w:cs="Times New Roman" w:eastAsia="Times New Roman" w:hAnsi="Times New Roman"/>
          <w:sz w:val="18"/>
          <w:szCs w:val="18"/>
          <w:color w:val="auto"/>
        </w:rPr>
        <w:t>”), and its respective affiliated investment funds that, directly or through their respective affiliated entities, collectively beneficially own 3,139,498 common shares of Zymeworks Inc. (“</w:t>
      </w:r>
      <w:r>
        <w:rPr>
          <w:rFonts w:ascii="Times New Roman" w:cs="Times New Roman" w:eastAsia="Times New Roman" w:hAnsi="Times New Roman"/>
          <w:sz w:val="18"/>
          <w:szCs w:val="18"/>
          <w:b w:val="1"/>
          <w:bCs w:val="1"/>
          <w:color w:val="auto"/>
        </w:rPr>
        <w:t>Zymeworks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approximately 5.44% of the Company’s outstanding common shares, we are pleased to submit this non-binding proposal to acquire the Company for $10.50 per share in cash. Our proposal, which is based on 73,616,124 common shares outstanding (on a fully diluted basis), as disclosed in the Company’s most recently filed annual report on Form 10-K,</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represents approximately $773 million in total equity value. Our proposal also represents a premium of over 116% over the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Company’s unaffected stock price on April 27, 2022 and approximately 63.61% over the Company’s unaffected 30-day volume weighted average price.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We strongly believe that our all-cash proposal represents compelling and immediate value for Zymeworks stockholders at a time of considerable macroeconomic uncertainty, especially given the Company’s significant and continued underperformance.</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Blue and its affiliates (the “</w:t>
      </w:r>
      <w:r>
        <w:rPr>
          <w:rFonts w:ascii="Times New Roman" w:cs="Times New Roman" w:eastAsia="Times New Roman" w:hAnsi="Times New Roman"/>
          <w:sz w:val="18"/>
          <w:szCs w:val="18"/>
          <w:b w:val="1"/>
          <w:bCs w:val="1"/>
          <w:color w:val="auto"/>
        </w:rPr>
        <w:t>All Blue Group</w:t>
      </w:r>
      <w:r>
        <w:rPr>
          <w:rFonts w:ascii="Times New Roman" w:cs="Times New Roman" w:eastAsia="Times New Roman" w:hAnsi="Times New Roman"/>
          <w:sz w:val="18"/>
          <w:szCs w:val="18"/>
          <w:color w:val="auto"/>
        </w:rPr>
        <w:t>”) is a global investment firm that invests in and manages multiple alternative asset classes, including private equity, real estate and hedge funds. The All Blue Group has acquired assets from corporate venture capital funds, bought limited partnership positions and made investments alongside venture fund managers in many fast-growing and late-stage companies. The All Blue Group’s current equity portfolio includes over 18 companies, with more than $15 billion in combined annual revenue.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Blue proposes to acquire 100% of the outstanding common shares of the Company for $10.50 per share in cash. The All Blue Group has access to sufficient equity capital to finance the proposed acquisition and related fees and expenses. In addition, All Blue has entered into discussions with potential co-investors and financing partners that have expressed interest in providing financing for the proposed acquisition. Accordingly, our proposal does not include any financing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4"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Form 10-K filed on February 24, 2022.</w:t>
      </w:r>
    </w:p>
    <w:p>
      <w:pPr>
        <w:spacing w:after="0" w:line="128"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closing price of $4.86 per share on April 27, 2022.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Board of Directors of Zymeworks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Company has suffered from severe value erosion due to a number of serious missteps by an unfocused leadership with no clear strategy for improving performance. Over the past twelve months, stockholders have witnessed the Company miss a number of important deadlines publicly announced in press releases, endured poorly executed earnings calls and experienced confusing and damaging public messaging, all of which has led to a significant loss of credibility and investor confidence in the Company and its management team.</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As a result of these and other problems, the Company’s financial performance has deteriorated so significantly that the management team (led by Kenneth Galbraith, who was recently appointed as CEO and Chairman of the Board) had to issue a press release in January 2022</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disclosing the Company’s difficult financial position and immediate need to raise capital to continue operations. As a result, the Company’s stock price dropped by approximately 25% in the</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three trading sessions after the date of the press release</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has decreased approximately 67.81% since the public announcement of Mr. Galbraith’s appointment as CEO and Chairman on January 5, 2022.</w:t>
      </w:r>
      <w:r>
        <w:rPr>
          <w:rFonts w:ascii="Times New Roman" w:cs="Times New Roman" w:eastAsia="Times New Roman" w:hAnsi="Times New Roman"/>
          <w:sz w:val="29"/>
          <w:szCs w:val="29"/>
          <w:color w:val="auto"/>
          <w:vertAlign w:val="superscript"/>
        </w:rPr>
        <w:t>5</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top of all of this, the Board (now led by Mr. Galbraith) recently authorized a public offering of the Company’s common shares, at $8.00 per share. The Company sold 11,035,000 common shares and pre-funded warrants to purchase up to 3,340,000 common shares in the public offering, which was completed in January 2022. We believe that the Board’s decision to pursue this highly dilutive equity offering in current volatile market conditions, in preference to other available alternatives for raising capital, was contrary to the best interests of the Company and its stockholders. In addition, the below-</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market offering price seems to indicate the Board’s own views as to the Company’s value.</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We have previously approached the Board privately to express our concerns about this questionable decision, but unfortunately our communications seem to have fallen on deaf ears.</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a result of these and other issues, the Company’s stock price has plummeted an astounding 87% since July 1, 2021.</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As a significant investor in the Company, we believe that Zymeworks stockholders deserve better than the consistent value destruction they have suffered during this relatively short period of time. We are confident that our all-cash proposal will not only deliver fair value to all stockholders, well in excess of what we expect the Company will be able to achieve on its current course, but will also provide them with a direct path to realizing an attractive premium and immediate liquidity for their shares, with far greater certainty, and without the risk of further value erosion, than if the Company remained a publicly traded company in this uncertain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7" w:lineRule="exact"/>
        <w:rPr>
          <w:sz w:val="20"/>
          <w:szCs w:val="20"/>
          <w:color w:val="auto"/>
        </w:rPr>
      </w:pPr>
    </w:p>
    <w:p>
      <w:pPr>
        <w:ind w:firstLine="8"/>
        <w:spacing w:after="0" w:line="196" w:lineRule="auto"/>
        <w:tabs>
          <w:tab w:leader="none" w:pos="126"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 xml:space="preserve">Zymeworks Provides Corporate Update on Key Strategic Priorities and Outlook for 2022 </w:t>
      </w:r>
      <w:r>
        <w:rPr>
          <w:rFonts w:ascii="Times New Roman" w:cs="Times New Roman" w:eastAsia="Times New Roman" w:hAnsi="Times New Roman"/>
          <w:sz w:val="18"/>
          <w:szCs w:val="18"/>
          <w:color w:val="auto"/>
        </w:rPr>
        <w:t>(Jan. 19, 2022),</w:t>
      </w:r>
      <w:r>
        <w:rPr>
          <w:rFonts w:ascii="Times New Roman" w:cs="Times New Roman" w:eastAsia="Times New Roman" w:hAnsi="Times New Roman"/>
          <w:sz w:val="18"/>
          <w:szCs w:val="18"/>
          <w:i w:val="1"/>
          <w:iCs w:val="1"/>
          <w:color w:val="auto"/>
        </w:rPr>
        <w:t xml:space="preserve"> available at </w:t>
      </w:r>
      <w:r>
        <w:rPr>
          <w:rFonts w:ascii="Times New Roman" w:cs="Times New Roman" w:eastAsia="Times New Roman" w:hAnsi="Times New Roman"/>
          <w:sz w:val="18"/>
          <w:szCs w:val="18"/>
          <w:u w:val="single" w:color="auto"/>
          <w:color w:val="auto"/>
        </w:rPr>
        <w:t>https://ir.zymeworks.com/news-releases/news-release-details/zymeworks-provides-corporate-update-key-strategic-priorities-and.</w:t>
      </w:r>
    </w:p>
    <w:p>
      <w:pPr>
        <w:spacing w:after="0" w:line="129"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closing price of $13.46 per share on January 19, 2022 and $10.00 per share on January 24, 2022. Bloomberg.</w:t>
      </w:r>
    </w:p>
    <w:p>
      <w:pPr>
        <w:spacing w:after="0" w:line="128"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closing price of $15.10 per share on January 5, 2022. Bloomberg.</w:t>
      </w:r>
    </w:p>
    <w:p>
      <w:pPr>
        <w:spacing w:after="0" w:line="238" w:lineRule="exact"/>
        <w:rPr>
          <w:sz w:val="20"/>
          <w:szCs w:val="20"/>
          <w:color w:val="auto"/>
        </w:rPr>
      </w:pPr>
    </w:p>
    <w:p>
      <w:pPr>
        <w:ind w:firstLine="8"/>
        <w:spacing w:after="0" w:line="195" w:lineRule="auto"/>
        <w:tabs>
          <w:tab w:leader="none" w:pos="112"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closing price of the Company’s common shares was $9.32 per share on January 26, 2022, the date on which the offering was commenced, and $8.90 per share on January 31, 2022, the date on which it was completed. Bloomberg.</w:t>
      </w:r>
    </w:p>
    <w:p>
      <w:pPr>
        <w:spacing w:after="0" w:line="129" w:lineRule="exact"/>
        <w:rPr>
          <w:sz w:val="20"/>
          <w:szCs w:val="20"/>
          <w:color w:val="auto"/>
        </w:rPr>
      </w:pPr>
    </w:p>
    <w:p>
      <w:pPr>
        <w:ind w:left="120" w:hanging="112"/>
        <w:spacing w:after="0"/>
        <w:tabs>
          <w:tab w:leader="none" w:pos="12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Bloomberg, as of April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Board of Directors of Zymeworks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privately held investment fund with full discretion over the investment of the funds we manage, All Blue does not require any corporate or shareholder approvals to consummate the proposed acquisition of the Company. We do not anticipate any antitrust or other regulatory issues that would extend the normal timetable for completing a transaction of this nature.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proposal is subject to execution of a definitive transaction agreement and completion of a confirmatory due diligence review of the Company, which we are prepared to commence immediately. Given our extensive review to date of publicly available information, we expect that our remaining due diligence will be expedited and highly focused. We are confident that we can complete our confirmatory due diligence in three to four weeks, provided we receive the Company’s cooperation and appropriate access to management and the requisite information. We have already committed significant time and resources to this proposal and the proposed transaction. All Blue has engaged Goodmans LLP and Greenberg Traurig LLP as its legal counsel in connection with the proposed transaction.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request that the Board promptly contact us to arrange for an opportunity to discuss our proposal. We stand ready to enter into an appropriate confidentiality agreement to commence our due diligence immediately. We are confident in our ability to move quickly and efficiently toward consummating a transaction. If the Board refuses to engage with us in good faith and in a timely fashion, we reserve our rights to take action to protect stockholder interests, including taking our proposal directly to Zymeworks’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additional information regarding our proposal, please do not hesitate to contact the following individuals: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Novak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Blue Falcons FZE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mnovak@allbluecapital.com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our substantial equity stake in the Company, we are required to make the content of this letter public. We sincerely hope that the Board will work with us to maximize value for all Zymeworks stockholders, and we look forward to receiving a response in an expeditious manner.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Novak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BLUE FALCONS FZE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6"/>
      <w:numFmt w:val="bullet"/>
      <w:start w:val="1"/>
    </w:lvl>
  </w:abstractNum>
  <w:abstractNum w:abstractNumId="3">
    <w:nsid w:val="1F16E9E8"/>
    <w:multiLevelType w:val="hybridMultilevel"/>
    <w:lvl w:ilvl="0">
      <w:lvlJc w:val="left"/>
      <w:lvlText w:val="%1"/>
      <w:numFmt w:val="decimal"/>
      <w:start w:val="13"/>
    </w:lvl>
    <w:lvl w:ilvl="1">
      <w:lvlJc w:val="left"/>
      <w:lvlText w:val="%2"/>
      <w:numFmt w:val="decimal"/>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2"/>
      <w:numFmt w:val="bullet"/>
      <w:start w:val="1"/>
    </w:lvl>
  </w:abstractNum>
  <w:abstractNum w:abstractNumId="6">
    <w:nsid w:val="140E0F76"/>
    <w:multiLevelType w:val="hybridMultilevel"/>
    <w:lvl w:ilvl="0">
      <w:lvlJc w:val="left"/>
      <w:lvlText w:val="3"/>
      <w:numFmt w:val="bullet"/>
      <w:start w:val="1"/>
    </w:lvl>
  </w:abstractNum>
  <w:abstractNum w:abstractNumId="7">
    <w:nsid w:val="3352255A"/>
    <w:multiLevelType w:val="hybridMultilevel"/>
    <w:lvl w:ilvl="0">
      <w:lvlJc w:val="left"/>
      <w:lvlText w:val="4"/>
      <w:numFmt w:val="bullet"/>
      <w:start w:val="1"/>
    </w:lvl>
  </w:abstractNum>
  <w:abstractNum w:abstractNumId="8">
    <w:nsid w:val="109CF92E"/>
    <w:multiLevelType w:val="hybridMultilevel"/>
    <w:lvl w:ilvl="0">
      <w:lvlJc w:val="left"/>
      <w:lvlText w:val="%1"/>
      <w:numFmt w:val="decimal"/>
      <w:start w:val="13"/>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4"/>
      <w:numFmt w:val="bullet"/>
      <w:start w:val="1"/>
    </w:lvl>
  </w:abstractNum>
  <w:abstractNum w:abstractNumId="11">
    <w:nsid w:val="1BEFD79F"/>
    <w:multiLevelType w:val="hybridMultilevel"/>
    <w:lvl w:ilvl="0">
      <w:lvlJc w:val="left"/>
      <w:lvlText w:val="1"/>
      <w:numFmt w:val="bullet"/>
      <w:start w:val="1"/>
    </w:lvl>
  </w:abstractNum>
  <w:abstractNum w:abstractNumId="12">
    <w:nsid w:val="41A7C4C9"/>
    <w:multiLevelType w:val="hybridMultilevel"/>
    <w:lvl w:ilvl="0">
      <w:lvlJc w:val="left"/>
      <w:lvlText w:val="2"/>
      <w:numFmt w:val="bullet"/>
      <w:start w:val="1"/>
    </w:lvl>
  </w:abstractNum>
  <w:abstractNum w:abstractNumId="13">
    <w:nsid w:val="6B68079A"/>
    <w:multiLevelType w:val="hybridMultilevel"/>
    <w:lvl w:ilvl="0">
      <w:lvlJc w:val="left"/>
      <w:lvlText w:val="3"/>
      <w:numFmt w:val="bullet"/>
      <w:start w:val="1"/>
    </w:lvl>
  </w:abstractNum>
  <w:abstractNum w:abstractNumId="14">
    <w:nsid w:val="4E6AFB66"/>
    <w:multiLevelType w:val="hybridMultilevel"/>
    <w:lvl w:ilvl="0">
      <w:lvlJc w:val="left"/>
      <w:lvlText w:val="4"/>
      <w:numFmt w:val="bullet"/>
      <w:start w:val="1"/>
    </w:lvl>
  </w:abstractNum>
  <w:abstractNum w:abstractNumId="15">
    <w:nsid w:val="25E45D32"/>
    <w:multiLevelType w:val="hybridMultilevel"/>
    <w:lvl w:ilvl="0">
      <w:lvlJc w:val="left"/>
      <w:lvlText w:val="5"/>
      <w:numFmt w:val="bullet"/>
      <w:start w:val="1"/>
    </w:lvl>
  </w:abstractNum>
  <w:abstractNum w:abstractNumId="16">
    <w:nsid w:val="519B500D"/>
    <w:multiLevelType w:val="hybridMultilevel"/>
    <w:lvl w:ilvl="0">
      <w:lvlJc w:val="left"/>
      <w:lvlText w:val="6"/>
      <w:numFmt w:val="bullet"/>
      <w:start w:val="1"/>
    </w:lvl>
  </w:abstractNum>
  <w:abstractNum w:abstractNumId="17">
    <w:nsid w:val="431BD7B7"/>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2022-04-28T17:24:13Z</dcterms:created>
  <dcterms:modified xsi:type="dcterms:W3CDTF">2022-04-28T17:24:13Z</dcterms:modified>
</cp:coreProperties>
</file>