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4693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69392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Schneider Paul 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ZYMEWORKS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108 PATRIOT DRIVE, SUITE A</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Zymeworks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ZYME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05/13/2026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45"/>
        <w:spacing w:after="0"/>
        <w:rPr>
          <w:sz w:val="20"/>
          <w:szCs w:val="20"/>
          <w:color w:val="auto"/>
        </w:rPr>
      </w:pPr>
      <w:r>
        <w:rPr>
          <w:rFonts w:ascii="Times New Roman" w:cs="Times New Roman" w:eastAsia="Times New Roman" w:hAnsi="Times New Roman"/>
          <w:sz w:val="17"/>
          <w:szCs w:val="17"/>
          <w:color w:val="0000FF"/>
        </w:rPr>
        <w:t>EVP, General Counsel</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MIDDLETOWN DE</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19709</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ind w:right="1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24.57</w:t>
            </w:r>
          </w:p>
        </w:tc>
        <w:tc>
          <w:tcPr>
            <w:tcW w:w="106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0000FF"/>
              </w:rPr>
              <w:t>05/13/2026</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178,000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right"/>
              <w:ind w:right="22"/>
              <w:spacing w:after="0"/>
              <w:rPr>
                <w:sz w:val="20"/>
                <w:szCs w:val="20"/>
                <w:color w:val="auto"/>
              </w:rPr>
            </w:pPr>
            <w:r>
              <w:rPr>
                <w:rFonts w:ascii="Times New Roman" w:cs="Times New Roman" w:eastAsia="Times New Roman" w:hAnsi="Times New Roman"/>
                <w:sz w:val="13"/>
                <w:szCs w:val="13"/>
                <w:color w:val="0000FF"/>
              </w:rPr>
              <w:t>05/12/2036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178,000</w:t>
            </w:r>
          </w:p>
        </w:tc>
        <w:tc>
          <w:tcPr>
            <w:tcW w:w="40" w:type="dxa"/>
            <w:vAlign w:val="bottom"/>
          </w:tcPr>
          <w:p>
            <w:pPr>
              <w:spacing w:after="0"/>
              <w:rPr>
                <w:sz w:val="17"/>
                <w:szCs w:val="17"/>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178,000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ind w:left="16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0000FF"/>
              </w:rPr>
              <w:t>05/13/2026</w:t>
            </w: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119,000</w:t>
            </w:r>
          </w:p>
        </w:tc>
        <w:tc>
          <w:tcPr>
            <w:tcW w:w="260" w:type="dxa"/>
            <w:vAlign w:val="bottom"/>
          </w:tcPr>
          <w:p>
            <w:pPr>
              <w:spacing w:after="0"/>
              <w:rPr>
                <w:sz w:val="21"/>
                <w:szCs w:val="21"/>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jc w:val="right"/>
              <w:ind w:right="242"/>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119,000</w:t>
            </w:r>
          </w:p>
        </w:tc>
        <w:tc>
          <w:tcPr>
            <w:tcW w:w="40" w:type="dxa"/>
            <w:vAlign w:val="bottom"/>
          </w:tcPr>
          <w:p>
            <w:pPr>
              <w:spacing w:after="0"/>
              <w:rPr>
                <w:sz w:val="21"/>
                <w:szCs w:val="21"/>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119,000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-2087880</wp:posOffset>
            </wp:positionV>
            <wp:extent cx="28575" cy="20929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09296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0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options vest as follows: (i) 25% of underlying shares of common stock on first anniversary of grant date and (ii) remainder of underlying shares of common stock in 36 equal monthly installments on last day of month following first anniversary of grant date.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upon vesting of the RSU, one share of the Issuer's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vest in four equal annual installments beginning on first anniversary of grant date.</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Catherine Graham, Attorney- </w:t>
      </w:r>
      <w:r>
        <w:rPr>
          <w:rFonts w:ascii="Times New Roman" w:cs="Times New Roman" w:eastAsia="Times New Roman" w:hAnsi="Times New Roman"/>
          <w:sz w:val="33"/>
          <w:szCs w:val="33"/>
          <w:color w:val="0000FF"/>
          <w:vertAlign w:val="subscript"/>
        </w:rPr>
        <w:t>05/15/2026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58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2971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718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55484" TargetMode="External"/><Relationship Id="rId14" Type="http://schemas.openxmlformats.org/officeDocument/2006/relationships/hyperlink" Target="http://www.sec.gov/cgi-bin/browse-edgar?action=getcompany&amp;CIK=00019376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2026-05-15T16:06:17Z</dcterms:created>
  <dcterms:modified xsi:type="dcterms:W3CDTF">2026-05-15T16:06:17Z</dcterms:modified>
</cp:coreProperties>
</file>