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4"/>
          <w:szCs w:val="4"/>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38"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1" w:lineRule="exact"/>
        <w:rPr>
          <w:sz w:val="24"/>
          <w:szCs w:val="24"/>
          <w:color w:val="auto"/>
        </w:rPr>
      </w:pPr>
    </w:p>
    <w:tbl>
      <w:tblPr>
        <w:tblLayout w:type="fixed"/>
        <w:tblInd w:w="10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60" w:type="dxa"/>
            <w:vAlign w:val="bottom"/>
            <w:gridSpan w:val="6"/>
          </w:tcPr>
          <w:p>
            <w:pPr>
              <w:jc w:val="center"/>
              <w:ind w:right="1679"/>
              <w:spacing w:after="0"/>
              <w:rPr>
                <w:sz w:val="20"/>
                <w:szCs w:val="20"/>
                <w:color w:val="auto"/>
              </w:rPr>
            </w:pPr>
            <w:r>
              <w:rPr>
                <w:rFonts w:ascii="Arial" w:cs="Arial" w:eastAsia="Arial" w:hAnsi="Arial"/>
                <w:sz w:val="18"/>
                <w:szCs w:val="18"/>
                <w:b w:val="1"/>
                <w:bCs w:val="1"/>
                <w:color w:val="auto"/>
                <w:w w:val="90"/>
              </w:rPr>
              <w:t>For the transition period from ___________to ___________</w:t>
            </w:r>
          </w:p>
        </w:tc>
      </w:tr>
      <w:tr>
        <w:trPr>
          <w:trHeight w:val="265"/>
        </w:trPr>
        <w:tc>
          <w:tcPr>
            <w:tcW w:w="1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20" w:type="dxa"/>
            <w:vAlign w:val="bottom"/>
            <w:gridSpan w:val="3"/>
          </w:tcPr>
          <w:p>
            <w:pPr>
              <w:jc w:val="center"/>
              <w:ind w:left="103"/>
              <w:spacing w:after="0"/>
              <w:rPr>
                <w:sz w:val="20"/>
                <w:szCs w:val="20"/>
                <w:color w:val="auto"/>
              </w:rPr>
            </w:pPr>
            <w:r>
              <w:rPr>
                <w:rFonts w:ascii="Arial" w:cs="Arial" w:eastAsia="Arial" w:hAnsi="Arial"/>
                <w:sz w:val="18"/>
                <w:szCs w:val="18"/>
                <w:b w:val="1"/>
                <w:bCs w:val="1"/>
                <w:color w:val="auto"/>
                <w:w w:val="90"/>
              </w:rPr>
              <w:t>Commission file number: 001-41535</w:t>
            </w:r>
          </w:p>
        </w:tc>
        <w:tc>
          <w:tcPr>
            <w:tcW w:w="2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34"/>
        </w:trPr>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20" w:type="dxa"/>
            <w:vAlign w:val="bottom"/>
            <w:gridSpan w:val="3"/>
          </w:tcPr>
          <w:p>
            <w:pPr>
              <w:jc w:val="center"/>
              <w:ind w:left="83"/>
              <w:spacing w:after="0"/>
              <w:rPr>
                <w:sz w:val="20"/>
                <w:szCs w:val="20"/>
                <w:color w:val="auto"/>
              </w:rPr>
            </w:pPr>
            <w:r>
              <w:rPr>
                <w:rFonts w:ascii="Arial" w:cs="Arial" w:eastAsia="Arial" w:hAnsi="Arial"/>
                <w:sz w:val="18"/>
                <w:szCs w:val="18"/>
                <w:b w:val="1"/>
                <w:bCs w:val="1"/>
                <w:color w:val="auto"/>
                <w:w w:val="89"/>
              </w:rPr>
              <w:t>_________________________</w:t>
            </w: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550"/>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20" w:type="dxa"/>
            <w:vAlign w:val="bottom"/>
            <w:gridSpan w:val="3"/>
          </w:tcPr>
          <w:p>
            <w:pPr>
              <w:jc w:val="center"/>
              <w:ind w:left="83"/>
              <w:spacing w:after="0"/>
              <w:rPr>
                <w:sz w:val="20"/>
                <w:szCs w:val="20"/>
                <w:color w:val="auto"/>
              </w:rPr>
            </w:pPr>
            <w:r>
              <w:rPr>
                <w:rFonts w:ascii="Arial" w:cs="Arial" w:eastAsia="Arial" w:hAnsi="Arial"/>
                <w:sz w:val="40"/>
                <w:szCs w:val="40"/>
                <w:b w:val="1"/>
                <w:bCs w:val="1"/>
                <w:color w:val="auto"/>
              </w:rPr>
              <w:t>ZYMEWORKS INC.</w:t>
            </w: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8"/>
        </w:trPr>
        <w:tc>
          <w:tcPr>
            <w:tcW w:w="1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20" w:type="dxa"/>
            <w:vAlign w:val="bottom"/>
            <w:gridSpan w:val="3"/>
          </w:tcPr>
          <w:p>
            <w:pPr>
              <w:jc w:val="center"/>
              <w:ind w:left="103"/>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34"/>
        </w:trPr>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20" w:type="dxa"/>
            <w:vAlign w:val="bottom"/>
            <w:gridSpan w:val="3"/>
          </w:tcPr>
          <w:p>
            <w:pPr>
              <w:jc w:val="center"/>
              <w:ind w:left="83"/>
              <w:spacing w:after="0"/>
              <w:rPr>
                <w:sz w:val="20"/>
                <w:szCs w:val="20"/>
                <w:color w:val="auto"/>
              </w:rPr>
            </w:pPr>
            <w:r>
              <w:rPr>
                <w:rFonts w:ascii="Arial" w:cs="Arial" w:eastAsia="Arial" w:hAnsi="Arial"/>
                <w:sz w:val="18"/>
                <w:szCs w:val="18"/>
                <w:b w:val="1"/>
                <w:bCs w:val="1"/>
                <w:color w:val="auto"/>
                <w:w w:val="89"/>
              </w:rPr>
              <w:t>_________________________</w:t>
            </w: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47"/>
        </w:trPr>
        <w:tc>
          <w:tcPr>
            <w:tcW w:w="1500" w:type="dxa"/>
            <w:vAlign w:val="bottom"/>
          </w:tcPr>
          <w:p>
            <w:pPr>
              <w:spacing w:after="0"/>
              <w:rPr>
                <w:sz w:val="21"/>
                <w:szCs w:val="21"/>
                <w:color w:val="auto"/>
              </w:rPr>
            </w:pPr>
          </w:p>
        </w:tc>
        <w:tc>
          <w:tcPr>
            <w:tcW w:w="18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1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700" w:type="dxa"/>
            <w:vAlign w:val="bottom"/>
            <w:gridSpan w:val="2"/>
          </w:tcPr>
          <w:p>
            <w:pPr>
              <w:jc w:val="center"/>
              <w:ind w:right="339"/>
              <w:spacing w:after="0"/>
              <w:rPr>
                <w:sz w:val="20"/>
                <w:szCs w:val="20"/>
                <w:color w:val="auto"/>
              </w:rPr>
            </w:pPr>
            <w:r>
              <w:rPr>
                <w:rFonts w:ascii="Arial" w:cs="Arial" w:eastAsia="Arial" w:hAnsi="Arial"/>
                <w:sz w:val="18"/>
                <w:szCs w:val="18"/>
                <w:b w:val="1"/>
                <w:bCs w:val="1"/>
                <w:color w:val="auto"/>
                <w:w w:val="91"/>
              </w:rPr>
              <w:t>88-3099146</w:t>
            </w:r>
          </w:p>
        </w:tc>
      </w:tr>
      <w:tr>
        <w:trPr>
          <w:trHeight w:val="148"/>
        </w:trPr>
        <w:tc>
          <w:tcPr>
            <w:tcW w:w="3320" w:type="dxa"/>
            <w:vAlign w:val="bottom"/>
            <w:gridSpan w:val="3"/>
          </w:tcPr>
          <w:p>
            <w:pPr>
              <w:jc w:val="center"/>
              <w:ind w:left="11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80" w:type="dxa"/>
            <w:vAlign w:val="bottom"/>
          </w:tcPr>
          <w:p>
            <w:pPr>
              <w:jc w:val="center"/>
              <w:ind w:right="35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320" w:type="dxa"/>
            <w:vAlign w:val="bottom"/>
            <w:gridSpan w:val="3"/>
          </w:tcPr>
          <w:p>
            <w:pPr>
              <w:jc w:val="center"/>
              <w:ind w:left="1199"/>
              <w:spacing w:after="0"/>
              <w:rPr>
                <w:sz w:val="20"/>
                <w:szCs w:val="20"/>
                <w:color w:val="auto"/>
              </w:rPr>
            </w:pPr>
            <w:r>
              <w:rPr>
                <w:rFonts w:ascii="Arial" w:cs="Arial" w:eastAsia="Arial" w:hAnsi="Arial"/>
                <w:sz w:val="14"/>
                <w:szCs w:val="14"/>
                <w:b w:val="1"/>
                <w:bCs w:val="1"/>
                <w:color w:val="auto"/>
                <w:w w:val="94"/>
              </w:rPr>
              <w:t>incorporation or organization)</w:t>
            </w:r>
          </w:p>
        </w:tc>
        <w:tc>
          <w:tcPr>
            <w:tcW w:w="1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Pr>
          <w:p>
            <w:pPr>
              <w:jc w:val="center"/>
              <w:ind w:right="379"/>
              <w:spacing w:after="0"/>
              <w:rPr>
                <w:sz w:val="20"/>
                <w:szCs w:val="20"/>
                <w:color w:val="auto"/>
              </w:rPr>
            </w:pPr>
            <w:r>
              <w:rPr>
                <w:rFonts w:ascii="Arial" w:cs="Arial" w:eastAsia="Arial" w:hAnsi="Arial"/>
                <w:sz w:val="14"/>
                <w:szCs w:val="14"/>
                <w:b w:val="1"/>
                <w:bCs w:val="1"/>
                <w:color w:val="auto"/>
                <w:w w:val="95"/>
              </w:rPr>
              <w:t>Identification Number)</w:t>
            </w:r>
          </w:p>
        </w:tc>
      </w:tr>
      <w:tr>
        <w:trPr>
          <w:trHeight w:val="372"/>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20" w:type="dxa"/>
            <w:vAlign w:val="bottom"/>
            <w:gridSpan w:val="3"/>
          </w:tcPr>
          <w:p>
            <w:pPr>
              <w:jc w:val="center"/>
              <w:ind w:left="83"/>
              <w:spacing w:after="0"/>
              <w:rPr>
                <w:sz w:val="20"/>
                <w:szCs w:val="20"/>
                <w:color w:val="auto"/>
              </w:rPr>
            </w:pPr>
            <w:r>
              <w:rPr>
                <w:rFonts w:ascii="Arial" w:cs="Arial" w:eastAsia="Arial" w:hAnsi="Arial"/>
                <w:sz w:val="18"/>
                <w:szCs w:val="18"/>
                <w:b w:val="1"/>
                <w:bCs w:val="1"/>
                <w:color w:val="auto"/>
                <w:w w:val="93"/>
              </w:rPr>
              <w:t>108 Patriot Drive — Suite A</w:t>
            </w: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2"/>
        </w:trPr>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20" w:type="dxa"/>
            <w:vAlign w:val="bottom"/>
            <w:gridSpan w:val="3"/>
          </w:tcPr>
          <w:p>
            <w:pPr>
              <w:jc w:val="center"/>
              <w:ind w:left="83"/>
              <w:spacing w:after="0"/>
              <w:rPr>
                <w:sz w:val="20"/>
                <w:szCs w:val="20"/>
                <w:color w:val="auto"/>
              </w:rPr>
            </w:pPr>
            <w:r>
              <w:rPr>
                <w:rFonts w:ascii="Arial" w:cs="Arial" w:eastAsia="Arial" w:hAnsi="Arial"/>
                <w:sz w:val="18"/>
                <w:szCs w:val="18"/>
                <w:b w:val="1"/>
                <w:bCs w:val="1"/>
                <w:color w:val="auto"/>
                <w:w w:val="92"/>
              </w:rPr>
              <w:t>Middletown, Delaware 19709</w:t>
            </w: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186"/>
        </w:trPr>
        <w:tc>
          <w:tcPr>
            <w:tcW w:w="1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20" w:type="dxa"/>
            <w:vAlign w:val="bottom"/>
            <w:gridSpan w:val="3"/>
          </w:tcPr>
          <w:p>
            <w:pPr>
              <w:jc w:val="center"/>
              <w:ind w:left="83"/>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95"/>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60" w:type="dxa"/>
            <w:vAlign w:val="bottom"/>
            <w:gridSpan w:val="6"/>
          </w:tcPr>
          <w:p>
            <w:pPr>
              <w:jc w:val="center"/>
              <w:ind w:right="1699"/>
              <w:spacing w:after="0"/>
              <w:rPr>
                <w:sz w:val="20"/>
                <w:szCs w:val="20"/>
                <w:color w:val="auto"/>
              </w:rPr>
            </w:pPr>
            <w:r>
              <w:rPr>
                <w:rFonts w:ascii="Arial" w:cs="Arial" w:eastAsia="Arial" w:hAnsi="Arial"/>
                <w:sz w:val="18"/>
                <w:szCs w:val="18"/>
                <w:b w:val="1"/>
                <w:bCs w:val="1"/>
                <w:color w:val="auto"/>
                <w:w w:val="89"/>
              </w:rPr>
              <w:t>Registrant’s telephone number, including area code: (302) 274-8744</w:t>
            </w:r>
          </w:p>
        </w:tc>
      </w:tr>
      <w:tr>
        <w:trPr>
          <w:trHeight w:val="297"/>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20" w:type="dxa"/>
            <w:vAlign w:val="bottom"/>
            <w:gridSpan w:val="5"/>
          </w:tcPr>
          <w:p>
            <w:pPr>
              <w:jc w:val="center"/>
              <w:ind w:right="2439"/>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43"/>
        </w:trPr>
        <w:tc>
          <w:tcPr>
            <w:tcW w:w="150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4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3"/>
        </w:trPr>
        <w:tc>
          <w:tcPr>
            <w:tcW w:w="3320" w:type="dxa"/>
            <w:vAlign w:val="bottom"/>
            <w:gridSpan w:val="3"/>
          </w:tcPr>
          <w:p>
            <w:pPr>
              <w:spacing w:after="0"/>
              <w:rPr>
                <w:sz w:val="20"/>
                <w:szCs w:val="20"/>
                <w:color w:val="auto"/>
              </w:rPr>
            </w:pPr>
            <w:r>
              <w:rPr>
                <w:rFonts w:ascii="Arial" w:cs="Arial" w:eastAsia="Arial" w:hAnsi="Arial"/>
                <w:sz w:val="18"/>
                <w:szCs w:val="18"/>
                <w:color w:val="auto"/>
                <w:w w:val="89"/>
              </w:rPr>
              <w:t>Common Stock, $0.00001 par value per share</w:t>
            </w:r>
          </w:p>
        </w:tc>
        <w:tc>
          <w:tcPr>
            <w:tcW w:w="1540" w:type="dxa"/>
            <w:vAlign w:val="bottom"/>
          </w:tcPr>
          <w:p>
            <w:pPr>
              <w:spacing w:after="0"/>
              <w:rPr>
                <w:sz w:val="22"/>
                <w:szCs w:val="22"/>
                <w:color w:val="auto"/>
              </w:rPr>
            </w:pPr>
          </w:p>
        </w:tc>
        <w:tc>
          <w:tcPr>
            <w:tcW w:w="2680" w:type="dxa"/>
            <w:vAlign w:val="bottom"/>
            <w:gridSpan w:val="2"/>
          </w:tcPr>
          <w:p>
            <w:pPr>
              <w:jc w:val="center"/>
              <w:ind w:right="1540"/>
              <w:spacing w:after="0"/>
              <w:rPr>
                <w:sz w:val="20"/>
                <w:szCs w:val="20"/>
                <w:color w:val="auto"/>
              </w:rPr>
            </w:pPr>
            <w:r>
              <w:rPr>
                <w:rFonts w:ascii="Arial" w:cs="Arial" w:eastAsia="Arial" w:hAnsi="Arial"/>
                <w:sz w:val="18"/>
                <w:szCs w:val="18"/>
                <w:color w:val="auto"/>
                <w:w w:val="99"/>
              </w:rPr>
              <w:t>ZYME</w:t>
            </w:r>
          </w:p>
        </w:tc>
        <w:tc>
          <w:tcPr>
            <w:tcW w:w="20" w:type="dxa"/>
            <w:vAlign w:val="bottom"/>
          </w:tcPr>
          <w:p>
            <w:pPr>
              <w:spacing w:after="0"/>
              <w:rPr>
                <w:sz w:val="22"/>
                <w:szCs w:val="22"/>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320" w:type="dxa"/>
            <w:vAlign w:val="bottom"/>
            <w:gridSpan w:val="3"/>
          </w:tcPr>
          <w:p>
            <w:pPr>
              <w:spacing w:after="0"/>
              <w:rPr>
                <w:sz w:val="20"/>
                <w:szCs w:val="20"/>
                <w:color w:val="auto"/>
              </w:rPr>
            </w:pPr>
            <w:r>
              <w:rPr>
                <w:rFonts w:ascii="Arial" w:cs="Arial" w:eastAsia="Arial" w:hAnsi="Arial"/>
                <w:sz w:val="18"/>
                <w:szCs w:val="18"/>
                <w:color w:val="auto"/>
              </w:rPr>
              <w:t>Preferred Stock Purchase Rights</w:t>
            </w:r>
          </w:p>
        </w:tc>
        <w:tc>
          <w:tcPr>
            <w:tcW w:w="1540" w:type="dxa"/>
            <w:vAlign w:val="bottom"/>
          </w:tcPr>
          <w:p>
            <w:pPr>
              <w:spacing w:after="0"/>
              <w:rPr>
                <w:sz w:val="20"/>
                <w:szCs w:val="20"/>
                <w:color w:val="auto"/>
              </w:rPr>
            </w:pPr>
          </w:p>
        </w:tc>
        <w:tc>
          <w:tcPr>
            <w:tcW w:w="2680" w:type="dxa"/>
            <w:vAlign w:val="bottom"/>
            <w:gridSpan w:val="2"/>
          </w:tcPr>
          <w:p>
            <w:pPr>
              <w:jc w:val="center"/>
              <w:ind w:right="154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70" w:lineRule="exact"/>
        <w:rPr>
          <w:sz w:val="24"/>
          <w:szCs w:val="24"/>
          <w:color w:val="auto"/>
        </w:rPr>
      </w:pPr>
    </w:p>
    <w:p>
      <w:pPr>
        <w:ind w:left="340" w:right="1520"/>
        <w:spacing w:after="0" w:line="30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75" w:lineRule="exact"/>
        <w:rPr>
          <w:sz w:val="24"/>
          <w:szCs w:val="24"/>
          <w:color w:val="auto"/>
        </w:rPr>
      </w:pPr>
    </w:p>
    <w:p>
      <w:pPr>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“smaller reporting company,” and “emerging growth company” in Rule 12b-2 of the Exchange Act.</w:t>
      </w:r>
    </w:p>
    <w:p>
      <w:pPr>
        <w:sectPr>
          <w:pgSz w:w="11900" w:h="16838" w:orient="portrait"/>
          <w:cols w:equalWidth="0" w:num="1">
            <w:col w:w="11220"/>
          </w:cols>
          <w:pgMar w:left="320" w:top="229" w:right="359" w:bottom="0" w:gutter="0" w:footer="0" w:header="0"/>
        </w:sectPr>
      </w:pPr>
    </w:p>
    <w:p>
      <w:pPr>
        <w:spacing w:after="0" w:line="104" w:lineRule="exact"/>
        <w:rPr>
          <w:sz w:val="24"/>
          <w:szCs w:val="24"/>
          <w:color w:val="auto"/>
        </w:rPr>
      </w:pPr>
    </w:p>
    <w:p>
      <w:pPr>
        <w:ind w:left="20" w:right="280"/>
        <w:spacing w:after="0" w:line="41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144"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140"/>
        <w:spacing w:after="0" w:line="181" w:lineRule="exact"/>
        <w:rPr>
          <w:sz w:val="20"/>
          <w:szCs w:val="20"/>
          <w:color w:val="auto"/>
        </w:rPr>
      </w:pPr>
      <w:r>
        <w:rPr>
          <w:rFonts w:ascii="MS PGothic" w:cs="MS PGothic" w:eastAsia="MS PGothic" w:hAnsi="MS PGothic"/>
          <w:sz w:val="18"/>
          <w:szCs w:val="18"/>
          <w:color w:val="auto"/>
        </w:rPr>
        <w:t>☐</w:t>
      </w:r>
    </w:p>
    <w:p>
      <w:pPr>
        <w:spacing w:after="0" w:line="154"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68" w:lineRule="exact"/>
        <w:rPr>
          <w:sz w:val="24"/>
          <w:szCs w:val="24"/>
          <w:color w:val="auto"/>
        </w:rPr>
      </w:pPr>
    </w:p>
    <w:p>
      <w:pPr>
        <w:ind w:left="140"/>
        <w:spacing w:after="0" w:line="181" w:lineRule="exact"/>
        <w:rPr>
          <w:sz w:val="20"/>
          <w:szCs w:val="20"/>
          <w:color w:val="auto"/>
        </w:rPr>
      </w:pPr>
      <w:r>
        <w:rPr>
          <w:rFonts w:ascii="MS PGothic" w:cs="MS PGothic" w:eastAsia="MS PGothic" w:hAnsi="MS PGothic"/>
          <w:sz w:val="18"/>
          <w:szCs w:val="18"/>
          <w:color w:val="auto"/>
        </w:rPr>
        <w:t>☐</w:t>
      </w:r>
    </w:p>
    <w:p>
      <w:pPr>
        <w:spacing w:after="0" w:line="236" w:lineRule="exact"/>
        <w:rPr>
          <w:sz w:val="24"/>
          <w:szCs w:val="24"/>
          <w:color w:val="auto"/>
        </w:rPr>
      </w:pPr>
    </w:p>
    <w:p>
      <w:pPr>
        <w:sectPr>
          <w:pgSz w:w="11900" w:h="16838" w:orient="portrait"/>
          <w:cols w:equalWidth="0" w:num="4">
            <w:col w:w="1920" w:space="720"/>
            <w:col w:w="4920" w:space="720"/>
            <w:col w:w="1960" w:space="660"/>
            <w:col w:w="320"/>
          </w:cols>
          <w:pgMar w:left="320" w:top="229" w:right="359" w:bottom="0" w:gutter="0" w:footer="0" w:header="0"/>
          <w:type w:val="continuous"/>
        </w:sectPr>
      </w:pPr>
    </w:p>
    <w:p>
      <w:pPr>
        <w:spacing w:after="0" w:line="48" w:lineRule="exact"/>
        <w:rPr>
          <w:sz w:val="24"/>
          <w:szCs w:val="24"/>
          <w:color w:val="auto"/>
        </w:rPr>
      </w:pPr>
    </w:p>
    <w:p>
      <w:pPr>
        <w:ind w:right="16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ind w:right="20"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75" w:lineRule="exact"/>
        <w:rPr>
          <w:sz w:val="24"/>
          <w:szCs w:val="24"/>
          <w:color w:val="auto"/>
        </w:rPr>
      </w:pPr>
    </w:p>
    <w:p>
      <w:pPr>
        <w:ind w:right="220" w:firstLine="324"/>
        <w:spacing w:after="0" w:line="260"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spacing w:after="0" w:line="61" w:lineRule="exact"/>
        <w:rPr>
          <w:sz w:val="24"/>
          <w:szCs w:val="24"/>
          <w:color w:val="auto"/>
        </w:rPr>
      </w:pPr>
    </w:p>
    <w:p>
      <w:pPr>
        <w:ind w:right="420" w:firstLine="324"/>
        <w:spacing w:after="0" w:line="260"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0"/>
          <w:szCs w:val="20"/>
          <w:color w:val="auto"/>
        </w:rPr>
        <w:t>☐</w:t>
      </w:r>
    </w:p>
    <w:p>
      <w:pPr>
        <w:spacing w:after="0" w:line="27" w:lineRule="exact"/>
        <w:rPr>
          <w:sz w:val="24"/>
          <w:szCs w:val="24"/>
          <w:color w:val="auto"/>
        </w:rPr>
      </w:pPr>
    </w:p>
    <w:p>
      <w:pPr>
        <w:jc w:val="center"/>
        <w:ind w:right="-19"/>
        <w:spacing w:after="0" w:line="23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Securities Exchange Act of 1934). 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MS PGothic" w:cs="MS PGothic" w:eastAsia="MS PGothic" w:hAnsi="MS PGothic"/>
          <w:sz w:val="20"/>
          <w:szCs w:val="20"/>
          <w:color w:val="auto"/>
        </w:rPr>
        <w:t>☒</w:t>
      </w:r>
    </w:p>
    <w:p>
      <w:pPr>
        <w:sectPr>
          <w:pgSz w:w="11900" w:h="16838" w:orient="portrait"/>
          <w:cols w:equalWidth="0" w:num="1">
            <w:col w:w="11220"/>
          </w:cols>
          <w:pgMar w:left="320" w:top="229" w:right="359" w:bottom="0" w:gutter="0" w:footer="0" w:header="0"/>
          <w:type w:val="continuous"/>
        </w:sectPr>
      </w:pPr>
    </w:p>
    <w:bookmarkStart w:id="1" w:name="page2"/>
    <w:bookmarkEnd w:id="1"/>
    <w:p>
      <w:pPr>
        <w:jc w:val="both"/>
        <w:ind w:right="80" w:firstLine="324"/>
        <w:spacing w:after="0" w:line="263" w:lineRule="auto"/>
        <w:rPr>
          <w:sz w:val="20"/>
          <w:szCs w:val="20"/>
          <w:color w:val="auto"/>
        </w:rPr>
      </w:pPr>
      <w:r>
        <w:rPr>
          <w:rFonts w:ascii="Arial" w:cs="Arial" w:eastAsia="Arial" w:hAnsi="Arial"/>
          <w:sz w:val="18"/>
          <w:szCs w:val="18"/>
          <w:color w:val="auto"/>
        </w:rPr>
        <w:t>The aggregate market value of the voting and non-voting common shares held by non-affiliates of the registrant, based on the closing sale price of the registrant’s common shares on the last business day of its most recently completed second fiscal quarter, as reported on the New York Stock Exchange (the “NYSE”), was approximately $306.0 million.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number of outstanding shares of common stock of the registrant, $0.00001 par value per share, as of March 3, 2023 was 64,041,287.</w:t>
      </w:r>
    </w:p>
    <w:p>
      <w:pPr>
        <w:spacing w:after="0" w:line="8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Portions of the registrant’s definitive proxy statement in connection with the registrant’s 2023 annual meeting of stockholders (the “2023 Proxy Statement”) or the registrant’s amendment to this Annual Report on Form 10-K (“Form 10-K/A”) , which will be filed with the Securities and Exchange Commission (the “SEC”) subsequent to the date hereof, are incorporated by reference into Part III of this Annual Report on Form 10-K. Such 2023 Proxy Statement or Form 10-K/A, as applicable, will be filed with the SEC not later than 120 days following the end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180" w:type="dxa"/>
            <w:vAlign w:val="bottom"/>
            <w:gridSpan w:val="28"/>
          </w:tcPr>
          <w:p>
            <w:pPr>
              <w:spacing w:after="0"/>
              <w:rPr>
                <w:sz w:val="20"/>
                <w:szCs w:val="20"/>
                <w:color w:val="auto"/>
              </w:rPr>
            </w:pPr>
            <w:r>
              <w:rPr>
                <w:rFonts w:ascii="Arial" w:cs="Arial" w:eastAsia="Arial" w:hAnsi="Arial"/>
                <w:sz w:val="18"/>
                <w:szCs w:val="18"/>
                <w:b w:val="1"/>
                <w:bCs w:val="1"/>
                <w:color w:val="0000FF"/>
              </w:rPr>
              <w:t>Table of Contents</w:t>
            </w:r>
          </w:p>
        </w:tc>
        <w:tc>
          <w:tcPr>
            <w:tcW w:w="1060" w:type="dxa"/>
            <w:vAlign w:val="bottom"/>
          </w:tcPr>
          <w:p>
            <w:pPr>
              <w:spacing w:after="0"/>
              <w:rPr>
                <w:sz w:val="17"/>
                <w:szCs w:val="17"/>
                <w:color w:val="auto"/>
              </w:rPr>
            </w:pPr>
          </w:p>
        </w:tc>
      </w:tr>
      <w:tr>
        <w:trPr>
          <w:trHeight w:val="830"/>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20" w:type="dxa"/>
            <w:vAlign w:val="bottom"/>
            <w:gridSpan w:val="9"/>
          </w:tcPr>
          <w:p>
            <w:pPr>
              <w:jc w:val="center"/>
              <w:ind w:right="3600"/>
              <w:spacing w:after="0"/>
              <w:rPr>
                <w:sz w:val="20"/>
                <w:szCs w:val="20"/>
                <w:color w:val="auto"/>
              </w:rPr>
            </w:pPr>
            <w:r>
              <w:rPr>
                <w:rFonts w:ascii="Arial" w:cs="Arial" w:eastAsia="Arial" w:hAnsi="Arial"/>
                <w:sz w:val="18"/>
                <w:szCs w:val="18"/>
                <w:b w:val="1"/>
                <w:bCs w:val="1"/>
                <w:color w:val="auto"/>
              </w:rPr>
              <w:t>ZYMEWORKS INC.</w:t>
            </w:r>
          </w:p>
        </w:tc>
        <w:tc>
          <w:tcPr>
            <w:tcW w:w="10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20" w:type="dxa"/>
            <w:vAlign w:val="bottom"/>
            <w:gridSpan w:val="9"/>
          </w:tcPr>
          <w:p>
            <w:pPr>
              <w:jc w:val="center"/>
              <w:ind w:right="3580"/>
              <w:spacing w:after="0"/>
              <w:rPr>
                <w:sz w:val="20"/>
                <w:szCs w:val="20"/>
                <w:color w:val="auto"/>
              </w:rPr>
            </w:pPr>
            <w:r>
              <w:rPr>
                <w:rFonts w:ascii="Arial" w:cs="Arial" w:eastAsia="Arial" w:hAnsi="Arial"/>
                <w:sz w:val="18"/>
                <w:szCs w:val="18"/>
                <w:b w:val="1"/>
                <w:bCs w:val="1"/>
                <w:color w:val="auto"/>
              </w:rPr>
              <w:t>FORM 10-K</w:t>
            </w:r>
          </w:p>
        </w:tc>
        <w:tc>
          <w:tcPr>
            <w:tcW w:w="10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0" w:type="dxa"/>
            <w:vAlign w:val="bottom"/>
            <w:gridSpan w:val="12"/>
          </w:tcPr>
          <w:p>
            <w:pPr>
              <w:jc w:val="center"/>
              <w:ind w:right="2300"/>
              <w:spacing w:after="0"/>
              <w:rPr>
                <w:sz w:val="20"/>
                <w:szCs w:val="20"/>
                <w:color w:val="auto"/>
              </w:rPr>
            </w:pPr>
            <w:r>
              <w:rPr>
                <w:rFonts w:ascii="Arial" w:cs="Arial" w:eastAsia="Arial" w:hAnsi="Arial"/>
                <w:sz w:val="18"/>
                <w:szCs w:val="18"/>
                <w:b w:val="1"/>
                <w:bCs w:val="1"/>
                <w:color w:val="auto"/>
                <w:w w:val="90"/>
              </w:rPr>
              <w:t>For the Fiscal Year Ended December 31, 2022</w:t>
            </w:r>
          </w:p>
        </w:tc>
        <w:tc>
          <w:tcPr>
            <w:tcW w:w="10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20" w:type="dxa"/>
            <w:vAlign w:val="bottom"/>
            <w:gridSpan w:val="9"/>
          </w:tcPr>
          <w:p>
            <w:pPr>
              <w:jc w:val="center"/>
              <w:ind w:right="3600"/>
              <w:spacing w:after="0"/>
              <w:rPr>
                <w:sz w:val="20"/>
                <w:szCs w:val="20"/>
                <w:color w:val="auto"/>
              </w:rPr>
            </w:pPr>
            <w:r>
              <w:rPr>
                <w:rFonts w:ascii="Arial" w:cs="Arial" w:eastAsia="Arial" w:hAnsi="Arial"/>
                <w:sz w:val="18"/>
                <w:szCs w:val="18"/>
                <w:b w:val="1"/>
                <w:bCs w:val="1"/>
                <w:color w:val="auto"/>
                <w:w w:val="89"/>
              </w:rPr>
              <w:t>Table of Contents</w:t>
            </w:r>
          </w:p>
        </w:tc>
        <w:tc>
          <w:tcPr>
            <w:tcW w:w="106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rPr>
              <w:t>PART I</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420" w:type="dxa"/>
            <w:vAlign w:val="bottom"/>
          </w:tcPr>
          <w:p>
            <w:pPr>
              <w:ind w:left="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4"/>
              </w:rPr>
              <w:t>Business</w:t>
            </w:r>
          </w:p>
        </w:tc>
        <w:tc>
          <w:tcPr>
            <w:tcW w:w="8200" w:type="dxa"/>
            <w:vAlign w:val="bottom"/>
            <w:gridSpan w:val="19"/>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1A.</w:t>
            </w:r>
          </w:p>
        </w:tc>
        <w:tc>
          <w:tcPr>
            <w:tcW w:w="9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7"/>
              </w:rPr>
              <w:t>Risk Factors</w:t>
            </w:r>
          </w:p>
        </w:tc>
        <w:tc>
          <w:tcPr>
            <w:tcW w:w="7940" w:type="dxa"/>
            <w:vAlign w:val="bottom"/>
            <w:gridSpan w:val="17"/>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1B.</w:t>
            </w:r>
          </w:p>
        </w:tc>
        <w:tc>
          <w:tcPr>
            <w:tcW w:w="8840" w:type="dxa"/>
            <w:vAlign w:val="bottom"/>
            <w:gridSpan w:val="21"/>
          </w:tcPr>
          <w:p>
            <w:pPr>
              <w:spacing w:after="0"/>
              <w:rPr>
                <w:sz w:val="20"/>
                <w:szCs w:val="20"/>
                <w:color w:val="auto"/>
              </w:rPr>
            </w:pPr>
            <w:r>
              <w:rPr>
                <w:rFonts w:ascii="Arial" w:cs="Arial" w:eastAsia="Arial" w:hAnsi="Arial"/>
                <w:sz w:val="18"/>
                <w:szCs w:val="18"/>
                <w:color w:val="0000FF"/>
              </w:rPr>
              <w:t>Unresolved Staff Comments</w:t>
            </w: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420" w:type="dxa"/>
            <w:vAlign w:val="bottom"/>
          </w:tcPr>
          <w:p>
            <w:pPr>
              <w:ind w:left="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04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Properties</w:t>
            </w:r>
          </w:p>
        </w:tc>
        <w:tc>
          <w:tcPr>
            <w:tcW w:w="6800" w:type="dxa"/>
            <w:vAlign w:val="bottom"/>
            <w:gridSpan w:val="12"/>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420" w:type="dxa"/>
            <w:vAlign w:val="bottom"/>
          </w:tcPr>
          <w:p>
            <w:pPr>
              <w:ind w:left="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884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420" w:type="dxa"/>
            <w:vAlign w:val="bottom"/>
          </w:tcPr>
          <w:p>
            <w:pPr>
              <w:ind w:left="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884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50"/>
        </w:trPr>
        <w:tc>
          <w:tcPr>
            <w:tcW w:w="20" w:type="dxa"/>
            <w:vAlign w:val="bottom"/>
          </w:tcPr>
          <w:p>
            <w:pPr>
              <w:spacing w:after="0"/>
              <w:rPr>
                <w:sz w:val="21"/>
                <w:szCs w:val="21"/>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rPr>
              <w:t>PART II</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420" w:type="dxa"/>
            <w:vAlign w:val="bottom"/>
          </w:tcPr>
          <w:p>
            <w:pPr>
              <w:ind w:left="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8840" w:type="dxa"/>
            <w:vAlign w:val="bottom"/>
            <w:gridSpan w:val="21"/>
          </w:tcPr>
          <w:p>
            <w:pPr>
              <w:spacing w:after="0"/>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420" w:type="dxa"/>
            <w:vAlign w:val="bottom"/>
          </w:tcPr>
          <w:p>
            <w:pPr>
              <w:ind w:left="2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806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Reserved</w:t>
            </w:r>
          </w:p>
        </w:tc>
        <w:tc>
          <w:tcPr>
            <w:tcW w:w="7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420" w:type="dxa"/>
            <w:vAlign w:val="bottom"/>
          </w:tcPr>
          <w:p>
            <w:pPr>
              <w:ind w:left="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884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w:t>
            </w: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7A.</w:t>
            </w:r>
          </w:p>
        </w:tc>
        <w:tc>
          <w:tcPr>
            <w:tcW w:w="638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Quantitative and Qualitative Disclosure About Market Risk</w:t>
            </w:r>
          </w:p>
        </w:tc>
        <w:tc>
          <w:tcPr>
            <w:tcW w:w="2460" w:type="dxa"/>
            <w:vAlign w:val="bottom"/>
            <w:gridSpan w:val="4"/>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420" w:type="dxa"/>
            <w:vAlign w:val="bottom"/>
          </w:tcPr>
          <w:p>
            <w:pPr>
              <w:ind w:left="2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428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Financial Statements and Supplementary Data</w:t>
            </w:r>
          </w:p>
        </w:tc>
        <w:tc>
          <w:tcPr>
            <w:tcW w:w="4560" w:type="dxa"/>
            <w:vAlign w:val="bottom"/>
            <w:gridSpan w:val="7"/>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420" w:type="dxa"/>
            <w:vAlign w:val="bottom"/>
          </w:tcPr>
          <w:p>
            <w:pPr>
              <w:ind w:left="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64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2360" w:type="dxa"/>
            <w:vAlign w:val="bottom"/>
            <w:gridSpan w:val="3"/>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9A.</w:t>
            </w:r>
          </w:p>
        </w:tc>
        <w:tc>
          <w:tcPr>
            <w:tcW w:w="884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9B.</w:t>
            </w:r>
          </w:p>
        </w:tc>
        <w:tc>
          <w:tcPr>
            <w:tcW w:w="17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Other Information</w:t>
            </w:r>
          </w:p>
        </w:tc>
        <w:tc>
          <w:tcPr>
            <w:tcW w:w="7080" w:type="dxa"/>
            <w:vAlign w:val="bottom"/>
            <w:gridSpan w:val="14"/>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9C.</w:t>
            </w:r>
          </w:p>
        </w:tc>
        <w:tc>
          <w:tcPr>
            <w:tcW w:w="8840" w:type="dxa"/>
            <w:vAlign w:val="bottom"/>
            <w:gridSpan w:val="21"/>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64"/>
        </w:trPr>
        <w:tc>
          <w:tcPr>
            <w:tcW w:w="20" w:type="dxa"/>
            <w:vAlign w:val="bottom"/>
          </w:tcPr>
          <w:p>
            <w:pPr>
              <w:spacing w:after="0"/>
              <w:rPr>
                <w:sz w:val="22"/>
                <w:szCs w:val="22"/>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0000FF"/>
                <w:w w:val="94"/>
              </w:rPr>
              <w:t>PART III</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50"/>
        </w:trPr>
        <w:tc>
          <w:tcPr>
            <w:tcW w:w="20" w:type="dxa"/>
            <w:vAlign w:val="bottom"/>
          </w:tcPr>
          <w:p>
            <w:pPr>
              <w:spacing w:after="0"/>
              <w:rPr>
                <w:sz w:val="21"/>
                <w:szCs w:val="21"/>
                <w:color w:val="auto"/>
              </w:rPr>
            </w:pPr>
          </w:p>
        </w:tc>
        <w:tc>
          <w:tcPr>
            <w:tcW w:w="66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auto"/>
              </w:rPr>
              <w:t>Item</w:t>
            </w:r>
          </w:p>
        </w:tc>
        <w:tc>
          <w:tcPr>
            <w:tcW w:w="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8840" w:type="dxa"/>
            <w:vAlign w:val="bottom"/>
            <w:gridSpan w:val="21"/>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420" w:type="dxa"/>
            <w:vAlign w:val="bottom"/>
          </w:tcPr>
          <w:p>
            <w:pPr>
              <w:ind w:left="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80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9"/>
              </w:rPr>
              <w:t>Executive Compensation</w:t>
            </w:r>
          </w:p>
        </w:tc>
        <w:tc>
          <w:tcPr>
            <w:tcW w:w="2280" w:type="dxa"/>
            <w:vAlign w:val="bottom"/>
            <w:tcBorders>
              <w:top w:val="single" w:sz="8" w:color="0000FF"/>
            </w:tcBorders>
            <w:gridSpan w:val="5"/>
          </w:tcPr>
          <w:p>
            <w:pPr>
              <w:spacing w:after="0"/>
              <w:rPr>
                <w:sz w:val="21"/>
                <w:szCs w:val="21"/>
                <w:color w:val="auto"/>
              </w:rPr>
            </w:pPr>
          </w:p>
        </w:tc>
        <w:tc>
          <w:tcPr>
            <w:tcW w:w="4760" w:type="dxa"/>
            <w:vAlign w:val="bottom"/>
            <w:gridSpan w:val="8"/>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420" w:type="dxa"/>
            <w:vAlign w:val="bottom"/>
          </w:tcPr>
          <w:p>
            <w:pPr>
              <w:ind w:left="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8840" w:type="dxa"/>
            <w:vAlign w:val="bottom"/>
            <w:gridSpan w:val="21"/>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420" w:type="dxa"/>
            <w:vAlign w:val="bottom"/>
          </w:tcPr>
          <w:p>
            <w:pPr>
              <w:ind w:left="2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728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560" w:type="dxa"/>
            <w:vAlign w:val="bottom"/>
            <w:gridSpan w:val="2"/>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420" w:type="dxa"/>
            <w:vAlign w:val="bottom"/>
          </w:tcPr>
          <w:p>
            <w:pPr>
              <w:ind w:left="2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540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Principal Accounting Fees and Services</w:t>
            </w:r>
          </w:p>
        </w:tc>
        <w:tc>
          <w:tcPr>
            <w:tcW w:w="3440" w:type="dxa"/>
            <w:vAlign w:val="bottom"/>
            <w:gridSpan w:val="5"/>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50"/>
        </w:trPr>
        <w:tc>
          <w:tcPr>
            <w:tcW w:w="20" w:type="dxa"/>
            <w:vAlign w:val="bottom"/>
          </w:tcPr>
          <w:p>
            <w:pPr>
              <w:spacing w:after="0"/>
              <w:rPr>
                <w:sz w:val="21"/>
                <w:szCs w:val="21"/>
                <w:color w:val="auto"/>
              </w:rPr>
            </w:pPr>
          </w:p>
        </w:tc>
        <w:tc>
          <w:tcPr>
            <w:tcW w:w="68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94"/>
              </w:rPr>
              <w:t>PART IV</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420" w:type="dxa"/>
            <w:vAlign w:val="bottom"/>
          </w:tcPr>
          <w:p>
            <w:pPr>
              <w:ind w:left="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9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Exhibits, Financial Statement Schedules</w:t>
            </w:r>
          </w:p>
        </w:tc>
        <w:tc>
          <w:tcPr>
            <w:tcW w:w="5940" w:type="dxa"/>
            <w:vAlign w:val="bottom"/>
            <w:gridSpan w:val="10"/>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420" w:type="dxa"/>
            <w:vAlign w:val="bottom"/>
          </w:tcPr>
          <w:p>
            <w:pPr>
              <w:ind w:left="2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8840" w:type="dxa"/>
            <w:vAlign w:val="bottom"/>
            <w:gridSpan w:val="21"/>
          </w:tcPr>
          <w:p>
            <w:pPr>
              <w:spacing w:after="0"/>
              <w:rPr>
                <w:sz w:val="20"/>
                <w:szCs w:val="20"/>
                <w:color w:val="auto"/>
              </w:rPr>
            </w:pPr>
            <w:r>
              <w:rPr>
                <w:rFonts w:ascii="Arial" w:cs="Arial" w:eastAsia="Arial" w:hAnsi="Arial"/>
                <w:sz w:val="18"/>
                <w:szCs w:val="18"/>
                <w:color w:val="0000FF"/>
              </w:rPr>
              <w:t>Form 10-K Summary</w:t>
            </w:r>
          </w:p>
        </w:tc>
        <w:tc>
          <w:tcPr>
            <w:tcW w:w="10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50"/>
        </w:trPr>
        <w:tc>
          <w:tcPr>
            <w:tcW w:w="20" w:type="dxa"/>
            <w:vAlign w:val="bottom"/>
          </w:tcPr>
          <w:p>
            <w:pPr>
              <w:spacing w:after="0"/>
              <w:rPr>
                <w:sz w:val="21"/>
                <w:szCs w:val="21"/>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2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1418"/>
        </w:trPr>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Annual Report on Form 10-K includes “forward-looking statements” or statements within the meaning of applicable securities legislation, including Section 27A of the Securities Act of 1933, as amended (the “Securities Act”), and Section 21E of the Securities Exchange Act of 1934, as amended (the “Exchange Act”). Forward-looking statements include statements that may relate to our plans, objectives, goals, strategies, future events, future revenue or performance, capital expenditures, financing needs and other information that is not historical information. Many of these statements appear, in particular, under the headings “Business,” “Risk Factors” and “Management’s Discussion and Analysis of Financial Condition and Results of Operations.” Forward-looking statements can often be identified by the use of terminology such as “subject to,” “believe,” “anticipate,” “plan,” “expect,” “intend,” “estimate,” “project,” “may,” “will,” “should,” “would,” “could,” “can,” the negatives thereof, variations thereon and similar expressions, or by discussions of strategy. In addition, any statements or information that refer to expectations, beliefs, plans, projections, objectives, performance or other characterizations of future events or circumstances, including any underlying assumptions, are forward-looking. In particular, these forward-looking statements include, but are not limited to, statements about:</w:t>
      </w:r>
    </w:p>
    <w:p>
      <w:pPr>
        <w:spacing w:after="0" w:line="9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size of our addressable markets and our ability to commercialize product candidates;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achievement of advances in and expansion of our therapeutic platforms and antibody engineering expertise;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likelihood of product candidate development and clinical trial progression, initiation or success;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predict and manage government regulation;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impact of the COVID-19 pandemic on our business and operations; and</w:t>
      </w:r>
    </w:p>
    <w:p>
      <w:pPr>
        <w:spacing w:after="0" w:line="9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benefits and other impacts of the Redomicile Transactions.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 forward-looking statements, including, without limitation, those related to our examination of historical operating trends, are based upon our current expectations and various assumptions. Certain assumptions made in preparing the forward-looking statements include:</w:t>
      </w:r>
    </w:p>
    <w:p>
      <w:pPr>
        <w:spacing w:after="0" w:line="6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absence of material adverse changes in our industry or the global economy;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understand and predict trends in our industry and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into and maintain good business relationships with strategic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current and future regulatory standards;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continued compliance with third-party license terms and the non-infringement of third-party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and integrate any acquisitions we may pursue;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key personnel;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sufficient debt or equity financing to support our continued growth.</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referred to in the section titled “Risk Factors”), could affect future performance and cause actual results to differ materially from those matters expressed in or implied by forward-looking statements:</w:t>
      </w:r>
    </w:p>
    <w:p>
      <w:pPr>
        <w:spacing w:after="0" w:line="7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or our partners’ ability to obtain regulatory approval for product candidates without significant delays;</w:t>
      </w:r>
    </w:p>
    <w:p>
      <w:pPr>
        <w:spacing w:after="0" w:line="9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predictive value of our current or planned clinical trials;</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with respect to the development and commercialization of our product candidates, which may cause increased costs or delay receipt of product revenue;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or any of our partners’ ability to enroll subjects in clinical trials and thereby complete trials on a timely basis;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design or our execution of clinical trials may not support regulatory approval, including where clinical trials are conducted outside the United States;</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achieve milestones and receive associated milestone payments pursuant to the terms of our collaboration agreements, including the Jazz Collaboration Agreement (as defined below);</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our business may be adversely affected by the COVID-19 pandemic;</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economic and political conditions, including as a result of the Russian invasion of Ukraine, as well as social and political unrest in the locations where our clinical trials are held, and the related impact on our business and the markets generally;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benefits of the Redomicile Transactions may not materialize as expected or at all;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tax consequences in connection with the Redomicile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Fast Track and Breakthrough Therapy designations for any of our product candidates may not expedite regulatory review or approval;</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U.S. Food and Drug Administration (the “FDA”) may not accept data from trials we conduct outside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at the FDA and other government agencies caused by funding shortages or global health concerns;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discretion to discontinue or reprioritize the development of any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for our product candidates to have undesirable side effects;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regulatory agency has made a determination that any of our product candidates are safe or effective for use by the general public or for any indication;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face significant competition, including biosimilar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likelihood of broad market acceptance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Orphan Drug Designation or exclusivity for some or all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commercialize products outside of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reimbursement decisions by third-party payors relating to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with respect to the market opportunities for any product that we or our strategic partners develop;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pursue product candidates that may be profitable or have a high likelihood of success;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use and expand our therapeutic platforms to build a pipeline of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meet the requirements of ongoing regulatory review;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threat of product liability lawsuits against us or any of our strategic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product candidate manufacturing or formulation that may result in additional costs or delay;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disruption of our business and dilution of our shareholdings associated with acquisitions and joint ventures;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for foreign governments to impose strict price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of security breaches or data loss, which could compromise sensitive business or health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and future legislation that may increase the difficulty and cost of commercializing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political, regulatory and other risks associated with 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exposure to legal and reputational penalties as a result of any of our current and future relationships with various third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export control and import laws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history of significant losses since inception;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generate revenue from product sales and achieve profitability;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requirement for substantial additional funding;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9"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dilution to our stockholders associated with future financings;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our ability to seek financing, which may be imposed by future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unstable market and economic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fluctuations and 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existing and future strategic partnerships;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our strategic partnerships;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secure future strategic partners;</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third-party manufacturers to produce our product candidate supplies and on other third parties to store, monitor and transport bulk drug substance and drug product;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 related to the manufacture of product candidates and difficulties in production;</w:t>
      </w:r>
    </w:p>
    <w:p>
      <w:pPr>
        <w:spacing w:after="0" w:line="11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third parties to oversee clinical trials of our product candidates and, in some cases, maintain regulatory files for those product candidates;</w:t>
      </w:r>
    </w:p>
    <w:p>
      <w:pPr>
        <w:spacing w:after="0" w:line="8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22"/>
          <w:szCs w:val="22"/>
          <w:i w:val="1"/>
          <w:iCs w:val="1"/>
          <w:color w:val="auto"/>
        </w:rPr>
      </w:pPr>
      <w:r>
        <w:rPr>
          <w:rFonts w:ascii="Arial" w:cs="Arial" w:eastAsia="Arial" w:hAnsi="Arial"/>
          <w:sz w:val="18"/>
          <w:szCs w:val="18"/>
          <w:color w:val="auto"/>
        </w:rPr>
        <w:t>our reliance on the performance of independent clinical investigators and contract research organizations (“CROs”);</w:t>
      </w:r>
    </w:p>
    <w:p>
      <w:pPr>
        <w:spacing w:after="0" w:line="93" w:lineRule="exact"/>
        <w:rPr>
          <w:rFonts w:ascii="Arial" w:cs="Arial" w:eastAsia="Arial" w:hAnsi="Arial"/>
          <w:sz w:val="22"/>
          <w:szCs w:val="22"/>
          <w:i w:val="1"/>
          <w:iCs w:val="1"/>
          <w:color w:val="auto"/>
        </w:rPr>
      </w:pPr>
    </w:p>
    <w:p>
      <w:pPr>
        <w:ind w:left="660" w:right="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third parties for various operational and administrative aspects of our business including our reliance on third parties’ cloud-based software platforms;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operate without infringing the patents and other proprietary rights of third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enforce patent protection for our product candidates and related technology;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patents could be found invalid or unenforceable if challenged;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intellectual property rights may not necessarily provide us with competitive advantages;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become involved in expensive and time-consuming patent lawsuits;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that the duration of our patents will not adequately protect our competitive position;</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protection under the Drug Price Competition and Patent Term Restoration Act of 1984 (the “Hatch-Waxman Amendments”) and similar foreign legislation;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protect the confidentiality of our proprietary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procedural and administrative requirements relating to our patents;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of claims challenging the inventorship of our patents and other intellectual property;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intellectual property rights for some of our product candidates are dependent on the abilities of third parties to assert and defend such rights;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patent reform legislation and court decisions can diminish the value of patents in general, thereby impairing our ability to protect our products;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require FDA approval for any proposed product candidate names and any failure or delay associated with such approval may adversely affect our business;</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election to rely on certain reduced reporting and disclosure requirements available to smaller reporting companies may make our common stock less attractive to investors;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of employee misconduct including noncompliance with regulatory standards and insider trading;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market our products in a manner that does not violate the law and subject us to civil or criminal penalties;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do not comply with laws regulating the protection of the environment and health and human safety, our business could be adversely affected;</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key executives and attract and retain qualified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manage organizational growth;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exposure to potential securities class action litigation; and</w:t>
      </w:r>
    </w:p>
    <w:p>
      <w:pPr>
        <w:sectPr>
          <w:pgSz w:w="11900" w:h="16838" w:orient="portrait"/>
          <w:cols w:equalWidth="0" w:num="1">
            <w:col w:w="11200"/>
          </w:cols>
          <w:pgMar w:left="320" w:top="22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right="4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publish inaccurate or unfavorable research about our business, our share price and trading volume could decline.</w:t>
      </w:r>
    </w:p>
    <w:p>
      <w:pPr>
        <w:spacing w:after="0" w:line="17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Consequently, forward-looking statements should be regarded solely as our current plans, estimates and beliefs. You should not place undue reliance on forward-looking statements. We cannot guarantee future results, events, levels of activity, performance or achievements. We do not undertake and specifically decline any obligation to update, republish or revise forward-looking statements to reflect future events or circumstances or to reflect the occurrences of unanticipated events, except as required by law. Our Risk Factors are not guarantees that no such conditions exist as of the date of this report and should not be interpreted as an affirmative statement that such risks or conditions have not materialized, in whole or in part.</w:t>
      </w:r>
    </w:p>
    <w:p>
      <w:pPr>
        <w:spacing w:after="0" w:line="171"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186"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We own or have rights to trademarks, service marks or trade names that we use in connection with the operation of our business. In addition, our names, logos and website names and addresses are our service marks or trademarks. Our registered trademarks include Azymetric, Zymeworks, ZymeCAD, EFECT, ZymeLink and the phrase “Building Better Biologics”. The other trademarks, trade names and service marks appearing in this Annual Report on Form 10-K are the property of their respective owners. Solely for convenience, the trademarks, service marks, tradenames and copyrights referred to in this Annual Report on Form 10-K are listed without the ©, ® and TM symbols, but we will assert, to the fullest extent under applicable law, our rights or the rights of the applicable licensors to these trademarks, service marks and tradenames.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We express all amounts in this Annual Report on Form 10-K in U.S. dollars, except where otherwise indicated. References to “$” and “US$” are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 and references to “C$” are to Canadian dollars.</w:t>
      </w:r>
    </w:p>
    <w:p>
      <w:pPr>
        <w:spacing w:after="0" w:line="18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Unless the context otherwise requires or otherwise expressly states, all references in this Annual Report on Form 10-K to “we,” “us,” “our” or similar terms, as well as references to “Zymeworks” or the “Company” (i) for periods until the completion of the Redomicile Transactions (as defined below), refer to Zymeworks BC Inc. (formerly known as “Zymeworks Inc.”) (“Zymeworks BC”), either alone or together with its wholly owned subsidiaries, Zymeworks Biopharmaceuticals Inc., Zymeworks Pharmaceuticals Limited, Zymeworks Inc. (formerly known as Zymeworks Delaware Inc.), Zymeworks CallCo ULC (“CallCo”), Zymeworks ExchangeCo Ltd. (“ExchangeCo”) and Zymeworks Management Inc., and (ii) for periods after the completion of the Redomicile Transactions, refer to Zymeworks Inc., either alone or together with its subsidiaries, including, as applicable, Zymeworks BC, Zymeworks Biopharmaceuticals Inc., Zymeworks Pharmaceuticals Limited, CallCo, ExchangeCo, Zymeworks Management Inc., Zymeworks Zanidatamab Inc., and Zymeworks Lifesciences Pte. Ltd.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0"/>
        <w:spacing w:after="0" w:line="249" w:lineRule="auto"/>
        <w:rPr>
          <w:sz w:val="20"/>
          <w:szCs w:val="20"/>
          <w:color w:val="auto"/>
        </w:rPr>
      </w:pPr>
      <w:r>
        <w:rPr>
          <w:rFonts w:ascii="Arial" w:cs="Arial" w:eastAsia="Arial" w:hAnsi="Arial"/>
          <w:sz w:val="18"/>
          <w:szCs w:val="18"/>
          <w:color w:val="auto"/>
        </w:rPr>
        <w:t>Zymeworks is a biotechnology company committed to the discovery, development, and commercialization of novel, multifunctional biotherapeutics. Zymeworks’ mission is to make a meaningful difference for people impacted by difficult-to-treat cancers and other serious diseases. Zymeworks’ complementary therapeutic platforms and fully integrated drug development engine provide the flexibility and compatibility to precisely engineer and develop highly differentiated antibody-based therapeutic candidates.</w:t>
      </w:r>
    </w:p>
    <w:p>
      <w:pPr>
        <w:spacing w:after="0" w:line="167"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Our lead product candidate, zanidatamab, is a novel bispecific antibody that targets two distinct domains of the human epidermal growth factor receptor 2 (“HER2”). Zanidatamab’s unique binding properties result in multiple mechanisms of action that may enable it to address unmet need in patient populations with HER2-expressing cancers. In clinical trials, zanidatamab monotherapy and zanidatamab in combination with chemotherapy have been well tolerated with promising antitumor activity in patients with treatment-naive and heavily pretreated HER2-expressing cancers, including individuals whose disease had progressed on multiple prior treatment regimens that included HER2-targeted agents. Based on these data, a number of global multicenter clinical trials have been initiated to evaluate zanidatamab in specific indications and lines of therapy. These include pivotal clinical trials in (i) previously treated HER2 gene-amplified biliary tract cancers (“BTC”) and (ii) first-line locally advanced or metastatic HER2-positive gastroesophageal adenocarcinomas (“GEA”) in combination with chemotherapy with or without BeiGene, Ltd.’s (“BeiGene”) tislelizumab. These also include proof of concept trials in (i) first-line locally advanced or metastatic HER2-positive colorectal cancer (“CRC”), GEA, or BTC in combination with standard of care chemotherapy, (ii) first-line locally advanced or metastatic HER2-positive GEA in combination with tislelizumab and chemotherapy, (iii) first-line locally advanced or metastatic HER2-positive breast cancer in combination with docetaxel, (iv) previously treated locally advanced or metastatic HER2-positive, hormone receptor-positive breast cancer in combination with Pfizer’s Ibrance (palbociclib) and fulvestrant, (v) previously treated locally advanced or metastatic HER2-expressing cancers (including HER2-positive and HER2-low breast cancer) in combination with ALX Oncology Inc.’s (“ALX Oncology”) evorpacept (ALX148), and (vi) locally advanced (unresectable) and/or metastatic HER2-expressing cancers in Japanese patients. Zymeworks has entered into separate agreements with BeiGene and Jazz Pharmaceuticals Ireland Limited (a subsidiary of Jazz Pharmaceuticals plc, collectively referred to as “Jazz”), granting each of BeiGene and Jazz with exclusive rights to develop and commercialize zanidatamab in different territories. Through these agreements, Zymeworks has no funding obligations for current or future clinical studies or research and development spending and retains rights to receive potential regulatory and commercial milestones, as well as royalties for future net sales, pending approval in relevant regulatory jurisdictions. For additional information regarding these agreements with BeiGene and Jazz, see the section entitled “Strategic Partnerships and Collaborations” below.</w:t>
      </w:r>
    </w:p>
    <w:p>
      <w:pPr>
        <w:spacing w:after="0" w:line="18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second product candidate, zanidatamab zovodotin (formerly known as “ZW49”), combines the unique biparatopic antibody design of zanidatamab with our ZymeLink auristatin antibody-drug conjugate (“ADC”) technology, comprised of our proprietary cytotoxin (cancer cell-killing compound) and cleavable linker. We designed zanidatamab zovodotin to be a potential best-in-class HER2-targeting ADC to further address unmet need across a range of HER2-expressing cancers. In January 2023, we announced our intent to continue development of zanidatamab zovodotin at the recommended phase two dose (“RP2D”) of 2.5 mg/kg dosed every three weeks. Before the end of 2023, we expect to present additional data from our Phase 1 clinical trial that further supports this RP2D and commence enrollment in multiple Phase 2 studies.</w:t>
      </w:r>
    </w:p>
    <w:p>
      <w:pPr>
        <w:spacing w:after="0" w:line="17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are also advancing a deep pipeline of preclinical product candidates and discovery-stage programs in oncology (including immuno-oncology agents) and other therapeutic areas with an emphasis on developing ADC and multi-specific antibody therapeutics (“MSAT”) candidates. Our pipeline of preclinical product candidates includes two lead programs, ZW191 and ZW171, for which we expect to submit investigational new drug (“IND”) applications in 2024, as well as multiple early-stage preclinical programs in development. The two lead programs are as follows:</w:t>
      </w:r>
    </w:p>
    <w:p>
      <w:pPr>
        <w:spacing w:after="0" w:line="77" w:lineRule="exact"/>
        <w:rPr>
          <w:sz w:val="20"/>
          <w:szCs w:val="20"/>
          <w:color w:val="auto"/>
        </w:rPr>
      </w:pPr>
    </w:p>
    <w:p>
      <w:pPr>
        <w:ind w:left="660" w:hanging="328"/>
        <w:spacing w:after="0" w:line="250" w:lineRule="auto"/>
        <w:tabs>
          <w:tab w:leader="none" w:pos="648" w:val="left"/>
        </w:tabs>
        <w:numPr>
          <w:ilvl w:val="0"/>
          <w:numId w:val="9"/>
        </w:numPr>
        <w:rPr>
          <w:rFonts w:ascii="Arial" w:cs="Arial" w:eastAsia="Arial" w:hAnsi="Arial"/>
          <w:sz w:val="20"/>
          <w:szCs w:val="20"/>
          <w:b w:val="1"/>
          <w:bCs w:val="1"/>
          <w:color w:val="auto"/>
        </w:rPr>
      </w:pPr>
      <w:r>
        <w:rPr>
          <w:rFonts w:ascii="Arial" w:cs="Arial" w:eastAsia="Arial" w:hAnsi="Arial"/>
          <w:sz w:val="18"/>
          <w:szCs w:val="18"/>
          <w:b w:val="1"/>
          <w:bCs w:val="1"/>
          <w:i w:val="1"/>
          <w:iCs w:val="1"/>
          <w:color w:val="auto"/>
        </w:rPr>
        <w:t>ZW191</w:t>
      </w:r>
      <w:r>
        <w:rPr>
          <w:rFonts w:ascii="Arial" w:cs="Arial" w:eastAsia="Arial" w:hAnsi="Arial"/>
          <w:sz w:val="18"/>
          <w:szCs w:val="18"/>
          <w:color w:val="auto"/>
        </w:rPr>
        <w:t>, our lead ADC candidate, is built using our Drug Conjugate platforms and uses our novel topoisomerase inhibitor (“TOPO1i”)-based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payload technology targeting folate receptor alpha expressing ovarian, other gynecological, and non-small cell lung cancers. ZW191 was designed using an in-house generated monoclonal antibody with enhanced internalization characteristics in order to target high, mid, and low levels of folate alpha receptor expression; and</w:t>
      </w:r>
    </w:p>
    <w:p>
      <w:pPr>
        <w:spacing w:after="0" w:line="85" w:lineRule="exact"/>
        <w:rPr>
          <w:rFonts w:ascii="Arial" w:cs="Arial" w:eastAsia="Arial" w:hAnsi="Arial"/>
          <w:sz w:val="20"/>
          <w:szCs w:val="20"/>
          <w:b w:val="1"/>
          <w:bCs w:val="1"/>
          <w:color w:val="auto"/>
        </w:rPr>
      </w:pPr>
    </w:p>
    <w:p>
      <w:pPr>
        <w:ind w:left="660" w:right="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ZW171</w:t>
      </w:r>
      <w:r>
        <w:rPr>
          <w:rFonts w:ascii="Arial" w:cs="Arial" w:eastAsia="Arial" w:hAnsi="Arial"/>
          <w:sz w:val="18"/>
          <w:szCs w:val="18"/>
          <w:color w:val="auto"/>
        </w:rPr>
        <w:t>, our lead multispecific candidate, is built using our Azymetric platform and is a novel 2 + 1 format T-cell engaging multispecific antibody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targeting pancreatic, mesothelioma, ovarian, and other mesothelin (“MSLN”)-</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expressing cancers. ZW171 has a unique geometry with two single-chain fragment variable arms targeting MSLN, and one fab arm targeting CD3 to redirect the body’s natural immune system to fight cancer cells.</w:t>
      </w:r>
    </w:p>
    <w:p>
      <w:pPr>
        <w:spacing w:after="0" w:line="170"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Our proprietary capabilities and technologies include several modular, complementary therapeutic platforms that can be used in combination with each other and with existing approaches. This ability to layer technologies without compromising manufacturability enables us to engineer next-generation biotherapeutics with synergistic activity, which we believe will result in improved patient outcomes. Our platforms include:</w:t>
      </w:r>
    </w:p>
    <w:p>
      <w:pPr>
        <w:spacing w:after="0" w:line="57" w:lineRule="exact"/>
        <w:rPr>
          <w:sz w:val="20"/>
          <w:szCs w:val="20"/>
          <w:color w:val="auto"/>
        </w:rPr>
      </w:pPr>
    </w:p>
    <w:p>
      <w:pPr>
        <w:ind w:left="660" w:right="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Azymetric</w:t>
      </w:r>
      <w:r>
        <w:rPr>
          <w:rFonts w:ascii="Arial" w:cs="Arial" w:eastAsia="Arial" w:hAnsi="Arial"/>
          <w:sz w:val="18"/>
          <w:szCs w:val="18"/>
          <w:color w:val="auto"/>
        </w:rPr>
        <w:t>, our multispecific antibody platform, which enables therapeutic antibodies to simultaneously bind multiple distinct locations on a target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(known as an epitope) or to multiple targets. This is achieved by tailoring multiple configurations of the antibody’s Fab regions (locations on the antibody to which epitopes bind);</w:t>
      </w:r>
    </w:p>
    <w:p>
      <w:pPr>
        <w:spacing w:after="0" w:line="75"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Drug Conjugate Platforms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to develop ADC candidates, are comprised of cytotoxins and the linker technologies used to couple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cytotoxins to tumor-targeting antibodies or proteins. These platforms can be used in conjunction with our other therapeutic platforms to increase safety and efficacy as compared to existing ADC technologies;</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b w:val="1"/>
          <w:bCs w:val="1"/>
          <w:i w:val="1"/>
          <w:iCs w:val="1"/>
          <w:color w:val="auto"/>
        </w:rPr>
        <w:t>EFECT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enables finely tuned modulation (both up and down) of immune cell recruitment and function; and</w:t>
      </w:r>
    </w:p>
    <w:p>
      <w:pPr>
        <w:spacing w:after="0" w:line="93" w:lineRule="exact"/>
        <w:rPr>
          <w:rFonts w:ascii="Arial" w:cs="Arial" w:eastAsia="Arial" w:hAnsi="Arial"/>
          <w:sz w:val="22"/>
          <w:szCs w:val="22"/>
          <w:color w:val="auto"/>
        </w:rPr>
      </w:pPr>
    </w:p>
    <w:p>
      <w:pPr>
        <w:ind w:left="660" w:right="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ProTECT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enables tumor-specific activity that may reduce systemic toxicity and simultaneously enhances localized immune co-stimulation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checkpoint modulation that may increase efficacy.</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protein engineering expertise and proprietary structure-guided molecular modeling capabilities enable these therapeutic platforms. Together with our internal antibody discovery and generation technologies, we have established a fully integrated drug development engine and toolkit capable of rapidly delivering a steady pipeline of next-generation product candidates in oncology and other therapeutic areas.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goal is to use our experience and capabilities developing multifunctional therapeutics platforms, along with our proprietary protein engineering capabilities, to have a meaningful and positive impact on the lives of people living with difficult-to-treat cancers and other serious diseases with high unmet medical need.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To achieve this goal, we are focused on delivering substantial progress across five key areas of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Zanidatamab Collaboration with Jazz Pharmaceuticals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collaboration agreement with Jazz entered into during the fourth quarter of 2022 represents an important component of our commercialization strategy for zanidatamab and our financial strategy for expanding and developing our product pipeline. Through December 31, 2022, we have received $375 million in proceeds from the Jazz collaboration and are eligible for reimbursement of ongoing zanidatamab-related costs in accordance with the development plan and budget. We also remain eligible to receive regulatory approval milestones of up to $525 million, commercial milestones of up to $862.5 million, and royalties of between 10% and 20% of future zanidatamab sales, pending regulatory approval of zanidatamab. In conjunction with Jazz, we plan to provide updates on progress towards regulatory filings, new clinical studies, and future clinical data releases, which includes the anticipated presentation of the full data set from our HERIZON-BTC-01 pivotal clinical trial in the first half of 2023 and our expectation to report top-line data from our HERIZON-GEA-01 pivotal clinical trial in 2024.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Zanidatamab Collaboration with BeiGene</w:t>
      </w:r>
    </w:p>
    <w:p>
      <w:pPr>
        <w:spacing w:after="0" w:line="21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Our collaboration agreements with BeiGene in the key Asia Pacific (APAC) regions (excluding Japan) are important given the high prevalence of BTC and GEA in the APAC region. To date, we have received approximately $60 million in upfront and milestone payments from the BeiGene collaboration as well as certain co-development funding for zanidatamab clinical studies. Through our collaboration with BeiGene on zanidatamab and zanidatamab zovodotin, we remain eligible to receive up to $390 million in additional development and commercial milestones together with tiered royalties of up to 20% of future product sales, pending regulatory approval. In conjunction with BeiGene, we plan to provide updates on progress towards regulatory filings in the APAC region, new clinical studies, and future clinical data releases.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Early Development Programs</w:t>
      </w:r>
    </w:p>
    <w:p>
      <w:pPr>
        <w:spacing w:after="0" w:line="21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Our current scientific strategy provides for a broad and differentiated product pipeline of ADCs and multispecific antibody therapeutics to be developed from our technology platforms with the goal of five new IND applications by 2027. We expect to submit IND applications for our lead preclinical product candidates (ZW191 and ZW171) in 2024. During 2023, we expect to</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nominate an additional product candidate for preclinical development with an anticipated IND filing in 2025. We plan to continue actively presenting and publishing additional data on our preclinical programs in 2023, with a focus on the American Association for Cancer Research (AACR) meeting scheduled for the second quarter. We expect to evaluate, and potentially enter into, additional multi-product collaborations and partnerships in 2023 and 2024 to expand the breadth of our research and early development programs. We plan to make additional investments during 2023 and 2024 in the size and capabilities of our research group in order to maintain the desired speed, quality, diversity, and novelty in our future product pipeline. Further, we also plan to evaluate external opportunities in adjacent research areas to expand our focus beyond the current technology platforms.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Zanidatamab Zovodotin</w:t>
      </w:r>
    </w:p>
    <w:p>
      <w:pPr>
        <w:spacing w:after="0" w:line="19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plan to continue development of zanidatamab zovodotin at the RP2D of 2.5 mg/kg every three weeks and, before the end of 2023, we expect to present additional data from our ongoing Phase 1 clinical study that supports this RP2D. Based on the data generated to date from the Phase 1 clinical study, which has continued to enroll patients to gather additional data for zanidatamab zovodotin monotherapy, we plan to evaluate zanidatamab zovodotin as monotherapy and/or in combination with the current respective standards of care in multiple Phase 2 studies expected to commence enrollment in 2023. Based on our development efforts to date and in combination with the results of these planned clinical studies, we believe these results may provide the rationale for one or more registration-enabling studies of zanidatamab zovodotin before the end of 2025, which we would expect to undertake with a future collaboration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Licensing Portfolio</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date, we have received approximately $180.0 million in the form of non-refundable upfront and milestone payments from platform partnership and collaboration agreements, excluding amounts received related to zanidatamab or zanidatamab zovodotin. We continue to have revenue-generating strategic partnerships and collaborations with respect to our Azymetric, EFECT and Drug Conjugate therapeutic platforms with the following pharmaceutical companies: BeiGene, Celgene Corporation and Celgene Alpine Investment Co. LLC (now a Bristol-Myers Squibb company, “BMS”), GlaxoSmithKline Intellectual Property Development Limited (“GSK”), Daiichi Sankyo Co., Ltd. (“Daiichi Sankyo”), Janssen Biotech, Inc. (“Janssen”), LEO Pharma A/S (“LEO”), Iconic Therapeutics, Inc. (“Iconic”) (and through our relationship with Iconic, Exelixis, Inc. (“Exelixis”)), Merck Sharp &amp; Dohme Research GmbH (“Merck”), and Atreca, Inc. (“Atreca”). During 2023 and 2024, we expect to earn additional milestone payments under certain of these agreements as products continue to advance in development, and we have the potential to receive additional payments in connection with any expansion or extension of these agreements.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Candidate Pipeline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currently have two lead product candidates in clinical development and several product candidates in preclinical development that leverage our multiple therapeutic platforms to address areas of significant unmet medical need. Our lead product candidates, zanidatamab and zanidatamab zovodotin, utilize the Azymetric platform to address patient populations with HER2-expressing cancers. We are also actively advancing a diverse set of preclinical programs, which leverage one or more of our proprietary therapeutic platforms to create a deep pipeline of well-differentiated product candidates for oncology and other therapeutic areas.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Late-Stage Clinical: Zanidatamab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Zanidatamab, our lead product candidate, is currently being evaluated in Phase 1, Phase 2, and Phase 3 clinical trials, including certain ongoing pivotal clinical trials. It is a biparatopic antibody, based on our Azymetric platform, that can simultaneously bind two non-overlapping epitopes of HER2. Zanidatamab’s unique binding properties result in multiple mechanisms of action including HER2</w:t>
      </w:r>
      <w:r>
        <w:rPr>
          <w:rFonts w:ascii="MS PGothic" w:cs="MS PGothic" w:eastAsia="MS PGothic" w:hAnsi="MS PGothic"/>
          <w:sz w:val="18"/>
          <w:szCs w:val="18"/>
          <w:color w:val="auto"/>
        </w:rPr>
        <w:t>‑</w:t>
      </w:r>
      <w:r>
        <w:rPr>
          <w:rFonts w:ascii="Arial" w:cs="Arial" w:eastAsia="Arial" w:hAnsi="Arial"/>
          <w:sz w:val="18"/>
          <w:szCs w:val="18"/>
          <w:color w:val="auto"/>
        </w:rPr>
        <w:t>receptor clustering, internalization, and downregulation; inhibition of growth factor-dependent and</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-independent tumor cell proliferation; antibody-dependent cellular cytotoxicity and phagocytosis; and complement-dependent cytotoxicity. These combined mechanisms of action have led to promising antitumor activity in preclinical models of HER2-expressing cancers, including tumors resistant to trastuzumab (currently branded as Herceptin).</w:t>
      </w:r>
    </w:p>
    <w:p>
      <w:pPr>
        <w:spacing w:after="0" w:line="176" w:lineRule="exact"/>
        <w:rPr>
          <w:sz w:val="20"/>
          <w:szCs w:val="20"/>
          <w:color w:val="auto"/>
        </w:rPr>
      </w:pPr>
    </w:p>
    <w:p>
      <w:pPr>
        <w:ind w:right="540"/>
        <w:spacing w:after="0" w:line="243" w:lineRule="auto"/>
        <w:rPr>
          <w:sz w:val="20"/>
          <w:szCs w:val="20"/>
          <w:color w:val="auto"/>
        </w:rPr>
      </w:pPr>
      <w:r>
        <w:rPr>
          <w:rFonts w:ascii="Arial" w:cs="Arial" w:eastAsia="Arial" w:hAnsi="Arial"/>
          <w:sz w:val="18"/>
          <w:szCs w:val="18"/>
          <w:color w:val="auto"/>
        </w:rPr>
        <w:t>We have entered into separate agreements with BeiGene and Jazz, granting each of BeiGene and Jazz exclusive rights to develop and commercialize zanidatamab in different territories. Through these agreements, we have no funding obligations for current or future clinical studies or research and development spending and retain rights to receive potential regulatory and commercial milestones, as well as royalties for future net sales, pending approval in relevant regulatory jurisdictions.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of Zanidatamab</w:t>
      </w:r>
    </w:p>
    <w:p>
      <w:pPr>
        <w:spacing w:after="0" w:line="21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clinical trials, zanidatamab monotherapy and zanidatamab in combination have been well tolerated with promising antitumor activity in patients with treatment-naive and heavily pretreated HER2-expressing cancers, including individuals whose disease had progressed on multiple prior treatment regimens that included HER2-targeted agents. Based on these data, a number of global multicenter clinical trials have been initiated to evaluate zanidatamab in specific indications and lines of therapy, as described above under “Overview.”</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June 2022, we, in conjunction with our Asia-Pacific partner BeiGene, presented Phase 1b/2 clinical data at the ASCO Annual Meeting. The two presentations included data on the first-line treatment of patients with HER2-positive metastatic gastric/ gastroesophageal junction adenocarcinoma using zanidatamab in combination with chemotherapy and BeiGene’s anti-PD1 tislelizumab and on the first-line treatment of patients with HER2-positive metastatic breast cancer who received zanidatamab plus chemotherapy. In 33 response-evaluable patients with advanced HER2-positive gastric/gastroesophageal junction adenocarcinoma treated with zanidatamab and tislelizumab in combination with the CAPOX chemotherapy regimen, the confirmed objective response rate (“cORR”) was 75.8% [95% CI: 57.7, 88.9]. The disease control rate (“DCR”) was 100% and duration of response ranged from 2.1+ to 18.2+ months. Twenty patients (61%) remained on study at the time of data cut-off. In 21 response-evaluable patients with advanced HER2-positive breast cancer treated with zanidatamab and docetaxel, the cORR was 90.5% [95% CI: 69.6, 98.8] with 15 patients (78.9%) having an ongoing response at the time of the data cut. The DCR was 95.2% [95% CI: 76.2, 99.9]. The median follow-up was 7.0 months (range 1.1-17.4 months) and the six-month progression-free survival rate was 95.2% [95% CI: 70.7, 99.3]. Overall, both combinations exhibited promising response rates and tolerability in patients.</w:t>
      </w:r>
    </w:p>
    <w:p>
      <w:pPr>
        <w:spacing w:after="0" w:line="19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December 2022, we published in The Lancet Oncology our Phase 1 data (NCT02892123) in pre-treated patients with HER2-expressing solid tumors who received zanidatamab monotherapy. Eighty-six patients (22 patients with BTC, 28 patients with CRC and 36 patients with other solid tumors excluding GEA or breast cancer) demonstrated promising responses and zanidatamab was generally well tolerated in patients. Grade 1-2 diarrhea and infusion reactions were the most common reported treatment-related adverse events with no treatment-related deaths. In addition, 31 [37%; 95% CI 27.0, 48.7] of 83 evaluable patients had a cORR.</w:t>
      </w:r>
    </w:p>
    <w:p>
      <w:pPr>
        <w:spacing w:after="0" w:line="18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December 2022, we presented Phase 2 clinical data at the San Antonio Breast Cancer Symposium. The presentation reported data from a clinical study of 45 patients with heavily pretreated HER2-positive, Hormone Receptor-positive (“HR-positive”) metastatic breast cancer who received zanidatamab in combination with palbociclib and fulvestrant. Patients had received prior regimens containing HER2-targeted agents including trastuzumab (100%), pertuzumab (80%), T-DM1 (98%), and other available options. In 36 efficacy-evaluable patients, treatment with zanidatamab in combination with palbociclib and fulvestrant resulted in a cORR of 33% [95% CI: 18.6, 51.0] and DCR of 92% [95% CI: 77.5, 98.2), and the majority of patients experienced a decrease in tumor size. The interim median progression-free survival (“mPFS”) was 9.6 months [95% CI: 7.2, 16.6] with seven patients still on study at the time of data cut-off (August 31, 2022). The regimen was generally well tolerated with expected rates of neutropenia, a known side effect of CDK4/6 inhibitors. The majority of patients with treatment-related adverse events experienced mild to moderate severity (Grade 1 or 2).</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Also in December 2022, we announced positive top-line data in the HERIZON-BTC-01 pivotal Phase 2b trial of zanidatamab as monotherapy in previously treated HER2-amplified BTC patients. The top-line results showed that 41.3% [95% CI: 30.4, 52.8] of enrolled patients with HER2-amplified and expressing (IHC2+ and 3+) disease achieved a confirmed objective response as assessed by independent central review. The median duration of response was 12.9 months [95% CI: 5.95 to not reached]. The safety profile of zanidatamab in this trial was consistent with that observed in previously reported monotherapy studies, with no new safety signals identified. Full results from the pivotal trial are expected to be presented at a medical meeting in the first half of 2023.</w:t>
      </w:r>
    </w:p>
    <w:p>
      <w:pPr>
        <w:spacing w:after="0" w:line="19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January 2023, we presented updated Phase 2 clinical data at the ASCO Gastrointestinal Cancers Symposium. The presentation included updated data from a clinical study evaluating zanidatamab in combination with standard of care chemotherapy in first-line HER2-expressing GEA patients. Patients had not received prior HER2-targeted agents or systemic treatment for metastatic GEA. A total of 46 patients with metastatic GEA were enrolled from 15 sites across the United States, Canada and South Korea. The data demonstrated zanidatamab combined with standard chemotherapy is a highly active treatment regimen for first-line therapy of HER2-positive metastatic GEA. In 42 patients evaluable for overall survival (“OS”) receiving zanidatamab in combination with chemotherapy, the 18-month OS rate was 84% [95% CI: 68, 93], the 12-month OS rate was 88% [95% CI: 73, 95], and the median OS had not yet been reached (with 26.5 months median duration of study follow-up). These data represent the first OS data presented for a zanidatamab containing regimen. Treatment with zanidatamab resulted in a cORR of 79% [95% CI: 63, 90], a DCR of 92% [95% CI: 79, 98], with three patients achieving complete response among 38 response-evaluable patients. The median duration of response was 20.4 months [95% CI: 8.3, NE] with an mPFS of</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12.5 months [95% CI: 7.1, NE] with 17 patients having an ongoing response at the time of data cut-off. The regimen was manageable, tolerable and consistent with the observed safety profiles reported for other standard combination regimens for patients with HER2-positive GEA.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Zanidatamab is currently being evaluated in the following clinical trials:</w:t>
      </w:r>
    </w:p>
    <w:p>
      <w:pPr>
        <w:spacing w:after="0" w:line="117" w:lineRule="exact"/>
        <w:rPr>
          <w:sz w:val="20"/>
          <w:szCs w:val="20"/>
          <w:color w:val="auto"/>
        </w:rPr>
      </w:pPr>
    </w:p>
    <w:p>
      <w:pPr>
        <w:ind w:left="900" w:hanging="325"/>
        <w:spacing w:after="0" w:line="277"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NCT05035836 – A Phase 2, single-site, single-arm open-label study to determine the efficacy of zanidatamab for patients with early stage low-risk HER2/neu positive breast cancer.</w:t>
      </w:r>
    </w:p>
    <w:p>
      <w:pPr>
        <w:spacing w:after="0" w:line="62" w:lineRule="exact"/>
        <w:rPr>
          <w:rFonts w:ascii="Arial" w:cs="Arial" w:eastAsia="Arial" w:hAnsi="Arial"/>
          <w:sz w:val="18"/>
          <w:szCs w:val="18"/>
          <w:color w:val="auto"/>
        </w:rPr>
      </w:pPr>
    </w:p>
    <w:p>
      <w:pPr>
        <w:ind w:left="900" w:right="500" w:hanging="325"/>
        <w:spacing w:after="0" w:line="258"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NCT05270889 – A Phase 2 single-arm, open-label, multi-center study of zanidatamab in combination with tislelizumab as a second-line treatment for HER2-positive advanced gastric cancer as part of the</w:t>
      </w:r>
    </w:p>
    <w:p>
      <w:pPr>
        <w:spacing w:after="0" w:line="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investigator-initiated K-Umbrella Trial.</w:t>
      </w:r>
    </w:p>
    <w:p>
      <w:pPr>
        <w:spacing w:after="0" w:line="102" w:lineRule="exact"/>
        <w:rPr>
          <w:rFonts w:ascii="Arial" w:cs="Arial" w:eastAsia="Arial" w:hAnsi="Arial"/>
          <w:sz w:val="18"/>
          <w:szCs w:val="18"/>
          <w:color w:val="auto"/>
        </w:rPr>
      </w:pPr>
    </w:p>
    <w:p>
      <w:pPr>
        <w:ind w:left="900" w:right="40" w:hanging="325"/>
        <w:spacing w:after="0" w:line="259"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NCT05027139 – A Phase 1b/2 single-arm, open-label, multi-cohort, multicenter study of zanidatamab in combination with evorpacept (formerly ALX148) in patients with advanced HER2-expressing cancer. Part one of the study will evaluate safety and tolerability and establish the recommended doses (“RD”). Part two of the study will evaluate the antitumor activity of the combination at the RD levels in indication-specific expansion cohorts.</w:t>
      </w:r>
    </w:p>
    <w:p>
      <w:pPr>
        <w:spacing w:after="0" w:line="78" w:lineRule="exact"/>
        <w:rPr>
          <w:rFonts w:ascii="Arial" w:cs="Arial" w:eastAsia="Arial" w:hAnsi="Arial"/>
          <w:sz w:val="18"/>
          <w:szCs w:val="18"/>
          <w:color w:val="auto"/>
        </w:rPr>
      </w:pPr>
    </w:p>
    <w:p>
      <w:pPr>
        <w:ind w:left="900" w:right="240" w:hanging="325"/>
        <w:spacing w:after="0" w:line="263"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NCT04578444 – An intermediate-size Expanded Access Protocol for use of zanidatamab in patients with HER2-positive advanced solid tumors who are not eligible for other zanidatamab clinical trials, and who in the opinion of the treating oncologist, would potentially benefit from treatment with zanidatamab.</w:t>
      </w:r>
    </w:p>
    <w:p>
      <w:pPr>
        <w:spacing w:after="0" w:line="75" w:lineRule="exact"/>
        <w:rPr>
          <w:rFonts w:ascii="Arial" w:cs="Arial" w:eastAsia="Arial" w:hAnsi="Arial"/>
          <w:sz w:val="18"/>
          <w:szCs w:val="18"/>
          <w:color w:val="auto"/>
        </w:rPr>
      </w:pPr>
    </w:p>
    <w:p>
      <w:pPr>
        <w:ind w:left="900" w:right="620" w:hanging="325"/>
        <w:spacing w:after="0" w:line="277"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NCT05152147 – A randomized, global, multicenter, Phase 3 Study of zanidatamab in combination with chemotherapy with or without tislelizumab in subjects with HER2-positive unresectable locally advanced or metastatic GEA.</w:t>
      </w:r>
    </w:p>
    <w:p>
      <w:pPr>
        <w:spacing w:after="0" w:line="62" w:lineRule="exact"/>
        <w:rPr>
          <w:rFonts w:ascii="Arial" w:cs="Arial" w:eastAsia="Arial" w:hAnsi="Arial"/>
          <w:sz w:val="18"/>
          <w:szCs w:val="18"/>
          <w:color w:val="auto"/>
        </w:rPr>
      </w:pPr>
    </w:p>
    <w:p>
      <w:pPr>
        <w:ind w:left="900" w:right="360" w:hanging="325"/>
        <w:spacing w:after="0" w:line="342" w:lineRule="auto"/>
        <w:tabs>
          <w:tab w:leader="none" w:pos="8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NCT02892123 – A Phase 1 study to evaluate the maximal tolerated dose, optimal biological dose or other recommended dose, and overall safety and tolerability of zanidatamab in patients with unresectable locally advanced and/or metastatic HER2-expressing cancers.</w:t>
      </w:r>
    </w:p>
    <w:p>
      <w:pPr>
        <w:spacing w:after="0" w:line="15" w:lineRule="exact"/>
        <w:rPr>
          <w:rFonts w:ascii="Arial" w:cs="Arial" w:eastAsia="Arial" w:hAnsi="Arial"/>
          <w:sz w:val="16"/>
          <w:szCs w:val="16"/>
          <w:color w:val="auto"/>
        </w:rPr>
      </w:pPr>
    </w:p>
    <w:p>
      <w:pPr>
        <w:jc w:val="both"/>
        <w:ind w:left="900" w:right="40" w:hanging="325"/>
        <w:spacing w:after="0" w:line="286" w:lineRule="auto"/>
        <w:tabs>
          <w:tab w:leader="none" w:pos="8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NCT03929666 – A multicenter, global, Phase 2, open-label, 2-part, first-line study to investigate the safety, tolerability, and antitumor activity of zanidatamab plus standard first-line combination chemotherapy regimens for selected gastrointestinal (GI) cancers. Eligible patients include those with unresectable, locally advanced, recurrent or metastatic HER2-expressing GEA, BTC, or CRC.</w:t>
      </w:r>
    </w:p>
    <w:p>
      <w:pPr>
        <w:spacing w:after="0" w:line="57" w:lineRule="exact"/>
        <w:rPr>
          <w:rFonts w:ascii="Arial" w:cs="Arial" w:eastAsia="Arial" w:hAnsi="Arial"/>
          <w:sz w:val="17"/>
          <w:szCs w:val="17"/>
          <w:color w:val="auto"/>
        </w:rPr>
      </w:pPr>
    </w:p>
    <w:p>
      <w:pPr>
        <w:jc w:val="both"/>
        <w:ind w:left="900" w:right="280" w:hanging="325"/>
        <w:spacing w:after="0" w:line="263"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NCT04224272 – A multicenter, global, Phase 2, open-label, two-part study. Part one of the study will evaluate the safety and tolerability of zanidatamab in combination with palbociclib and fulvestrant and identify the RD of zanidatamab and palbociclib. Part two of the study will evaluate antitumor activity at the recommended dose level.</w:t>
      </w:r>
    </w:p>
    <w:p>
      <w:pPr>
        <w:spacing w:after="0" w:line="75" w:lineRule="exact"/>
        <w:rPr>
          <w:rFonts w:ascii="Arial" w:cs="Arial" w:eastAsia="Arial" w:hAnsi="Arial"/>
          <w:sz w:val="18"/>
          <w:szCs w:val="18"/>
          <w:color w:val="auto"/>
        </w:rPr>
      </w:pPr>
    </w:p>
    <w:p>
      <w:pPr>
        <w:ind w:left="900" w:right="120" w:hanging="325"/>
        <w:spacing w:after="0" w:line="263"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NCT04466891 – A multicenter, pivotal, open-label, single-arm trial evaluating the antitumor activity of zanidatamab monotherapy in patients with HER2-amplified, inoperable and advanced or metastatic BTC, including intra-hepatic cholangiocarcinoma, extra-hepatic cholangiocarcinoma, and gallbladder cancer.</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NCT04513665 – A study to evaluate zanidatamab monotherapy in women with HER2-overexpressed endometrial cancer or carcinosarcoma that has been treated in the past.</w:t>
      </w:r>
    </w:p>
    <w:p>
      <w:pPr>
        <w:spacing w:after="0" w:line="62" w:lineRule="exact"/>
        <w:rPr>
          <w:rFonts w:ascii="Arial" w:cs="Arial" w:eastAsia="Arial" w:hAnsi="Arial"/>
          <w:sz w:val="18"/>
          <w:szCs w:val="18"/>
          <w:color w:val="auto"/>
        </w:rPr>
      </w:pPr>
    </w:p>
    <w:p>
      <w:pPr>
        <w:ind w:left="900" w:right="140" w:hanging="325"/>
        <w:spacing w:after="0" w:line="263"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NCT04276493 – A study to assess the safety, tolerability and preliminary antitumor activity of zanidatamab in combination with docetaxel in participants with HER2-positive breast cancer, and zanidatamab in combination with tislelizumab and chemotherapy in participants with HER2-positive gastric/gastroesophageal junction adenocarcinoma.</w:t>
      </w:r>
    </w:p>
    <w:p>
      <w:pPr>
        <w:spacing w:after="0" w:line="75" w:lineRule="exact"/>
        <w:rPr>
          <w:rFonts w:ascii="Arial" w:cs="Arial" w:eastAsia="Arial" w:hAnsi="Arial"/>
          <w:sz w:val="18"/>
          <w:szCs w:val="18"/>
          <w:color w:val="auto"/>
        </w:rPr>
      </w:pPr>
    </w:p>
    <w:p>
      <w:pPr>
        <w:ind w:left="900" w:right="120" w:hanging="325"/>
        <w:spacing w:after="0" w:line="259"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NCT05615818 – An international, randomized, controlled, open-label platform Phase 3 trial evaluating whether the introduction of molecular targeted therapies, including zanidatamab, as maintenance after four cycles of standard-of-care first-line systemic therapy is superior to continuation of first-line standard-of-care in the treatment of patients with advanced biliary cancer as part of the investigator-initiated SAFIR-ABC10 Trial.</w:t>
      </w:r>
    </w:p>
    <w:p>
      <w:pPr>
        <w:spacing w:after="0" w:line="78" w:lineRule="exact"/>
        <w:rPr>
          <w:rFonts w:ascii="Arial" w:cs="Arial" w:eastAsia="Arial" w:hAnsi="Arial"/>
          <w:sz w:val="18"/>
          <w:szCs w:val="18"/>
          <w:color w:val="auto"/>
        </w:rPr>
      </w:pPr>
    </w:p>
    <w:p>
      <w:pPr>
        <w:ind w:left="900" w:right="300" w:hanging="325"/>
        <w:spacing w:after="0" w:line="277"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jRCT2031210161 - A single arm Phase 1 study of zanidatamab in Japanese subjects with locally advanced (unresectable) and/or metastatic HER2-expressing cancers.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Zanidatamab has been granted Breakthrough Therapy designation by the FDA for the treatment of patients with previously treated HER2 gene-amplified locally advanced/unresectable or metastatic BTC as well as two Fast Track designations, one for previously treated or recurrent HER2 gene-amplified BTC and another for first-line HER2-overexpressing GEA in combination with standard of care chemotherapy. Zanidatamab also received Orphan Drug designation for the treatment of BTC and gastric cancer, including cancer of the gastroesophageal junction, in the United States and for gastric cancer and BTC in the European</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Union (“EU”). Zanidatamab has also been granted Breakthrough Therapy designation from the Center for Drug Evaluation in China for treating patients with BTC who have failed prior systemic therapies.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Early-Stage Clinical and Early Research and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below table summarizes our early-stage clinical and early Research and Development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863590" cy="3086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359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Zanidatamab Zovodotin: HER2-Targeted Bispecific ADC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Zanidatamab zovodotin, our second product candidate, is currently being evaluated in a Phase 1 clinical trial. It is a biparatopic anti-HER2 ADC developed based on Zymeworks’ proprietary Azymetric multispecific and ZymeLink ADC platforms and combines the unique design of zanidatamab with a proprietary cytotoxin and cleavable linker. Our cytotoxin destabilizes tubulin, a protein necessary for cell division, and therefore kills rapidly dividing cancer cells. In preclinical models, compared to certain approved HER2-targeted therapies, zanidatamab zovodotin mediates a superior therapeutic effect on HER2-expressing tumors through multiple potential mechanisms, including:</w:t>
      </w:r>
    </w:p>
    <w:p>
      <w:pPr>
        <w:spacing w:after="0" w:line="8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maximum HER2 binding density;</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unique biparatopic-induced HER2 receptor clustering;</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HER2-mediated ADC internalization;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enhanced toxin-mediated cytotoxicity and tumor growth inhibition.</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are developing zanidatamab zovodotin to be a potential best-in-class HER2-targeting ADC for several indications characterized by HER2 aberrations, especially for patients whose tumors have progressed or are refractory to HER2-targeted agents and those that express lower levels of HER2 and are ineligible for treatment with other HER2-targeted therapies.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Development of Zanidatamab Zovodotin</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preclinical studies, zanidatamab zovodotin demonstrated complete tumor regressions in a panel of high and low HER2-expressing patient-derived xenografts and promising efficacy in a model of breast cancer brain metastases. These results compared favorably when benchmarked against approved and leading HER2 ADCs in clinical development. In a repeat dose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toxicology study in non-human primates, zanidatamab zovodotin was well tolerated at 18 mg/kg, suggesting a broad therapeutic window.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of Zanidatamab Zovodotin</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are currently evaluating zanidatamab zovodotin as a monotherapy in a non-randomized, open-label Phase 1 clinical trial in patients with HER2 High breast, gastric and other HER2-expressing cancers, whose disease has progressed after all standard of care therapies. The primary objective of the Phase 1 clinical trial is to characterize the safety, tolerability, pharmacokinetics and maximum tolerated dose of zanidatamab zovodotin. The secondary objectives for the trial include evaluation of preliminary antitumor activity of zanidatamab zovodotin, as well as an exploration of potential biomarkers of response. Based upon the observed safety and activity, subsequent development may focus on patients with HER2 High breast cancer, HER2 High gastric cancer, other HER2 High cancers, as well as cancers with lower levels of HER2 expression, including breast cancer.</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September 2022, we presented preliminary Phase 1 trial results for zanidatamab zovodotin as monotherapy for the treatment of various HER2-positive tumors at the European Society for Medical Oncology (“ESMO”) Annual Congress. A total of 77 heavily pretreated patients were enrolled in this first-in-human trial, which was designed to determine the maximum tolerated dose of zanidatamab zovodotin, characterize its safety and tolerability, and evaluate anti-tumor activity in HER2-expressing cancers as monotherapy. The patients represented a variety of HER2-expressing cancers including breast, gastroesophageal, ovarian, endometrial, bladder, biliary tract, anal, colorectal, pancreatic and lung. At the time of the analysis, the maximum tolerated dose had not yet been reached. In the trial, zanidatamab zovodotin was shown to have a manageable and differentiated safety profile with the majority of adverse events being Grade 1 or 2 in severity. The majority of patients (20/29) had received prior HER2-targeted therapies with patients receiving a median of three (range 1 to 13) prior therapies in the metastatic setting, including a median of six (range 3 to 13) in metastatic breast cancer and four (range of 1 to 8) in metastatic GEA. In patients with HER2-positive cancers treated with zanidatamab zovodotin at 2.5 mg/kg Q3W (dose escalation + dose expansion), the cORR was 31% [95% CI: 15.3, 50.8] and the DCR was 72% [95% CI: 52.8, 87.3]. The Phase 1 clinical trial is ongoing and continues to enroll patients to study safety, tolerability and activity in various cohorts at the Q3W schedule. We expect to present updated results from this Phase 1 study before the end of 2023.</w:t>
      </w:r>
    </w:p>
    <w:p>
      <w:pPr>
        <w:spacing w:after="0" w:line="1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January 2023, we announced our plans for the continued development of zanidatamab zovodotin at the RP2D of 2.5 mg/kg every three weeks and announced that by the end of 2023, we expect to present additional data from our clinical study that further supports this RP2D. Based on the data generated to date from the Phase 1 clinical study, which has continued to enroll subjects to gather additional data for zanidatamab zovodotin monotherapy, we plan to evaluate zanidatamab zovodotin as monotherapy and/or in combination with the current respective standards of care in multiple planned Phase 2 studies. Based on our development efforts to date and in combination with the results of these planned clinical studies, we believe these results may provide the rationale for one or more registration-enabling studies of zanidatamab zovodotin before the end of 2025, which we would expect to undertake with a future collaboration partner.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Preclinical Product Candidates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maintain ongoing discovery efforts to identify and test new target combinations, product candidates and platform technologies that have the potential to address unmet medical needs. We have developed multiple preclinical product candidates targeting a combination of known and novel tumor antigens based on our platform technologies. All of these candidates remain unpartnered. We continue to focus on advancing multiple well-differentiated product candidates into clinical trials to build our pipeline portfolio as well as exploiting our protein engineering and ADC expertise to develop innovative product candidates.</w:t>
      </w:r>
    </w:p>
    <w:p>
      <w:pPr>
        <w:spacing w:after="0" w:line="18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As part of our early Research and Development day held in New York City in October 2022, we announced multiple preclinical product candidates, including two lead candidates, ZW191 and ZW171. Our lead ADC preclinical product candidate, ZW191, is a folate receptor alpha targeted ADC with a novel TOPO1i-based payload that we believe may be competitive in areas with high unmet medical need. Similarly, our lead multispecific preclinical product candidate, ZW171, a novel and differentiated MSLN-targeted bispecific T-cell engaging antibody generated utilizing our Azymetric bispecific platform, targets the potential treatment of patients in pancreatic, mesothelioma, ovarian, and other MSLN-expressing cancers. We expect to submit IND applications for ZW191 and ZW171 in 2024.</w:t>
      </w:r>
    </w:p>
    <w:p>
      <w:pPr>
        <w:spacing w:after="0" w:line="19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expect to continue developing additional early-stage ADC and multispecific product candidates, such as ZW251, a glypican-3 targeted TOPO1i-based ADC, and ZW220, a NaPi2b targeted ADC with a TOPO1i-based payload, as well as additional preclinical product candidates currently in development.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Therapeutic Platforms</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expertise in protein engineering has enabled the development of our proprietary therapeutic platforms, a complementary suite of highly tailored biologics solutions. Our therapeutic platforms can be used alone or in combination to develop multifunctional fit-for-purpose biotherapeutics with bispecific capabilities (Azymetric), targeted cytotoxin payload delivery and linker technologies (Drug Conjugate Platforms), finely tuned immune function modulation (EFECT), and tumor-specific immune co-stimulation (ProTECT). The modular design and ease of use of our therapeutic platforms allow for the design and evaluation of multiple candidates with different formats to determine the optimal therapeutic combination early in development. We continue to leverage these therapeutic platforms to expand our pipeline of next-generation multispecific and ADCs that we believe could represent significant improvements to the standard of care in multiple cancer types and other serious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863590" cy="17233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3590" cy="172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9240"/>
        <w:spacing w:after="0"/>
        <w:rPr>
          <w:sz w:val="20"/>
          <w:szCs w:val="20"/>
          <w:color w:val="auto"/>
        </w:rPr>
      </w:pPr>
      <w:r>
        <w:rPr>
          <w:rFonts w:ascii="Arial" w:cs="Arial" w:eastAsia="Arial" w:hAnsi="Arial"/>
          <w:sz w:val="17"/>
          <w:szCs w:val="17"/>
          <w:b w:val="1"/>
          <w:bCs w:val="1"/>
          <w:i w:val="1"/>
          <w:iCs w:val="1"/>
          <w:color w:val="auto"/>
        </w:rPr>
        <w:t>Azymetric Multispecific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Antibody Platform</w:t>
      </w:r>
    </w:p>
    <w:p>
      <w:pPr>
        <w:spacing w:after="0" w:line="21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Azymetric multispecific antibody platform is our foundation platform, which can produce either the backbone of our ADCs or be the base of our multispecific therapeutics that can be combined with both our trispecific T-cell engager (“TriTCE”) technology and our ProTECT platform to develop potential best-in-class trispecifics. The Azymetric platform consists of a library of proprietary amino acid substitutions that enable the transformation of monospecific antibodies into bispecific or trispecific antibodies, which gives them the ability to simultaneously bind two non-overlapping epitopes. The Azymetric platform enables the development of biotherapeutics with dual-targeting of receptors/ligands and simultaneous blockade of multiple signaling pathways, increasing tumor-specific targeting and efficacy while reducing toxicities and the potential for drug resistance. In preclinical studies, the dual targeting of Azymetric antibodies has demonstrated synergistic activity relative to the application of an equivalent dose of the corresponding monospecific antibodies. Azymetric multispecifics can also be engineered to enhance internalization of the antibody into the tumor cell and consequently increase the delivery of cytotoxins. Azymetric multispecifics retain the desirable drug-like qualities of monoclonal antibodies, including long half-life, stability and low immunogenic potential, which increases their probability of success. Azymetric multispecifics are also compatible with standard manufacturing processes with high production yields and purity.</w:t>
      </w:r>
    </w:p>
    <w:p>
      <w:pPr>
        <w:spacing w:after="0" w:line="18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Azymetric platform is the foundation for the development of trispecific and trivalent antibodies. Our complementary suite of technologies can incorporate multiple targets and mechanisms of action within a single antibody-based therapeutic. To achieve efficacy and durability in a difficult tumor microenvironment, we have developed a TriTCE strategy that integrates checkpoint inhibition (“</w:t>
      </w:r>
      <w:r>
        <w:rPr>
          <w:rFonts w:ascii="Arial" w:cs="Arial" w:eastAsia="Arial" w:hAnsi="Arial"/>
          <w:sz w:val="18"/>
          <w:szCs w:val="18"/>
          <w:color w:val="3B3838"/>
        </w:rPr>
        <w:t>TriTCE-CPI</w:t>
      </w:r>
      <w:r>
        <w:rPr>
          <w:rFonts w:ascii="Arial" w:cs="Arial" w:eastAsia="Arial" w:hAnsi="Arial"/>
          <w:sz w:val="18"/>
          <w:szCs w:val="18"/>
          <w:color w:val="auto"/>
        </w:rPr>
        <w:t>”</w:t>
      </w:r>
      <w:r>
        <w:rPr>
          <w:rFonts w:ascii="Arial" w:cs="Arial" w:eastAsia="Arial" w:hAnsi="Arial"/>
          <w:sz w:val="18"/>
          <w:szCs w:val="18"/>
          <w:color w:val="3B3838"/>
        </w:rPr>
        <w:t>)</w:t>
      </w:r>
      <w:r>
        <w:rPr>
          <w:rFonts w:ascii="Arial" w:cs="Arial" w:eastAsia="Arial" w:hAnsi="Arial"/>
          <w:sz w:val="18"/>
          <w:szCs w:val="18"/>
          <w:color w:val="auto"/>
        </w:rPr>
        <w:t xml:space="preserve"> and costimulatory technologies (“TriTCE-costim”). </w:t>
      </w:r>
      <w:r>
        <w:rPr>
          <w:rFonts w:ascii="Arial" w:cs="Arial" w:eastAsia="Arial" w:hAnsi="Arial"/>
          <w:sz w:val="18"/>
          <w:szCs w:val="18"/>
          <w:color w:val="3B3838"/>
        </w:rPr>
        <w:t>TriTCE-CPI technology is designed to navigate suppressive tumor microenvironments and enhance the activity of T-cell engagers through</w:t>
      </w:r>
      <w:r>
        <w:rPr>
          <w:rFonts w:ascii="Arial" w:cs="Arial" w:eastAsia="Arial" w:hAnsi="Arial"/>
          <w:sz w:val="18"/>
          <w:szCs w:val="18"/>
          <w:color w:val="auto"/>
        </w:rPr>
        <w:t xml:space="preserve"> </w:t>
      </w:r>
      <w:r>
        <w:rPr>
          <w:rFonts w:ascii="Arial" w:cs="Arial" w:eastAsia="Arial" w:hAnsi="Arial"/>
          <w:sz w:val="18"/>
          <w:szCs w:val="18"/>
          <w:color w:val="3B3838"/>
        </w:rPr>
        <w:t xml:space="preserve">incorporation of a checkpoint pathway binder to restore and enhance T-cell engagement and overcome secondary resistance to provide durable responses. </w:t>
      </w:r>
      <w:r>
        <w:rPr>
          <w:rFonts w:ascii="Arial" w:cs="Arial" w:eastAsia="Arial" w:hAnsi="Arial"/>
          <w:sz w:val="18"/>
          <w:szCs w:val="18"/>
          <w:color w:val="000000"/>
        </w:rPr>
        <w:t>TriTCE-costim technology can increase T-cell fitness, activation and proliferation via tumor-dependent T-cell co-stimulation. Further, T-cell engager technologies can integrate with ProTECT, a technology built to mask an antibody arm to improve selectivity to minimize off-target, and mitigate on-target, adverse events.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Conjugate Platforms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Drug Conjugate Platforms are a suite of proprietary cytotoxins (including both topoisomerase and microtubulin inhibiting toxins), stable linkers, and conjugation technologies that are compatible with and complementary to our product candidates and enable delivery of cytotoxins directly to target cells. We believe that our platforms provide multiple competitive advantages over existing ADC approaches, including optimized activity and tolerability profiles through increased drug delivery to target cells with reduced off-target effects, as well as improved pharmacokinetics and stability. Our Drug Conjugate Platforms can be used in conjunction with our other therapeutic platforms to potentially increase safety and efficacy as compared to existing ADC technologies.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EFECT Antibody Effector Function Modulation Platform</w:t>
      </w:r>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EFECT platform consists of sets of modifications to the crystallizable fragment (“Fc”) region of antibodies that enable the selective modulation of recruited cytotoxic immune cells for diverse therapeutic applications. This allows us to rationally tailor the selective enhancement or suppression of immune effector function to optimize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 Tumor-Specific Immune Co-stimulation Platform</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ProTECT platform is a novel conditionally active antibody technology that can simultaneously increase the tolerability and efficacy for therapeutics, thereby potentially enhancing therapeutic window and clinical utility. Functional, natural immunomodulatory heterodimers are introduced to sterically block antigen binding outside the tumor, enabling therapeutics with limited activity in normal healthy tissue, avoiding on-target, off-tumor toxicities. Once in the tumor microenvironment, specific proteases cleave and release one half of the functional block activating both the targeting antibody and the immunomodulatory function. The resulting activated multifunctional therapeutic enables immune modulation in concert with antigen binding, which enables an overall increase in the therapeutic window through selective tumor activity and enhanced potency.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Partnerships and Collaborations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stage of each of our partners’ most advanced publicly disclosed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863590" cy="2451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6359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novel product candidates, together with our combination of proprietary protein engineering capabilities and resulting therapeutic platform technologies, have enabled us to enter into a number of strategic partnerships, many of which were subsequently expanded in scope. Our strategic partnerships and collaborations provide us with the ability to accelerate clinical development of our product candidates in certain geographical regions and provide our strategic partners with access to components of our proprietary therapeutic platforms for their own therapeutics development. In addition, these strategic partnerships have provided us with non-dilutive funding as well as access to proprietary therapeutic assets, which increase our ability to rapidly advance our product candidates while maintaining commercial rights to our own therapeutics.</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Through collaboration agreements with Jazz and BeiGene relating to our lead programs for zanidatamab and zanidatamab zovodotin, we have received over $435 million through December 31, 2022 in the form of non-refundable upfront payments and milestone payments. In addition, through these partnerships, we are eligible to receive up to $1.75 billion in potential regulatory, development and commercial milestone payments, as well as tiered royalties on potential future product sales, pending receipt of regulatory approval. These partnerships have provided us with a significant source of non-dilutive funding and provide for the future funding requirements for our lead asset, zanidatamab. These partnerships also leverage our partners’ commercial infrastructure, helping accelerate the development and expanding the potential reach of our lead product candidates.</w:t>
      </w:r>
    </w:p>
    <w:p>
      <w:pPr>
        <w:spacing w:after="0" w:line="18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To date, we have received approximately $180.0 million in the form of non-refundable upfront and milestone payments from platform partnership and collaboration agreements, excluding amounts received related to zanidatamab or zanidatamab</w:t>
      </w:r>
    </w:p>
    <w:p>
      <w:pPr>
        <w:sectPr>
          <w:pgSz w:w="11900" w:h="16838" w:orient="portrait"/>
          <w:cols w:equalWidth="0" w:num="1">
            <w:col w:w="11220"/>
          </w:cols>
          <w:pgMar w:left="320" w:top="229" w:right="3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zovodotin. We continue to have revenue-generating strategic partnerships and collaborations with respect to our Azymetric, EFECT and Drug Conjugate therapeutic platforms with BeiGene, BMS, GSK, Daiichi Sankyo, Janssen, LEO, Iconic, Merck and Atreca. Under these revenue-generating strategic partnerships and collaboration agreements, we are eligible to receive up to $2.8 billion in preclinical and development milestone payments and up to $5.9 billion in commercial milestone payments, as well as tiered royalties on potential future product sales, pending regulatory approval. It is possible, however, that our strategic partners’ programs will not advance as currently contemplated, which would negatively affect the amount of development and commercial milestone payments and royalties on potential future product sales we may receive. Importantly, these partnerships include predominantly non-target-exclusive licenses for any of our therapeutic platforms, so we maintain the ability to develop therapeutics directed to many high-value targets utilizing our platforms.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Our strategic partnerships and collaborations include the following: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Jazz</w:t>
      </w: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October 2022, Zymeworks BC entered into a License and Collaboration Agreement (the “Jazz Collaboration Agreement”) with Jazz, under which Jazz will have development and commercialization rights of zanidatamab throughout the world, but excluding existing territories already governed by Zymeworks BC’s agreement with BeiGene (the “Territory”). BeiGene has exclusive rights, pursuant to an agreement with Zymeworks BC dated November 26, 2018, as amended (the “BeiGene Agreement”), to commercialize zanidatamab in those countries that are excluded from the Territory.</w:t>
      </w:r>
    </w:p>
    <w:p>
      <w:pPr>
        <w:spacing w:after="0" w:line="172"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Under the terms of the Jazz Collaboration Agreement, Zymeworks BC granted to Jazz an exclusive, royalty-bearing license, with the right to grant sublicenses, under certain of Zymeworks BC’s intellectual property, to research, develop, manufacture, and commercialize in the Territory pharmaceutical products containing or incorporating zanidatamab or certain related antibodies (such antibodies, collectively, “Licensed Antibodies” such pharmaceutical products, “Licensed Products”). Licensed Antibodies and Licensed Products expressly exclude all ADCs, including Zymeworks BC’s proprietary ADC, zanidatamab zovodotin. Zymeworks BC also granted to Jazz a non-exclusive license, with the right to grant sublicenses, under certain of Zymeworks BC’s intellectual property, to research, preclinically develop and manufacture Licensed Products outside the Territory for the sole purpose of furthering the development and commercialization of Licensed Products in the Territory.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Jazz granted Zymeworks BC certain licenses, under certain of Jazz’s intellectual property, to develop and commercialize Licensed Antibodies and Licensed Products outside the Territory, to conduct certain development and manufacturing activities with respect to the Licensed Products in the Territory, and to make and have made Licensed Antibodies for incorporation into zanidatamab zovodotin, for development and commercialization both in and outside the Territory. If the BeiGene Agreement is terminated, in whole or in part, Jazz has a right of first negotiation to develop or commercialize any Licensed Product in such countries. In November 2022, the waiting period under the United States Hart-Scott Rodino Antitrust Improvements Act of 1976 expired (such clearance, the “HSR Clearance”).</w:t>
      </w:r>
    </w:p>
    <w:p>
      <w:pPr>
        <w:spacing w:after="0" w:line="189"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During the Term (as defined below), Jazz and its affiliates are prohibited from performing any clinical development of, or commercialization of, any pharmaceutical product containing a bispecific antibody directed to the ECD2 and ECD4 domains of HER2 in the Territory, other than Licensed Products. During the Term, Zymeworks BC and its affiliates are prohibited from performing any preclinical development (except for certain independent, internal preclinical development by Zymeworks BC or its affiliates) or clinical development of, or commercializing, any pharmaceutical product that is directed to HER2 in the Territory (each, a “Zymeworks Competing Product”), other than Licensed Products; provided that zanidatamab zovodotin is excluded from this restriction. Zymeworks BC retains the right to grant third parties rights to apply any of Zymeworks BC’s platforms to derive or generate, without any assistance from Zymeworks BC, antibodies directed to any biological target where Zymeworks BC is not aware of the identity of any such target, and Zymeworks BC retains the right to fulfill its obligations under agreements with its existing platform partners; provided, however, that Zymeworks BC cannot generate, or grant development or commercialization licenses to, Zymeworks Competing Products in new platform-based agreements entered into after the effective date of the Jazz Collaboration Agreement.</w:t>
      </w:r>
    </w:p>
    <w:p>
      <w:pPr>
        <w:spacing w:after="0" w:line="18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As between Jazz and Zymeworks BC, Jazz will be solely responsible for all development and commercial activities with respect to Licensed Products in the Territory, and all such development and commercial activities in the Territory shall be at Jazz’s sole cost and expense, except that Zymeworks BC shall be responsible for the continued conduct of clinical trials for zanidatamab initiated by Zymeworks BC prior to the execution of the Jazz Collaboration Agreement (collectively, the “Zymeworks Ongoing Studies”), including those clinical trials initiated by Zymeworks BC in South Korea, and filing of the first Biologics License Application for the Licensed Product (the “First BLA”), at Jazz’s cost and expense subject to the terms and conditions under the Jazz Collaboration Agreement. Following regulatory approval of the First BLA or earlier upon Jazz’s written request, Zymeworks BC will promptly transfer the First BLA to Jazz.</w:t>
      </w:r>
    </w:p>
    <w:p>
      <w:pPr>
        <w:spacing w:after="0" w:line="19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Jazz shall use commercially reasonable efforts to develop and obtain regulatory approval for a Licensed Product in certain major market countries for the treatment of certain diseases. Jazz will be the holder of regulatory approvals and regulatory</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submissions for Licensed Products in the Territory, except with respect to the Zymeworks Ongoing Studies and the First BLA until it is transferred to Jazz.</w:t>
      </w:r>
    </w:p>
    <w:p>
      <w:pPr>
        <w:spacing w:after="0" w:line="235"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Zymeworks BC will (either itself or through Zymeworks BC’s contract manufacturing organization) manufacture, and Jazz will purchase from Zymeworks BC, Jazz’s requirements of zanidatamab and Licensed Product until Jazz or Jazz’s contract manufacturer is approved to manufacture Licensed Antibody and Licensed Product, or until two years after the closing of the Jazz Collaboration Agreement (which closing occurred following receipt of the HSR Clearance), whichever is later. Thereafter, Zymeworks BC will manufacture for Jazz, and Jazz will purchase from Zymeworks BC, certain quantities of zanidatamab and Licensed Product, until such manufacture is fully transferred to Jazz, but no later than three years after closing. Supply of zanidatamab and Licensed Product shall be further set forth in separate clinical and commercial supply agreements to be executed by the parties.</w:t>
      </w:r>
    </w:p>
    <w:p>
      <w:pPr>
        <w:spacing w:after="0" w:line="14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Jazz shall be solely responsible for commercializing the Licensed Products in the Territory and use commercially reasonable efforts to commercialize in each specified major market country each Licensed Product that obtains regulatory approval in such country. Jazz shall conduct such commercialization at its sole cost and expense.</w:t>
      </w:r>
    </w:p>
    <w:p>
      <w:pPr>
        <w:spacing w:after="0" w:line="18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Under the Jazz Collaboration Agreement, Zymeworks BC received (i) a non-refundable $50.0 million upfront payment following receipt of HSR Clearance and delivery of licenses and technology transfer to Jazz and (ii) a further payment of $325.0 million following Jazz’s decision to continue the collaboration after readout of the top-line clinical data from HERIZON-BTC-01, as well as Zymeworks BC’s delivery of all data, analyses and other information set forth in the Jazz Collaboration Agreement. Jazz will reimburse Zymeworks BC for Zymeworks BC’s performance of development activities under the Jazz Collaboration Agreement in accordance with a development plan and budget. Zymeworks BC will be also eligible to receive up to an aggregate of $525.0 million in certain regulatory milestones payments and up to an aggregate of $862.5 million in potential commercial milestone payments, for total potential payments of up to $1.76 billion. Pending approval, Zymeworks BC is eligible to receive tiered royalties between 10% and 20% on annual net sales of Licensed Products in the Territory, with customary reductions in specified circumstances. Royalties are payable on a Licensed Product-by-Licensed Product and country-by-country basis until the latest of (i) ten years after the first commercial sale of such Licensed Product in such country, (ii) the expiration of the last valid licensed patent claim within the licensed Zymeworks BC intellectual property covering such Licensed Product in such country, and (iii) the expiration of regulatory exclusivity of such Licensed Product in such country.</w:t>
      </w:r>
    </w:p>
    <w:p>
      <w:pPr>
        <w:spacing w:after="0" w:line="18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Zymeworks BC shall solely own all inventions made by the parties solely or jointly that specifically relate to the composition of matter of zanidatamab and any invention made solely by Zymeworks BC and its affiliates. Jazz shall own all inventions made solely by Jazz. Inventions made jointly by the parties shall be owned jointly by the parties.</w:t>
      </w:r>
    </w:p>
    <w:p>
      <w:pPr>
        <w:spacing w:after="0" w:line="182"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color w:val="auto"/>
        </w:rPr>
        <w:t>Unless terminated earlier, the term of the Jazz Collaboration Agreement will continue on a Licensed Product-by-Licensed Product and country-by-country basis until the expiration of the royalty term for such Licensed Product in such country (the “Term”). On a country-by-country basis, upon the expiration of the Term, the license granted to Jazz in such country shall become fully paid-up, royalty-free, perpetual, and irrevocable.</w:t>
      </w:r>
    </w:p>
    <w:p>
      <w:pPr>
        <w:spacing w:after="0" w:line="16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At any time, Jazz may terminate the Jazz Collaboration Agreement, in its entirety or on a region-by-region basis, by providing written notice of termination to Zymeworks BC. In the event that Jazz or its affiliates file or initiate a patent challenge against Zymeworks BC, Zymeworks BC may terminate the Jazz Collaboration Agreement unless such challenge is withdrawn, abandoned, or terminated following Jazz’s receipt of written notice from Zymeworks BC. Subject to certain conditions, either party may terminate the Jazz Collaboration Agreement in the event of an uncured material breach or insolvency of the other party.</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Upon the termination of the Jazz Collaboration Agreement for any reason, all licenses and other rights granted to Jazz by Zymeworks BC shall terminate. Licenses granted by Jazz to Zymeworks BC shall continue following the effective date of termination, and Jazz shall grant to Zymeworks BC a non-exclusive, royalty-bearing and sublicensable license under certain intellectual property controlled by Jazz that either arises from the Jazz Collaboration Agreement or is used by or on behalf of Jazz in the development, manufacture, or commercialization of Licensed Products. If Jazz has the right to terminate the Jazz Collaboration Agreement because Zymeworks BC was in material breach of the Jazz Collaboration Agreement and did not timely cure such breach, Jazz may elect to have the Jazz Collaboration Agreement continue in full force and effect and all amounts thereafter payable by Jazz under the Jazz Collaboration Agreement will be reduced, and Jazz will have no further obligations to develop and commercialize each Licensed Product in each major market.</w:t>
      </w:r>
    </w:p>
    <w:p>
      <w:pPr>
        <w:spacing w:after="0" w:line="194"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The Jazz Collaboration Agreement also includes certain other customary terms and conditions, including mutual representations and warranties, indemnification, and confidentiality provisions.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BeiGene</w:t>
      </w:r>
    </w:p>
    <w:p>
      <w:pPr>
        <w:spacing w:after="0" w:line="21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In November 2018, we entered into agreements with BeiGene whereby we granted BeiGene royalty-bearing exclusive licenses for the research, development and commercialization of zanidatamab and zanidatamab zovodotin in Asia (excluding Japan but including the People’s Republic of China, South Korea and other countries), Australia and New Zealand. In addition, we also granted BeiGene a worldwide, royalty-bearing, antibody sequence pair-specific license to research, develop and commercialize globally three bispecific antibodies generated through the use of our Azymetric and EFECT platforms.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Zanidatamab &amp; Zanidatamab Zovodotin</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the research, development and commercialization licenses to zanidatamab and zanidatamab zovodotin, we received an upfront payment of $40.0 million. In aggregate for both zanidatamab and zanidatamab zovodotin, we are also eligible to receive development and commercial milestone payments of up to $390.0 million, together with tiered royalties from high single digits and up to 20% on future sales of the products. In March 2020, BeiGene dosed the first patient in a two-arm Phase 1b/2 trial evaluating zanidatamab in combination with chemotherapy as a first-line treatment for patients with metastatic HER2-positive breast cancer and in combination with chemotherapy and BeiGene’s PD-1-targeted antibody tislelizumab as a first-line treatment for patients with metastatic HER2-positive GEA. We received a payment of $5.0 million in relation to this milestone. In November 2020, BeiGene dosed the first patient in South Korea in the pivotal HERIZON-BTC-01 study, and we received a payment of $10.0 million in relation to this milestone. In December 2021, BeiGene dosed the first patient in South Korea in the pivotal HERIZON-GEA-01 study, and we received a payment of $8.0 million in relation to this milestone.</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Under the agreements, Zymeworks and BeiGene are collaborating on certain global clinical studies and both Zymeworks and BeiGene will independently conduct other clinical studies in their own respective territories. Each of Zymeworks and BeiGene are responsible for all of the development and commercialization costs in their own territories. Unless earlier terminated, these agreements will terminate on a licensed product-by-product and country-by-country basis upon the expiration of the royalty term in such country for such licensed product. The agreements may be terminated by BeiGene upon prior written notice or by either party upon the other party’s bankruptcy or uncured material breach.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Azymetric &amp; EFECT Platforms</w:t>
      </w:r>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received an upfront payment of $20.0 million for the development and commercialization licenses of up to three bispecific antibody therapeutics using our Azymetric and EFECT platforms. We are also eligible to receive development and commercial milestone payments of up to an aggregate of $702.0 million. In addition, we are eligible to receive tiered royalties in the mid-single digits on product sales. No development or commercial milestone payments or royalties have been received to date. BeiGene is solely responsible for the research, development, manufacturing, and commercialization of the products. Unless earlier terminated, this agreement will terminate on a licensed product-by-product and country-by-country basis upon the expiration of the royalty term in such country for such licensed product. This agreement may be terminated by BeiGene upon prior written notice, or by either party upon the other party’s uncured material breach.</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BMS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 December 2014, we entered into a collaboration agreement with Celgene (now BMS) to research, develop and commercialize bispecific antibodies generated through the use of our Azymetric platform. This agreement was expanded in 2018 to increase the number of programs from eight to ten and to extend BMS’s research period. Under the terms of the agreement, we granted BMS a right to exercise options to worldwide, royalty-bearing, antibody sequence pair-specific exclusive licenses to research, develop and commercialize certain licensed products. We received an upfront payment of $8.0 million and an expansion fee of $4.0 million. BMS has the right to exercise options on up to ten programs and if BMS opts in on a program, we are eligible to receive up to $164.0 million per product candidate (up to $1.64 billion for all ten programs), comprised of a commercial license option payment of $7.5 million, development milestone payments of up to $101.5 million and commercial milestone payments of up to $55.0 million. To date, BMS has exercised one commercial license option and we have received a total of $7.5 million in product candidate-specific payments. In addition, we are eligible to receive tiered royalties calculated upon the global net sales of the resulting products. BMS will have exclusive worldwide commercialization rights to products derived from the agreement if BMS elects to exercise a commercial license option for each product. After conclusion of BMS’s research period, BMS will be solely responsible for the research, development, manufacturing and commercialization of the products. In June 2020, our existing collaboration agreement with BMS was amended to expand the license grant to include the use of our EFECT platform for the development of therapeutic candidates and to extend the research term. We received an upfront expansion fee of $12.0 million and all other financial terms were unchanged. The agreement contains customary termination rights for BMS and us, including the right of BMS to terminate the agreement in its entirety or on a product-by-product basis in its sole discretion with advance notice to us. The agreement will terminate on a product-by-product and country-by-country basis upon the later of the expiration of the last-expiring patent related to the BMS licensed product, or ten years after the first commercial sale of the BMS licensed product in such a country. If BMS does not exercise its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option for the commercial license, the agreement will terminate on a product-by-product basis for which the option was not exercised.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GSK</w:t>
      </w:r>
    </w:p>
    <w:p>
      <w:pPr>
        <w:spacing w:after="0" w:line="21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In December 2015, we entered into a collaboration and license agreement with GSK to research, develop and commercialize up to ten Fc-engineered monoclonal and bispecific antibodies generated through the use of our EFECT and Azymetric platforms. Under the terms of the agreement, we granted GSK a worldwide, royalty-bearing antibody target-exclusive license to new intellectual property generated to the EFECT platform under this collaboration and a non-exclusive license to the Azymetric platform to research, develop and commercialize future licensed products. We are eligible to receive up to $1.1 billion, including research, development and commercial milestone payments of up to $110.0 million for each product. In addition, we are eligible to receive tiered royalties in the low single digits on net sales of products. No development or commercial milestone payments or royalties have been received to date. We retained the right to develop up to four products, free of royalties, using the new intellectual property generated in this collaboration, and after a period of time, to grant licenses to such intellectual property for development of additional products by third parties. Under this agreement, we are sharing certain research and development responsibilities with GSK to generate new Fc-engineered antibodies. Each party will bear its own costs for the responsibilities assigned to it during the research period. After the conclusion of the research period, each party will be solely responsible for the further research, development, manufacturing and commercialization of its own respective products. The agreement contains customary termination rights for GSK and us, including the right for GSK to terminate the agreement in its sole discretion with advance notice to us, and allowing the parties to terminate the agreement by mutual agreement. The agreement will terminate on the earlier of (i) the end of the research period if GSK does not elect to advance one or more products incorporating intellectual property generated under the research period for further research and development or (ii) on a product-by-product and country-by-country basis upon the latter of the product being no longer covered by a patent related to the GSK licensed product, or ten years after the first commercial sale of the GSK licensed product in such a country.</w:t>
      </w:r>
    </w:p>
    <w:p>
      <w:pPr>
        <w:spacing w:after="0" w:line="168"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In April 2016, we entered into a platform technology transfer and license agreement with GSK to research, develop and commercialize up to six bispecific antibodies generated through the use of our Azymetric platform. This may include bispecific antibodies incorporating new engineered Fc regions generated under the 2015 GSK agreement. Under the terms of this 2016 agreement, we granted GSK a worldwide, royalty-bearing antibody sequence pair-specific exclusive license to research, develop and commercialize licensed products. In May 2019, this agreement was expanded to provide GSK access to Zymeworks’ unique heavy-light chain pairing technology under the Azymetric platform. Under the expanded agreement, we are eligible to receive up to $1.1 billion in milestone and other payments. To date, we have received an upfront technology access fee payment of $6.0 million. We are also eligible to receive research milestone payments of up to $37.5 million, development milestone payments of up to $183.5 million and commercial milestone payments of up to $867.0 million. In addition, we are eligible to receive tiered royalties in the low to mid-single digits on product sales. GSK bears all responsibility and costs associated with research, development and commercialization of products generated using the Azymetric platform. The agreement contains customary termination rights for GSK and us, including the right for GSK to terminate the agreement in its sole discretion with advance notice to us. Termination provisions allow for GSK to terminate the agreement or specific antibody sequence pairs due to an incurable material breach by us, and under specific conditions, GSK shall have certain rights to continue the research, development, and commercialization of products with their license payment, milestone, and royalty obligations reduced by 50%.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Daiichi Sankyo</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 September 2016, we entered into a collaboration and cross-license agreement with Daiichi Sankyo to research, develop and commercialize one bispecific antibody generated through the use of our Azymetric and EFECT platforms. Under the terms of the agreement, we granted Daiichi Sankyo a worldwide, royalty-bearing antibody sequence pair-specific exclusive license to research, develop and commercialize certain licensed products. We are eligible to receive up to $149.9 million in milestone and other payments. To date, we have received an upfront technology access fee payment of $2.0 million and research and commercial option related payments totaling $4.5 million. We are also eligible to receive additional development milestone payments of up to $63.4 million, and commercial milestone payments of up to $80.0 million. In addition, we are eligible to receive tiered royalties ranging from the low single digits up to 10% on product sales. We also gained non-exclusive rights to develop and commercialize up to three products (revised to up to six products pursuant to a June 2022 amendment) using Daiichi Sankyo’s proprietary immune-oncology antibodies, with royalties in the low single digits to be paid to Daiichi Sankyo on sales of such products. Daiichi Sankyo is solely responsible for the research, development, manufacturing and commercialization of the products. Under the non-exclusive immuno-oncology antibody license to Zymeworks, we are solely responsible for all research, development and commercialization of the resulting products. The agreement contains customary termination rights for Daiichi and us, including the right for Daiichi to terminate the rights to our therapeutic platforms in its sole discretion with advance notice to us and for us to terminate our rights to Daiichi’s antibodies with advance notice to Daiichi. The agreement shall terminate, with respect to Daiichi’s license, if Daiichi fails to exercise its option or, on a product-by-product basis, until expiration of Daiichi’s royalty obligations. We have been informed that Daiichi Sankyo has deprioritized its development efforts under this agreement.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In May 2018, we entered into a new license agreement with Daiichi Sankyo to research, develop and commercialize two bispecific antibodies generated through the use of our Azymetric and EFECT platforms. This agreement did not alter or amend the initial 2016 agreement. Under the terms of this 2018 agreement, we granted Daiichi Sankyo a worldwide, royalty-bearing, antibody sequence pair-specific, exclusive license to research, develop and commercialize certain products. We are eligible to receive up to $484.7 million in various milestone and other payments. To date, we have received an upfront technology access fee payment of $18.0 million. We are also eligible to receive development milestone payments totaling up to $126.7 million and commercial milestone payments of up to $340.0 million. In addition, we are eligible to receive tiered royalties ranging from the low single digits up to 10% on product sales. Daiichi Sankyo is solely responsible for the research, development, manufacturing and commercialization of the products. The agreement contains customary termination rights for Daiichi Sankyo and us, including the right for Daiichi Sankyo to terminate the rights to our therapeutic platforms in its sole discretion with advance notice to us. The agreement shall terminate, with respect to Daiichi Sankyo’s licenses, on a product-by-product basis, with the last payment obligation for the respective product.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w:t>
      </w: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November 2017, we entered into a collaboration and license agreement with Janssen to research, develop and commercialize up to six bispecific antibodies generated through the use of our Azymetric and EFECT platforms. Under the terms of the agreement, we granted Janssen a worldwide, royalty-bearing, antibody sequence group-specific exclusive license to research, develop and commercialize certain products. We are eligible to receive up to $1.45 billion in various license and milestone payments. To date, we have received an upfront payment of $50.0 million and development milestones totaling $8.0 million in connection with the initiation of clinical trials of two bispecific antibodies. We are also eligible to receive development milestone payments of up to $274.0 million and commercial milestone payments of up to $1.12 billion. In addition, we are eligible to receive tiered royalties in the mid-single digits on product sales. Janssen has the option to develop two additional bispecific antibodies under this agreement subject to a future option payment. Janssen is solely responsible for the research, development, manufacturing and commercialization of the products. The agreement contains customary termination rights for Janssen and us, including the right for Janssen to terminate the agreement in its sole discretion with advance notice to us. The agreement will terminate, on a product-by-product basis, on the expiry of the royalty term for the product. Furthermore, if Janssen does not designate an antibody sequence group during the research program term, the agreement will also terminate.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LEO</w:t>
      </w:r>
    </w:p>
    <w:p>
      <w:pPr>
        <w:spacing w:after="0" w:line="212" w:lineRule="exact"/>
        <w:rPr>
          <w:sz w:val="20"/>
          <w:szCs w:val="20"/>
          <w:color w:val="auto"/>
        </w:rPr>
      </w:pPr>
    </w:p>
    <w:p>
      <w:pPr>
        <w:jc w:val="both"/>
        <w:ind w:right="200"/>
        <w:spacing w:after="0" w:line="271" w:lineRule="auto"/>
        <w:rPr>
          <w:sz w:val="20"/>
          <w:szCs w:val="20"/>
          <w:color w:val="auto"/>
        </w:rPr>
      </w:pPr>
      <w:r>
        <w:rPr>
          <w:rFonts w:ascii="Arial" w:cs="Arial" w:eastAsia="Arial" w:hAnsi="Arial"/>
          <w:sz w:val="16"/>
          <w:szCs w:val="16"/>
          <w:color w:val="auto"/>
        </w:rPr>
        <w:t>In October 2018, we entered into a research and license agreement with LEO whereby we granted LEO a worldwide, royalty-bearing, antibody sequence pair-specific exclusive license to research, develop and commercialize two bispecific antibodies, generated through the use of our Azymetric and EFECT platforms, for dermatologic indications. Zymeworks retains rights to develop antibodies resulting from this collaboration in all other therapeutic areas.</w:t>
      </w:r>
    </w:p>
    <w:p>
      <w:pPr>
        <w:ind w:right="140"/>
        <w:spacing w:after="0" w:line="249" w:lineRule="auto"/>
        <w:rPr>
          <w:sz w:val="20"/>
          <w:szCs w:val="20"/>
          <w:color w:val="auto"/>
        </w:rPr>
      </w:pPr>
      <w:r>
        <w:rPr>
          <w:rFonts w:ascii="Arial" w:cs="Arial" w:eastAsia="Arial" w:hAnsi="Arial"/>
          <w:sz w:val="17"/>
          <w:szCs w:val="17"/>
          <w:color w:val="auto"/>
        </w:rPr>
        <w:t>Pursuant to this agreement, we received an upfront payment of $5.0 million. In addition, (i) for the first therapeutic candidate, we are eligible to receive preclinical and development milestone payments of up to $74.0 million and commercial milestone payments of up to $157.0 million together with tiered royalties on future sales of up to 20% in the United States and up to high single digits elsewhere, and (ii) for the second therapeutic candidate, we are eligible to receive preclinical and development milestone payments of up to $86.5 million and commercial milestone payments of up to $157.0 million together with tiered royalties on future sales of up to low double digits globally. For products developed by Zymeworks outside of dermatology, LEO is eligible to receive commercial milestone payments and up to single-digit royalties on future sales. No development or commercial milestone payments or royalties have been received to date. Zymeworks and LEO are jointly responsible for certain research activities, with Zymeworks’ cost to be fully reimbursed by LEO. Each party is solely responsible for the development, manufacturing, and commercialization of its own products. The agreement contains customary termination rights for LEO and us, including the right for LEO to terminate its rights to our therapeutic platforms in its sole discretion with advance notice to us. The agreement shall terminate, with respect to LEO’s licenses, on a product-by-product basis, with the expiration of the last-to-expire royalty term for the respective product.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Iconic / Exelixis</w:t>
      </w:r>
    </w:p>
    <w:p>
      <w:pPr>
        <w:spacing w:after="0" w:line="212"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In May 2019, we entered into a license agreement with Iconic Therapeutics, Inc. (“Iconic”) to develop and commercialize its ADC (ICON-2) targeting Tissue Factor, generated through the use of our ZymeLink platform. Under the terms of this agreement, we granted Iconic a worldwide, royalty-bearing, antibody sequence-specific, exclusive license to develop and commercialize certain products. In December 2020, Iconic licensed ICON-2 (also known as XB002) to Exelixis, and under our agreement with Iconic, we received $4.0 million, a share of the $20.0 million option fee paid to Iconic by Exelixis. Under a December 2021 amendment to the license agreement between Iconic and Exelixis, we received a share of the one-time fee received by Iconic in exchange for all future milestones owing to Iconic from Exelixis. We continue to be eligible to receive future royalties on the ICON-2 program pursuant to the agreement with Iconic. Iconic and its partners are responsible for the development, manufacturing, and commercialization of the products. The Agreement contains customary termination rights for Iconic and Zymeworks, including the right for Iconic to terminate the Agreement, in its sole discretion, with advance notice to Zymeworks.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Collaborations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w:t>
      </w:r>
    </w:p>
    <w:p>
      <w:pPr>
        <w:spacing w:after="0" w:line="21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have collaborated with Merck since 2011. In July 2020, we entered into a new licensing agreement with Merck granting Merck a worldwide, royalty-bearing license to research, develop and commercialize up to three new multispecific antibodies toward Merck’s therapeutic targets in the human health field and up to three new multispecific antibodies toward Merck’s therapeutic targets in the animal health field using our Azymetric and EFECT platforms. We are eligible to receive up to $419.3 million in option exercise fees and clinical development and regulatory approval milestone payments and up to $502.5 million in commercial milestone payments, as well as tiered royalties on worldwide sales.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Atreca</w:t>
      </w:r>
    </w:p>
    <w:p>
      <w:pPr>
        <w:spacing w:after="0" w:line="212"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color w:val="auto"/>
        </w:rPr>
        <w:t>In April 2022, Atreca announced a licensing agreement with us to utilize our ZymeLink technology to develop novel ADCs. We recognized a $5.0 million research license fee payment in association with this licensing agreement in conjunction with future option exercise fees and development, regulatory, and commercial milestones as well as tiered royalties on net sales of any licensed products at single-digit royalty rates.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business success will depend significantly on our ability to:</w:t>
      </w:r>
    </w:p>
    <w:p>
      <w:pPr>
        <w:spacing w:after="0" w:line="117"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secure, maintain and enforce patent and other proprietary protection for our core technologies, inventions and know-how;</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and maintain licenses to key third-party intellectual property owned by such third parties;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preserve the confidentiality of our trade secrets;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operate without infringing upon valid, enforceable third-party patents and other rights.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seek to secure and maintain patent protection for the composition of matter, manufacturing processes and methods of use for our drug candidates and for our underlying protein engineering capabilities and therapeutic platforms including Azymetric, EFECT, ZymeLink, ZymeCAD and ProTECT. We also utilize trade secrets, careful monitoring and limited disclosure of our proprietary information where patent protection is not appropriate. We also protect our proprietary information by ensuring that our employees, consultants, contractors and other advisors execute agreements requiring non-disclosure and assignment of inventions prior to their engagement. We intend to continue to expand our intellectual property holdings by seeking patent protection for new compositions of matter, new features and applications of our core therapeutic platforms, and innovative new therapeutic platforms, in the United States and other jurisdictions. We also intend to supplement internal innovation through in-licensing of new technologies and compositions of matter as appropriate. We intend to take advantage of any available data exclusivity, market exclusivity, patent term adjustment and patent term extensions.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routinely monitor the status of existing and emerging intellectual property disclosed by third parties that may impact our business, and to the extent we identify any such disclosures, by evaluating them and taking appropriate courses of action.</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December 31, 2022, our patent portfolio consists of 71 active patent families. Of these, 29 families relate to our key product candidates (zanidatamab and zanidatamab zovodotin), our preclinical product candidates (including our lead preclinical product candidates ZW191 and ZW171), and our therapeutic platform technology. The remaining 42 patent families relate to other earlier stage potential product candidates or platforms that we do not consider material to our business at this time. One of our patent families is exclusively licensed from a third party. Two of our patent families are co-owned with VAR2 Pharmaceuticals ApS, and one patent family is co-owned with the Provincial Health Services Authority and University of Victoria Industry Partnerships. None of the licensed or co-owned patent families relate to our lead product candidates, zanidatamab and zanidatamab zovodotin. As of December 31, 2022, we have 197 issued patents, 52 of which are U.S. patents.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Therapeutic Antibody Portfolio</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Our therapeutic antibody patent portfolio is directed to specific compositions of matter and methods of treatment for our product candidates, including target-specific interactions and immunomodulatory mechanisms. We own the zanidatamab and zanidatamab zovodotin patent portfolio.</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00" w:hanging="325"/>
        <w:spacing w:after="0" w:line="269" w:lineRule="auto"/>
        <w:tabs>
          <w:tab w:leader="none" w:pos="819"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Zanidatamab: </w:t>
      </w:r>
      <w:r>
        <w:rPr>
          <w:rFonts w:ascii="Arial" w:cs="Arial" w:eastAsia="Arial" w:hAnsi="Arial"/>
          <w:sz w:val="17"/>
          <w:szCs w:val="17"/>
          <w:color w:val="auto"/>
        </w:rPr>
        <w:t>Zanidatamab is covered by five patent families. The first is an international patent application filed under the Patent Cooperation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Treaty (“PCT”) that is in the national phase with applications pending or issued in Australia, Brazil, Canada, China, Europe, Hong Kong, India, Japan, Korea, Mexico, Russia and the United States. This application relates to the composition of matter, methods of making and uses of zanidatamab, and if issued, is expected to expire in 2034, absent any adjustments or extensions. Three U.S. patents have issued in this family. Three additional PCT applications relate to treatment methods using zanidatamab. Two of these PCT applications are in the national phase, one with applications issued or pending in Australia, Canada, Europe, Japan and the United States, and the other with applications pending in Australia, Brazil, Canada, Chile, China, Europe, Japan, Korea, Mexico and the United States. Any patents that issue from these national phase filings are expected to expire between 2035 and 2039, absent any adjustments or extensions. Another patent family is pending in Canada and the United States and is also directed to treatment methods using zanidatamab. Any patents that issue from this patent family are expected to expire in 2040, absent any adjustments or extensions.</w:t>
      </w:r>
    </w:p>
    <w:p>
      <w:pPr>
        <w:spacing w:after="0" w:line="77" w:lineRule="exact"/>
        <w:rPr>
          <w:rFonts w:ascii="Arial" w:cs="Arial" w:eastAsia="Arial" w:hAnsi="Arial"/>
          <w:sz w:val="17"/>
          <w:szCs w:val="17"/>
          <w:color w:val="auto"/>
        </w:rPr>
      </w:pPr>
    </w:p>
    <w:p>
      <w:pPr>
        <w:ind w:left="900" w:right="120" w:hanging="325"/>
        <w:spacing w:after="0" w:line="275" w:lineRule="auto"/>
        <w:tabs>
          <w:tab w:leader="none" w:pos="819"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Zanidatamab Zovodotin: </w:t>
      </w:r>
      <w:r>
        <w:rPr>
          <w:rFonts w:ascii="Arial" w:cs="Arial" w:eastAsia="Arial" w:hAnsi="Arial"/>
          <w:sz w:val="17"/>
          <w:szCs w:val="17"/>
          <w:color w:val="auto"/>
        </w:rPr>
        <w:t>We have filed a PCT application covering zanidatamab zovodotin composition of matter and methods of making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using zanidatamab zovodotin, which is in the national phase with applications pending in Australia, Brazil, Canada, China, Europe, Hong Kong, Israel, India, Japan, Korea, Mexico, New Zealand, Russia, Singapore and the United States. One patent from this family has issued in the United States. Corresponding applications were filed in Argentina and Taiwan that are not part of the PCT. Any patents that issue from national phase filings are expected to expire in 2039, absent any adjustments or extensions.</w:t>
      </w:r>
    </w:p>
    <w:p>
      <w:pPr>
        <w:spacing w:after="0" w:line="1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Both zanidatamab and zanidatamab zovodotin are also protected by our two patent families relating to the Azymetric Fc, as described below. Zanidatamab zovodotin is also protected by two of the ZymeLink patent families,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 Preclinical Candidate Portfolio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lead preclinical candidate patent portfolio is directed to specific compositions of matter and methods of treatment for our lead preclinical candidates.</w:t>
      </w:r>
    </w:p>
    <w:p>
      <w:pPr>
        <w:spacing w:after="0" w:line="140" w:lineRule="exact"/>
        <w:rPr>
          <w:sz w:val="20"/>
          <w:szCs w:val="20"/>
          <w:color w:val="auto"/>
        </w:rPr>
      </w:pPr>
    </w:p>
    <w:p>
      <w:pPr>
        <w:ind w:left="900" w:right="480" w:hanging="325"/>
        <w:spacing w:after="0" w:line="277"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ZW191: </w:t>
      </w:r>
      <w:r>
        <w:rPr>
          <w:rFonts w:ascii="Arial" w:cs="Arial" w:eastAsia="Arial" w:hAnsi="Arial"/>
          <w:sz w:val="18"/>
          <w:szCs w:val="18"/>
          <w:color w:val="auto"/>
        </w:rPr>
        <w:t>We have filed U.S. provisional applications covering ZW191 compositions of matter and methods of making and using ZW191.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ZW191 is also protected by our patent family relating to topoisomerase inhibitors, as described below.</w:t>
      </w:r>
    </w:p>
    <w:p>
      <w:pPr>
        <w:spacing w:after="0" w:line="62" w:lineRule="exact"/>
        <w:rPr>
          <w:rFonts w:ascii="Arial" w:cs="Arial" w:eastAsia="Arial" w:hAnsi="Arial"/>
          <w:sz w:val="18"/>
          <w:szCs w:val="18"/>
          <w:color w:val="auto"/>
        </w:rPr>
      </w:pPr>
    </w:p>
    <w:p>
      <w:pPr>
        <w:ind w:left="900" w:right="500" w:hanging="325"/>
        <w:spacing w:after="0" w:line="277"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ZW171: </w:t>
      </w:r>
      <w:r>
        <w:rPr>
          <w:rFonts w:ascii="Arial" w:cs="Arial" w:eastAsia="Arial" w:hAnsi="Arial"/>
          <w:sz w:val="18"/>
          <w:szCs w:val="18"/>
          <w:color w:val="auto"/>
        </w:rPr>
        <w:t>We have filed a U.S. provisional application covering ZW171 composition of matter and methods of making and using ZW171.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ZW171 is also protected by our two patent families relating to the Azymetric Fc,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Therapeutic Platform Technology Portfolio</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therapeutic platform technology portfolio includes biological formats and variants thereof, including the Azymetric platform, our Drug Conjugate Platforms (including ZymeLink and topoisomerase inhibitors), the EFECT platform, and specific applications, manufacturing methods and assays related to the platform constructs and underlying computational chemistry.</w:t>
      </w:r>
    </w:p>
    <w:p>
      <w:pPr>
        <w:spacing w:after="0" w:line="76" w:lineRule="exact"/>
        <w:rPr>
          <w:sz w:val="20"/>
          <w:szCs w:val="20"/>
          <w:color w:val="auto"/>
        </w:rPr>
      </w:pPr>
    </w:p>
    <w:p>
      <w:pPr>
        <w:ind w:left="900" w:right="760" w:hanging="325"/>
        <w:spacing w:after="0" w:line="277" w:lineRule="auto"/>
        <w:tabs>
          <w:tab w:leader="none" w:pos="89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Azymetric: </w:t>
      </w:r>
      <w:r>
        <w:rPr>
          <w:rFonts w:ascii="Arial" w:cs="Arial" w:eastAsia="Arial" w:hAnsi="Arial"/>
          <w:sz w:val="18"/>
          <w:szCs w:val="18"/>
          <w:color w:val="auto"/>
        </w:rPr>
        <w:t>We own a portfolio of six patent families relating to the Azymetric platform for engineering Fc and Fab constructs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bispecific antibodies.</w:t>
      </w:r>
    </w:p>
    <w:p>
      <w:pPr>
        <w:spacing w:after="0" w:line="62" w:lineRule="exact"/>
        <w:rPr>
          <w:rFonts w:ascii="Arial" w:cs="Arial" w:eastAsia="Arial" w:hAnsi="Arial"/>
          <w:sz w:val="18"/>
          <w:szCs w:val="18"/>
          <w:color w:val="auto"/>
        </w:rPr>
      </w:pPr>
    </w:p>
    <w:p>
      <w:pPr>
        <w:ind w:left="900" w:right="100"/>
        <w:spacing w:after="0" w:line="272" w:lineRule="auto"/>
        <w:rPr>
          <w:rFonts w:ascii="Arial" w:cs="Arial" w:eastAsia="Arial" w:hAnsi="Arial"/>
          <w:sz w:val="18"/>
          <w:szCs w:val="18"/>
          <w:color w:val="auto"/>
        </w:rPr>
      </w:pPr>
      <w:r>
        <w:rPr>
          <w:rFonts w:ascii="Arial" w:cs="Arial" w:eastAsia="Arial" w:hAnsi="Arial"/>
          <w:sz w:val="17"/>
          <w:szCs w:val="17"/>
          <w:i w:val="1"/>
          <w:iCs w:val="1"/>
          <w:color w:val="auto"/>
        </w:rPr>
        <w:t xml:space="preserve">Azymetric Fc: </w:t>
      </w:r>
      <w:r>
        <w:rPr>
          <w:rFonts w:ascii="Arial" w:cs="Arial" w:eastAsia="Arial" w:hAnsi="Arial"/>
          <w:sz w:val="17"/>
          <w:szCs w:val="17"/>
          <w:color w:val="auto"/>
        </w:rPr>
        <w:t>Two of the patent families relate to engineered antibody Fc region polypeptides having amino acid substitutions that</w:t>
      </w:r>
      <w:r>
        <w:rPr>
          <w:rFonts w:ascii="Arial" w:cs="Arial" w:eastAsia="Arial" w:hAnsi="Arial"/>
          <w:sz w:val="17"/>
          <w:szCs w:val="17"/>
          <w:i w:val="1"/>
          <w:iCs w:val="1"/>
          <w:color w:val="auto"/>
        </w:rPr>
        <w:t xml:space="preserve"> </w:t>
      </w:r>
      <w:r>
        <w:rPr>
          <w:rFonts w:ascii="Arial" w:cs="Arial" w:eastAsia="Arial" w:hAnsi="Arial"/>
          <w:sz w:val="17"/>
          <w:szCs w:val="17"/>
          <w:color w:val="auto"/>
        </w:rPr>
        <w:t>preferentially form heterodimers, with PCT national phase applications pending or issued in Australia, Brazil, Canada, China, Europe, Hong Kong, India, Japan, Korea, Mexico, Russia and the United States. One U.S. patent has issued with 1,102 days of patent term adjustment and is expected to expire on November 10, 2034. A second U.S. patent has issued with 372 days of patent term adjustment and is expected to expire on November 9, 2033. Two additional U.S. patents have issued. If issued, the remaining patents in these families are expected to expire between 2031 and 2032, absent any adjustments or extensions. Two additional issued U.S. patents cover methods of expressing antibodies containing heterodimeric Fc regions in cells.</w:t>
      </w:r>
    </w:p>
    <w:p>
      <w:pPr>
        <w:spacing w:after="0" w:line="69" w:lineRule="exact"/>
        <w:rPr>
          <w:rFonts w:ascii="Arial" w:cs="Arial" w:eastAsia="Arial" w:hAnsi="Arial"/>
          <w:sz w:val="18"/>
          <w:szCs w:val="18"/>
          <w:color w:val="auto"/>
        </w:rPr>
      </w:pPr>
    </w:p>
    <w:p>
      <w:pPr>
        <w:ind w:left="900" w:right="8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Azymetric Fab</w:t>
      </w:r>
      <w:r>
        <w:rPr>
          <w:rFonts w:ascii="Arial" w:cs="Arial" w:eastAsia="Arial" w:hAnsi="Arial"/>
          <w:sz w:val="18"/>
          <w:szCs w:val="18"/>
          <w:color w:val="auto"/>
        </w:rPr>
        <w:t>: Four patent families in the PCT national phase are pending or issued in Australia, Brazil, Canada, China, Europe, Hong Kong,</w:t>
      </w:r>
      <w:r>
        <w:rPr>
          <w:rFonts w:ascii="Arial" w:cs="Arial" w:eastAsia="Arial" w:hAnsi="Arial"/>
          <w:sz w:val="18"/>
          <w:szCs w:val="18"/>
          <w:i w:val="1"/>
          <w:iCs w:val="1"/>
          <w:color w:val="auto"/>
        </w:rPr>
        <w:t xml:space="preserve"> </w:t>
      </w:r>
      <w:r>
        <w:rPr>
          <w:rFonts w:ascii="Arial" w:cs="Arial" w:eastAsia="Arial" w:hAnsi="Arial"/>
          <w:sz w:val="18"/>
          <w:szCs w:val="18"/>
          <w:color w:val="auto"/>
        </w:rPr>
        <w:t>India, Japan, Korea, Mexico, Russia and the United States and relate to antibodies having amino acid substitutions in Fab-region heavy and light chains for making correctly paired bispecific antibodies. Six U.S. patents have issued. These patent families are directed to compositions, methods of producing and uses of heterodimeric antibodies. If issued, patents in these families are expected to expire between 2031 and 2038, absent any adjustments or extensions.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00" w:right="520" w:hanging="325"/>
        <w:spacing w:after="0" w:line="263"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Drug Conjugate Platforms: </w:t>
      </w:r>
      <w:r>
        <w:rPr>
          <w:rFonts w:ascii="Arial" w:cs="Arial" w:eastAsia="Arial" w:hAnsi="Arial"/>
          <w:sz w:val="18"/>
          <w:szCs w:val="18"/>
          <w:color w:val="auto"/>
        </w:rPr>
        <w:t>Our Drug Conjugate Platforms are a suite of proprietary cytotoxins (including both topoisomerase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microtubulin inhibiting toxins), stable linkers, and conjugation technologies that are compatible with and complementary to our product candidates and enable delivery of cytotoxins directly to target cells.</w:t>
      </w:r>
    </w:p>
    <w:p>
      <w:pPr>
        <w:spacing w:after="0" w:line="75" w:lineRule="exact"/>
        <w:rPr>
          <w:rFonts w:ascii="Arial" w:cs="Arial" w:eastAsia="Arial" w:hAnsi="Arial"/>
          <w:sz w:val="18"/>
          <w:szCs w:val="18"/>
          <w:color w:val="auto"/>
        </w:rPr>
      </w:pPr>
    </w:p>
    <w:p>
      <w:pPr>
        <w:ind w:left="900" w:right="40"/>
        <w:spacing w:after="0" w:line="269" w:lineRule="auto"/>
        <w:rPr>
          <w:rFonts w:ascii="Arial" w:cs="Arial" w:eastAsia="Arial" w:hAnsi="Arial"/>
          <w:sz w:val="18"/>
          <w:szCs w:val="18"/>
          <w:color w:val="auto"/>
        </w:rPr>
      </w:pPr>
      <w:r>
        <w:rPr>
          <w:rFonts w:ascii="Arial" w:cs="Arial" w:eastAsia="Arial" w:hAnsi="Arial"/>
          <w:sz w:val="17"/>
          <w:szCs w:val="17"/>
          <w:i w:val="1"/>
          <w:iCs w:val="1"/>
          <w:color w:val="auto"/>
        </w:rPr>
        <w:t xml:space="preserve">ZymeLink: </w:t>
      </w:r>
      <w:r>
        <w:rPr>
          <w:rFonts w:ascii="Arial" w:cs="Arial" w:eastAsia="Arial" w:hAnsi="Arial"/>
          <w:sz w:val="17"/>
          <w:szCs w:val="17"/>
          <w:color w:val="auto"/>
        </w:rPr>
        <w:t>We own the ZymeLink patent portfolio relating to novel toxin molecules and novel linkers by means of which these toxins can be</w:t>
      </w:r>
      <w:r>
        <w:rPr>
          <w:rFonts w:ascii="Arial" w:cs="Arial" w:eastAsia="Arial" w:hAnsi="Arial"/>
          <w:sz w:val="17"/>
          <w:szCs w:val="17"/>
          <w:i w:val="1"/>
          <w:iCs w:val="1"/>
          <w:color w:val="auto"/>
        </w:rPr>
        <w:t xml:space="preserve"> </w:t>
      </w:r>
      <w:r>
        <w:rPr>
          <w:rFonts w:ascii="Arial" w:cs="Arial" w:eastAsia="Arial" w:hAnsi="Arial"/>
          <w:sz w:val="17"/>
          <w:szCs w:val="17"/>
          <w:color w:val="auto"/>
        </w:rPr>
        <w:t>conjugated to antibodies and other protein scaffolds. One national phase PCT application is pending or issued in Australia, Brazil, Canada, China, Europe, Hong Kong, India, Israel, Japan, Korea, Malaysia, Mexico, Singapore, South Africa and the United States, and is directed to novel hemiasterlin toxin derivatives, hemiasterlin-linker compositions, and antibody-hemiasterlin conjugate compositions, two of which have issued in the United States. A second national phase PCT application is pending or issued in Australia, Brazil, Canada, China, Europe, Hong Kong, India, Israel, Japan, Korea, Mexico and the United States, and is directed to novel linker compositions, including the one used in zanidatamab zovodotin. An additional national phase PCT application is directed to novel auristatin derivatives, auristatin-linker compositions and antibody-auristatin conjugates, including the one used in zanidatamab zovodotin, and is pending or issued in Australia, Brazil, Canada, China, Europe, Hong Kong, India, Israel, Japan, Korea, Mexico, Russia, Singapore and the United States. Three U.S. patents have issued from this patent family. Any patents that may issue from these families are expected to expire between 2034 and 2037, absent any adjustments or extensions.</w:t>
      </w:r>
    </w:p>
    <w:p>
      <w:pPr>
        <w:spacing w:after="0" w:line="73" w:lineRule="exact"/>
        <w:rPr>
          <w:rFonts w:ascii="Arial" w:cs="Arial" w:eastAsia="Arial" w:hAnsi="Arial"/>
          <w:sz w:val="18"/>
          <w:szCs w:val="18"/>
          <w:color w:val="auto"/>
        </w:rPr>
      </w:pPr>
    </w:p>
    <w:p>
      <w:pPr>
        <w:ind w:left="900" w:right="40"/>
        <w:spacing w:after="0" w:line="263" w:lineRule="auto"/>
        <w:rPr>
          <w:rFonts w:ascii="Arial" w:cs="Arial" w:eastAsia="Arial" w:hAnsi="Arial"/>
          <w:sz w:val="18"/>
          <w:szCs w:val="18"/>
          <w:color w:val="auto"/>
        </w:rPr>
      </w:pPr>
      <w:r>
        <w:rPr>
          <w:rFonts w:ascii="Arial" w:cs="Arial" w:eastAsia="Arial" w:hAnsi="Arial"/>
          <w:sz w:val="18"/>
          <w:szCs w:val="18"/>
          <w:i w:val="1"/>
          <w:iCs w:val="1"/>
          <w:color w:val="auto"/>
        </w:rPr>
        <w:t xml:space="preserve">Topoisomerase Inhibitors: </w:t>
      </w:r>
      <w:r>
        <w:rPr>
          <w:rFonts w:ascii="Arial" w:cs="Arial" w:eastAsia="Arial" w:hAnsi="Arial"/>
          <w:sz w:val="18"/>
          <w:szCs w:val="18"/>
          <w:color w:val="auto"/>
        </w:rPr>
        <w:t>A PCT application covering our novel topoisomerase inhibitors was filed on May 27, 2022. This application covers</w:t>
      </w:r>
      <w:r>
        <w:rPr>
          <w:rFonts w:ascii="Arial" w:cs="Arial" w:eastAsia="Arial" w:hAnsi="Arial"/>
          <w:sz w:val="18"/>
          <w:szCs w:val="18"/>
          <w:i w:val="1"/>
          <w:iCs w:val="1"/>
          <w:color w:val="auto"/>
        </w:rPr>
        <w:t xml:space="preserve"> </w:t>
      </w:r>
      <w:r>
        <w:rPr>
          <w:rFonts w:ascii="Arial" w:cs="Arial" w:eastAsia="Arial" w:hAnsi="Arial"/>
          <w:sz w:val="18"/>
          <w:szCs w:val="18"/>
          <w:color w:val="auto"/>
        </w:rPr>
        <w:t>the topoisomerase inhibitor compounds, topoisomerase inhibitor-linker compositions and antibody-topoisomerase inhibitor conjugate compositions.</w:t>
      </w:r>
    </w:p>
    <w:p>
      <w:pPr>
        <w:spacing w:after="0" w:line="75" w:lineRule="exact"/>
        <w:rPr>
          <w:rFonts w:ascii="Arial" w:cs="Arial" w:eastAsia="Arial" w:hAnsi="Arial"/>
          <w:sz w:val="18"/>
          <w:szCs w:val="18"/>
          <w:color w:val="auto"/>
        </w:rPr>
      </w:pPr>
    </w:p>
    <w:p>
      <w:pPr>
        <w:ind w:left="900" w:hanging="325"/>
        <w:spacing w:after="0" w:line="269" w:lineRule="auto"/>
        <w:tabs>
          <w:tab w:leader="none" w:pos="895"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EFECT: </w:t>
      </w:r>
      <w:r>
        <w:rPr>
          <w:rFonts w:ascii="Arial" w:cs="Arial" w:eastAsia="Arial" w:hAnsi="Arial"/>
          <w:sz w:val="17"/>
          <w:szCs w:val="17"/>
          <w:color w:val="auto"/>
        </w:rPr>
        <w:t>The EFECT platform for engineering Fc constructs with modulated FcgR-binding and Fc effector function is protected by four PCT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patent applications that we own, three of which are in the national stage. One of the national stage applications has issued in Australia, Canada, Mexico and the United States. A second national stage application is pending or issued in Australia, Brazil, Canada, China, Europe, Hong Kong, India, Japan, Russia and the United States. Two patents have issued from these families in the United States. These patent families are directed to compositions of matter and methods of making Fc constructs with altered FcgR-binding and Fc effector function; if issued, they are expected to expire between 2031 and 2034, absent any adjustments or extensions. The third national stage PCT application is pending in Australia, Brazil, Canada, China, Europe, India, Japan, Korea, Mexico and the United States, and relates to Fc modifications that modulate other aspects of Fc effector function. Any patents that issue from the third national stage PCT application are expected to expire in 2041, absent any adjustments or extensions. The fourth PCT application was filed on September 2, 2022, and relates to compositions of matter and methods of making Fc constructs that lack FcgR-binding.</w:t>
      </w:r>
    </w:p>
    <w:p>
      <w:pPr>
        <w:spacing w:after="0" w:line="77" w:lineRule="exact"/>
        <w:rPr>
          <w:rFonts w:ascii="Arial" w:cs="Arial" w:eastAsia="Arial" w:hAnsi="Arial"/>
          <w:sz w:val="17"/>
          <w:szCs w:val="17"/>
          <w:color w:val="auto"/>
        </w:rPr>
      </w:pPr>
    </w:p>
    <w:p>
      <w:pPr>
        <w:ind w:left="900" w:right="20" w:hanging="325"/>
        <w:spacing w:after="0" w:line="259"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ProTECT: </w:t>
      </w:r>
      <w:r>
        <w:rPr>
          <w:rFonts w:ascii="Arial" w:cs="Arial" w:eastAsia="Arial" w:hAnsi="Arial"/>
          <w:sz w:val="18"/>
          <w:szCs w:val="18"/>
          <w:color w:val="auto"/>
        </w:rPr>
        <w:t>A PCT application covering the ProTECT platform technology was filed on July 20, 2021. This application covers the composition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matter of polypeptide constructs comprising immunomodulatory ligands and their cognate receptors derived from the immunoglobulin superfamily (such as PDL1 and PD1) fused to antibody variable heavy and light chain region termini respectively via protease-cleavable linkers.</w:t>
      </w:r>
    </w:p>
    <w:p>
      <w:pPr>
        <w:spacing w:after="0" w:line="78" w:lineRule="exact"/>
        <w:rPr>
          <w:rFonts w:ascii="Arial" w:cs="Arial" w:eastAsia="Arial" w:hAnsi="Arial"/>
          <w:sz w:val="18"/>
          <w:szCs w:val="18"/>
          <w:color w:val="auto"/>
        </w:rPr>
      </w:pPr>
    </w:p>
    <w:p>
      <w:pPr>
        <w:ind w:left="900" w:right="160" w:hanging="325"/>
        <w:spacing w:after="0" w:line="257"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Computational Chemistry: </w:t>
      </w:r>
      <w:r>
        <w:rPr>
          <w:rFonts w:ascii="Arial" w:cs="Arial" w:eastAsia="Arial" w:hAnsi="Arial"/>
          <w:sz w:val="18"/>
          <w:szCs w:val="18"/>
          <w:color w:val="auto"/>
        </w:rPr>
        <w:t>We own a portfolio of 15 families of computational chemistry patents and patent applications that relate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computational and algorithmic advances incorporated into the ZymeCAD suite of applications, including advances in general molecular modeling, conformational dynamics, docking, distal mutations, and molecular packing, as well as parallelization and graphical data analysis. Twelve of these patents have issued in the United States. Any patents that issue from these families are expected to expire between 2027 and 2042, absent any adjustments or extensions.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Licensing and In-Licensed Intellectual Property</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identify and, from time to time, selectively enter into technology licensing agreements and intellectual property in-licensing agreements to support pipeline advancement. For example, in March 2016, we entered into an assignment agreement with CDRD Ventures Inc. (“CVI”), as part of our acquisition of Kairos Therapeutics Inc. (“Kairos”), pursuant to which all of CVI’s interests in Kairos’ patents and intellectual property were assigned to us. Under the assignment agreement, we may be required to make future payments of up to an aggregate of C$8.5 million, consisting of (i) a C$2.5 million payment when the first patient is dosed in the first Phase 2 trial and (ii) a C$6.0 million payment when the first patient is dosed in the first Phase 3 trial, to CVI for zanidatamab zovodotin or other product candidates upon the direct achievement of certain clinical development milestones for products incorporating certain Kairos intellectual property. In addition, CVI is eligible to receive low single-digit royalty payments from us on the net sales of such products, pending receipt of regulatory approval. Royalties are payable on a product-by-product and country-by-country basis until the expiration, revocation, invalidation or abandonment of the last valid claim within the patents covering such products in the country of sale. For out-licensed products and technologies incorporating certain Kairos intellectual property, we also may be required to pay CVI a mid-single-digit percentage of certain future revenue.</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rely on third-party contract manufacturing organizations to provide manufacturing, linker-toxin conjugation, and fill-finish services in order to generate all of the therapeutic antibody supply required for our clinical studies and other research and development activities. To retain focus on our expertise in developing new product candidates, we do not currently plan to develop or operate in-house manufacturing capacity. Our bispecific therapeutic antibody candidates require standard chemistry, manufacturing and control (“CMC”) processes typical of those required for monoclonal antibody manufacturing. We therefore expect to continue to be able to develop product candidates that can be manufactured in a cost-effective fashion by our network of qualified third-party contract manufacturing organizations.</w:t>
      </w:r>
    </w:p>
    <w:p>
      <w:pPr>
        <w:spacing w:after="0" w:line="19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Through our contract manufacturing organizations, we currently have sufficient supply of our product candidates to carry out ongoing and planned preclinical studies. For zanidatamab, we also have sufficient current good manufacturing practices (“cGMP”)-grade supply, together with planned additional manufacturing runs, to complete our ongoing clinical trials. For zanidatamab zovodotin, we have sufficient cGMP-grade supply, together with planned additional manufacturing runs, to complete our ongoing clinical trial and anticipated clinical trials.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biopharmaceutical industry is characterized by rapidly advancing technologies, intense competition and a strong emphasis on proprietary products. While we believe that our technology,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7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With respect to target discovery activities, competitors and other third parties, including academic and clinical researchers, may be able to access rare families and identify targets before we do.</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Many of the companies against which we compete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collaboration arrangements with large and established companies. These competitors also compete with us in recruiting and retaining qualified scientific and management personnel, establishing clinical trial sites, recruiting patients for clinical trials, and by acquiring technologies complementary to, or necessary for, our programs.</w:t>
      </w:r>
    </w:p>
    <w:p>
      <w:pPr>
        <w:spacing w:after="0" w:line="19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key competitive factors affecting the success of all of our product candidates, if approved, are likely to be their efficacy, safety, convenience and price, the effectiveness of alternative products, the level of competition and the availability of coverage, and adequate reimbursement from government and other third-party payors.</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European Medicines Agency (“EMA”)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or biosimilar products.</w:t>
      </w:r>
    </w:p>
    <w:p>
      <w:pPr>
        <w:spacing w:after="0" w:line="1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Zanidatamab and zanidatamab zovodotin are being developed for patients with solid tumors that express HER2, including patients with tumors expressing low levels of HER2. Competing approved HER2-targeted therapies include F. Hoffmann-La Roche Ltd.’s Herceptin, Perjeta, Phesgo, and Kadcyla as well as Novartis Pharmaceuticals Corporation’s Tykerb, Puma Biotechnology, Inc.’s Nerlynx, AstraZeneca PLC / Daiichi Sankyo’s Enhertu, Seagen Inc.’s Tukysa, MacroGenics, Inc.’s Margenza, and various trastuzumab biosimilars.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FDA and corresponding regulatory authorities will ultimately review our clinical results and determine whether our product candidates are effective.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 regulatory agency has made any such determination that any of our product candidates are effective for use by the general public for any indication.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 Our ADC product candidates are comprised of both a drug product and a biologic product, and will therefore be subject to regulation in the United States as combination products. If marketed individually, each component would be subject to different regulatory pathways and would require approval of independent marketing applications by the FDA. A combination product, however, is assigned to an FDA center that will have primary jurisdiction over its regulation based on a determination of the combination product’s primary mode of action, which is the single mode of action that provides the most important therapeutic action. In the case of our ADCs, we believe that the primary mode of action is attributable to the biologic component of the product. Thus, our product candidates are regulated as therapeutic biologics, with the FDA’s Center for Drug Evaluation and Research having primary jurisdiction over premarket development.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Biological products are subject to regulation under the Federal Food, Drug, and Cosmetic Act, the Public Health Service Act, and other federal, state, local and foreign statutes and regulations. Our product candidates must be approved by the FDA before they may be legally marketed in the United States and by the appropriate foreign regulatory agency before they may be legally marketed in foreign countries.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Biological Products Development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biologic may be marketed in the United States generally involves the following:</w:t>
      </w:r>
    </w:p>
    <w:p>
      <w:pPr>
        <w:spacing w:after="0" w:line="117" w:lineRule="exact"/>
        <w:rPr>
          <w:sz w:val="20"/>
          <w:szCs w:val="20"/>
          <w:color w:val="auto"/>
        </w:rPr>
      </w:pPr>
    </w:p>
    <w:p>
      <w:pPr>
        <w:ind w:left="900" w:right="420" w:hanging="325"/>
        <w:spacing w:after="0" w:line="263"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completion of extensive nonclinical, sometimes referred to as preclinical, laboratory tests and preclinical animal trials and applicable requirements for the humane use of laboratory animals and formulation studies in accordance with applicable regulations, including good laboratory practices (“GLP”);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submission to the FDA of an IND application, which must become effective before human clinical trials may begin;</w:t>
      </w:r>
    </w:p>
    <w:p>
      <w:pPr>
        <w:spacing w:after="0" w:line="117" w:lineRule="exact"/>
        <w:rPr>
          <w:rFonts w:ascii="Arial" w:cs="Arial" w:eastAsia="Arial" w:hAnsi="Arial"/>
          <w:sz w:val="18"/>
          <w:szCs w:val="18"/>
          <w:color w:val="auto"/>
        </w:rPr>
      </w:pPr>
    </w:p>
    <w:p>
      <w:pPr>
        <w:ind w:left="900" w:right="260" w:hanging="325"/>
        <w:spacing w:after="0" w:line="296" w:lineRule="auto"/>
        <w:tabs>
          <w:tab w:leader="none" w:pos="8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according to the FDA’s regulations commonly referred to as current good clinical practice (“cGCP”) regulations and any additional requirements for the protection of human research subjects and their health information, to establish the safety and efficacy of the proposed biological product for its intended use.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53" w:lineRule="exact"/>
        <w:rPr>
          <w:rFonts w:ascii="Arial" w:cs="Arial" w:eastAsia="Arial" w:hAnsi="Arial"/>
          <w:sz w:val="16"/>
          <w:szCs w:val="16"/>
          <w:color w:val="auto"/>
        </w:rPr>
      </w:pPr>
    </w:p>
    <w:p>
      <w:pPr>
        <w:ind w:left="900" w:right="20" w:hanging="325"/>
        <w:spacing w:after="0" w:line="277"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submission to the FDA of a Biologics License Application (“BLA”) for marketing approval that includes substantive evidence of safety, purity, and potency from results of nonclinical testing and clinical trials;</w:t>
      </w:r>
    </w:p>
    <w:p>
      <w:pPr>
        <w:spacing w:after="0" w:line="62" w:lineRule="exact"/>
        <w:rPr>
          <w:rFonts w:ascii="Arial" w:cs="Arial" w:eastAsia="Arial" w:hAnsi="Arial"/>
          <w:sz w:val="18"/>
          <w:szCs w:val="18"/>
          <w:color w:val="auto"/>
        </w:rPr>
      </w:pPr>
    </w:p>
    <w:p>
      <w:pPr>
        <w:ind w:left="900" w:right="420" w:hanging="325"/>
        <w:spacing w:after="0" w:line="263"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biological product is produced to assess compliance with cGMP requirements to assure that the facilities, methods and controls are adequate to preserve the biological product’s identity, strength, quality and purity;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sequential phases that may overlap or be combined:</w:t>
      </w:r>
    </w:p>
    <w:p>
      <w:pPr>
        <w:spacing w:after="0" w:line="117" w:lineRule="exact"/>
        <w:rPr>
          <w:sz w:val="20"/>
          <w:szCs w:val="20"/>
          <w:color w:val="auto"/>
        </w:rPr>
      </w:pPr>
    </w:p>
    <w:p>
      <w:pPr>
        <w:ind w:left="900" w:right="420" w:hanging="325"/>
        <w:spacing w:after="0" w:line="263" w:lineRule="auto"/>
        <w:tabs>
          <w:tab w:leader="none" w:pos="895"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Phase 1. </w:t>
      </w:r>
      <w:r>
        <w:rPr>
          <w:rFonts w:ascii="Arial" w:cs="Arial" w:eastAsia="Arial" w:hAnsi="Arial"/>
          <w:sz w:val="18"/>
          <w:szCs w:val="18"/>
          <w:color w:val="auto"/>
        </w:rPr>
        <w:t>The biological product candidate is initially introduced into healthy human volunteers and tested for safety. In the case of some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for severe or life-threatening diseases, especially when the product may be too inherently toxic to ethically administer to healthy volunteers, the initial human testing is often conducted in patients.</w:t>
      </w:r>
    </w:p>
    <w:p>
      <w:pPr>
        <w:spacing w:after="0" w:line="75" w:lineRule="exact"/>
        <w:rPr>
          <w:rFonts w:ascii="Arial" w:cs="Arial" w:eastAsia="Arial" w:hAnsi="Arial"/>
          <w:sz w:val="18"/>
          <w:szCs w:val="18"/>
          <w:b w:val="1"/>
          <w:bCs w:val="1"/>
          <w:i w:val="1"/>
          <w:iCs w:val="1"/>
          <w:color w:val="auto"/>
        </w:rPr>
      </w:pPr>
    </w:p>
    <w:p>
      <w:pPr>
        <w:ind w:left="900" w:right="160" w:hanging="325"/>
        <w:spacing w:after="0" w:line="263" w:lineRule="auto"/>
        <w:tabs>
          <w:tab w:leader="none" w:pos="895"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Phase 2. </w:t>
      </w:r>
      <w:r>
        <w:rPr>
          <w:rFonts w:ascii="Arial" w:cs="Arial" w:eastAsia="Arial" w:hAnsi="Arial"/>
          <w:sz w:val="18"/>
          <w:szCs w:val="18"/>
          <w:color w:val="auto"/>
        </w:rPr>
        <w:t>The biological product candidate is evaluated in a limited patient population to identify possible adverse effects and safety risks,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75" w:lineRule="exact"/>
        <w:rPr>
          <w:rFonts w:ascii="Arial" w:cs="Arial" w:eastAsia="Arial" w:hAnsi="Arial"/>
          <w:sz w:val="18"/>
          <w:szCs w:val="18"/>
          <w:b w:val="1"/>
          <w:bCs w:val="1"/>
          <w:i w:val="1"/>
          <w:iCs w:val="1"/>
          <w:color w:val="auto"/>
        </w:rPr>
      </w:pPr>
    </w:p>
    <w:p>
      <w:pPr>
        <w:ind w:left="900" w:right="300" w:hanging="325"/>
        <w:spacing w:after="0" w:line="263" w:lineRule="auto"/>
        <w:tabs>
          <w:tab w:leader="none" w:pos="895"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Phase 3. </w:t>
      </w:r>
      <w:r>
        <w:rPr>
          <w:rFonts w:ascii="Arial" w:cs="Arial" w:eastAsia="Arial" w:hAnsi="Arial"/>
          <w:sz w:val="18"/>
          <w:szCs w:val="18"/>
          <w:color w:val="auto"/>
        </w:rPr>
        <w:t>Clinical trials are undertaken to further evaluate dosage, clinical efficacy, potency, and safety in an expanded patient population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geographically dispersed clinical study sites. These clinical trials are intended to establish the overall risk/benefit ratio of the product and provide an adequate basis for product labelling.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all phases of clinical development, regulatory agencies require extensive reporting, monitoring and auditing of all clinical activities, clinical data, and clinical study investigators.</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 sponsor, an institutional review board (“IRB”) or independent ethics committee, the FDA or other regulatory or monitoring authorities may suspend a clinical study at any time on various grounds, including a finding that the research subjects or patients are being exposed to an unacceptable health risk, failure to conduct the clinical trial in accordance with regulatory requirements or clinical protocols, failure to demonstrate a benefit from using the investigational drug, changes in government regulations or administrative actions.</w:t>
      </w:r>
    </w:p>
    <w:p>
      <w:pPr>
        <w:spacing w:after="0" w:line="18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Review and Approval Processes</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After the completion of clinical trials of a biological product candidate, FDA approval of a BLA must be obtained before commercial marketing of the biological product. When a BLA is submitted, the FDA conducts a preliminary review to determine whether the application is sufficiently complete to be accepted for filing. If it is not, the FDA may refuse to file the application and request additional information, in which case the application must be resubmitted with the supplemental information, and review of the application is delayed. Upon accepting the BLA for filing, the FDA will conduct an in-depth review the BLA and may hold a public hearing where an independent advisory committee of expert advisors considers key questions regarding the product candidate. This advisory committee makes a recommendation to the FDA, which is not binding on the FDA, but is generally followed.</w:t>
      </w:r>
    </w:p>
    <w:p>
      <w:pPr>
        <w:spacing w:after="0" w:line="16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FDA is authorized to designate certain products for expedited review if they are intended to address an unmet medical need in the treatment of a serious or life-threatening disease or condition. In particular, the FDA may designate a product for Fast Track review if it is intended, whether alone or in combination with one or more other drugs, for the treatment of a serious or life-threatening disease or condition, and it demonstrates the potential to address unmet medical needs for such a disease or condition. For Fast Track designated products, sponsors may have a higher number of interactions with the FDA and the FDA may initiate review of sections of a Fast Track product’s New Drug Application or BLA before the application is complete. The FDA has granted two Fast Track designations to zanidatamab for the first-line treatment of patients with HER2-overexpressing GEA in combination with standard of care chemotherapy and for previously treated or recurrent gene-amplified BTC.</w:t>
      </w:r>
    </w:p>
    <w:p>
      <w:pPr>
        <w:spacing w:after="0" w:line="17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FDA also may designate a product as a Breakthrough Therapy if it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important endpoints, such as substantial treatment effects observed early in clinical development. For products that have been designated as a Breakthrough Therapy, interaction and communication between the FDA and the sponsor of the trial can help to identify the most efficient path for clinical development while minimizing the number of patients placed in ineffective control regimens. Products designated as a Breakthrough Therapy by the FDA can also be eligible for accelerated approval. The FDA has granted Breakthrough Therapy designation for zanidatamab in HER2 gene-amplified BTC patients who have received prior systemic chemotherapy. In December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Pediatric Research Equity Act, certain applications for approval must include an assessment, generally based on clinical study data, of the safety and effectiveness of the subject drug in relevant pediatric populations. The FDA may waive or defer the requirement for a pediatric assessment, either at the company’s request or by the FDA’s initiative. The FDA may determine that a Risk Evaluation and Mitigation Strategy (“REMS”) is necessary to ensure that the benefits of a new product outweigh its risks. A REMS may include various elements, ranging from a medication guide or patient package insert to limitations on who may prescribe or dispense the drug or other elements to assure safe use, depending on what the FDA considers necessary for the safe use of the drug.</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cGCP requirements.</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applicant interprets the same data. If the FDA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Orphan Drug Act established incentives for the development of drugs intended to treat rare diseases or conditions, which generally are diseases or conditions affecting less than 200,000 individuals in the United States at the time of the request for orphan designation. If a sponsor demonstrates that a drug is intended to treat a rare disease or condition and meets other applicable requirements, the FDA grants Orphan Drug Designation to the product for that use. The FDA has granted zanidatamab Orphan Drug Designation for the treatment of BTC and GEA.</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benefits of Orphan Drug Designation include tax credits for clinical testing expenses and exemption from user fees. A drug candidate that is approved for the orphan drug designated use typically is granted seven years of orphan drug exclusivity. During that period, the FDA generally may not approve any other application for the same product for the same indication, although there are exceptions, most notably when the later product is shown to be clinically superior to the product with exclusivity. However, the FDA Reauthorization Act, which was enacted in 2017, requires, among other things, that certain orphan drugs for cancer be tested for children. The government has also increased focus on the potential misuse of the orphan drug approval process to increase the price of orphan drugs.</w:t>
      </w:r>
    </w:p>
    <w:p>
      <w:pPr>
        <w:spacing w:after="0" w:line="19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Catalyst Pharms., Inc. v. Becerra, 14 F.4th 1299 (11th Cir. 2021), the court disagreed with the FDA’s longstanding position that the orphan drug exclusivity only applies to the approved use or indication within an eligible disease, and not to all uses or indications within the entire disease or condition. In particular, the circuit court held that the orphan drug exclusivity for Catalyst’s drug blocked the FDA’s approval of another drug for all uses or indications within the same orphan-designated disease, Lambert-Eaton myasthenic syndrome (LEMS), even though Catalyst’s drug was approved at that time only for use in the treatment of LEMS in adults. Accordingly, the court ordered the FDA to set aside the approval of a drug indicated for LEMS in children. This decision created uncertainty in the application of the orphan drug exclusivity. On January 24, 2023, the FDA published a notice in the Federal Register to clarify that while the agency complies with the court’s order in Catalyst, the FDA intends to continue to apply its longstanding interpretation of the regulations to matters outside of the scope of the Catalyst order – that is, the agency will continue tying the scope of orphan 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Even if regulatory approval is granted, a marketed product is subject to continuing comprehensive requirements under federal, state and foreign laws and regulations, including requirements and restrictions regarding adverse event reporting,</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recordkeeping, marketing, and compliance with cGMP. Adverse events reported after approval of a drug can result in additional restrictions on the use of a marketed product or requirements for additional post-marketing studies or clinical trials.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requirements. 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requirements and other laws.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 Discovery of previously unknown problems or the failure to comply with the applicable regulatory requirements relating to the manufacture or promotion of an approved product may result in restrictions on the marketing of a product or withdrawal of the product from the market as well as significant administrative, civil or criminal sanctions.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2010 Patient Protection and Affordable Care Act (“PPACA”) includes a subtitle called the Biologics Price Competition and Innovation Act of 2009 (“BPCIA”), which created an abbreviated approval pathway for biological products that are biosimilar to or interchangeable with an FDA-licensed reference biological product.</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 the BPCIA,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biosimilars approved as the first interchangeable for biologic products.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Review and Approval Process</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In Canada, our biologic product candidates and our research and development activities are primarily regulated by the </w:t>
      </w:r>
      <w:r>
        <w:rPr>
          <w:rFonts w:ascii="Arial" w:cs="Arial" w:eastAsia="Arial" w:hAnsi="Arial"/>
          <w:sz w:val="17"/>
          <w:szCs w:val="17"/>
          <w:i w:val="1"/>
          <w:iCs w:val="1"/>
          <w:color w:val="auto"/>
        </w:rPr>
        <w:t>Food and Drugs Act</w:t>
      </w:r>
      <w:r>
        <w:rPr>
          <w:rFonts w:ascii="Arial" w:cs="Arial" w:eastAsia="Arial" w:hAnsi="Arial"/>
          <w:sz w:val="17"/>
          <w:szCs w:val="17"/>
          <w:color w:val="auto"/>
        </w:rPr>
        <w:t xml:space="preserve"> and the rules and regulations thereunder, which are enforced by Health Canada. Health Canada regulates, among other things, the research, development, testing, manufacture, packaging, storage, recordkeeping, labeling, advertising, promotion, distribution, post-approval monitoring, marketing and import and export of pharmaceutical products. Drug approval laws require licensing of manufacturing facilities, carefully controlled research and testing of products, and government review and approval of experimental results prior to giving approval to sell drug products, including biologic drug products. Regulators also typically require that rigorous and specific standards such as cGMP, GLP and cGCP are followed in the manufacture, testing and clinical development, respectively, of any drug product. The processes for obtaining regulatory approvals in Canada, along with subsequent compliance with applicable statutes and regulations, require the expenditure of substantial time and financial resources.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principal steps required for drug approval in Canada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Toxicology Studies and Clinical Trials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Non-clinical studies are conducted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in animals to evaluate pharmacokinetics, metabolism and possible toxic effects to provide evidence of the safety of the drug candidate prior to its administration to humans in clinical studies and throughout development. Such studies are conducted in accordance with applicable laws and GLP.</w:t>
      </w:r>
    </w:p>
    <w:p>
      <w:pPr>
        <w:spacing w:after="0" w:line="18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Canada, the process of conducting clinical trials with a new drug cannot begin until a Clinical Trial Application (“CTA”) is submitted and the required number of days has lapsed without objection from Health Canada. Biological drugs carry additional risks, as compared to traditional small-molecule drugs, associated with complexity and variability in manufacturing that can contribute to increased lot-to-lot variation of the final product, and with the potential for adventitious agents. Therefore, the content requirements for the quality information for biological drugs to be used in clinical trials are different from those for standard small-molecule pharmaceutical drugs (for example, the inclusion of information on manufacturing facilities is required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for biological drugs). In addition, it is necessary to have more stringent controls on the release of biologic drug lots used in authorized clinical trials.</w:t>
      </w:r>
    </w:p>
    <w:p>
      <w:pPr>
        <w:spacing w:after="0" w:line="23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Similar regulations apply in Canada regarding clinical trials as in the United States. In Canada, Research Ethics Boards (“REBs”), instead of IRBs, are used to review and approve clinical trial plans. Human clinical trials are typically conducted in three sequential phases, as discussed above in the context of government regulation in the United States.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manufacture of investigational drugs for the conduct of human clinical trials is subject to cGMP requirements. Investigational drugs and active pharmaceutical ingredients imported into Canada are also subject to regulation by Health Canada relating to their labeling and distribution. Progress reports detailing the results of the clinical trials must generally be submitted at least annually to Health Canada and/or the applicable REBs, and more frequently if serious adverse events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Drug Submission</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Upon successful completion of Phase 3 clinical trials, the company sponsoring a new drug then assembles all the preclinical and clinical data and other testing relating to the product’s pharmacology, chemistry, manufacture, and controls, and submits it to Health Canada as part of a New Drug Submission (“NDS”). The NDS is then reviewed by Health Canada for approval to market the drug.</w:t>
      </w:r>
    </w:p>
    <w:p>
      <w:pPr>
        <w:spacing w:after="0" w:line="184"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The testing and approval process for an NDS requires substantial time, effort and financial resources, and may take several years to complete. Biologic drugs, such as our candidates, differ from standard small-molecule drugs in that applicants must include more detailed chemistry and manufacturing information. This is necessary to help ensure the purity and quality of the product, for example to help ensure that it is not contaminated by an undesired microorganism. Data obtained from preclinical and clinical testing are not always conclusive and may be susceptible to varying interpretations, which could delay, limit or prevent regulatory approval. Health Canada may not grant approval of an NDS on a timely basis, or at all.</w:t>
      </w:r>
    </w:p>
    <w:p>
      <w:pPr>
        <w:spacing w:after="0" w:line="16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Even if Health Canada approves a product candidate, it may limit the approved indications for use of the product candidate, require that contraindications, warnings or precautions be included in the product labeling, require that post-approval studies be conducted to further assess a drug’s safety after approval, require testing and surveillance programs to monitor the product after commercialization, or impose other conditions, including distribution restrictions or other risk management mechanisms.</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Biologic products in particular are monitored post-approval by being placed on a lot-release schedule tailored to their potential risk, manufacturing, testing and inspection history to date. With higher-risk biologics, each lot is tested before being released for sale in Canada. Moderate-risk biologics are periodically tested at the discretion of Health Canada while manufacturers of low-risk biologics usually only need to contact Health Canada regarding lots being sold or for providing certification of complete and satisfactory testing. Products are carefully scrutinized before they are placed in any level of</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lot-release process, and the testing regime for a biologic may be altered at any time. On December 17, 2022, the Minister of Health in Canada published proposed amendments to the Food and Drug Regulations, and several of the amendments relate to biologic drugs. The purpose of the amendments is to modernize the biologics regulatory regime by repealing outdated requirements and replacing them with those that reflect current safety practices. Proposed amendments include enabling Health Canada to require certain labelling statements for safety reasons on a case-by-case basis, and clarifying the Minister’s</w:t>
      </w:r>
    </w:p>
    <w:p>
      <w:pPr>
        <w:spacing w:after="0" w:line="1" w:lineRule="exact"/>
        <w:rPr>
          <w:sz w:val="20"/>
          <w:szCs w:val="20"/>
          <w:color w:val="auto"/>
        </w:rPr>
      </w:pPr>
    </w:p>
    <w:p>
      <w:pPr>
        <w:ind w:right="140"/>
        <w:spacing w:after="0" w:line="308" w:lineRule="auto"/>
        <w:rPr>
          <w:sz w:val="20"/>
          <w:szCs w:val="20"/>
          <w:color w:val="auto"/>
        </w:rPr>
      </w:pPr>
      <w:r>
        <w:rPr>
          <w:rFonts w:ascii="Arial" w:cs="Arial" w:eastAsia="Arial" w:hAnsi="Arial"/>
          <w:sz w:val="16"/>
          <w:szCs w:val="16"/>
          <w:color w:val="auto"/>
        </w:rPr>
        <w:t>authority to consider information or material obtained during on-site evaluations. Other proposed amendments include clarifying the record retention expectations for market authorization holders, and providing a general framework to minimize the potential for contamination of drugs, active ingredients</w:t>
      </w:r>
    </w:p>
    <w:p>
      <w:pPr>
        <w:spacing w:after="0"/>
        <w:rPr>
          <w:sz w:val="20"/>
          <w:szCs w:val="20"/>
          <w:color w:val="auto"/>
        </w:rPr>
      </w:pPr>
      <w:r>
        <w:rPr>
          <w:rFonts w:ascii="Arial" w:cs="Arial" w:eastAsia="Arial" w:hAnsi="Arial"/>
          <w:sz w:val="18"/>
          <w:szCs w:val="18"/>
          <w:color w:val="auto"/>
        </w:rPr>
        <w:t>and biological source material between processes. The proposed amendments are still in draft form.</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Health Canada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notification, and regulatory authority review and approval. Further, should new safety information arise, additional testing, product labeling or regulatory notification may be required.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Biosimilars and Exclusivity</w:t>
      </w:r>
    </w:p>
    <w:p>
      <w:pPr>
        <w:spacing w:after="0" w:line="22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term biosimilar is used by Health Canada to describe a biologic drug that enters the market subsequent to a version previously authorized in Canada and with demonstrated similarity to a reference biologic drug. Accordingly, a biosimilar (previously known in Canada as a subsequent entry biologic or SEB) will in all instances be a subsequent entrant onto the Canadian market.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Based on Health Canada guidance documents, a biosimilar can rely in part on prior information regarding safety and efficacy that is deemed relevant due to the demonstration of similarity to the reference biologic drug and which influences the amount and type of original data required. Generic drugs are chemically derived products that are pharmaceutically equivalent to innovative drugs, whereas biosimilars are products of a biologic nature that are similar to innovative biologics. According to Health Canada, it is not currently possible to demonstrate that two biologic drugs are pharmaceutically equivalent, and therefore the regulatory approval process for generics and biosimilars is different: biosimilars are approved using the standard NDS pathway with some allowances made for reduced safety and efficacy information set out in guidance documents, while generic drugs are approved using an abbreviated new drug submission pathway set out in guidance and law. In part because it continues to be set out only in guidance and not law, the pathway for receiving biosimilar approval is somewhat in flux and subject to some uncertainty.</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As discussed above, all biosimilars enter the market subsequent to a biologic drug product previously approved in Canada and to which the biosimilar is considered similar. As such, biosimilars are subject to existing laws and regulations outlined in the </w:t>
      </w:r>
      <w:r>
        <w:rPr>
          <w:rFonts w:ascii="Arial" w:cs="Arial" w:eastAsia="Arial" w:hAnsi="Arial"/>
          <w:sz w:val="18"/>
          <w:szCs w:val="18"/>
          <w:i w:val="1"/>
          <w:iCs w:val="1"/>
          <w:color w:val="auto"/>
        </w:rPr>
        <w:t>Patented Medicines (Notice of Compliance) Regulations</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Food and Drug Regulations</w:t>
      </w:r>
      <w:r>
        <w:rPr>
          <w:rFonts w:ascii="Arial" w:cs="Arial" w:eastAsia="Arial" w:hAnsi="Arial"/>
          <w:sz w:val="18"/>
          <w:szCs w:val="18"/>
          <w:color w:val="auto"/>
        </w:rPr>
        <w:t>, and related guidance documents.</w:t>
      </w:r>
    </w:p>
    <w:p>
      <w:pPr>
        <w:spacing w:after="0" w:line="184"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 xml:space="preserve">Similar to the Hatch-Waxman Amendments in the United States, Canada has the </w:t>
      </w:r>
      <w:r>
        <w:rPr>
          <w:rFonts w:ascii="Arial" w:cs="Arial" w:eastAsia="Arial" w:hAnsi="Arial"/>
          <w:sz w:val="16"/>
          <w:szCs w:val="16"/>
          <w:i w:val="1"/>
          <w:iCs w:val="1"/>
          <w:color w:val="auto"/>
        </w:rPr>
        <w:t>Patented Medicines (Notice of Compliance) Regulations,</w:t>
      </w:r>
      <w:r>
        <w:rPr>
          <w:rFonts w:ascii="Arial" w:cs="Arial" w:eastAsia="Arial" w:hAnsi="Arial"/>
          <w:sz w:val="16"/>
          <w:szCs w:val="16"/>
          <w:color w:val="auto"/>
        </w:rPr>
        <w:t xml:space="preserve"> which require a company that files a drug submission that references a patented product to address any relevant patents listed on the Patent Register prior to being able to receive approval from Health Canada. The Canadian regime is similar to the U.S. regime, but a number of distinctions do exist.</w:t>
      </w:r>
    </w:p>
    <w:p>
      <w:pPr>
        <w:spacing w:after="0" w:line="14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Like the United States, Canada also has data protection in addition to patent protection, but again differences exist between the two jurisdictions. For example, Canada’s data protection applies to “innovative drugs” (i.e., a drug that contains a medicinal ingredient not previously approved in a drug by the Minister of Health and that is not a variation of a previously approved medicinal ingredient such as a salt, ester, enantiomer, solvate or polymorph) and, where it exists, lasts for eight years in most (but not all) circumstances. In general biologics can be considered innovative drugs but biosimilars are not.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Regulation</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addition to the foregoing, provincial, state and federal U.S. and Canadian laws regarding environmental protection and hazardous substances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Outside of the United States and Canada</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 for example, a CTA must be submitted to each country’s national health authority and an independent ethics committee, much like the FDA and the IRB, respectively. Once the CTA is approved in accordance with a country’s requirements, clinical study development may proceed.</w:t>
      </w:r>
    </w:p>
    <w:p>
      <w:pPr>
        <w:spacing w:after="0" w:line="1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requirements and process governing the conduct of clinical studies, product licensing, coverage, pricing and reimbursement vary from country to country. In all cases, the clinical studies are conducted in accordance with cGCP and the applicable regulatory requirements and the ethical principles that have their origin in the Declaration of Helsinki.</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pricing and the availability of coverage and adequate reimbursement from</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third-party payors. These third-party payors may deny coverage or reimbursement for a product or therapy in whole or in part if they determine that the product or therapy was not medically appropriate or necessary. Third-party payors may attempt to control costs by limiting coverage to specific drug products on an approved list, or formulary, which might not include all of the FDA-approved drug products for a particular indication, requiring pre-approval of coverage for new or innovative drug therapies before they will reimburse healthcare providers who use such therapies, and by limiting the amount of reimbursement 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spacing w:after="0" w:line="16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 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7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w:t>
      </w:r>
    </w:p>
    <w:p>
      <w:pPr>
        <w:spacing w:after="0" w:line="18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international markets, pricing,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 effective by third-party payors, that coverage or an adequate level of reimbursement will be available or that third-party payors’ reimbursement policies will not adversely affect our ability to sell our products profitably.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United States and some other jurisdictions are considering or have enacted a number of legislative and regulatory proposals to change the healthcare system in ways that could affect our ability to sell our future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 For example,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Biden administration on us and the pharmaceutical industry as a whole is unclear.</w:t>
      </w:r>
    </w:p>
    <w:p>
      <w:pPr>
        <w:spacing w:after="0" w:line="182"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We expect that the PPACA, as well as reform measures that may be adopted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 once regulatory approval is obtained.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the United States, the research, manufacturing, distribution, sale and promotion of drug products are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If our operations are found to be in violation of any of the U.S. federal and state laws described above or any other governmental regulations that apply to us, we may be subject to penalties, including criminal and significant civil monetary penalties, damages, fines, disgorgement, imprisonment, exclusion from participation in government healthcare programs, injunctions, recall or seizure of products, total or partial suspension of production, denial or withdrawal of pre-marketing product approvals, private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brought by individual whistleblowers in the name of the government or refusal to allow us to enter into supply contracts, including government contracts, and the curtailment or restructuring of our operations, any of which could adversely affect our ability to operate our business and our results of operations. We may also be subject to additional reporting requirements and oversight if we become subject to a corporate integrity agreement or similar agreement with a governmental entity to resolve allegations that we have violated these laws. To the extent that any of our product candidates, once approved, are sold in a foreign country, we may be subject to similar foreign laws and regulations, which may include, for instance, applicable post-approval requirements, including safety surveillance, anti-fraud and abuse laws, and implementation of corporate compliance programs and reporting of payments or transfers of value to healthcare professionals.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a clinical-stage biopharmaceutical company, we do not currently possess the commercial infrastructure required to launch and market our product candidates. For zanidatamab and zanidatamab zovodotin, we have entered into development and commercialization agreements with BeiGene whereby BeiGene is responsible for certain clinical development activities and all commercial activities in Asia (excluding Japan but including the People’s Republic of China, South Korea and other countries), Australia and New Zealand. For zanidatamab, under the Jazz Collaboration Agreement, Jazz is responsible for all development and commercial activities globally outside of the BeiGene territories, at Jazz’s cost and expense. To date, we have not entered into any other agreements granting commercialization rights to zanidatamab, zanidatamab zovodotin or any of our other product candidates. To access the sales, marketing and distribution capacity required to market our drug candidates, we plan to selectively establish additional partnerships with biotechnology and pharmaceutical companies having established commercial capabilities in relevant indications. The timing and nature of such agreements will be determined by market size and complexity, access to pre-commercial and commercial infrastructure and our resource availability for developing a commercial organization. For product candidates targeting patient populations that can be serviced by a small, specialized commercial effort, we may seek out co-development and co-promotion agreements granting commercialization rights to an established commercial partner in some jurisdictions while allowing us to build these capabilities in other jurisdictions.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As of December 31, 2022, we had 294 employees, including 291 full-time employees, 196 of whom were primarily engaged in research and development activities and 68 of whom hold an M.D. or Ph.D. degree. 168 of our full-time employees were based in Canada and 123 in the United States. As part of our renewed focus on achieving our key strategic priorities, in January 2022, we announced our intention to restructure our workforce with a target of reducing our employee headcount by at least 25% across the organization by the end of 2022. As of March 31, 2022, we had exceeded that 25% target.</w:t>
      </w:r>
    </w:p>
    <w:p>
      <w:pPr>
        <w:spacing w:after="0" w:line="1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consider our employees to be an essential driver of our business and key to our future prospects and believe that our relationship with our employees is good. We monitor our compensation programs closely and provide what we consider to be a competitive mix of compensation and benefits for all our employees, including participation in our equity programs. None of our employees are represented by a labor organization or covered by a collective bargaining arrangement.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Effective October 13, 2022, we became a Delaware corporation, following receipt of necessary shareholder, stock exchange, and court approvals (the “Redomicile Transactions”). Zymeworks Inc. was incorporated under the laws of the State of Delaware in June 2022. Our principal executive offices are located at 108 Patriot Drive, Suite A, Middletown, Delaware 19709, and our telephone number is (302) 274-8744. Our predecessor, now named Zymeworks BC Inc., was originally incorporated on September 8, 2003 under the Canada Business Corporations Act under the name “Zymeworks Inc.” On October 22, 2003, our</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predecessor was registered as an extra-provincial company under the Company Act (British Columbia), the predecessor to the Business Corporations Act (British Columbia) (“BCBCA”). Our predecessor continued to British Columbia under the BCBCA on May 2,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Annual Report on Form 10-K, our quarterly reports on Form 10-Q, our current reports on Form 8-K, and any amendments to these reports are filed, or will be filed, as appropriate, with the SEC and the Canadian Securities Administrators (“CSA”). These reports are available free of charge on our website, www.zymeworks.com, as soon as reasonably practicable after we electronically file such reports with or furnish such reports to the SEC and the Canadian regulatory authorities. Information contained on, or accessible through, our website is not a part of this Annual Report on Form 10-K, and the inclusion of our website address in this document is an inactive textual reference.</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Additionally, our filings with the SEC may be accessed through the SEC’s website at www.sec.gov and our filings with the CSA may be accessed through the CSA’s System for Electronic Document Analysis and Retrieval (“SEDAR”) at www.sedar.com.</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You should carefully consider the following risk factors, in addition to the other information contained in this Annual Report on Form 10-K, including our consolidated financial statements and related notes. If any of the events described in the following risk factors occurs, our business, operating results and financial condition could be seriously harmed.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on Form 10-K. See “Cautionary Note Regarding Forward-Looking Statements.” The risks below are not the only risks facing our company. Risks and uncertainties not currently known to us or that we currently deem to be immaterial also may materially adversely affect our business, financial condition, results of operations, and/or prospects. Our Risk Factors are not guarantees that no such conditions exist as of the date of this report and should not be interpreted as an affirmative statement that such risks or conditions have not materialized, in whole or in part.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p>
    <w:p>
      <w:pPr>
        <w:spacing w:after="0" w:line="79" w:lineRule="exact"/>
        <w:rPr>
          <w:sz w:val="20"/>
          <w:szCs w:val="20"/>
          <w:color w:val="auto"/>
        </w:rPr>
      </w:pPr>
    </w:p>
    <w:p>
      <w:pPr>
        <w:ind w:left="660" w:right="80" w:hanging="328"/>
        <w:spacing w:after="0" w:line="342"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a limited number of product candidates, all which are still in preclinical or clinical development. If we do not obtain regulatory approval of one or more of our product candidates, or experience significant delays in doing so, our business will be materially adversely affected.</w:t>
      </w:r>
    </w:p>
    <w:p>
      <w:pPr>
        <w:spacing w:after="0" w:line="15" w:lineRule="exact"/>
        <w:rPr>
          <w:rFonts w:ascii="Arial" w:cs="Arial" w:eastAsia="Arial" w:hAnsi="Arial"/>
          <w:sz w:val="16"/>
          <w:szCs w:val="16"/>
          <w:color w:val="auto"/>
        </w:rPr>
      </w:pPr>
    </w:p>
    <w:p>
      <w:pPr>
        <w:ind w:left="660" w:right="8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trials are expensive, time consuming, difficult to design and implement, and involve uncertain outcomes. Furthermore, the results of previous preclinical studies and clinical trials may not be predictive of future results, and the results of our current and planned clinical trials may not satisfy the requirements of the FDA or comparable regulatory authorities outside the United States.</w:t>
      </w:r>
    </w:p>
    <w:p>
      <w:pPr>
        <w:spacing w:after="0" w:line="75"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long-term prospects depend in part upon discovering, developing and commercializing additional product candidates, which may fail in development or suffer delays that adversely affect their commercial viability.</w:t>
      </w:r>
    </w:p>
    <w:p>
      <w:pPr>
        <w:spacing w:after="0" w:line="62"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that may delay or prevent marketing approval or, if approval is received, require them to be taken off the market, require them to include safety warnings or otherwise limit their sales; no regulatory agency has made any determination that any of our product candidates are safe or effective for use by the general public for any indication.</w:t>
      </w:r>
    </w:p>
    <w:p>
      <w:pPr>
        <w:spacing w:after="0" w:line="75"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62" w:lineRule="exact"/>
        <w:rPr>
          <w:rFonts w:ascii="Arial" w:cs="Arial" w:eastAsia="Arial" w:hAnsi="Arial"/>
          <w:sz w:val="18"/>
          <w:szCs w:val="18"/>
          <w:color w:val="auto"/>
        </w:rPr>
      </w:pPr>
    </w:p>
    <w:p>
      <w:pPr>
        <w:ind w:left="660" w:right="100" w:hanging="328"/>
        <w:spacing w:after="0" w:line="308"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any of our product candidates receive regulatory approval, the approved products may not achieve broad market acceptance among physicians, patients, the medical community and third-party payors, in which case revenue generated from their sales would be limited.</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successful in our efforts to use our therapeutic platforms to build a pipeline of product candidates.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any product liability lawsuits are successfully brought against us or any of our strategic partners, we may incur substantial liabilities and may be required to limit commercialization of our product candidates.</w:t>
      </w:r>
    </w:p>
    <w:p>
      <w:pPr>
        <w:spacing w:after="0" w:line="62"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Security breaches and incidents, loss of data and other disruptions could compromise sensitive information related to our business or protected health information or prevent us from accessing critical information and expose us to liability, which could adversely affect our business and our reputation.</w:t>
      </w:r>
    </w:p>
    <w:p>
      <w:pPr>
        <w:spacing w:after="0" w:line="75"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Current and future legislation may increase the difficulty and cost for us to commercialize any products that we or our strategic partners develop and affect the prices we may obtain.</w:t>
      </w:r>
    </w:p>
    <w:p>
      <w:pPr>
        <w:spacing w:after="0" w:line="62" w:lineRule="exact"/>
        <w:rPr>
          <w:rFonts w:ascii="Arial" w:cs="Arial" w:eastAsia="Arial" w:hAnsi="Arial"/>
          <w:sz w:val="18"/>
          <w:szCs w:val="18"/>
          <w:color w:val="auto"/>
        </w:rPr>
      </w:pPr>
    </w:p>
    <w:p>
      <w:pPr>
        <w:jc w:val="both"/>
        <w:ind w:left="660" w:right="34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incurred significant losses since inception and anticipate that we will continue to incur losses for the foreseeable future. We have no products approved for commercial sale, and to date we have not generated any revenue or profit from product sales. We may never achieve or sustain profitability.</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require substantial additional funding, which may not be available to us on acceptable terms, or at all, and, if not available, may require us to delay, scale back, or cease our product development programs or operations.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depend on our collaborative relationship with Jazz to further develop and commercialize zanidatamab, and if our relationship is not successful or is terminated, we may be delayed in or unable to effectively develop and/or commercialize zanidatamab, which could have a material adverse effect on our business.</w:t>
      </w:r>
    </w:p>
    <w:p>
      <w:pPr>
        <w:spacing w:after="0" w:line="75" w:lineRule="exact"/>
        <w:rPr>
          <w:rFonts w:ascii="Arial" w:cs="Arial" w:eastAsia="Arial" w:hAnsi="Arial"/>
          <w:sz w:val="18"/>
          <w:szCs w:val="18"/>
          <w:color w:val="auto"/>
        </w:rPr>
      </w:pPr>
    </w:p>
    <w:p>
      <w:pPr>
        <w:ind w:left="660" w:right="380" w:hanging="328"/>
        <w:spacing w:after="0" w:line="342"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existing strategic partnerships are important to our business, and future strategic partnerships will likely also be important to us. If we are unable to maintain our strategic partnerships, or if these strategic partnerships are not successful, our business could be adversely affected.</w:t>
      </w:r>
    </w:p>
    <w:p>
      <w:pPr>
        <w:spacing w:after="0" w:line="15" w:lineRule="exact"/>
        <w:rPr>
          <w:rFonts w:ascii="Arial" w:cs="Arial" w:eastAsia="Arial" w:hAnsi="Arial"/>
          <w:sz w:val="16"/>
          <w:szCs w:val="16"/>
          <w:color w:val="auto"/>
        </w:rPr>
      </w:pPr>
    </w:p>
    <w:p>
      <w:pPr>
        <w:ind w:left="660" w:right="380" w:hanging="328"/>
        <w:spacing w:after="0" w:line="286"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rely on third-party manufacturers to produce our product candidates and on other third parties to provide supplies and store, monitor and transport bulk drug substance and drug product. We and our third-party partners may encounter difficulties with respect to these activities that could delay or impair our ability to initiate or complete our clinical trials or commercialize approved products.</w:t>
      </w:r>
    </w:p>
    <w:p>
      <w:pPr>
        <w:spacing w:after="0" w:line="57" w:lineRule="exact"/>
        <w:rPr>
          <w:rFonts w:ascii="Arial" w:cs="Arial" w:eastAsia="Arial" w:hAnsi="Arial"/>
          <w:sz w:val="17"/>
          <w:szCs w:val="17"/>
          <w:color w:val="auto"/>
        </w:rPr>
      </w:pPr>
    </w:p>
    <w:p>
      <w:pPr>
        <w:ind w:left="660" w:right="300" w:hanging="328"/>
        <w:spacing w:after="0" w:line="25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rely on third parties to monitor, support, conduct and oversee clinical trials of the product candidates that we are developing and, in some cases, to maintain regulatory files for those product candidates. We may not be able to obtain regulatory approval for our product candidates or commercialize any products that may result from our development efforts if we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7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are unable to obtain, maintain and enforce patent and trade secret protection for our product candidates and related technology, our business could be materially harmed.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we are unable to protect the confidentiality of our proprietary information, the value of our technology and products could be adversely affected.</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effective tax rate may change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stock price is likely to be volatile and the market price of our common stock may drop below the price paid by stockholders.</w:t>
      </w:r>
    </w:p>
    <w:p>
      <w:pPr>
        <w:spacing w:after="0" w:line="117" w:lineRule="exact"/>
        <w:rPr>
          <w:rFonts w:ascii="Arial" w:cs="Arial" w:eastAsia="Arial" w:hAnsi="Arial"/>
          <w:sz w:val="18"/>
          <w:szCs w:val="18"/>
          <w:color w:val="auto"/>
        </w:rPr>
      </w:pPr>
    </w:p>
    <w:p>
      <w:pPr>
        <w:ind w:left="660" w:right="40" w:hanging="328"/>
        <w:spacing w:after="0" w:line="342"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Delaware law and provisions in our amended and restated certificate of incorporation and amended and restated bylaws might delay, discourage or prevent a change in control of Zymeworks or changes in our management, thereby depressing the market price of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and Commercialization of Our Product Candidates</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have a limited number of product candidates, all which are still in preclinical or clinical development. If we do not obtain regulatory approval of one or more of our product candidates, or experience significant delays in doing so, our business will be materially adversely affected.</w:t>
      </w:r>
    </w:p>
    <w:p>
      <w:pPr>
        <w:spacing w:after="0" w:line="12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currently have no products approved for sale or marketing in any country, and may never be able to obtain regulatory approval for any of our product candidates. As a result, we are not currently permitted to market any of our product candidates in the United States or in any other country until we obtain regulatory approval from the FDA or comparable regulatory authorities outside the United States. Our product candidates are in preclinical or clinical development and we have not submitted an application, or received marketing approval, for any of our product candidates. Obtaining regulatory approval of our product candidates will depend on many factors, including:</w:t>
      </w:r>
    </w:p>
    <w:p>
      <w:pPr>
        <w:spacing w:after="0" w:line="8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completing clinical trials that demonstrate the efficacy and safety of our product candidates;</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preparation and submission to the appropriate regulatory authorities of an application for marketing approval that includes substantial evidence of safety, purity and potency from results of nonclinical testing and clinical trials;</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and maintaining adequate commercial manufacturing arrangements or establishing our own commercial manufacturing capabilities or reliable arrangements with third-party contract manufacturers;</w:t>
      </w:r>
    </w:p>
    <w:p>
      <w:pPr>
        <w:spacing w:after="0" w:line="6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pre-approval audits of nonclinical sites, clinical trial sites, and third-party manufacturing sites that generated the data and product in support of the marketing application;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Many of these factors are wholly or partially beyond our control, including clinical advancement, the regulatory submission process and changes in the competitive landscape. If we do not achieve one or more of these factors in a timely manner, we could experience significant delays or an inability to develop our product candidates at all.</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Clinical trials are expensive, time consuming, difficult to design and implement, and involve uncertain outcomes. Furthermore, the results of previous preclinical studies and clinical trials may not be predictive of future results, and the results of our current and planned clinical trials may not satisfy the requirements of the FDA or comparable regulatory authorities outside the United States.</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not previously submitted a BLA to the FDA or similar marketing applications to foreign health authorities. A BLA must include extensive preclinical and clinical data and supporting information to establish the product candidate’s safety, purity and efficacy for each desired indication. The BLA must also include significant information regarding the manufacturing controls for the product. The novel nature of our product candidates may introduce uncertain, complex, expensive and lengthy challenges that could impact regulatory approval. Even if we eventually complete clinical testing and receive approval of any regulatory filing for our product candidates, the FDA or foreign health authorities may approve our product candidates for a more limited indication or a narrower patient population than we originally requested.</w:t>
      </w:r>
    </w:p>
    <w:p>
      <w:pPr>
        <w:spacing w:after="0" w:line="19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There is typically an extremely high rate of attrition from the failure of product candidates proceeding through preclinical studies and clinical trials. Positive or timely results from preclinical or early-stage trials do not ensure positive or timely results in late-stage clinical trials or product approval by the FDA or comparable regulatory authorities outside the United States. We will be required to demonstrate with substantial evidence through well-controlled clinical trials that our product candidates are safe and effective for use in a diverse population before we can seek regulatory approvals for their commercial sale. Our clinical trials may produce negative or inconclusive results, and we or any of our current and future strategic partners may decide, or regulators may require us, to conduct additional clinical or preclinical testing. In some instances, there can be significant variability in safety or efficacy results between different preclinical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Moreover, success in preclinical studies or early-stage clinical trials does not mean that future clinical trials or registrational clinical trials will be successful because product candidates in later-stage clinical trials may fail to demonstrate sufficient safety and efficacy to the satisfaction of the FDA and comparable regulatory authorities outside the United States, despite having progressed through preclinical studies and initial clinical trials. Product candidates that have shown promising results in early clinical trials may suffer significant setbacks in subsequent clinical trials or registrational clinical trials. For example, a number of companies in the pharmaceutical industry have suffered significant setbacks in late-stage clinical trials, even after obtaining promising results in earlier-stage clinical trials. Similarly, interim results of a clinical trial do not necessarily predict final results.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There is a high failure rate for biopharmaceutical products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 For example, the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those goals and their impact on specific clinical programs and the industry are unclear.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foreign health authorities may disagree with the design, implementation or data analyses of our clinical trials;</w:t>
      </w:r>
    </w:p>
    <w:p>
      <w:pPr>
        <w:spacing w:after="0" w:line="117" w:lineRule="exact"/>
        <w:rPr>
          <w:rFonts w:ascii="Arial" w:cs="Arial" w:eastAsia="Arial" w:hAnsi="Arial"/>
          <w:sz w:val="18"/>
          <w:szCs w:val="18"/>
          <w:color w:val="auto"/>
        </w:rPr>
      </w:pPr>
    </w:p>
    <w:p>
      <w:pPr>
        <w:ind w:left="660" w:right="220" w:hanging="328"/>
        <w:spacing w:after="0" w:line="342"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FDA or foreign health authorities may determine that our product candidate(s) do not have adequate risk-benefit ratio or have undesirable or unintended side effects, toxicities or other characteristics that preclude our obtaining marketing approval or prevent or limit commercial use;</w:t>
      </w:r>
    </w:p>
    <w:p>
      <w:pPr>
        <w:spacing w:after="0" w:line="15"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foreign health authorities may disagree with our interpretation of data from preclinical studies or clinical trials;</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regulatory approval in the United States or elsewhere;</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foreign health authorities may fail to approve the manufacturing processes, test procedures and specifications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foreign health authorities may significantly change in a manner rendering our clinical data insufficient for approval.</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Additionally, we have conducted, and may in the future conduct, clinical trials outside the United States. Although the FDA may accept data from clinical trials conducted outside the United States, acceptance of these data is subject to certain conditions imposed by the FDA and its determination that the trials also complied with all applicable U.S. laws and regulations. If the FDA does not accept the data from any clinical trials we conduct outside the United States, it would likely result in the need for additional trials, which would be costly and time-consuming and delay or halt our development of any future product candidates.</w:t>
      </w:r>
    </w:p>
    <w:p>
      <w:pPr>
        <w:spacing w:after="0" w:line="18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If clinical trials for our product candidates are prolonged, delayed or stopped, we may be unable to obtain regulatory approval and commercialize our product candidates on a timely basis, or at all, which would require us to incur additional costs and delay our receipt of any product revenue.</w:t>
      </w:r>
    </w:p>
    <w:p>
      <w:pPr>
        <w:spacing w:after="0" w:line="1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currently evaluating zanidatamab in Phase 1, Phase 2, and Phase 3 clinical trials, including certain ongoing pivotal clinical trials, and zanidatamab zovodotin in a Phase 1 clinical trial in patients with recurrent or metastatic HER2-expressing solid tumors. We may experience delays in our ongoing or future preclinical studies or clinical trials, and we do not know whether future preclinical studies or clinical trials will begin on time, need to be redesigned, enroll an adequate number of patients on time or be completed on schedule, if at all. Clinical testing is expensive and can take many years to complete, and its outcome is inherently uncertain. Failure can occur at any time during clinical development, and, because our product candidates are in an early stage of development, there is a high risk of failure and we may never succeed in developing marketable products. The results of preclinical studies and early clinical trials of our product candidates may not be predictive of the results of later-stage clinical trials, particularly because early trials have smaller numbers of subjects tested. In addition, it is not uncommon for product candidates to exhibit unforeseen safety or efficacy issues, such as immunogenicity, when tested in humans despite promising results in preclinical animal models.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Any clinical trials that we may conduct may not demonstrate the safety and efficacy profiles necessary to obtain regulatory approval to market our product candidates. As we continue developing our product candidates, serious adverse events, undesirable side effects, or unexpected characteristics may emerge, causing us to abandon these product candidates or limit their development to more narrow uses or subpopulations in which the risk-benefit ratio is more acceptable.</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Patients treated with our product candidates may experience side effects or adverse events that are unrelated to our product candidates but may still impact the success of our clinical trials. The inclusion of patients with significant co-morbidities in our clinical trials may result in deaths or other adverse medical events due to an underlying condition or other therapies or medications that such patients may be using. Any of these events could prevent us from obtaining regulatory approval or achieving or maintaining market acceptance and impair our ability to commercialize our product candidates. In some instances, there can be significant variability in safety and efficacy results between different clinical trials of the same product candidate due to a variety of factors, including, but not limited to, changes in trial procedures set forth in protocols, differences in the size and type of the patient populations, changes in and adherence to the clinical trial protocols and the rate of dropout among clinical trial participants.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commencement or completion of these planned clinical trials could be substantially delayed or prevented by many factors, including:</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further discussions with the FDA or other regulatory agencies regarding the scope or design of our clinical trials;</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limited number of, and competition for, suitable sites to conduct our clinical trials, many of which may already be engaged in other clinical trial programs, including some that may be for the same indication as our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delay or failure to obtain approval or agreement to commence a clinical trial in any of the countries where enrollment is planned;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obtain sufficient funds required for a clinical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holds on, or other regulatory objections to, a new or ongoing clinical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or failure to manufacture sufficient supplies of the product candidate for our clinical trials;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or failure to reach agreement on acceptable clinical trial agreement terms or clinical trial protocols with prospective sites or CROs, the terms of which can be subject to extensive negotiation and may vary significantly among different sites or CROs;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or failure to obtain IRB approval to conduct a clinical trial at a prospective site;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slower than expected rates of patient recruitment and enrollment;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patients to complete the clinical trial;</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unforeseen safety issues, including severe or unexpected drug-related adverse effects experienced by patients, including possible deaths;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efficacy during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of our clinical trials by one or more clinical trial sites;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or unwillingness of patients or clinical investigators to follow our clinical trial protocols;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 by us or our CROs;</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CROs or clinical study sites failing to comply with the trial protocol or regulatory requirements or meet their contractual obligations to us in a timely manner, or at all, deviating from the protocol or dropping out of a study;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inability to address any noncompliance with regulatory requirements or safety concerns that arise during the course of a clinical trial;</w:t>
      </w:r>
    </w:p>
    <w:p>
      <w:pPr>
        <w:spacing w:after="0" w:line="128" w:lineRule="exact"/>
        <w:rPr>
          <w:rFonts w:ascii="Arial" w:cs="Arial" w:eastAsia="Arial" w:hAnsi="Arial"/>
          <w:sz w:val="17"/>
          <w:szCs w:val="17"/>
          <w:color w:val="auto"/>
        </w:rPr>
      </w:pPr>
    </w:p>
    <w:p>
      <w:pPr>
        <w:ind w:left="660" w:right="7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foreign health authorities for violations of applicable regulatory requirements;</w:t>
      </w:r>
    </w:p>
    <w:p>
      <w:pPr>
        <w:spacing w:after="0" w:line="62"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trial sites, including due to a facility manufacturing any of our product candidates or any of their components being ordered by the FDA or foreign health authorities to temporarily or permanently shut down due to violations of cGMP regulations or other applicable requirements, or cross-contaminations of product candidates in the manufacturing process;</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to repeat or terminate clinical trials as a result of inconclusive or negative results or unforeseen complications in testing;</w:t>
      </w:r>
    </w:p>
    <w:p>
      <w:pPr>
        <w:spacing w:after="0" w:line="117" w:lineRule="exact"/>
        <w:rPr>
          <w:rFonts w:ascii="Arial" w:cs="Arial" w:eastAsia="Arial" w:hAnsi="Arial"/>
          <w:sz w:val="18"/>
          <w:szCs w:val="18"/>
          <w:color w:val="auto"/>
        </w:rPr>
      </w:pPr>
    </w:p>
    <w:p>
      <w:pPr>
        <w:ind w:left="660" w:right="520" w:hanging="328"/>
        <w:spacing w:after="0" w:line="342"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clinical trials may be suspended or terminated upon a breach or pursuant to the terms of any agreement with, or for any other reason by, current or future strategic partners that have responsibility for the clinical development of any of our product candidates; and</w:t>
      </w:r>
    </w:p>
    <w:p>
      <w:pPr>
        <w:spacing w:after="0" w:line="15" w:lineRule="exact"/>
        <w:rPr>
          <w:rFonts w:ascii="Arial" w:cs="Arial" w:eastAsia="Arial" w:hAnsi="Arial"/>
          <w:sz w:val="16"/>
          <w:szCs w:val="16"/>
          <w:color w:val="auto"/>
        </w:rPr>
      </w:pPr>
    </w:p>
    <w:p>
      <w:pPr>
        <w:ind w:left="660" w:right="3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receiving untimely or unfavorable feedback from applicable regulatory authorities regarding the trial or requests from regulatory authorities to modify the design of a trial.</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could also experience delays in physicians enrolling patients in clinical trials of our product candidates in lieu of prescribing existing treatments or other clinical trials. Furthermore, a clinical trial may be suspended or terminated by us, the IRBs for the institutions in which such trials are being conducted, the Data Monitoring Committee for such trial, or by the FDA or foreign health authorities due to a number of factors, including failure to conduct the clinical trial in accordance with regulatory requirements or our clinical protocols, inspection of the clinical trial operations or trial site by the FDA or foreign health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Securing regulatory approval also requires the submission of information about the manufacturing processes and inspection of manufacturing facilities by the relevant regulatory authority. The FDA or foreign health authorities may fail to approve our</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manufacturing processes or facilities, whether run by us or our contract manufacturing organizations. In addition, if we make manufacturing changes to our product candidates in the future, we may need to conduct additional preclinical and/or clinical studies to bridge our modified product candidates to earlier versions.</w:t>
      </w:r>
    </w:p>
    <w:p>
      <w:pPr>
        <w:spacing w:after="0" w:line="18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Changes in regulatory requirements, policies and guidelines may also occur and we may need to significantly amend clinical trial protocols to reflect these changes with appropriate regulatory authorities. These changes may require us to renegotiate terms with CROs or resubmit clinical trial protocols to IRBs for re-examination, which may impact the costs, timing or successful completion of a clinical trial. Our clinical trials may be suspended or terminated at any time by the FDA, other regulatory authorities, the IRB overseeing the clinical trial at issue, any of our clinical trial sites with respect to that site, or us.</w:t>
      </w:r>
    </w:p>
    <w:p>
      <w:pPr>
        <w:spacing w:after="0" w:line="15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Any failure or significant delay in commencing or completing clinical trials for our product candidates would adversely affect our ability to obtain regulatory approval, and our commercial prospects and ability to generate product revenue will be diminished.</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even if the trials are successfully completed, clinical data are often susceptible to varying interpretations and analyses, and we cannot guarantee that the FDA or foreign health authorities will interpret the results as we do, and more trials could be required before we submit our product candidates for approval. We cannot guarantee that the FDA or foreign health authorities will view any of our product candidates as having adequate safety and efficacy profiles even if favorable results are observed in these clinical trials, and we may receive unexpected or unfavorable feedback from the FDA or foreign health authorities regarding satisfaction of safety, purity and potency (including clinical efficacy), amongst other factors. To the extent that the results of the trials are not satisfactory to the FDA or foreign health authorities for support of a marketing application, approval of our product candidates may be significantly delayed, or we may be required to expend significant additional resources, which may not be available to us, to conduct additional trials in support of potential approval of our product candidates.</w:t>
      </w:r>
    </w:p>
    <w:p>
      <w:pPr>
        <w:spacing w:after="0" w:line="17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future operating results are dependent in part on our ability to successfully discover, develop, obtain regulatory approval for and commercialize product candidates beyond those we currently have in clinical development. A product candidate can unexpectedly fail at any stage of preclinical and clinical development. Our investments in our early-stage research and development efforts may not yield any promising product candidates. Even if our research and development efforts yield product candidates that advance into clinical studies,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other product candidates we may develop will depend on many factors, including the following:</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events in the clinical trials.</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or any of our partners, are unable to enroll patients in clinical trials, we will be unable to complete these trials on a timely basis or at all.</w:t>
      </w:r>
    </w:p>
    <w:p>
      <w:pPr>
        <w:spacing w:after="0" w:line="2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Patient enrollment, a significant factor in the timing of clinical trials, is affected by many factors including the size and nature of the patient population, the proximity of subjects to clinical sites, the eligibility criteria for the trial, the design of the clinical</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trial, ability to obtain and maintain patient consents, risk that enrolled subjects will drop out before completion, competing clinical trials and clinicians’ and patients’ perceptions as to the potential advantages of the drug being studied in relation to other available therapies, including any new drugs that may be approved for the indications we are investigating. In particular, we are developing certain of our product candidates for the treatment of rare diseases, which have limited pools of patients from which to draw for clinical testing. If we, or any of our strategic partners that perform clinical tests for our product candidates, are unable to enroll a sufficient number of patients to complete clinical testing, we will be unable to gain marketing approval for such product candidates and our business will be harmed.</w:t>
      </w:r>
    </w:p>
    <w:p>
      <w:pPr>
        <w:spacing w:after="0" w:line="19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the U.S. federal Right to Try Act, among other things, provides a federal framework for patients to access certain investigational new drug products that have completed a Phase 1 clinical trial. Under certain circumstances, eligible patients can seek treatment without enrolling in clinical trials and without obtaining FDA approval under the FDA expanded access program. While there is no obligation to make product candidates available to eligible patients as a result of the Right to Try Act, new and emerging legislation regarding expanded access to unapproved drugs could negatively impact enrollment in our clinical trials and our business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design or our execution of clinical trials may not support regulatory approval.</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design or execution of a clinical trial can determine whether its results will support regulatory approval, and flaws in the design or execution of a clinical trial may not become apparent until the clinical trial is well advanced. In some instances, there can be significant variability in safety or efficacy results between different trials of the same product candidate due to numerous factors, including changes in trial protocols, differences in size and type of the patient populations, adherence to the dosing regimen and other trial protocols and the rate of dropout among clinical trial participants. We do not know whether any Phase 2, Phase 3 or other clinical trials we or any of our strategic partners may conduct will demonstrate consistent or adequate efficacy and safety to obtain regulatory approval to market our product candidates.</w:t>
      </w:r>
    </w:p>
    <w:p>
      <w:pPr>
        <w:spacing w:after="0" w:line="178"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Further, the FDA and comparable foreign regulatory authorities have substantial discretion in the approval process and in determining when or whether regulatory approval will be obtained for any of our product candidates. Our product candidates may not be approved even if they achieve their primary endpoints in any Phase 3 clinical trials or registration trials. The FDA or other non-U.S. regulatory authorities may disagree with our trial design and our interpretation of data from preclinical studies and clinical trials. In addition, any of these regulatory authorities may change requirements for the approval of a product candidate even after reviewing and providing comments or advice on a protocol for a pivotal Phase 3 clinical trial that has the potential to result in FDA or other agencies’ approval. In addition,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81"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b w:val="1"/>
          <w:bCs w:val="1"/>
          <w:i w:val="1"/>
          <w:iCs w:val="1"/>
          <w:color w:val="auto"/>
        </w:rPr>
        <w:t>Interim, preliminary or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16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From time to time, we may publish interim, preliminary or top-line data from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or top-line data previously published. As a result, interim, preliminary and top-line data should be viewed with caution until the final data are available. Adverse differences between interim, preliminary or top-line data and final data could significantly harm our reputation and business prospects. Moreover, preliminary, interim and top-line data are subject to the risk that one or more of the clinical outcomes may materially change as more patient data become available when patients mature on study, patient enrollment continues or as other ongoing or future clinical trials with a product candidate further develop. Past results of clinical trials may not be predictive of future results.</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the information we choose to publicly disclose regarding a particular study or clinical trial is based on what is typically more extensive information, and you or others may not agree with what we determine is the material or otherwise appropriate information to include in our disclosure. Any information we determine not to disclose may ultimately be deemed significant with respect to future decisions, conclusions, views, activities or otherwise regarding a particular product candidate or our business. Similarly, even if we are able to complete our planned and ongoing preclinical studies and clinical trials of our product candidates according to our current development timeline, the positive results from such preclinical studies and clinical trials of our product candidates may not be replicated in subsequent preclinical studies or clinical trial results.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other regulatory approval.</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Fast Track and Breakthrough Therapy designations we have received for zanidatamab may not result in faster development, regulatory review or approval process.</w:t>
      </w:r>
    </w:p>
    <w:p>
      <w:pPr>
        <w:spacing w:after="0" w:line="157"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The FDA has granted Fast Track designations to zanidatamab for the first-line treatment of patients with HER2-overexpressing GEA in combination with standard of care chemotherapy and for previously treated or recurrent gene-amplified BTC. These Fast Track designations do not ensure that we will experience a faster development, regulatory review or approval process compared to conventional FDA procedures or that we will ultimately obtain regulatory approval. Additionally, the FDA may withdraw Fast Track designation if it believes that the designation is no longer supported by data from our clinical development program. The FDA also granted Breakthrough Therapy designation for zanidatamab for treatment of patients with previously treated HER2 gene-amplified locally advanced/unresectable or metastatic BTC. While we anticipate meeting with the FDA in 2023 to discuss the data readout from the HERIZON-BTC-01 study in support of submitting a BLA for zanidatamab in patients with previously treated HER2 gene-amplified BTC, the receipt of a Breakthrough Therapy designation for a product candidate may not ultimately result in a faster development process or review, and it does not in any way assure approval of a product candidate by the FDA. In addition, designation as a Breakthrough Therapy is within the discretion of the FDA and the FDA may decide to rescind a Breakthrough Therapy designation if it believes that a designated product candidate no longer meets the conditions for qualification of this program. If our clinical development program is suspended, terminated, or put on clinical hold due to unexpected adverse events or other issues, including clinical supply issues, we may not realize all the benefits associated with the Fast Track designation. Furthermore, Fast Track designation does not change the standards for approval, and the designation alone does not guarantee qualification for the FDA’s priority review procedures.</w:t>
      </w:r>
    </w:p>
    <w:p>
      <w:pPr>
        <w:spacing w:after="0" w:line="18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Zanidatamab has also been granted Breakthrough Therapy designation from the Center for Drug Evaluation in China for treating patients with BTC who have failed prior systemic therapies.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product candidates in combination with other therapies could expose us to additional risks.</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Even if any of our product candidates were to receive marketing approval or be commercialized for use in combination with other existing therapies, we would continue to be subject to the risks that the FDA, the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w:t>
      </w:r>
    </w:p>
    <w:p>
      <w:pPr>
        <w:spacing w:after="0" w:line="165"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color w:val="auto"/>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19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 candidates from being developed, or approved or commercialized in a timely manner or at all, which could negatively impact our business.</w:t>
      </w:r>
    </w:p>
    <w:p>
      <w:pPr>
        <w:spacing w:after="0" w:line="184"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The ability of the FDA to review and clear or approve new product candidates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functions. In addition, government funding of other government agencies that fund research and development activities is subject to the political process, which is inherently fluid and unpredictable. Disruptions at the FDA and other agencies, including delays or disruptions due to the COVID-19 pandemic, travel restrictions, staffing shortages, government shutdowns and furloughs, may also slow the time necessary for new product candidates to be reviewed and/or approved by necessary government agencies, which would adversely affect our business. In response to the COVID-19 pandemic and travel restrictions, the FDA has issued industry guidance regarding plans to employ remote interactive evaluations and risk management methods, among other considerations, to meet user fee commitments and goal dates as well as plans toward resuming standard operational levels. Recently, President Biden announced that the administration intends to end the COVID-19 national and public health emergencies on May 11, 2023. The full impact of this termination of the public health emergencies on the FDA and other regulatory policies and operations are unclear. However, if global health concerns</w:t>
      </w:r>
    </w:p>
    <w:p>
      <w:pPr>
        <w:spacing w:after="0" w:line="3"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continue to prevent the FDA or other regulatory authorities from conducting their regular inspections, reviews, or other regulatory activities,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 and we may discontinue or reprioritize the development of any of our product candidates at any time, at our discretion.</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Before obtaining regulatory approval for the commercial distribution of our product candidates, we must conduct, at our own expense, extensive preclinical tests and clinical trials to demonstrate the safety and efficacy of our product candidates in humans. Preclinical and clinical testing is expensive, difficult to design and implement, can take many years to complete and is uncertain as to outcome. Additionally, the results from nonclinical testing or early clinical trials of a product candidate may not predict the results that will be obtained in subsequent human clinical trials of that product candidate. There is a high failure rate for drugs proceeding through clinical studies. A number of companies in the pharmaceutical and biotechnology industries have suffered significant setbacks in clinical development even after achieving promising results in earlier studies, and any such setbacks in any future clinical development could have a material adverse effect on our business and operating results. Alternatively, management may elect to discontinue development of certain product candidates to accommodate a shift in corporate strategy, despite positive clinical results. Based on our operating results and business strategy, among other factors, we may discontinue the development of any of our product candidates under development or reprioritize our focus on other product candidates at any time and at our discretion.</w:t>
      </w:r>
    </w:p>
    <w:p>
      <w:pPr>
        <w:spacing w:after="0" w:line="18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Additionally, because we have limited financial and managerial resources, we focus on research programs, therapeutic platforms and product candidates that we identify for specific indications. As a result, we may forgo or delay pursuit of opportunities with other therapeutic platforms or product candidates or for other indications that later prove to have greater commercial potential.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6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Our product candidates may have undesirable side effects that may delay or prevent marketing approval or, if approval is received, require them to be taken off the market, require them to include safety warnings or otherwise limit their sales; no regulatory agency has made any determination that any of our product candidates are safe or effective for use by the general public for any indication.</w:t>
      </w:r>
    </w:p>
    <w:p>
      <w:pPr>
        <w:spacing w:after="0" w:line="16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All of our product candidates are still in preclinical or clinical development. Consequently, all of our product candidates are required to undergo ongoing safety testing in humans as part of clinical trials. Unforeseen side effects from any of our product candidates could arise either during clinical development or, if approved by regulatory authorities, after the approved product has been marketed. Zanidatamab and zanidatamab zovodotin continue to be evaluated in clinical trials, and the results of these and future clinical trials may show that zanidatamab, zanidatamab zovodotin or our other product candidates cause undesirable or unacceptable side effects, which could interrupt, delay or halt clinical trials, and result in delay of, or failure to obtain, marketing approval from the FDA and other regulatory authorities, or result in marketing approval from the FDA and other regulatory authorities with restrictive label warnings, limited patient populations or potential product liability claims. Even if we believe that our clinical trials and preclinical studies demonstrate the safety and efficacy of our product candidates, only the FDA and other comparable regulatory agencies may ultimately make such determination. No regulatory agency has made any such determination that any of our product candidates are safe or effective for use by the general public for any indication.</w:t>
      </w:r>
    </w:p>
    <w:p>
      <w:pPr>
        <w:spacing w:after="0" w:line="16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If any of our product candidates receive marketing approval and we or others later identify undesirable or unacceptable side effects caused by such products: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 or impose a risk evaluation and mitigation strategy that includes restrictions and conditions on product distribution, prescribing and/or dispensing;</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Any of these events could prevent us or our current or future strategic partners from achieving or maintaining market acceptance of the affected product or could substantially increase commercialization costs and expenses, which in turn could delay or prevent us from generating revenue from the sale of any future products.</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1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life sciences industry is highly competitive and subject to rapid and significant technological change. We are currently developing biotherapeutics that will compete with other drugs and therapies that currently exist or are being developed. Products we may develop in the future are also likely to face competition from other drugs and therapies, some of which we may not currently be aware.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or FDA approval or discovering, developing and commercializing products in our field before we do.</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Specifically, there are a large number of companies developing or marketing treatments for cancer and autoimmune disorders, including many major pharmaceutical and biotechnology companies. These treatments consist both of small-molecule drug products, as well as biologics that work by using various antibody therapeutic platforms to address specific cancer targets. For additional information relating to the competitive environment we operate in, see Item 1. “Business - Competition.”</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more convenient or less expensive than any products that we may develop. Our competitors also may obtain FDA or other regulatory approval for their products more rapidly than we may obtain approval for our product candidates, which could result in our competitors establishing a strong market position before we are able to enter the market.</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19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 addition, we expect to compete with biosimilar versions of already approved products like trastuzumab or pertuzumab, and even if our product candidates achieve marketing approval, they may be challenged to achieve a price premium over competitive biosimilar products and will compete for market share with them.</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Biologics Price Competition and Innovation Act of 2009, which is included in the PPACA, authorized the FDA to approve similar versions of innovative biologics, commonly known as biosimilars. Under the PPACA, a manufacturer may submit an application for licensure of a biologic product that is “biosimilar to” or “interchangeable with” a previously approved biologic product or “reference product.” Manufacturers may not submit an application for a biosimilar to the FDA until four years following approval of the reference product, and the FDA may not approve a biosimilar product until 12 years from the date on which the reference product was approved. Even if our product candidates, if approved, are deemed to be reference products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Additionally, from time to time, there are proposals to repeal or modify the PPACA, including proposals that could significantly shorten the exclusivity period for biologics.</w:t>
      </w:r>
    </w:p>
    <w:p>
      <w:pPr>
        <w:spacing w:after="0" w:line="196"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If any of our product candidates receive regulatory approval, the approved products may not achieve broad market acceptance among physicians, patients, the medical community and third-party payors, in which case revenue generated from their sales would be limited.</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commercial success of our product candidates will depend upon their acceptance among physicians, patients and the medical community. The degree of market acceptance of our product candidates will depend on a number of factors, including:</w:t>
      </w:r>
    </w:p>
    <w:p>
      <w:pPr>
        <w:spacing w:after="0" w:line="6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or warnings contained in the approved labeling for a product candidate;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any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in the approved clinical indications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marketing and distribution support;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coverage and extent of reimbursement from managed care plans and other third-party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alternative therapies at similar or lower cost, including generic, biosimilar and over-the-counter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the product candidate is approved for inclusion on formularies of hospitals and managed care organizations;</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first-line therapy or as a second- or third-line therapy for particular diseases;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product can be used effectively with other therapies to achieve higher response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publicity about our product candidates or favorable publicity about competitive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convenience and ease of administration of our products;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If any of our product candidates are approved, but do not achieve an adequate level of acceptance by physicians, patients and the medical community, we may not generate sufficient revenue from these products, and we may not become or remain profitable. In addition, efforts to educate the medical community and third-party payors on the benefits of our product candidates may require significant resources and may never be successful.</w:t>
      </w:r>
    </w:p>
    <w:p>
      <w:pPr>
        <w:spacing w:after="0" w:line="14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may be unable to obtain orphan drug exclusivity in specific indications for zanidatamab or in future product candidates that we may develop. If our competitors are able to obtain orphan product exclusivity for their products in specific indications, we may not be able to have competing products approved in those indications by the applicable regulatory authority for a significant period of time.</w:t>
      </w:r>
    </w:p>
    <w:p>
      <w:pPr>
        <w:spacing w:after="0" w:line="16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FDA has granted Orphan Drug Designation to zanidatamab for the treatment of BTC and gastric cancer, including cancer of the gastroesophageal junction, the EMA has granted Orphan Drug Designation to zanidatamab for the treatment of gastric cancer and BTC, and we may seek Orphan Drug Designation for additional indications in the future. Orphan Drug Designation neither shortens the development time or regulatory review time of a drug nor gives the drug any advantage in the regulatory review or approval process.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Generally, if a product candidate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drug for the same indication for that time period. 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 Orphan drug exclusivity may be lost if the FDA or EMA determines that the request for designation was materially defective or if the manufacturer is unable to assure sufficient quantity of the product to meet the needs of patients with the rare disease or condition. The loss of Orphan Drug Designation could have a negative effect on our ability to successfully commercialize our product candidates, earn revenues and achieve profitability.</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Even if orphan drug exclusivity for zanidatamab is obtained, or is obtained for any other product candidates that receive an Orphan Drug Designation in the future, that exclusivity may not effectively protect the product from competition because different drugs with different active moieties can be approved for the same condition. Further, in the United States, even after an orphan drug is approved, the FDA can subsequently approve the same drug for the same condition submitted by a competitor if the FDA concludes that the later drug is clinically superior in that it is shown to be safer, more effective or makes a major contribution to patient care. If we are unable to manufacture sufficient supply of our product to meet the needs of patients, the FDA can withdraw our orphan exclusive marketing rights or approve another marketing application for the same drug product before the expiration of the exclusivity period.</w:t>
      </w:r>
    </w:p>
    <w:p>
      <w:pPr>
        <w:spacing w:after="0" w:line="16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Further, in Catalyst Pharms., Inc. v. Becerra, 14 F.4th 1299 (11th Cir. 2021), the court disagreed with the FDA’s longstanding position that the orphan drug exclusivity only applies to the approved use or indication within an eligible disease, and not to all uses or indications within the entire disease or condition. In particular, the circuit court held that the orphan drug exclusivity for Catalyst’s drug blocked the FDA’s approval of another drug for all uses or indications within the same orphan-designated disease, Lambert-Eaton myasthenic syndrome (LEMS), even though Catalyst’s drug was approved at that time only for use in the treatment of LEMS in adults. Accordingly, the court ordered the FDA to set aside the approval of a drug indicated for LEMS in children. This decision created uncertainty in the application of the orphan drug exclusivity. On January 24, 2023, the FDA published a notice in the Federal Register to clarify that while the agency complies with the court’s order in Catalyst, the FDA intends to continue to apply its longstanding interpretation of the regulations to matters outside of the scope of the Catalyst order – that is, the agency will continue tying the scope of orphan 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1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17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region to region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our products will be harmed.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eventually generate significant revenues from product sales will depend on a number of factors, including:</w:t>
      </w:r>
    </w:p>
    <w:p>
      <w:pPr>
        <w:spacing w:after="0" w:line="11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 completion of preclinical studies;</w:t>
      </w:r>
    </w:p>
    <w:p>
      <w:pPr>
        <w:spacing w:after="0" w:line="117"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submission of INDs or other regulatory applications for our planned clinical trials or future clinical trials and authorizations from regulators to initiate clinical studies;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achieving favorable results from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establishing and maintaining sufficient manufacturing capabilities, whether internally or with third parties, for clinical and commercial supply;</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pricing, reimbursement, and hospital formulary access;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combination with other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sufficiency of our financial and other resources to complete the necessary preclinical studies and clinical trials and commercialization activities;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developing and implementing successful marketing and reimbursement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obtaining and maintaining patent, trade secret and other intellectual property protection and regulatory exclusivity for our product candidates; and</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any product following approval, if any.</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If we do not achieve one or more of these requirements in a timely manner, we could experience significant delays or an inability to successfully commercialize our product candidates, which would materially harm our business.</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cannot be certain that our clinical trials will be initiated and completed on time, if at all, or whether our planned clinical strategy will be acceptable to the FDA or foreign health authorities. To become and remain profitable, we must develop, obtain approval for and eventually commercialize products, if approved, that generate significant revenue. In addition, it is not uncommon for product candidates to exhibit unforeseen safety issues or inadequate efficacy when tested in humans despite promising results in preclinical animal models or earlier trials, and we may ultimately be unable to demonstrate adequate safety and efficacy of our product candidates to obtain marketing approval. Even if we obtain approval and begin commercializing one or more of our product candidates, we may never generate revenue that is significant or large enough to achieve profitability.</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Even if we succeed in commercializing one or more of our product candidates, we will continue to incur substantial research and development, manufacturing and other expenditures to develop and market additional product candidates. Our failure to become or remain profitable would decrease the value of the company and could impair our ability to raise capital, maintain our research and development efforts, expand our business or continue our operations.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17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regulations that govern marketing approvals, pricing, coverage and reimbursement for new drugs vary widely from country to country. Many countries require approval of the sale price of a drug before it can be marketed. The pricing review period begins after marketing or product licensing approval is granted in most cases. In some foreign markets, prescription 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revenues we are able to generate from the sale of the product in that country.</w:t>
      </w:r>
    </w:p>
    <w:p>
      <w:pPr>
        <w:spacing w:after="0" w:line="16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third-party payors. In many jurisdictions, a product candidate must be approved for reimbursement before it can be approved for sale in that jurisdiction. Obtaining coverage and reimbursement approval of a product from a government or other third-party payor is a time-consuming and costly process that could require us to provide to the payor supporting scientific, clinical and cost-effectiveness data for the use of our products. If we are not currently capturing the scientific and clinical data that will be required for reimbursement approval, we may be required to conduct additional trials, which may delay or suspend reimbursement approval. Additionally, 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a product candidate that receives regulatory approval to each payor separately, with no assurance that coverage and adequate reimbursement will be obtained.</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Even if our product candidates are approved for sale by the appropriate regulatory authorities, market acceptance and sales of these products will depend on reimbursement policies and may be affected by future healthcare reform measures. Government authorities and third-party payors, such as private health insurers and health maintenance organizations, decide which drugs they will reimburse and establish payment levels. We cannot be certain that reimbursement will be available for any products that we develop. If reimbursement is not available or is available on a limited basis, we may not be able to successfully commercialize any of our approved products.</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the United States, the Medicare Prescription Drug, Improvement, and Modernization Act of 2003, also called the Medicare Modernization Act (“MMA”), changed the way Medicare covers and pays for pharmaceutical products. The legislation established Medicare Part D, which expanded Medicare coverage for outpatient prescription drug purchases by the elderly but provided authority for limiting the number of drugs that will be covered in any therapeutic class. The MMA also introduced a new reimbursement methodology based on average sales prices for physician-administered drugs. We expect to experience pricing pressures in connection with the sale of any products that we develop, due to the trend toward managed healthcare, the increasing influence of health maintenance organizations and additional legislative proposals.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18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EMA or other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currently restrict imports of drugs from countries where they may be sold at lower prices than in the United States. Our or any collaborator’s inability to promptly obtain coverage and profitable payment rates from both government-funded and private payors for any approved products that we or our strategic partners develop could have a material adverse effect on our operating results, our ability to raise capital needed to commercialize product candidates and our overall financial condition.</w:t>
      </w:r>
    </w:p>
    <w:p>
      <w:pPr>
        <w:spacing w:after="0" w:line="1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or our strategic partners develop are smaller than we believe they are, our revenue may be adversely affected and our business may suffer.</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intend to initially focus our independent product candidate development on treatments for oncology. Our projections of addressable patient populations that have the potential to benefit from treatment with our product candidates are based on estimates. If our projections are inaccurate, the market opportunities for any of our product candidates could be significantly diminished and have an adverse material impact on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our therapeutic platforms to build a pipeline of product candidates.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intend to use our therapeutic platforms to build a pipeline of product candidates and progress these product candidates through clinical development for the treatment of a variety of diseases. Although our research and development efforts to date have resulted in a pipeline of product candidates directed at various cancers, we may not be able to develop product candidates that are safe and effective. In addition, although we expect that our therapeutic platforms will allow us to develop further product candidates, they may not prove to be successful at doing so.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 in future periods, which could result in significant harm to our financial position and adversely affect our stock price.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to commercialize any of the product candidates that we develop, we will be subject to ongoing regulatory obligations and continued regulatory review, which may result in significant additional expense.</w:t>
      </w:r>
    </w:p>
    <w:p>
      <w:pPr>
        <w:spacing w:after="0" w:line="17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including Phase 4 clinical trials, and surveillance to monitor the safety and efficacy of the marketed product.</w:t>
      </w:r>
    </w:p>
    <w:p>
      <w:pPr>
        <w:spacing w:after="0" w:line="18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any approved product,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 and good clinical practice (“GCP”), for any clinical trials that we or our strategic partners conduct after 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the product from the market or voluntary or mandatory product recalls;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EMA or another applicable regulatory authority to approve pending applications or supplements to approved applications filed by us or our strategic partners, or suspension or revocation of product license approvals;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Occurrence of any of the foregoing could have a material and adverse effect on our business and results of operations. Further, the FDA’s or other ex-U.S. regulators’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FDA strictly regulates manufacturers’ promotional claims of drug products. In particular, a drug product may not be promoted by manufacturers for uses that are not approved by the FDA, as reflected in the FDA-approved labeling, although healthcare professionals are permitted to use drug products for off-label uses. The FDA, the Department of Justice, the Inspector General of the Department of Health and Human Services, among other government agencies, actively enforce the laws and regulations prohibiting manufacturers’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any product liability lawsuits are successfully brought against us or any of our strategic partners, we may incur substantial liabilities and may be required to limit commercialization of our product candidates.</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face an inherent risk of product liability lawsuits related to the testing of our product candidates in seriously ill patients, and will face an even greater risk if product candidates are approved by regulatory authorities and introduced commercially. Product liability claims may be brought against us or our strategic partners by participants enrolled in our clinical trials, patients, health care providers or others using, administering or selling any of our future approved products. If we cannot successfully defend ourselves against any such claims, we may incur substantial liabilities. Regardless of their merit or eventual outcome, liability claims may result in:</w:t>
      </w:r>
    </w:p>
    <w:p>
      <w:pPr>
        <w:spacing w:after="0" w:line="8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future approved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regulatory scrutiny;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 with, patients or other claimants;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recalls or a change in the indications for which they may be used;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may need to have in place increased product liability coverage when we begin the commercialization of our product candidates. Insurance coverage is becoming increasingly expensive. As a result, we may be unable to maintain or obtain sufficient insurance at a reasonable cost to protect us against losses that could have a material adverse effect on our business. A successful product liability claim or series of claims brought against us, particularly if judgments exceed any insurance coverage we may have, could decrease our cash resources and adversely affect our business, financial condition and results of operation.</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Patients with cancer and other diseases targeted by our product candidates are often already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 candidates, or require us to suspend or abandon our commercialization efforts. Even in a circumstance in which we do not believe that an adverse event is related to our product candidates,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or any of our third-party manufacturers encounter manufacturing difficulties, our ability to provide supply of our product candidates for clinical trials or our products for patients, if approved, could be delayed or prevented.</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manufacture of biological drug products is complex and requires significant expertise and capital investment, including the development of advanced manufacturing techniques, process and quality controls. Manufacturers of biologic products often encounter difficulties in production and sourcing, particularly in scaling up or out, validating the production process and assuring high reliability of the manufacturing processes (including the absence of contamination), in light of variations and supply constraints of key components. These problems include logistics and shipping, difficulties with production costs and yields, quality control, including consistency, stability, purity and efficacy of the product, product testing, operator error and availability of qualified personnel, as well as compliance with applicable federal, state and foreign regulations. If contaminants are discovered in our supply of our product candidates or in the manufacturing facilities, such manufacturing facilities may need to be closed for an extended period of time to investigate and remedy the contamination. We cannot assure you that any stability, purity, and efficacy failures, deficiencies, or other issues relating to the manufacture of our product candidates will not occur in the future. Our research and development activities also involve the controlled use of potentially hazardous substances, including chemical and biological materials, by our third-party manufacturers. While we currently outsource all manufacturing to third parties, we and our manufacturers are subject to federal, state and local laws and regulations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and any related liability, resulting from medical or hazardous materials.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modifications in methods of product candidate manufacturing or formulation may result in additional costs or delay.</w:t>
      </w:r>
    </w:p>
    <w:p>
      <w:pPr>
        <w:spacing w:after="0" w:line="225"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As product candidates are developed through preclinical to late-stage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or our strategic partners’ ability, to commence product sales and generate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transactions could disrupt our business, cause dilution to our stockholders and otherwise harm our business.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actively evaluate various strategic transactions on an ongoing basis. For example, we may acquire other businesses, products or technologies as well as pursue strategic alliances, joint ventures, investments in complementary businesses, out-licensing agreements, divestitures or other transactions. Any of these transactions could be material to our financial condition and operating results and expose us to many risks, including:</w:t>
      </w:r>
    </w:p>
    <w:p>
      <w:pPr>
        <w:spacing w:after="0" w:line="5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disruption in our relationships with existing strategic partners or suppliers as a result of such a transaction;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117"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management of strategic alliances or joint ventures or acquisition integration challenges;</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Also, the anticipated benefit of any strategic transaction may not materialize or such strategic transaction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any future strategic alliances, joint ventures, investments, acquisitions, divestitures or other strategic transactions, or the effect that any such transactions might have on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governments impose strict price controls, which may adversely affect our future profitability.</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many countries, particularly in those in the EU, prescription drug pricing and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strategic partners may be required to conduct a clinical trial that compares the cost-effectiveness of our product candidates to other available therapies.</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markets, prescription pharmaceutical pricing remains subject to continuing governmental control even after initial approval is granted. As a result, we or our strategic partners might obtain marketing approval for a product candidate in a particular country, but then be subject to price regulations that delay commercial launch of the product candidate, possibly for lengthy time periods, and negatively impact the revenue that is generated from the sale of the product in that country. If reimbursement of such product candidates is unavailable or limited in scope or amount, if pricing is set at unsatisfactory levels, or if there is competition from lower priced cross-border sales, our profitability will be negatively affected.</w:t>
      </w:r>
    </w:p>
    <w:p>
      <w:pPr>
        <w:spacing w:after="0" w:line="164" w:lineRule="exact"/>
        <w:rPr>
          <w:sz w:val="20"/>
          <w:szCs w:val="20"/>
          <w:color w:val="auto"/>
        </w:rPr>
      </w:pPr>
    </w:p>
    <w:p>
      <w:pPr>
        <w:jc w:val="both"/>
        <w:ind w:right="100"/>
        <w:spacing w:after="0" w:line="381" w:lineRule="auto"/>
        <w:rPr>
          <w:sz w:val="20"/>
          <w:szCs w:val="20"/>
          <w:color w:val="auto"/>
        </w:rPr>
      </w:pPr>
      <w:r>
        <w:rPr>
          <w:rFonts w:ascii="Arial" w:cs="Arial" w:eastAsia="Arial" w:hAnsi="Arial"/>
          <w:sz w:val="15"/>
          <w:szCs w:val="15"/>
          <w:b w:val="1"/>
          <w:bCs w:val="1"/>
          <w:i w:val="1"/>
          <w:iCs w:val="1"/>
          <w:color w:val="auto"/>
        </w:rPr>
        <w:t>Security breaches and incidents, loss of data and other disruptions could compromise sensitive information related to our business or protected health information or prevent us from accessing critical information and expose us to liability, which could adversely affect our business and our reputation.</w:t>
      </w:r>
    </w:p>
    <w:p>
      <w:pPr>
        <w:spacing w:after="0" w:line="10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the ordinary course of our business, we and our CROs and other service providers collect, store and otherwise process petabytes of sensitive data, including legally protected health information, personal information, intellectual property and proprietary business information owned or controlled by ourselves or our strategic partners. We manage and maintain our</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applications and data by utilizing a combination of on-site systems, managed data center systems and cloud-based data center systems. These applications and data encompass a wide variety of business-critical information, including research and development information, commercial information and business and financial information. We face four primary risks relative to protecting this critical information: loss of access risk, inappropriate disclosure risk, inappropriate modification risk and the risk of being unable to adequately monitor our controls over the first three risks.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Although we take measures designed to protect sensitive information from unauthorized access or disclosure, our information technology and infrastructure and those of our CROs and our other third-party service providers may utilize may be vulnerable to attacks by hackers or viruses or breached, interrupted or compromised due to inadvertent or intentional actions by our employees, contractors, business partners, and/or other third parties, or from cyber-attacks by malicious third parties (including supply chain cyber-attacks or the deployment of harmful malware, ransomware, denial-of-service attacks, social engineering and other means to affect service reliability and threaten the confidentiality, integrity and availability of information). Any such breach, incident, or interruption could compromise systems and networks used in our business and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such event could result in legal claims, demands and litigation or governmental investigations or other proceedings, liability under laws that protect the privacy of personal information, such as the Health Insurance Portability and Accountability Act of 1996 (“HIPAA”), and regulatory penalties and other liabilities. Although we have implemented security measures and a formal enterprise security program designed to prevent unauthorized access to sensitive data, there is no guarantee that we or our third-party service providers can protect our systems or networks or other systems or networks used in our business from security breaches, incidents, or compromises. Any loss, destruction, alteration, prevention of access to, disclosure, or dissemination of, or damage or unauthorized access to, our data or other data that is processed or maintained on our behalf could also disrupt our operations (including our ability to conduct our analyses, pay providers, conduct research and development activities, collect, process and prepare company financial information, provide information about any future products, and manage the administrative aspects of our business) and damage our reputation, any of which could adversely affect our business.</w:t>
      </w:r>
    </w:p>
    <w:p>
      <w:pPr>
        <w:spacing w:after="0" w:line="1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HIPAA, as amended by the Health Information Technology for Economic and Clinical Health Act (“HITECH”), and its implementing regulations, impose certain requirements relating to the privacy, security, transmission and breach reporting of individually identifiable health information upon entities subject to the law, such as health plans, healthcare clearinghouses and healthcare providers and their respective business associates and subcontractors that perform services for them that involve individually identifiable health information. Mandatory penalties for HIPAA violations can be significant, and criminal and monetary penalties, as well as injunctive relief, may be imposed for HIPAA violations. Although most drug manufacturers are not directly subject to HIPAA, prosecutors are increasingly using HIPAA-related theories of liability against drug manufacturers and their agents and we also could be subject to criminal penalties if we knowingly obtain individually identifiable health information from a HIPAA-covered entity in a manner that is not authorized or permitted by HIPAA.</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Furthermore, in the event of a breach as defined by HIPAA, HIPAA regulations impose specific reporting requirements to regulators, individuals impacted by the breach and, in some cases, the media. Issuing such notifications can be costly, time and resource intensive, and can generate significant negative publicity. Breaches of HIPAA may also constitute contractual violations that could lead to contractual damages or terminations. In addition to HIPAA, other applicable data privacy and security obligations, including U.S. state data breach notification laws, may require us to notify relevant stakeholders of any security breaches or incidents that result in the unauthorized disclosure, or dissemination of, personal information. Such disclosures are costly, and the disclosures or the failure to comply with such requirements, could lead to adverse impacts.</w:t>
      </w:r>
    </w:p>
    <w:p>
      <w:pPr>
        <w:spacing w:after="0" w:line="175"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Furthermore, the loss of clinical trial data from completed or future clinical trials could result in delays in our regulatory approval efforts and significantly increase our costs to recover or reproduce the data. Likewise, we rely on other third parties for the manufacture of our product candidates and to conduct clinical trials, and similar events relating to their computer systems could also have a material adverse effect on our business.</w:t>
      </w:r>
    </w:p>
    <w:p>
      <w:pPr>
        <w:spacing w:after="0" w:line="15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addition, we may face increased cybersecurity risks due to our reliance on internet technology given that we have employees at three office locations (Vancouver, Seattle, and Dublin) and a significant number of employees who work remotely, which may create additional opportunities for cybercriminals to exploit vulnerabilities.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b w:val="1"/>
          <w:bCs w:val="1"/>
          <w:i w:val="1"/>
          <w:iCs w:val="1"/>
          <w:color w:val="auto"/>
        </w:rPr>
        <w:t>We are subject to stringent and changing obligations related to privacy and security. Our actual or perceived failure to comply with such obligations could lead to regulatory investigations or actions, litigation, fines and penalties, disruptions of our business operations, reputational harm and other adverse business consequences.</w:t>
      </w:r>
    </w:p>
    <w:p>
      <w:pPr>
        <w:spacing w:after="0" w:line="17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U.S. states have enacted and are considering enacting laws relating to the protection of personal information (including health and other data of patients, research subjects, and other individuals), which may be more rigorous than, or impose additional requirements beyond those required by, HIPAA. For example, the California Consumer Privacy Act (“CCPA”), which became effective on January 1, 2020, gives California consumers expanded rights to access and delete their personal information, opt out of certain personal information sharing and receive detailed information about how their personal information is used. The CCPA allows for statutory fines for noncompliance (up to $7,500 per violation) as well as a limited private right of action for data breaches, which may increase the volume of data breach litigation. In addition, the California Privacy Rights Act of 2020 (“CPRA”), which went into effect on January 1, 2023, expands the CCPA by, among other things, giving California residents the ability to limit use of certain sensitive personal information, establishing restrictions on personal information retention, expanding the types of data breaches subject to the CCPA’s private right of action, and establishing a new California Privacy Protection Agency to implement and enforce the new law. While limited CCPA exemptions may apply to portions of our business, the recency of the CCPA’s implementing regulations and the California Attorney General’s enforcement activity means obligations under the CCPA, as modified by the CPRA, could evolve in the future, which may increase our compliance costs and potential liability. Many similar privacy and security laws have been proposed at the federal level and in other states, certain of which have been enacted, including such laws in Colorado, Connecticut, Utah and Virginia. These or other proposed or enacted laws relating to privacy and security could similarly increase our compliance obligations and costs in the future.</w:t>
      </w:r>
    </w:p>
    <w:p>
      <w:pPr>
        <w:spacing w:after="0" w:line="20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may also become subject to laws and regulations in non-U.S. countries covering privacy and security and the protection of health-related and other personal information. In particular, the European Economic Area (“EEA”) has adopted privacy and security protection laws and regulations that impose significant compliance obligations. Laws and regulations in these jurisdictions apply broadly to the collection, use, storage, disclosure, processing and security of information that identifies or may be used to identify an individual, such as names, contact information, and sensitive personal information such as health data. These laws and regulations are subject to frequent revisions and differing interpretations, and have generally become more stringent over time.</w:t>
      </w:r>
    </w:p>
    <w:p>
      <w:pPr>
        <w:spacing w:after="0" w:line="17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General Data Protection Regulation 2016/679 (“GDPR”) applies to the processing of personal information and imposes many requirements for controllers and processors of personal information, including, for example, higher standards for obtaining consent from individuals to process their personal information, more robust disclosures to individuals and a strengthened individual data rights regime, shortened timelines for data breach notifications, limitations on retention and secondary use of information, increased requirements pertaining to health data and pseudonymized (i.e., key-coded) data and additional obligations when contracting third-party processors in connection with the processing of the personal information. The GDPR allows EEA countries to make additional laws and regulations further limiting the processing of genetic, biometric or health data. Failure to comply with the requirements of the GDPR and the applicable national privacy and security laws of EEA countries may result in fines of up to €20,000,000 or up to 4% of the total worldwide annual turnover of the preceding financial year, whichever is higher, and other administrative penalties; we may also be liable should any individual who has suffered financial or non-financial damage arising from our infringement of the GDPR exercise their right to receive compensation against us. Furthermore, adverse publicity relating to our failure to comply with the GDPR could cause a loss of goodwill, which could have an adverse effect on our reputation, brand, business and financial condition. Additionally, the United Kingdom (“UK”) has implemented legislation similar to the GDPR, referred to as the UK GDPR, which provides for fines of up to the greater of £17.5 million or 4% of global turnover.</w:t>
      </w:r>
    </w:p>
    <w:p>
      <w:pPr>
        <w:spacing w:after="0" w:line="167"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Certain jurisdictions, including the EEA, have enacted data localization laws and cross-border personal information transfer laws. For example, absent appropriate safeguards or other circumstances, the GDPR generally restricts the transfer of personal information to countries outside the EEA, such as the United States, which the European Commission does not consider to provide an adequate level of personal information protection. On July 16, 2020, the Court of Justice of the European Union (“CJEU”) invalidated the European Union-U.S. Privacy Shield (“Privacy Shield”) as a data transfer mechanism for transferring personal information from the EEA to the United States. While the EU standard contractual clauses (“EU SCCs”) remain a valid mechanism to transfer personal information to third countries outside the EEA, the CJEU’s ruling has also imposed enhanced due diligence obligations on data exporters and importers to ensure that the laws of the country to which the personal information is transferred offer a level of data protection that is essentially equivalent to the EEA. Also, the EU has issued updated EU SCCs, and the UK has issued its own standard contractual clauses (the “UK SCCs”) that are required to be implemented over time. Although we do not transfer personal data from the EEA to the United States via the Privacy Shield, the CJEU’s decision means that the status of transfers of personal information from the EEA and other regions, including the UK, to the United States is subject to significant regulatory uncertainty. To the extent we transfer personal information from other jurisdictions to the United States, we may not be able to implement or maintain an appropriate data transfer mechanism to continue such international transfers of data. Additionally, the CJEU’s invalidation of the Privacy Shield, the revised EU SCCs and new UK SCCs, regulatory guidance and opinions, and other developments relating to cross-border data transfer may require us to implement additional contractual and technical safeguards for any personal information transferred out of the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EEA, UK, or other regions, which may increase compliance costs, lead to increased regulatory scrutiny or liability, and may require additional contractual negotiations, which may adversely impact our business, financial condition, and operating results.</w:t>
      </w:r>
    </w:p>
    <w:p>
      <w:pPr>
        <w:spacing w:after="0" w:line="184"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Separate from, and in addition to, requirements under the GDPR and UK GDPR, certification requirements for the hosting of health data will vary by jurisdiction. To the extent we operate in various EEA countries or the UK, there might be other national healthcare regulations or regulatory requirements with which we will be required to comply. For example, France requires hosts of health data to obtain a prior certification with the competent certification body.</w:t>
      </w:r>
    </w:p>
    <w:p>
      <w:pPr>
        <w:spacing w:after="0" w:line="181"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The interpretation and application of consumer, health-related and privacy and security laws in the United States, the EEA, and elsewhere are often uncertain, contradictory and in flux. Any failure or perceived failure to comply with federal, state or foreign laws or regulations, contractual or other legal obligations related to privacy or security may result in claims, warnings, communications, requests or investigations from individuals, supervisory authorities or other legal or regulatory authorities in relation to our processing of personal information, and regulatory investigations or other proceedings. It is possible that these laws may be interpreted and applied in a manner that is inconsistent with our practices. If so, this could result in government-imposed fines or orders requiring that we change our practices, which could adversely affect our business. In addition, these privacy regulations vary between states, may differ from country to country, and may vary based on whether testing is performed in the United States or in the local country. Complying with these various laws could cause us to incur substantial costs or require us to change our business practices and compliance procedures in a manner adverse to our business.</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commercialize any products that we or our strategic partners develop and affect the prices we may obtain.</w:t>
      </w:r>
    </w:p>
    <w:p>
      <w:pPr>
        <w:spacing w:after="0" w:line="17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to change healthcare systems in ways that could affect our ability to sell any of our product candidates profitably, if such product candidates are approved for sale.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spacing w:after="0" w:line="163"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In March 2010, the PPACA became law in the United States. The PPACA may affect the operational results of companies in the pharmaceutical industry, including us, by imposing on them additional costs. For example, effective January 1, 2010, PPACA increased the minimum Medicaid drug rebates for pharmaceutical companies and imposed an annual fee on certain branded prescription drugs and biologics. Since the enactment of PPACA, there have been executive, judicial and Congressional challenges to certain aspects of the PPACA, including judicial challenges in the Fifth Circuit Court and the United States Supreme Court. In June 2021, the United States Supreme Court held that Texas and other challengers had no legal standing to challenge the PPACA, dismissing the case without specifically ruling on the constitutionality of the PPACA. Accordingly, the PPACA remains in effect in its current form. It is unclear how future litigation or healthcare measures promulgated by the Biden administration will impact our business, financial condition and results of operations. Complying with any new legislation or changes in healthcare regulation could be time-intensive and expensive, resulting in a material adverse effect on our business.</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Other legislative changes have been proposed and adopted since the PPACA was enacted. For example, the Bipartisan Budget Act of 2018, among other things, amended the PPACA, effective January 1, 2019, to close the coverage gap in most Medicare drug plans. The Budget Control Act of 2011, which calls for aggregate reductions to Medicare payments to providers of up to 2% per fiscal year, began in 2013 and, due to subsequent legislative amendments, will remain in effect through 2031,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4% in the final fiscal year of this sequester.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 These laws may result in additional reductions in Medicare and other healthcare funding, which could have a material adverse effect on potential customers for our product candidates, if approved, and, accordingly, our future financial operations. We are unable to predict the future course of federal or state health care legislation or foreign regulations relating to the marketing, pricing and reimbursement of pharmaceutical products.</w:t>
      </w:r>
    </w:p>
    <w:p>
      <w:pPr>
        <w:spacing w:after="0" w:line="186" w:lineRule="exact"/>
        <w:rPr>
          <w:sz w:val="20"/>
          <w:szCs w:val="20"/>
          <w:color w:val="auto"/>
        </w:rPr>
      </w:pPr>
    </w:p>
    <w:p>
      <w:pPr>
        <w:ind w:right="200"/>
        <w:spacing w:after="0" w:line="274" w:lineRule="auto"/>
        <w:rPr>
          <w:sz w:val="20"/>
          <w:szCs w:val="20"/>
          <w:color w:val="auto"/>
        </w:rPr>
      </w:pPr>
      <w:r>
        <w:rPr>
          <w:rFonts w:ascii="Arial" w:cs="Arial" w:eastAsia="Arial" w:hAnsi="Arial"/>
          <w:sz w:val="16"/>
          <w:szCs w:val="16"/>
          <w:color w:val="auto"/>
        </w:rPr>
        <w:t>There have been U.S. Congressional inquiries, presidential executive orders,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products, which could have a material impact on our business. Additionally,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As discussed above,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implementation of cost containment measures, including the prescription drug provisions under the Inflation Reduction Act, as well as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spacing w:after="0" w:line="167"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Further, many states have proposed or enacted legislation that seeks to indirectly or directly regulate pharmaceutical drug pricing, such as by requiring biopharmaceutical manufacturers to publicly report proprietary pricing information or to place a maximum price ceiling on pharmaceutical products purchased by state agencies. For example, a number of states are considering or have enacted state drug price transparency and reporting laws that could substantially increase our compliance burdens and expose us to greater liability under such state laws once we begin commercialization after obtaining regulatory approval for any of our products candidates. We cannot be sure to what extent these and future legislative and regulatory efforts,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affect the prices we may obtain for any of our product candidates for which we may obtain regulatory approval or the frequency with which any such product candidate, if approved, is prescribed or used.</w:t>
      </w:r>
    </w:p>
    <w:p>
      <w:pPr>
        <w:spacing w:after="0" w:line="17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any future products. In addition to continuing pressure on prices and cost containment measures, legislative developments at the EU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products, if any, might not be considered medically reasonable and necessary for a specific indication or cost-effective by third-party payors, an adequate level of reimbursement might not be available for such products, and third-party payors’ reimbursement policies might adversely affect our or our strategic partners’ ability to sell any future products profitably.</w:t>
      </w:r>
    </w:p>
    <w:p>
      <w:pPr>
        <w:spacing w:after="0" w:line="20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post-approval testing and other requirements.</w:t>
      </w:r>
    </w:p>
    <w:p>
      <w:pPr>
        <w:spacing w:after="0" w:line="18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or elsewhere. If we or our strategic partners are slow or unable to adapt to changes in existing requirements or the adoption of new requirements or policies, or if we or our strategic partners are not able to maintain regulatory compliance, our product candidates may lose any marketing approval that may have been obtained and we may not achieve or sustain profitability, which would adversely affect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Unstable or unfavorable global market and economic conditions may have adverse consequences on our business, financial condition and stock price.</w:t>
      </w:r>
    </w:p>
    <w:p>
      <w:pPr>
        <w:spacing w:after="0" w:line="26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Global credit and financial markets have experienced extreme volatility and disruptions in the past several years, including severely diminished liquidity and credit availability, declines in consumer confidence, declines in economic growth, increases in unemployment rates, increases in the rate of inflation and uncertainty about economic stability. We cannot assure you that further deterioration in credit and financial markets and confidence in economic conditions will not occur. Our business, financial condition, and stock price may be adversely affected by any such economic downturn, volatile business environment,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or large-scale unpredictable or unstable market conditions, including a prolonged government shutdown, geopolitical events such as the conflict between Russia and Ukraine, or a global pandemic such as the COVID-19 pandemic.</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development plans. In addition, there is a risk that one or more of our current service providers, manufacturers and other partners may not survive difficult economic times, which could directly affect our ability to attain our operating goals on schedule and on budget.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become subject to economic, political, regulatory and other risks associated with international operations.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business is subject to risks associated with conducting business internationally. We have physical operations and personnel in Canada, the United States, and Ireland, and maintain offices in these three countries. We have recently established a subsidiary in Singapore, and intend to hire personnel and establish an office there. In addition, some of our suppliers and collaborative and clinical trial relationships are located outside the United States. Accordingly, our future results could be harmed by a variety of factors, including:</w:t>
      </w:r>
    </w:p>
    <w:p>
      <w:pPr>
        <w:spacing w:after="0" w:line="79" w:lineRule="exact"/>
        <w:rPr>
          <w:sz w:val="20"/>
          <w:szCs w:val="20"/>
          <w:color w:val="auto"/>
        </w:rPr>
      </w:pPr>
    </w:p>
    <w:p>
      <w:pPr>
        <w:ind w:left="660" w:right="4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instability or weakness, including inflation, reduced growth, diminished credit availability, weakened consumer confidence or increased unemployment;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instability in the international geopolitical environment, including as a result of the Russian invasion of Ukraine;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sociopolitical instability in particular foreign economies and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foreign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17"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 including any changes that China may impose as a result of political tensions between Canada and China or the United States and China;</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regulatory changes and economic conditions following the UK’s withdrawal from the EU and uncertainty related to the terms of the withdrawal;</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differing reimbursement regimes, including price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outside the United States;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 and</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supply and other disruptions resulting from the impact of public health epidemics, including the COVID-19 pandemic, on our strategic partners, third-party manufacturers, suppliers and other third parties upon which we rely.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may continue to be adversely affected by the COVID-19 pandemic.</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COVID-19 pandemic has had a broad adverse impact on the global economy across many industries and has resulted in significant governmental measures being implemented to control the spread of the virus, including quarantines, travel restrictions and business shutdowns, as well as significant volatility in global financial markets. Recently, President Biden announced that the administration intends to end the COVID-19 national and public health emergencies on May 11, 2023. The full impact of this termination of the public health emergencies on the FDA and other regulatory policies and operations are unclear.</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Certain clinical trial activities, including patient enrollment and site activations, may be delayed or otherwise impacted by COVID-19 or another pandemic or epidemic, or emergence of other infectious diseases. Although we do not currently anticipate any further material impacts to our business from COVID-19 or another pandemic or epidemic, these and similar, and perhaps more severe, disruptions in our operations could negatively impact our business and financial condition in the future, but the extent of such impact will depend on future developments, which are highly uncertain and cannot be predicted, such as the location, duration and severity of outbreaks (including future potential waves or cycles), travel restrictions and social distancing, business closures or disruptions, and the effectiveness of actions taken to contain and treat the disease and to address its impact, including on financial markets.</w:t>
      </w:r>
    </w:p>
    <w:p>
      <w:pPr>
        <w:spacing w:after="0" w:line="16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If a resurgence of COVID-19, the emergence of another pandemic or epidemic, or the emergence of other infectious diseases were to occur, a lack of coordinated response on risk mitigation and global vaccination deployment could result in significant increases to the duration and severity of such event and could have a corresponding negative impact on our business. For example, insufficient vaccine availability, reduced effectiveness of vaccines over time or against new variants, or resistance to vaccination by certain persons may result in increasing infection and hospitalization rates, which have been and could be further complicated by the emergence of more virulent or infectious variants of the virus or other diseases.</w:t>
      </w:r>
    </w:p>
    <w:p>
      <w:pPr>
        <w:spacing w:after="0" w:line="17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If the COVID-19 pandemic, another pandemic or epidemic, or other infectious diseases surge, worsen or continue for a prolonged period of time, particularly in regions where we or our strategic partners and suppliers do business, we could experience disruptions that could significantly impact our current and planned clinical trials, preclinical research and other business activities, including:</w:t>
      </w:r>
    </w:p>
    <w:p>
      <w:pPr>
        <w:spacing w:after="0" w:line="76"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disruption to and delays in preclinical research activities due to extended closure or reduced capacity of lab facilities;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further delays or difficulties in enrolling patients in our ongoing and planned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patients discontinuing their treatment or follow-up visits;</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further delays or difficulties in clinical site initiation, including limitations on access to sites, limitations to site initiation activities that can be carried out remotely, and limitations on the number of clinical site staff on site from time to time;</w:t>
      </w:r>
    </w:p>
    <w:p>
      <w:pPr>
        <w:spacing w:after="0" w:line="62"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660" w:right="400" w:hanging="328"/>
        <w:spacing w:after="0" w:line="342"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shortages, disruptions in supply, logistics or other activities related to the procurement of materials and other supplies, which could have a negative impact on our ability to conduct preclinical research, initiate or complete our clinical trials or commercialize our product candidates;</w:t>
      </w:r>
    </w:p>
    <w:p>
      <w:pPr>
        <w:spacing w:after="0" w:line="15" w:lineRule="exact"/>
        <w:rPr>
          <w:rFonts w:ascii="Arial" w:cs="Arial" w:eastAsia="Arial" w:hAnsi="Arial"/>
          <w:sz w:val="16"/>
          <w:szCs w:val="16"/>
          <w:color w:val="auto"/>
        </w:rPr>
      </w:pPr>
    </w:p>
    <w:p>
      <w:pPr>
        <w:ind w:left="660" w:right="8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62" w:lineRule="exact"/>
        <w:rPr>
          <w:rFonts w:ascii="Arial" w:cs="Arial" w:eastAsia="Arial" w:hAnsi="Arial"/>
          <w:sz w:val="18"/>
          <w:szCs w:val="18"/>
          <w:color w:val="auto"/>
        </w:rPr>
      </w:pPr>
    </w:p>
    <w:p>
      <w:pPr>
        <w:jc w:val="both"/>
        <w:ind w:left="660" w:right="100" w:hanging="328"/>
        <w:spacing w:after="0" w:line="342"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interruption of key business activities due to illness and/or quarantine of key individuals and delays associated with recruiting, hiring and training new temporary or permanent replacements for such key individuals, both internally and at our third-party service providers and strategic partners;</w:t>
      </w:r>
    </w:p>
    <w:p>
      <w:pPr>
        <w:spacing w:after="0" w:line="15" w:lineRule="exact"/>
        <w:rPr>
          <w:rFonts w:ascii="Arial" w:cs="Arial" w:eastAsia="Arial" w:hAnsi="Arial"/>
          <w:sz w:val="16"/>
          <w:szCs w:val="16"/>
          <w:color w:val="auto"/>
        </w:rPr>
      </w:pPr>
    </w:p>
    <w:p>
      <w:pPr>
        <w:ind w:left="66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in resources that would otherwise be focused on the conduct of our business or our current or planned clinical trials or preclinical research, including because of sickness, the desire to avoid contact with large groups of people, restrictions on travel, or prolonged stay-at-home or similar working arrangements;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receiving approvals from regulatory authorities to initiate our planned clinical trials;</w:t>
      </w:r>
    </w:p>
    <w:p>
      <w:pPr>
        <w:spacing w:after="0" w:line="117"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regulations as part of a response to the COVID-19 pandemic, another pandemic or epidemic, or other infectious diseases, which may require us to change the ways in which our clinical trials are conducted and incur unexpected costs, or require us to discontinue clinical trials altogether;</w:t>
      </w:r>
    </w:p>
    <w:p>
      <w:pPr>
        <w:spacing w:after="0" w:line="75"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necessary interactions with regulators (including the FDA), ethics committees and other important agencies and contractors due to limitations in employee resources or furlough of government or contractor personnel;</w:t>
      </w:r>
    </w:p>
    <w:p>
      <w:pPr>
        <w:spacing w:after="0" w:line="62" w:lineRule="exact"/>
        <w:rPr>
          <w:rFonts w:ascii="Arial" w:cs="Arial" w:eastAsia="Arial" w:hAnsi="Arial"/>
          <w:sz w:val="18"/>
          <w:szCs w:val="18"/>
          <w:color w:val="auto"/>
        </w:rPr>
      </w:pPr>
    </w:p>
    <w:p>
      <w:pPr>
        <w:jc w:val="both"/>
        <w:ind w:left="660" w:right="80" w:hanging="328"/>
        <w:spacing w:after="0" w:line="342"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disruptions to our strategic partners’ operations, which could delay the development of our product candidates in certain geographical regions and thereby affect the timing of development and commercial milestone payments and royalties on potential future product sales we may receive; and</w:t>
      </w:r>
    </w:p>
    <w:p>
      <w:pPr>
        <w:spacing w:after="0" w:line="15" w:lineRule="exact"/>
        <w:rPr>
          <w:rFonts w:ascii="Arial" w:cs="Arial" w:eastAsia="Arial" w:hAnsi="Arial"/>
          <w:sz w:val="16"/>
          <w:szCs w:val="16"/>
          <w:color w:val="auto"/>
        </w:rPr>
      </w:pPr>
    </w:p>
    <w:p>
      <w:pPr>
        <w:ind w:left="660" w:right="4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on our ability to recruit any necessary preclinical research, clinical, regulatory and other professional staff on the timeframe required to support our research and development programs.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COVID-19, another pandemic or epidemic, or other infectious diseases could disrupt the global financial markets, reducing our ability to access capital, which could negatively affect our liquidity. If a resurgence of COVID-19, the emergence of another pandemic or epidemic, or the emergence of other infectious diseases were to occur, the volatility of the financial market may be heightened, which could adversely impact the value of our common stock.</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business and current and future relationships with customers and third-party payors in the United States and elsewhere will be subject, directly or indirectly, to applicable federal and state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current and future arrangements with healthcare professionals, principal investigators, consultants, customers, and third-party payors and other entities may expose us to broadly applicable fraud and abuse and other healthcare laws and regulations, including the federal Anti-Kickback Statute and the federal False Claims Act, that may constrain the business or financial arrangements and relationships through which we conduct clinical research on product candidates and market, sell and distribute any products for which we obtain marketing approval. In addition, we may be subject to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70" w:lineRule="exact"/>
        <w:rPr>
          <w:sz w:val="20"/>
          <w:szCs w:val="20"/>
          <w:color w:val="auto"/>
        </w:rPr>
      </w:pPr>
    </w:p>
    <w:p>
      <w:pPr>
        <w:ind w:left="660" w:hanging="328"/>
        <w:spacing w:after="0" w:line="259"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(including any kickback, bribe or rebate),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ind w:left="660" w:right="140" w:hanging="328"/>
        <w:spacing w:after="0" w:line="259"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including the federal False Claims Act, impose criminal or civil penalties, as applicable, against individuals or entities for knowingly presenting, or causing to be presented, to the federal government (including the Medicare and Medicaid programs) or other third-party payor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660" w:right="100" w:hanging="328"/>
        <w:spacing w:after="0" w:line="255"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HIPAA established the federal offense of health care fraud, which among other things, imposes criminal liability for knowingly and willfully executing, or attempting to execute, a scheme to defraud any healthcare benefit program or to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84" w:lineRule="exact"/>
        <w:rPr>
          <w:rFonts w:ascii="Arial" w:cs="Arial" w:eastAsia="Arial" w:hAnsi="Arial"/>
          <w:sz w:val="18"/>
          <w:szCs w:val="18"/>
          <w:color w:val="auto"/>
        </w:rPr>
      </w:pPr>
    </w:p>
    <w:p>
      <w:pPr>
        <w:ind w:left="660" w:right="140" w:hanging="328"/>
        <w:spacing w:after="0" w:line="259"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HIPAA, as amended by HITECH, and its implementing regulations, which imposes certain obligations, including mandatory contractual terms, with respect to safeguarding the privacy, security and transmission of individually identifiable health information without the appropriate authorization by entities subject to the law, such as health plans, healthcare clearinghouses and healthcare providers and their respective business associates and their covered subcontractors;</w:t>
      </w:r>
    </w:p>
    <w:p>
      <w:pPr>
        <w:spacing w:after="0" w:line="78" w:lineRule="exact"/>
        <w:rPr>
          <w:rFonts w:ascii="Arial" w:cs="Arial" w:eastAsia="Arial" w:hAnsi="Arial"/>
          <w:sz w:val="18"/>
          <w:szCs w:val="18"/>
          <w:color w:val="auto"/>
        </w:rPr>
      </w:pPr>
    </w:p>
    <w:p>
      <w:pPr>
        <w:ind w:left="660" w:right="60" w:hanging="328"/>
        <w:spacing w:after="0" w:line="254"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Open Payments program under the Physician Payments Sunshine Act, created under Section 6002 of the PPACA and its implementing regulations, requires applicable group purchasing organizations and manufacturers of drugs, devices, biologics and medical supplies for which payment is available under Medicare, Medicaid or the Children’s Health Insurance Program (with certain exceptions) to report annually to HHS information related to “payments or other transfers of value” made in the previous year to covered recipients, including physicians (defined to include doctors, dentists, optometrists, podiatrists and chiropractors, other health care professionals (such as nurse practitioners and physician assistants) and teaching hospitals, and information regarding ownership and investment interests held by physicians (as defined above) or their immediate family members; and</w:t>
      </w:r>
    </w:p>
    <w:p>
      <w:pPr>
        <w:spacing w:after="0" w:line="86"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analogous and similar state and foreign laws and regulations, including: state anti-kickback and false claims laws that may apply to our business practices (including research, distribution, sales and marketing arrangements and claims involving healthcare items or services reimbursed by state governmental and non-governmental third-party payors,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spacing w:after="0" w:line="296" w:lineRule="auto"/>
        <w:rPr>
          <w:sz w:val="20"/>
          <w:szCs w:val="20"/>
          <w:color w:val="auto"/>
        </w:rPr>
      </w:pPr>
      <w:r>
        <w:rPr>
          <w:rFonts w:ascii="Arial" w:cs="Arial" w:eastAsia="Arial" w:hAnsi="Arial"/>
          <w:sz w:val="16"/>
          <w:szCs w:val="16"/>
          <w:color w:val="auto"/>
        </w:rPr>
        <w:t>including private insurers); state laws that require pharmaceutical companies to comply with the pharmaceutical industry’s voluntary compliance guidelines and the applicable compliance guidance promulgated by the federal government; state laws that require drug manufacturers to track gifts and other remuneration and items of value provided to healthcare professionals and entities and file reports relating to pricing and marketing information; and state and foreign laws that govern the privacy and security of health information in specified circumstances, many of which differ from each other in significant ways and often are not preempted by HIPAA, thus complicating compliance efforts.</w:t>
      </w:r>
    </w:p>
    <w:p>
      <w:pPr>
        <w:spacing w:after="0" w:line="16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Because of the breadth of these laws and the narrowness of any available statutory exceptions and safe harbors, it is possible that some of our current and future business activities could be subject to challenge under one or more of such laws.</w:t>
      </w:r>
    </w:p>
    <w:p>
      <w:pPr>
        <w:spacing w:after="0" w:line="157"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and regulations. Any failure or perceived failure by us to comply with such laws, regulations, or case law may result in governmental investigations or enforcement actions, litigation, claims and other proceedings, harm our reputation, and could result in significant liability. Additionally, if our operations are found to be in violation of any of these laws or any other governmental regulations that may apply to us, we may be subject to significant civil, criminal and administrative penalties, including damages, fines,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which could have a material adverse effect on our business. If any of the physicians or other providers or entities with whom we expect to do business, including our strategic partners, is found not to be in compliance with applicable laws, it may be subject to criminal, civil or administrative sanctions, including exclusions from participation in government healthcare programs, which could also materially affect our business.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that can harm our business.</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the United Kingdom Bribery Act 2010, the Proceeds of Crime Act 2002,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currently engage third parties for clinical trials outside of the United States and we may in the future engage third parties to sell our products outside of the United States once we enter a commercialization phase, or to obtain necessary permits, licenses, patent registrations, and other regulatory approvals. We may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Third-party manufacturers may not be able to comply with U.S. export control regulations, cGMP regulations or similar regulatory requirements outside the United States. Our failure, or the failure of our third-party manufacturers, to comply with applicable regulations could result in a necessity to replace current third parties, resulting in the possibility of supply delays,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growth prospects.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received an unsolicited, non-binding proposal from an existing investor to purchase our Company.</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April 2022, All Blue Falcons FZE (“All Blue Falcons”), an existing stockholder, submitted an unsolicited, non-binding proposal to purchase our Company for $10.50 per share in cash. Our board of directors carefully reviewed the proposal and, in May 2022, unanimously determined that the unsolicited, non-binding proposal substantially undervalued our Company and was not in the best interest of the Company and its stockholders. While All Blue Falcons has not submitted a follow-up proposal and we have not had subsequent engagement with All Blue Falcons following our rejection of the non-binding proposal, reviewing this matter has in the past and may in the future divert management’s and our board of directors’ attention and has and may require us to incur significant costs related to our engagement of advisors. Any further actions by All Blue Falcons or others may disrupt our business and operations by causing uncertainty among and potentially loss of current and prospective employees, partners, suppliers and other constituencies important to our success or delay certain initiatives, transactions or the like that we are pursuing. Any of the foregoing could materially and negatively impact our business and financial results. The price of our common stock could be subject to price fluctuations due to the uncertainty associated with any such matter.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continue to incur losses for the foreseeable future. We have no products approved for commercial sale, and to date we have not generated any revenue or profit from product sales. We may never achieve or sustain profitability.</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a clinical-stage biopharmaceutical company. We have incurred significant losses since our inception. Our net income for the year ended December 31, 2022 was $124.3 million, while our net loss for the years ended December 31, 2021 and 2020 was $211.8 million and $180.6 million, respectively. As of December 31, 2022, our accumulated deficit was $558.8 million. We expect to continue to incur losses for the foreseeable future as we continue our research and development of, and seek regulatory approvals for, our product candidates, prepare for and begin to commercialize any approved product candidates and add infrastructure, which may include personnel, to support our product development efforts. In addition, inflationary pressure could adversely impact our financial results. The net losses and negative cash flows incurred to date, together with expected future losses, have had, and likely will continue to have, an adverse effect on our stockholders’ deficit and working capital. The amount of future net losses will depend, in part, on the rate of future growth of our expenses and our ability to generate revenue.</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w:t>
      </w:r>
    </w:p>
    <w:p>
      <w:pPr>
        <w:spacing w:after="0" w:line="17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To become and remain profitable, we must succeed in developing and commercializing product candidates with significant market potential. This will require us to be successful in a range of challenging activities for which we are only in the preliminary stages, including developing product candidates, obtaining regulatory approval for such product candidates, and manufacturing, marketing and selling those product candidates for which we may obtain regulatory approval. We may never succeed in these activities and may never generate revenue from product sales that is significant enough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continue our operations. A decline in the value of our company could also cause our stockholders to lose all or part of their investment.</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Biopharmaceutical product development is a highly speculative undertaking and involves a substantial degree of uncertainty. We have never generated any revenue from product sales and may never be profitable.</w:t>
      </w:r>
    </w:p>
    <w:p>
      <w:pPr>
        <w:spacing w:after="0" w:line="17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have devoted substantially all of our financial resources and efforts to developing our proprietary therapeutic platforms, identifying potential product candidates and conducting preclinical studies and clinical trials. We and our partners are still developing our product candidates, and we have not completed development of any products. Our revenue to date has been primarily revenue from the license of our proprietary therapeutic platforms for the development of product candidates by others or revenue from our strategic partners. Our ability to generate revenue and achieve profitability depends in large part on our ability, alone or with our strategic partners, to achieve milestones and to successfully complete the development of, obtain the necessary regulatory approvals for, and commercialize, product candidates. We do not anticipate generating revenue from sales of products in the near term.</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to us on acceptable terms, or at all, and, if not available, may require us to delay, scale back, or cease our product development programs or operations.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currently advancing two of our product candidates through clinical development as well as other potential product candidates through discovery and preclinical development. Developing pharmaceutical products, including conducting preclinical studies and clinical trials, is expensive. In order to obtain regulatory approval, we will be required to conduct clinical trials for each indication for each of our product candidates. Although our collaboration agreements with Jazz and BeiGene provide for the future funding requirements for our lead asset, zanidatamab, we will continue to require additional funding to complete the development and commercialization of zanidatamab zovodotin, and to continue to advance the development of our other product candidates, and such funding may not be available on acceptable terms or at all. If sufficient funds on acceptable terms are not available when needed, or at all, we could be forced to significantly reduce operating expenses and delay, scale back or eliminate one or more of our development programs or our business operations. For example, in January 2022, we began implementing a Company-wide reduction in workforce to help achieve a more cost-efficient organization, which we believe will enhance our ability to execute on our key priorities. While we completed the reduction in workforce by the end of 2022, the full impact of the reduction in workforce is not yet known.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11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and characteristics of other product candidates that we pursue;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progress, timing, cost and results of research, preclinical development, and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timing and outcome of seeking and obtaining FDA and non-U.S. regulatory approvals;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and establishing sales, marketing and distribution capabilities;</w:t>
      </w:r>
    </w:p>
    <w:p>
      <w:pPr>
        <w:spacing w:after="0" w:line="117" w:lineRule="exact"/>
        <w:rPr>
          <w:rFonts w:ascii="Arial" w:cs="Arial" w:eastAsia="Arial" w:hAnsi="Arial"/>
          <w:sz w:val="18"/>
          <w:szCs w:val="18"/>
          <w:color w:val="auto"/>
        </w:rPr>
      </w:pPr>
    </w:p>
    <w:p>
      <w:pPr>
        <w:ind w:left="660" w:right="220" w:hanging="328"/>
        <w:spacing w:after="0" w:line="342"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achieve the anticipated cost reductions from the reduction in workforce implemented in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hire when needed additional management, scientific and medical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 of competing products that may limit market penetration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17"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our existing strategic partnerships, and any collaboration, asset monetization, licensing, or other arrangements into which we may enter in the future, including the timing of receipt of any milestone or royalty payments under these agreements.</w:t>
      </w:r>
    </w:p>
    <w:p>
      <w:pPr>
        <w:spacing w:after="0" w:line="18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Until we can generate a sufficient amount of product revenue to finance our cash requirements, which we may never do, we expect to finance future cash needs primarily through a combination of public and private equity offerings, debt financings, asset monetization, strategic partnerships and grant funding.</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substantial rights.</w:t>
      </w:r>
    </w:p>
    <w:p>
      <w:pPr>
        <w:spacing w:after="0" w:line="23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the extent that we raise additional capital through the sale of equity or convertible debt securities, our stockholders’ ownership interest will be diluted, and the terms of these new securities may include liquidation or other preferences that adversely affect our stockholders’ rights as common stockholders. Debt financing, if available at all, may involve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that we will be able to obtain additional funding if and when necessary. If we are unable to obtain adequate financing on a timely basis, we could be required to delay, scale back or eliminate one or more of our development programs or grant rights to develop and market product candidates that we would otherwise prefer to develop and market ourselves.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We will depend on our collaborative relationship with Jazz to further develop and commercialize zanidatamab, and if our relationship is not successful or is terminated, we may be delayed in or unable to effectively develop and/or commercialize zanidatamab, which could have a material adverse effect on our business.</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October 2022, Zymeworks BC entered into the Jazz Collaboration Agreement with Jazz. Pursuant to the terms of the agreement, we received a $50 million upfront payment following receipt of HSR Clearance and delivery of licenses and technology transfer to Jazz and a further payment of $325 million following Jazz’s decision to continue the collaboration after readout of the top-line clinical data from HERIZON-BTC-01. We are also eligible to receive additional milestone payments upon achievement of certain regulatory and commercial milestones, as well as tiered royalties on Jazz’s net sales of licensed products. We will depend on Jazz to collaborate with us to develop and commercialize zanidatamab in the territories covered by the Jazz Collaboration Agreement and, as a result, the eventual success or commercial viability of zanidatamab is largely beyond our control. Following receipt of the initial payments totaling $375 million, any future financial returns to us depend in large part on achievement of regulatory and commercialization milestones, plus a share of any revenue from sales. Therefore, our success, and any associated financial returns to us and our investors, will depend in significant part on Jazz’s performance under the Jazz Collaboration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a number of additional specific risks associated with our dependence on our collaborative relationship with Jazz, including:</w:t>
      </w:r>
    </w:p>
    <w:p>
      <w:pPr>
        <w:spacing w:after="0" w:line="11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decisions by Jazz regarding the development and commercialization of zanidatamab;</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possible disagreements as to the timing, nature and extent of development plans, including clinical trials or regulatory approval strategy;</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significant rights if we fail to meet our obligations under the agreement;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key management personnel at Jazz;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possible disagreements with Jazz regarding the agreement, for example, with regard to ownership of intellectual property rights.</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If either we or Jazz fail to perform our respective obligations, any clinical trial, regulatory approval or development progress could be significantly delayed or halted, could result in costly or time-consuming litigation or arbitration and could have a material adverse effect on our business.</w:t>
      </w:r>
    </w:p>
    <w:p>
      <w:pPr>
        <w:spacing w:after="0" w:line="14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Decisions by Jazz to emphasize other drug candidates currently in its portfolio ahead of zanidatamab, or to add competitive agents to its portfolio could result in a decision to terminate the agreement, in which event, among other things, we may be responsible for paying any remaining costs of ongoing or future clinical trials. If Jazz decides to terminate the Jazz Collaboration Agreement, we may be delayed in or unable to effectively develop and/or commercialize zanidatamab, which could have a material adverse effect on our business.</w:t>
      </w:r>
    </w:p>
    <w:p>
      <w:pPr>
        <w:spacing w:after="0" w:line="1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Any of the above discussed scenarios could adversely affect the timing and extent of the development and commercialization activities related to zanidatamab, which could materially and adversely impact our business.</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Our existing strategic partnerships are important to our business, and future strategic partnerships will likely also be important to us. If we are unable to maintain our strategic partnerships, or if these strategic partnerships are not successful, our business could be adversely affected.</w:t>
      </w:r>
    </w:p>
    <w:p>
      <w:pPr>
        <w:spacing w:after="0" w:line="124"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We have limited capabilities for drug development and commercialization of our product candidates, if approved. Accordingly, we have entered into strategic partnerships with other companies that we believe can provide such capabilities, including our collaboration and license agreements with Jazz, BeiGene, BMS, GSK, Daiichi Sankyo, Janssen, LEO, Iconic, Merck and Atreca. These relationships also have provided us with non-dilutive funding for our wholly owned pipeline and therapeutic platforms and we expect to receive additional funding under these strategic partnerships in the future. Our existing strategic partnerships, and any future strategic partnerships we enter into, may pose a number of risks, including the following:</w:t>
      </w:r>
    </w:p>
    <w:p>
      <w:pPr>
        <w:spacing w:after="0" w:line="53"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strategic partners have significant discretion in determining the efforts and resources that they will apply to these partnerships;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strategic partners may not perform their obligations as expected;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right="40" w:hanging="328"/>
        <w:spacing w:after="0" w:line="286"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strategic partners may not pursue development and commercialization of any product candidates that achieve regulatory approval or may elect not to continue or renew development or commercialization programs based on clinical trial results, changes in the partners’ strategic focus or available funding, or external factors, such as an acquisition, that divert resources or create competing priorities;</w:t>
      </w:r>
    </w:p>
    <w:p>
      <w:pPr>
        <w:spacing w:after="0" w:line="57" w:lineRule="exact"/>
        <w:rPr>
          <w:rFonts w:ascii="Arial" w:cs="Arial" w:eastAsia="Arial" w:hAnsi="Arial"/>
          <w:sz w:val="17"/>
          <w:szCs w:val="17"/>
          <w:color w:val="auto"/>
        </w:rPr>
      </w:pPr>
    </w:p>
    <w:p>
      <w:pPr>
        <w:ind w:left="660" w:right="520" w:hanging="328"/>
        <w:spacing w:after="0" w:line="308"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strategic partners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660" w:right="8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strategic partners could independently develop, or develop with third parties, products that compete directly or indirectly with our product candidates if the strategic partners believe that competitive products are more likely to be successfully developed or can be commercialized under terms that are more economically attractive than our product candidates;</w:t>
      </w:r>
    </w:p>
    <w:p>
      <w:pPr>
        <w:spacing w:after="0" w:line="75" w:lineRule="exact"/>
        <w:rPr>
          <w:rFonts w:ascii="Arial" w:cs="Arial" w:eastAsia="Arial" w:hAnsi="Arial"/>
          <w:sz w:val="18"/>
          <w:szCs w:val="18"/>
          <w:color w:val="auto"/>
        </w:rPr>
      </w:pPr>
    </w:p>
    <w:p>
      <w:pPr>
        <w:ind w:left="660" w:right="140" w:hanging="328"/>
        <w:spacing w:after="0" w:line="342"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strategic partners as competitive with their own product candidates or products, which may cause strategic partners to cease to devote resources to the commercialization of our product candidates;</w:t>
      </w:r>
    </w:p>
    <w:p>
      <w:pPr>
        <w:spacing w:after="0" w:line="15" w:lineRule="exact"/>
        <w:rPr>
          <w:rFonts w:ascii="Arial" w:cs="Arial" w:eastAsia="Arial" w:hAnsi="Arial"/>
          <w:sz w:val="16"/>
          <w:szCs w:val="16"/>
          <w:color w:val="auto"/>
        </w:rPr>
      </w:pPr>
    </w:p>
    <w:p>
      <w:pPr>
        <w:ind w:left="660" w:right="54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strategic partner with marketing and distribution rights to one or more of our product candidates that achieve regulatory approval may not commit sufficient resources to the marketing and distribution of such product candidates;</w:t>
      </w:r>
    </w:p>
    <w:p>
      <w:pPr>
        <w:spacing w:after="0" w:line="62"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disagreements with strategic partners,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660" w:right="140" w:hanging="328"/>
        <w:spacing w:after="0" w:line="342"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strategic partners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strategic partners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660" w:right="180" w:hanging="328"/>
        <w:spacing w:after="0" w:line="259"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strategic partnerships may be terminated for the convenience of the partner and, if terminated, we could be required to raise additional capital to pursue further development or commercialization of the applicable product candidates. For example, each of our collaboration and license agreements with Jazz, BeiGene, BMS, GSK, Daiichi Sankyo, Janssen, LEO, Iconic, Merck and Atreca may be terminated for convenience upon the completion of a specified notice period;</w:t>
      </w:r>
    </w:p>
    <w:p>
      <w:pPr>
        <w:spacing w:after="0" w:line="78" w:lineRule="exact"/>
        <w:rPr>
          <w:rFonts w:ascii="Arial" w:cs="Arial" w:eastAsia="Arial" w:hAnsi="Arial"/>
          <w:sz w:val="18"/>
          <w:szCs w:val="18"/>
          <w:color w:val="auto"/>
        </w:rPr>
      </w:pPr>
    </w:p>
    <w:p>
      <w:pPr>
        <w:jc w:val="both"/>
        <w:ind w:left="660" w:right="8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elect to enter into additional licensing or collaboration agreements to partner our product candidates in territories we currently retain, and in the event we grant exclusive rights to such partners, we would be precluded from potential commercialization of our product candidates within the territories in which we have a partner; and</w:t>
      </w:r>
    </w:p>
    <w:p>
      <w:pPr>
        <w:spacing w:after="0" w:line="75" w:lineRule="exact"/>
        <w:rPr>
          <w:rFonts w:ascii="Arial" w:cs="Arial" w:eastAsia="Arial" w:hAnsi="Arial"/>
          <w:sz w:val="18"/>
          <w:szCs w:val="18"/>
          <w:color w:val="auto"/>
        </w:rPr>
      </w:pPr>
    </w:p>
    <w:p>
      <w:pPr>
        <w:ind w:left="660" w:right="360" w:hanging="328"/>
        <w:spacing w:after="0" w:line="342"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strategic partners may not have the ability or the development capabilities to perform their obligations as expected, including as a result of the impact of the COVID-19 pandemic or the emergence of another pandemic or epidemic on our strategic partners’ operations or business.</w:t>
      </w:r>
    </w:p>
    <w:p>
      <w:pPr>
        <w:spacing w:after="0" w:line="1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If our strategic partnerships do not result in the successful development and commercialization of product candidates or if one of our partners terminates its agreement with us, we may not receive any future research funding or milestone or royalty payments under the collaboration. If we do not receive the funding we expect under our strategic partnership agreements, our development of our therapeutic platforms and product candidates could be delayed and we may need additional resources to develop product candidates and our therapeutic platforms.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significant competition in seeking new strategic partners.</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For some of our product candidates, we may in the future determine to collaborate with additional pharmaceutical and biotechnology companies for development and potential commercialization of therapeutic products. Our ability to reach a definitive agreement for a collaboration will depend, among other things, upon our assessment of the strategic partner’s resources and expertise, the terms and conditions of the proposed collaboration and the proposed strategic partner’s evaluation of a number of factors. These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strategic partner may also</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consider alternative product candidates or technologies for similar indications that may be available to collaborate on and whether such a collaboration could be more attractive than the one with us for our product candidate.</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Strategic partnerships are complex and time-consuming to negotiate and document. In addition, there have been a significant number of recent business combinations among large pharmaceutical companies that have resulted in a reduced number of potential future strategic partners. If we are unable to reach agreements with suitable strategic partners on a timely basis, on acceptable terms, or at all, we may have to curtail the development of a product candidate, reduce or delay one or more of our other development programs, delay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strategic partnerships and do not have sufficient funds or expertise to undertake the necessary development and commercialization activities, we may not be able to further develop our product candidates or bring them to market or continue to develop our therapeutic platforms and our business may be materially and adversely affected.</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rely on third-party manufacturers to produce our product candidates and on other third parties to provide supplies and store, monitor and transport bulk drug substance and drug product. We and our third-party partners may encounter difficulties with respect to these activities that could delay or impair our ability to initiate or complete our clinical trials or commercialize approved products.</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do not currently own or operate any manufacturing facilities. We rely on our strategic partners to manufacture product candidates licensed to them or work with multiple third-party contract manufacturers to produce sufficient quantities of materials required for the manufacture of our product candidates for preclinical testing and clinical trials, in compliance with applicable regulatory and quality standards, and intend to do so for the commercial manufacture of our products. If we are unable to arrange for such third-party manufacturing sources, or fail to do so on commercially reasonable terms, we may not be able to successfully produce sufficient supply of product candidate or we may be delayed in doing so. Such failure or substantial delay could materially harm our business.</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manufacture of biopharmaceutical products is complex and requires significant expertise and capital investment, including the development of advanced manufacturing techniques and process controls. The process of manufacturing our product candidates is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third-party manufacturing facilities in which our product candidates are made, such manufacturing facilities may need to be closed for an extended period of time to investigate and remedy the contamination. All of our engineered antibodies are manufactured by utilizing cells that are stored in a cell bank. We have one master cell bank and one working cell bank utilized for each antibody manufactured in accordance with cGMP. While we believe we would have adequate back up at a secondary storage location, should any cell bank be lost in a catastrophic event, it is possible that we could lose part of a cell bank and have our manufacturing potentially impacted by the need to replace the cell bank. 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Furthermore, 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manufacture our product candidates in accordance with our product specifications) and the possibility of termination or nonrenewal of the agreement by the third party at a time that is costly or damaging to us. In addition, the FDA, EMA and other regulatory authorities require that our product candidates be manufactured according to cGMP and similar foreign standards. Pharmaceutical manufacturers and their subcontractors are required to register their facilities 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strategic partners, may result in restrictions on the product or on the manufacturing or laboratory facility, including marketed product recall, suspension of manufacturing, product seizure, or a voluntary withdrawal of the drug from the market. We may have little to no control regarding the occurrence of third-party manufacturer incidents. Any failure by our third-party manufacturers to comply with cGMP or failure to scale up manufacturing processes, including any failure to deliver sufficient quantities of</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product candidates in a timely manner, could lead to a delay in, or failure to obtain, regulatory approval of any of our product candidates.</w:t>
      </w:r>
    </w:p>
    <w:p>
      <w:pPr>
        <w:spacing w:after="0" w:line="225"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In addition to third-party manufacturers, we rely on other third parties to store, monitor and transport bulk drug substance and drug product. If we are unable to arrange for such third-party sources, or fail to do so on commercially reasonable terms, we may not be able to successfully supply sufficient product candidate or we may be delayed in doing so. Such failure or substantial delay could materially harm our business.</w:t>
      </w:r>
    </w:p>
    <w:p>
      <w:pPr>
        <w:spacing w:after="0" w:line="165"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In addition, disruptions to ports and other shipping infrastructure, as were experienced during the COVID-19 pandemic, may result in shortages or delays impacting the availability of materials and other supplies, which could negatively impact our manufacturers, suppliers and other third parties on whom we rely. While we have not yet suffered any direct, material negative impacts from these ongoing supply chain disruptions, we cannot be certain that we will not be impacted, which could increase our costs or negatively impact our development timelines.</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We rely on third parties to monitor, support, conduct and oversee clinical trials of the product candidates that we are developing and, in some cases, to maintain regulatory files for those product candidates. We may not be able to obtain regulatory approval for our product candidates or commercialize any products that may result from our development efforts if we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We also rely on third parties to perform clinical trials on our current and future product candidates when they reach that stage. As a result, we have less control over the timing and cost of these studies and the ability to recruit trial subjects than if we conducted these trials with our own personnel.</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we are unable to maintain or enter into agreements with these third parties on acceptable terms, or if any such engagement is terminated prematurely, we may be unable to enroll patients on a timely basis or otherwise conduct our trials in the manner we anticipate. In addition, there is no guarantee that these third parties will devote adequate time and resources to our studies or perform as required by our contract or in accordance with regulatory requirements, including maintenance of clinical trial information regarding our product candidates. These third parties, in turn, may face their own constraints in obtaining the resources and personnel needed to perform the work for which we engage them.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EMA or other regulatory agencies.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and our CROs are required to comply with GCP regulations and guidelines enforced by the FDA, the competent authorities of the member states of the EU and comparable foreign regulatory authorities for products in clinical development. Regulatory authorities enforce these GCP regulations through periodic inspections of clinical trial sponsors, principal investigators and clinical trial sites. If we or any of our CROs fail to comply with applicable GCP regulations, the clinical data generated in our clinical trials may be deemed unreliable and our submission of marketing applications may be delayed or the FDA may require us to perform additional clinical trials before approving our marketing applications. Upon inspection, the FDA could determine that any of our clinical trials fail or have failed to comply with applicable GCP regulations. In addition, our clinical trials must be conducted with product produced under the cGMP regulations enforced by the FDA, and our clinical trials may require a large number of test subjects. Our failure to comply with these regulations may require us to repeat clinical trials, which would delay the regulatory approval process and increase our costs. Moreover, our business may be implicated if any of our CROs violates federal or state fraud and abuse or false claims laws and regulations or healthcare privacy and security laws.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site. Further, if our relationship with any of our CROs is terminated, we may be unable to enter into arrangements with alternative CROs on commercially reasonable terms, or at all.</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Switching or adding CROs or other suppliers can involve substantial cost and require extensive management time and focus. In addition, there is a natural transition period when a new CRO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rely on third parties for various operational and administrative aspects of our business, including for certain cloud-based software platforms, which impact our financial, operational and research activities. If any of these third parties fail to provide timely, accurate and ongoing service or if the cloud-based platforms suffer outages that we are unable to mitigate, our business may be adversely affected.</w:t>
      </w:r>
    </w:p>
    <w:p>
      <w:pPr>
        <w:spacing w:after="0" w:line="16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currently rely upon third-party consultants and contractors to provide certain operational and administrative services, including external financial, legal, clinical and research consultation.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or increase their fees, or if our relationships with these providers deteriorate, we could suffer increased costs until an equivalent provider could be found, if at all, or we could develop internal capabilities, if ever.</w:t>
      </w:r>
    </w:p>
    <w:p>
      <w:pPr>
        <w:spacing w:after="0" w:line="17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Further, our operations depend on the continuing and efficient operation of our information technology and communications systems and infrastructure, and specifically on “cloud-based” platforms. These platforms are vulnerable to damage or interruption from earthquakes, vandalism, sabotage, terrorist attacks, floods, fires, power outages, telecommunications failures, and computer viruses or other deliberate attempts to harm the systems. The occurrence of a natural or intentional disaster, any decision to close a facility we are using without adequate notice, or particularly an unanticipated problem at our cloud-based virtual server facility, could result in harmful interruptions in our service, resulting in adverse effects to our business.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the patents and other proprietary rights of third parties.</w:t>
      </w:r>
    </w:p>
    <w:p>
      <w:pPr>
        <w:spacing w:after="0" w:line="24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For example, certain patents and patent applications held by third parties cover Fab and Fc region engineering methods for bispecific antibodies, and antibodies having mutations in Fab heavy and light chain regions and Fc regions to generate correctly paired bispecific antibodies. If our products or our strategic partners’ products incorporate any Fab or Fc region mutations covered by any claims of these patents or patents that may issue from these applications, and if licenses for them are not available on commercially reasonable terms or at all, and we are unable to invalidate or render unenforceable those patents, our business could be materially harmed.</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also aware of third-party patents and patent applications containing claims directed to compositions and methods for treating various forms of cancer with antibodies targeting HER2, alone or in combination with other anti-cancer agents, which patents and applications could potentially be construed to cover our product candidates and the use thereof to treat cancer. If our products or our strategic partners’ products were found to infringe any such patents, and if licenses for them are not available on commercially reasonable terms, or at all, and we were unable to invalidate or render unenforceable those patents, our business could be materially harmed. These patents may not expire before we receive marketing authorization for our product candidates, and could delay the commercial launch of one or more future products. There is also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Patents that we may ultimately be found to infringe could be issued to third parties. Third parties may have or obtain valid and enforceable patents or proprietary rights that could block us from developing product candidates using our technology. Our failure to obtain a license to any patent covering any technology that we require may materially harm our business, financial condition and results of operations. Moreover, our failure to maintain a license to any patent covering any technology that we require may also materially harm our business, financial condition and results of operations. Furthermore, we would be exposed to a threat of litigation.</w:t>
      </w:r>
    </w:p>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the pharmaceutical industry, significant litigation and other proceedings regarding patents, patent applications, trademarks and other intellectual property rights are commonplace. Any such lawsuits and proceedings could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or our strategic partners are infringing a third party’s patents and would order us or our strategic partners to stop the activities or stop the manufacture, use, or sale of any product covered by the patents. In that event, we or our strategic partners may not have a viable alternative to the technology protected by the patent and may need to halt work on the affected product candidate or cease commercialization of an approved product. In addition, there is a risk that a court would order us or our strategic partners to pay third-party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Any of these outcomes could have a material adverse effect on our business.</w:t>
      </w:r>
    </w:p>
    <w:p>
      <w:pPr>
        <w:spacing w:after="0" w:line="17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are unable to obtain, maintain and enforce patent and trade secret protection for our product candidates and related technology, our business could be materially harmed.</w:t>
      </w:r>
    </w:p>
    <w:p>
      <w:pPr>
        <w:spacing w:after="0" w:line="17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Our strategy depends on our ability to identify and seek patent protection for our discoveries. This process is expensive and time 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have licensed from third parties. Therefore, our owned or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other countries.</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Moreover, the patent position of biopharmaceutical companies generally is highly uncertain, involves complex legal and factual questions and has been the subject of much litigation. The issuance of a patent does not ensure that it is valid or enforceable. Third parties may challenge the validity, enforceability or scope of our issued patents, and such patents may be narrowed, invalidated, circumvented, or deemed unenforceable. In addition, changes in law may introduce uncertainty in the enforceability or scope of patents owned by biotechnology companies.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other countries may not allow us to protect our inventions with patents to the same extent as the laws of the United States. Because patent applications in the United States and many other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issuance, validity, enforceability, scope and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commercial value of our patents in the United States and in other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 Patent and Trademark Office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and any resulting loss of patent protection, could have a material adverse impact on one or more of our product candidates and our business.</w:t>
      </w:r>
    </w:p>
    <w:p>
      <w:pPr>
        <w:spacing w:after="0" w:line="19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use, manufacture, or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2" w:lineRule="exact"/>
        <w:rPr>
          <w:sz w:val="20"/>
          <w:szCs w:val="20"/>
          <w:color w:val="auto"/>
        </w:rPr>
      </w:pPr>
    </w:p>
    <w:p>
      <w:pPr>
        <w:ind w:left="660" w:right="22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or our strategic partners own or have exclusively licensed;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17" w:lineRule="exact"/>
        <w:rPr>
          <w:rFonts w:ascii="Arial" w:cs="Arial" w:eastAsia="Arial" w:hAnsi="Arial"/>
          <w:sz w:val="18"/>
          <w:szCs w:val="18"/>
          <w:color w:val="auto"/>
        </w:rPr>
      </w:pPr>
    </w:p>
    <w:p>
      <w:pPr>
        <w:ind w:left="660" w:right="84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660" w:right="420" w:hanging="328"/>
        <w:spacing w:after="0" w:line="26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5"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right="18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laws of certain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62"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lawsuits to protect or enforce our patents and trade secrets, which could be expensive, time consuming and unsuccessful.</w:t>
      </w:r>
    </w:p>
    <w:p>
      <w:pPr>
        <w:spacing w:after="0" w:line="26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Third parties may seek to market biosimilar versions of any approved products. Alternatively, third parties may seek approval to market their own products similar to or otherwise competitive with our product candidates. In these circumstances, we may need to defend or assert our patents, including by filing lawsuits alleging patent infringement.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or processes sufficient to achieve our business objectives.</w:t>
      </w:r>
    </w:p>
    <w:p>
      <w:pPr>
        <w:spacing w:after="0" w:line="16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are examples of litigation and other adversarial proceedings or disputes that we could become a party to involving our patents or patents licensed to us:</w:t>
      </w:r>
    </w:p>
    <w:p>
      <w:pPr>
        <w:spacing w:after="0" w:line="62"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or our strategic partners may initiate litigation or other proceedings against third parties to enforce our patent or trade secret rights;</w:t>
      </w:r>
    </w:p>
    <w:p>
      <w:pPr>
        <w:spacing w:after="0" w:line="128" w:lineRule="exact"/>
        <w:rPr>
          <w:rFonts w:ascii="Arial" w:cs="Arial" w:eastAsia="Arial" w:hAnsi="Arial"/>
          <w:sz w:val="17"/>
          <w:szCs w:val="17"/>
          <w:color w:val="auto"/>
        </w:rPr>
      </w:pPr>
    </w:p>
    <w:p>
      <w:pPr>
        <w:ind w:left="660" w:right="70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62" w:lineRule="exact"/>
        <w:rPr>
          <w:rFonts w:ascii="Arial" w:cs="Arial" w:eastAsia="Arial" w:hAnsi="Arial"/>
          <w:sz w:val="18"/>
          <w:szCs w:val="18"/>
          <w:color w:val="auto"/>
        </w:rPr>
      </w:pPr>
    </w:p>
    <w:p>
      <w:pPr>
        <w:ind w:left="660" w:right="580" w:hanging="328"/>
        <w:spacing w:after="0" w:line="308" w:lineRule="auto"/>
        <w:tabs>
          <w:tab w:leader="none" w:pos="6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third parties may initiate opposition or reexamination proceedings challenging the validity or scope of our patent rights, requiring us or our strategic partners and/or licensors to participate in such proceedings to defend the validity and scope of our patents;</w:t>
      </w:r>
    </w:p>
    <w:p>
      <w:pPr>
        <w:spacing w:after="0" w:line="38" w:lineRule="exact"/>
        <w:rPr>
          <w:rFonts w:ascii="Arial" w:cs="Arial" w:eastAsia="Arial" w:hAnsi="Arial"/>
          <w:sz w:val="17"/>
          <w:szCs w:val="17"/>
          <w:color w:val="auto"/>
        </w:rPr>
      </w:pPr>
    </w:p>
    <w:p>
      <w:pPr>
        <w:ind w:left="660" w:right="48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may be a challenge or dispute regarding inventorship or ownership of patents or trade secrets currently identified as being solely or co-owned by us or by a licensor who has granted a license to us;</w:t>
      </w:r>
    </w:p>
    <w:p>
      <w:pPr>
        <w:spacing w:after="0" w:line="62"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USPTO may initiate an interference between patents or patent applications owned by or licensed to us and those of our competitors, requiring us or our strategic partners and/or licensors to participate in an interference proceeding to determine the priority of invention, which could jeopardize our patent rights; or</w:t>
      </w:r>
    </w:p>
    <w:p>
      <w:pPr>
        <w:spacing w:after="0" w:line="75"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third parties may seek approval to market biosimilar versions of our future approved products prior to expiration of relevant patents owned by or licensed to us, requiring us to defend our patents, including by filing lawsuits alleging patent infringement.</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lawsuits and proceedings would be costly and could affect our results of operations and divert the attention of our managerial and scientific personnel. Adversaries in these proceedings may have the ability to dedicate substantially greater resources to prosecuting these legal actions than we or our licensors can. There is a risk that a court or administrative body would decide that our patents are invalid, unenforceable or not infringed or trade secrets not misappropriated by a third party’s activities, or that the scope of certain issued claims must be further limited. An adverse outcome in a litigation or proceeding involving our own patents or trade secrets could limit our ability to assert our patents or trade secrets against these or other competitors, affect our ability to receive royalties or other licensing consideration from our licensees, and may curtail or preclude our ability to exclude third parties from making, using and selling similar or competitive products. Any of these occurrences could adversely affect our competitive business position, business prospects and financial condition.</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may not be able to prevent, alone or with our licensors or licensees, infringement or misappropriation of our intellectual property rights, particularly in countries where the laws may not protect those rights as fully as in the United States. Any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litigation or other proceedings to enforce our intellectual property rights may fail, and even if successful, may result in substantial costs and distract our management and other employees.</w:t>
      </w:r>
    </w:p>
    <w:p>
      <w:pPr>
        <w:spacing w:after="0" w:line="17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62"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others may be able to develop a platform that is similar to, or better than, ours in a way that is not covered by the claims of our patents;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others may be able to make compounds that are similar to our product candidates but that are not covered by the claims of our patents;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patents or pending patent applications;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patents that we obtain may not provide us with any competitive advantages or may ultimately be found invalid or unenforceable; or</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or that afford meaningful trade secret protection.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legislation in other countries for extending the term of patents covering each of our product candidates, our business may be materially harmed.</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the confidentiality of our proprietary information, the value of our technology and products could be adversely affected.</w:t>
      </w:r>
    </w:p>
    <w:p>
      <w:pPr>
        <w:spacing w:after="0" w:line="2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patent protection, we also rely on other proprietary rights, including protection of trade secrets, and other proprietary information. For example, we treat our confidential and proprietary computational technologies, including unpatented know-how and other proprietary information, as trade secrets. We enter into confidentiality agreements with our employees, consultants, strategic partners and others upon the commencement of their relationships with us. These agreements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provide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may not obtain these agreements in all circumstances, and individuals with whom we have these agreements may not comply with their terms. We cannot guarantee that we have entered into such agreements with each party that has or may have had access to, or houses or hosts, our trade secrets or proprietary information or that has been involved in the development of intellectual property. Further, despite such agreements, such inventions or confidential information may become disclosed or assigned to third parties. Monitoring unauthorized uses and disclosures is difficult and we do not know whether the steps we have taken to protect our proprietary technologies will be effective.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such technology or know-how or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 and cloud storage sources, but such security measures may be breached, including through cyber-hacking or cyberattacks, and we may not have adequate remedies for any breach.</w:t>
      </w:r>
    </w:p>
    <w:p>
      <w:pPr>
        <w:spacing w:after="0" w:line="18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16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Such trade secrets or other proprietary information could be awarded to a third party, and we could be required to obtain a license from such third party to commercialize our technology or products. Such license may not be available on commercially reasonable terms or at all. Even if we are successful in defending against these claims, litigation could result in substantial costs and be a distraction to management.</w:t>
      </w:r>
    </w:p>
    <w:p>
      <w:pPr>
        <w:spacing w:after="0" w:line="17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8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Although we are not currently experiencing any claims challenging the inventorship or ownership of our patents, we may in the future be subject to claims that former employees, strategic partners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Patent protection and patent prosecution for some of our product candidates may be dependent on, and the ability to assert patents and defend them against claims of invalidity may be maintained by, third parties.</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There may be times in the future when certain patents that relate to our product candidates or any approved products are controlled by our licensees or licensors.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that adversely affects such coverage, our ability to develop and commercialize any such product candidate may be adversely affected and we may not be able to prevent competitors from making, using and selling competing products.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patent laws or patent jurisprudence could diminish the value of patents in general, thereby impairing our ability to protect our products.</w:t>
      </w:r>
    </w:p>
    <w:p>
      <w:pPr>
        <w:spacing w:after="0" w:line="24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patent positions of pharmaceutical and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in our strategic partners’ patents or in third-party patents.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has created uncertainty with respect to the validity, scope and value of patents, once obtained.</w:t>
      </w:r>
    </w:p>
    <w:p>
      <w:pPr>
        <w:spacing w:after="0" w:line="16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For our U.S. patent applications containing a priority claim after March 16, 2013, there is a greater level of uncertainty in the patent law. In September 2011, the Leahy-Smith America Invents Act, also known as the America Invents Act (“AIA”), was signed into law. The AIA includes a number of significant changes to U.S. patent law, including provisions that affect the way patent applications will be prosecuted and may also affect patent litigation.</w:t>
      </w:r>
    </w:p>
    <w:p>
      <w:pPr>
        <w:spacing w:after="0" w:line="14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AIA and its implementation could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files a patent application in the USPTO after March 16, 2013, but before us, could be awarded a patent covering a given invention, even if we had made the invention before it was made by the third party. This requires us to be cognizant of the time from invention to filing of a patent application.</w:t>
      </w:r>
    </w:p>
    <w:p>
      <w:pPr>
        <w:spacing w:after="0" w:line="17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8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effective or sufficient to prevent them from competing. Recent U.S. Supreme Court cases have narrowed the scope of what is considered patentable subject matter, for example, in the areas of software and diagnostic methods involving the association between treatment outcome and biomarkers. This could impact our ability to patent certain aspects of our technology in the United States.</w:t>
      </w:r>
    </w:p>
    <w:p>
      <w:pPr>
        <w:spacing w:after="0" w:line="16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jurisdictions other than the United States. The legal systems of certain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Additionally, the requirements for patentability may differ in certain countries. For example, China has a heightened requirement for patentability, and specifically requires a detailed description of medical uses of a claimed drug. In India, unlike the United States, there is no link between regulatory approval of a drug and its patent status.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Geo-political actions in the United States and in foreign countries could increase the uncertainties and costs surrounding the prosecution or maintenance of our patent applications or those of any current or future licensors or licensees and the maintenance, enforcement or defense of our issued patents or those of any current or future licensors or licensees. For example, the United States, Canadian,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or from selling or importing products made using our inventions in and into Russia. Accordingly, our competitive position may be impaired, and our business, financial condition, results of operations and prospects may be adversely affected.</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another example, the complexity and uncertainty of European patent laws have increased in recent years. In Europe, a new unitary patent system will likely be introduced by the end of 2023, which would significantly impact European patents, including those granted before the introduction of such a system. Under the unitary patent system, European applications will soon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use open source software in connection with our internal research and development programs, which could negatively affect our ability to develop products and subject us to litigation or other actions.</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use open source software in connection with our internal research and development programs. The terms of many open source licenses have not been interpreted by U.S. courts or courts outside of the U.S., and there is a risk that these licenses could be construed in a way that could impose unanticipated conditions or restrictions on our ability to use this software. As a result, we could be subject to lawsuits by parties claiming ownership of what we believe to be open source software, or claiming that software we developed using such open source software is a derivative work of open source software and demanding the release of portions of our source code, or otherwise seeking to enforce the terms of the applicable open source license. Litigation could be costly for us to defend, have a negative effect on our financial condition and results of operations or require us to devote additional research and development resources to change our platform and offerings.</w:t>
      </w:r>
    </w:p>
    <w:p>
      <w:pPr>
        <w:spacing w:after="0" w:line="17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we were to combine our proprietary software with open source software in a certain manner, we could, under certain open source licenses, be required to release the source code of our proprietary software to the public.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If we inappropriately use open source software, or if the license terms for open source software that we use change, we may be required to re-engineer our platform, incur additional costs, discontinue the use of some or all of our platform or take other remedial actions.</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to risks related to license requirements, usage of open source software can lead to greater risks than use of third-party commercial software, because open source licensors generally do not provide warranties or assurance of title or controls on origin of the software.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including a review process for the use of open source software, but we cannot be sure that all of our use of open source software is in a manner that is consistent with our current policies and procedures, or will not subject us to liability. Any of these risks could be difficult to eliminate or manage and, if not addressed, could have an adverse effect on our business, financial condition and results of operations.</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for any proposed product candidate names, and any failure or delay associated with such approval may adversely affect our business.</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Redomicile Transactions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fail to realize certain benefits of the Redomicile Transactions, including as a result of the shares of our common stock not being included in a U.S. stock market index.</w:t>
      </w:r>
    </w:p>
    <w:p>
      <w:pPr>
        <w:spacing w:after="0" w:line="17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believe that the Redomicile Transactions will enhance stockholder value over the long-term and raise the profile and marketability of our capital stock in the United States through, among other things, the ability to attract deeper and growing pools of passive investment capital in the United States, particularly if shares of our common stock are included in certain U.S. stock market indices and other investment vehicles that only include securities of U.S.-incorporated companies. However, if shares of our common stock are not included in such U.S. stock market indices, this could result in increased selling pressure and/or decreased demand for our common stock that would increase stock price volatility or cause the market price of the shares of our common stock to fall. Initial inclusion and continued inclusion in a stock market index or fund is not guaranteed and is subject to numerous factors which can be applied subjectively by the entity managing the index or fund. There are no assurances that we will be included in any U.S. stock market indices or funds in a timely manner, or at all. Even if we are included in a U.S. stock market index or fund, the entities managing such indices or funds may change their inclusion criteria, resulting in the future exclusion from such index or fund.</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we incurred a number of non-recurring costs associated with the Redomicile Transactions, including legal fees, accountants’ fees, proxy solicitor fees, filing fees, mailing expenses and financial printing expenses. The completion of the Redomicile Transactions and the associated reorganization of our corporate structure may result in additional and unforeseen expenses in the future. While it is expected that benefits of the Redomicile Transactions will offset these transaction costs over time, this net benefit may not be achieved in the short-term or at all. These combined factors could adversely affect our business and overall financial condition. The success of the Redomicile Transactions will depend, in part, on our ability to realize the anticipated benefits associated with the Redomicile Transactions and associated reorganization of our corporate structure, and we may not be able to realize such benefits on a timely basis or at all.</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Redomicile Transactions may result in sales of shares of our common stock by certain retail and institutional stockholders or investment funds that are not permitted to hold shares of our common stock under their internal guidelines.</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Redomicile Transactions may result in sales of shares of our common stock by certain retail and institutional stockholders or investment funds (including Canadian-focused funds) that are not permitted to hold shares of our common stock under their internal guidelines, or are limited in the size of any such investments. Such sales could result in increased selling pressure and/or decreased demand for shares of our common stock, which could increase stock price volatility or cause the market price of the shares of our common stock to fall. As a result of the foregoing, certain of these investors may be required under their internal guidelines to sell their shares at times when, or at prices for which, they would otherwise not have sold. If an investor sells its shares at a time when the market price is lower than their cost basis in the shares, the investor will suffer a loss that could be significant to such investor.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impacted by the uncertainty associated with the Redomicile Transactions.</w:t>
      </w:r>
    </w:p>
    <w:p>
      <w:pPr>
        <w:spacing w:after="0" w:line="22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Following completion of the Redomicile Transactions, our principal executive offices are located in Middletown, Delaware. We have physical operations and personnel in Canada, the United States, and Ireland, and maintain offices in these three countries. Our executive officers and directors are located in several jurisdictions, including the United States, Canada and the United Kingdom.</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relationships, including with employees, suppliers, CROs, partners, collaborators, governments and other stakeholders, may be subject to disruption due to uncertainty associated with the Redomicile Transactions. Specifically, certain stakeholders may be reluctant to engage in business with us following the completion of the Redomicile Transactions or may impose additional conditions on or apply less favorable terms to transactions involving us. This could have an adverse effect on our business and operations.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In connection with the completion of the Redomicile Transactions we may need to enter into certain new arrangements which may not be on terms as favorable as arrangements entered into by Zymeworks BC.</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completion of the Redomicile Transactions we may need to enter into new arrangements as the ultimate parent company to Zymeworks BC and its subsidiaries. While we anticipate such terms will be materially consistent with existing arrangements, there is no assurance that such arrangement will not impose additional operating or financial restrictions on us, or that such arrangements will be on commercially reasonable terms or terms that are acceptable to us.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addition, the completion of the Redomicile Transactions may have triggered certain technical change in control, right of first offer, notice, consent, assignment or other provisions in agreements to which Zymeworks BC or our other subsidiaries are a party. If we are unable to assert that such provisions should not apply, or we are unable to comply with or negotiate waivers of those provisions, the counterparties may exercise their rights and remedies under the agreements, including potentially terminating such agreements or seeking monetary damages. Even if we are able to negotiate waivers, the counterparties may require a fee for such waivers or seek to renegotiate the agreements on terms less favorable to us.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Negative publicity resulting from the Redomicile Transactions could adversely affect our business and the market price of our common stock.</w:t>
      </w:r>
    </w:p>
    <w:p>
      <w:pPr>
        <w:spacing w:after="0" w:line="235"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Transactions similar to the Redomicile Transactions that have been undertaken by other companies have in some cases generated significant news coverage, some of which has been negative. Negative publicity generated by the Redomicile Transactions could cause certain persons with whom we have a business relationship to be more reluctant to do business with us. In addition, negative publicity could cause certain of our employees, particularly those in Canada, to perceive uncertainty regarding future opportunities available to them. Either of these events could have a significant adverse impact on our business. Negative publicity could also cause some of our stockholders to sell their shares or decrease the demand for new investors to purchase such shares, which could have an adverse impact on the price of our common stock.</w:t>
      </w:r>
    </w:p>
    <w:p>
      <w:pPr>
        <w:spacing w:after="0" w:line="17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Our current organizational structure may result in certain tax and operational inefficiencies that may adversely affect our business, financial condition and results of operations.</w:t>
      </w:r>
    </w:p>
    <w:p>
      <w:pPr>
        <w:spacing w:after="0" w:line="183"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On October 13, 2022, the Redomicile Transactions were completed, which were governed by a transaction agreement dated July 14, 2022, as restated and amended on August 18, 2022 (the “Restated and Amended Transaction Agreement”), by and among Zymeworks BC, us, CallCo and ExchangeCo. Pursuant to the terms of the Restated and Amended Transaction Agreement, we, Zymeworks BC, CallCo and ExchangeCo agreed, among other things, to use reasonable efforts to take certain corporate steps and actions, as may be necessary or desirable, to effect and implement certain post-arrangement transactions following the implementation of the arrangement under the BCBCA (the “Post-Arrangement Transactions”), including the movement of certain subsidiaries of Zymeworks BC so that they become our directly, wholly-owned subsidiaries. Following Zymeworks BC’s entry into the Jazz Collaboration Agreement, we reevaluated the potential impacts of completing the Post-Arrangement Transactions and have determined that completing the Post-Arrangement Transactions as contemplated in the Restated and Amended Transaction Agreement would result in negative tax consequences. As a result, we are evaluating alternatives to the previously contemplated Post-Arrangement Transactions with our advisors. We cannot be certain that we will be able to identify and implement an alternative set of post-arrangement transactions. Even if we do identify an alternative set of post-arrangement transactions, we cannot be certain that such alternative will result in a more tax-efficient or operationally-efficient organizational structure. While we are evaluating alternative approaches, our current organizational structure may result in certain tax and operational inefficiencies that may adversely affect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change in the future.</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subject to U.S. federal income taxes on our earnings and the earnings of our non-U.S. subsidiaries in a manner that may adversely impact our effective tax rate. For example, we may have to include additional amounts in income under the so-called “global intangible low-taxed income” regime or as a result of the application of “controlled foreign corporation” rules. In addition, the United States has enacted the Inflation Reduction Act, which, among other changes, imposes a 1% excise tax on certain stock buybacks and an alternative minimum tax on adjusted financial statement income. In addition, our Canadian tax attributes (including net operating loss and tax credit carryforwards and deductible Scientific Research and Experimental Development Expenditure carryforwards) will generally not be available to offset U.S. income and may be subject to limitation.</w:t>
      </w:r>
    </w:p>
    <w:p>
      <w:pPr>
        <w:spacing w:after="0" w:line="1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Further, our future operations and business structure may result in increased tax burden. For example, changes in our clinical development plans and business or commercialization strategies may result in an increased effective tax rate. Taxation of international business operations and intercompany transactions, including transactions between us and non-U.S. subsidiaries, is complicated. Any changes in the U.S. or non-U.S. taxation of such activities may increase our worldwide effective tax rate and harm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rights against us in Canada may be limited.</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Following the Redomicile Transactions, our principal executive offices are located in Middletown, Delaware and the majority of our directors, officers and experts reside outside of Canada. Accordingly, it may not be possible for our stockholders to effect service of process within Canada upon us or the majority of our directors, officers or experts, or to enforce judgments obtained in Canadian courts against us or the majority of our directors, officers or experts.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Exchangeable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Exchangeable Shares will not be listed on any stock exchange.</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Pursuant to the Redomicile Transactions, holders of Zymeworks BC common shares exchanged their Zymeworks BC common shares for shares of our common stock or, at their election with respect to all or a portion of their Zymeworks BC common shares and subject to applicable eligibility criteria and an overall cap, exchangeable shares (the “Exchangeable Shares”) in the capital of ExchangeCo. The Exchangeable Shares will not be listed on any stock exchange. Although Exchangeable Shares are exchangeable at the option of the holder for shares of our common stock, there is no market through which the Exchangeable Shares may be sold, and holders may not be able to sell their Exchangeable Shares.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Holders of Exchangeable Shares may experience a delay in receiving shares of our common stock from the date they request an exchange, which may affect the value of the shares the holder receives in such exchange.</w:t>
      </w:r>
    </w:p>
    <w:p>
      <w:pPr>
        <w:spacing w:after="0" w:line="17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Holders of Exchangeable Shares who request an exchange may not receive shares of our common stock until a period of time after the applicable request is received. During this period, the market price of our common stock may increase or decrease. Any such increase or decrease would affect the value of the consideration to be received by such a holder of Exchangeable Shares upon a subsequent sale of shares of our common stock received in the exchange.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 taxable event for a holder of Exchangeable Shares beyond such holder’s control.</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holder of Exchangeable Shares will be considered to have disposed of Exchangeable Shares (i) on a redemption (including pursuant to a retraction request) of such Exchangeable Shares by holders of Exchangeable Shares or ExchangeCo, and (ii) on an acquisition of such Exchangeable Shares by us or CallCo. Although each is a taxable event, the Canadian federal income tax consequences of the disposition will be different depending on whether the event giving rise to the disposition is a redemption or an acquisition.</w:t>
      </w:r>
    </w:p>
    <w:p>
      <w:pPr>
        <w:spacing w:after="0" w:line="187" w:lineRule="exact"/>
        <w:rPr>
          <w:sz w:val="20"/>
          <w:szCs w:val="20"/>
          <w:color w:val="auto"/>
        </w:rPr>
      </w:pPr>
    </w:p>
    <w:p>
      <w:pPr>
        <w:jc w:val="both"/>
        <w:ind w:right="520"/>
        <w:spacing w:after="0" w:line="342" w:lineRule="auto"/>
        <w:rPr>
          <w:sz w:val="20"/>
          <w:szCs w:val="20"/>
          <w:color w:val="auto"/>
        </w:rPr>
      </w:pPr>
      <w:r>
        <w:rPr>
          <w:rFonts w:ascii="Arial" w:cs="Arial" w:eastAsia="Arial" w:hAnsi="Arial"/>
          <w:sz w:val="16"/>
          <w:szCs w:val="16"/>
          <w:color w:val="auto"/>
        </w:rPr>
        <w:t>Prior to the sunset date of the Exchangeable Shares, ExchangeCo may redeem Exchangeable Shares in limited circumstances, and ExchangeCo shall redeem the Exchangeable Shares on the sunset date. Accordingly, an Eligible Holder may have a taxable event in a transaction beyond their control.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treatment of Exchangeable Shares for non-Canadian tax purposes is uncertain.</w:t>
      </w:r>
    </w:p>
    <w:p>
      <w:pPr>
        <w:spacing w:after="0" w:line="2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tax treatment of Exchangeable Shares for non-Canadian tax purposes, including U.S. federal income tax purposes, is uncertain. Holders of Exchangeable Shares who are subject to taxation in jurisdictions other than Canada should consult with their tax advisors regarding the tax treatment of Exchangeable Shares under non-Canadian tax laws and regulations.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Additional Legal and Compliance Matters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insider trading, and noncompliance with our policies and procedures.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and Business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In addition, employees may become subject of allegations of gender discrimination and other misconduct that are not in compliance with our policies and procedures, which, regardless of the ultimate outcome, may result in adverse publicity that could materially harm our brand, reputation and business.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or our contractors or agents market products in a manner that violates healthcare fraud and abuse laws, or if we violate government price reporting laws and transparency laws, we may be subject to civil or criminal penalties.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FDA restrictions on the marketing of pharmaceutical products, federal and state healthcare laws restrict certain business practices in the biopharmaceutical industry. Although we currently do not have any products on the market, we may be subject, and if our product candidates are approved and we begin commercialization will be subject, to additional healthcare laws and regulations enforced by the federal government and by authorities in the states and foreign jurisdictions in which we conduct our business. These state and federal healthcare laws, commonly referred to as “fraud and abuse” laws, have been applied to restrict certain marketing practices in the pharmaceutical industry, and include anti-kickback, false claims, data privacy and security and transparency statutes and regulations.</w:t>
      </w:r>
    </w:p>
    <w:p>
      <w:pPr>
        <w:spacing w:after="0" w:line="19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Federal false claims laws prohibit, among other things, any person from knowingly presenting, or causing to be presented, a false claim for payment to the federal government or knowingly making, or causing to be made, a false statement to get a false claim paid. 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Most states also have statutes or regulations similar to the federal anti-kickback law and federal false claims laws, which may apply to items such as pharmaceutical products and services reimbursed by private insurers. Administrative, civil and criminal sanctions may be imposed under these federal and state laws.</w:t>
      </w:r>
    </w:p>
    <w:p>
      <w:pPr>
        <w:spacing w:after="0" w:line="17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federal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84"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HIPAA created new federal criminal statutes that prohibit knowingly and willfully executing, or attempting to execute, a scheme to defraud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5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HITECH, and its implementing regulations, imposes certain requirements relating to the privacy, security and transmission of individually identifiable health information. Among other things, HITECH makes HIPAA’s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and newly empowered state attorneys general with the authority to enforce HIPAA. In January 2013, the Office for Civil Rights of the U.S. Department of Health and Human Services issued the Final Omnibus Rule under HIPAA pursuant to HITECH that makes significant changes to the privacy, security and breach notification requirements and penalties. The Final Omnibus Rule generally took effect in September 2013 and enhances certain privacy and security protections, and strengthens the government’s ability to enforce HIPAA. The Final Omnibus Rule also enhanced requirements for both covered entities and business associates regarding notification of breaches of unsecured protected health information. In addition, state laws govern the privacy and security of health information in certain circumstances, many of which differ from each other in significant ways. These state laws may not have the same effect and often are not preempted by HIPAA, thus complicating compliance efforts.</w:t>
      </w:r>
    </w:p>
    <w:p>
      <w:pPr>
        <w:spacing w:after="0" w:line="179"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Additionally, the PPACA also included the federal Physician Payments Sunshine Act, which requires applicable group purchasing organizations and manufacturers of drugs, devices, biologics and medical supplies for which payment is available under Medicare, Medicaid or the Children’s Health Insurance Program (with certain exceptions) to report annually information related to certain payments or other transfers of value made in the previous year to covered recipients, including physicians, as defined by law, and teaching hospitals and, effective for data reported in 2022, expanded to include nurse practitioners, physician assistants, clinical nurse specialists, certified registered nurse anesthetists and anesthesiologist assistants, and certified nurse-midwives, including certain ownership and investment interests held by physicians or their immediate family members. Failure to comply with the required reporting requirements could subject applicable reporting entities such as manufacturers to substantial civil monetary penalties.</w:t>
      </w:r>
    </w:p>
    <w:p>
      <w:pPr>
        <w:spacing w:after="0" w:line="15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Also, many states have similar healthcare statutes or regulations that apply to items and services reimbursed under Medicaid and other state programs, or, in several states, apply regardless of the payor. Certain states require pharmaceutical companies to implement a comprehensive compliance program that includes a limit or outright ban on expenditures for, or payments to,</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individual medical or health professionals and/or require pharmaceutical companies to track and report gifts and other payments made to physicians and other healthcare providers.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our operations are found to be in violation of any of the healthcare laws or regulations described above or any other laws that apply to us, we may be subject to penalties, including potentially significant criminal, civil or administrative penalties, damages, fines, disgorgement, individual imprisonment, exclusion of products from reimbursement under government programs, contractual damages, reputational harm, administrative burdens, diminished profits and future earnings or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fraud and abuse laws, and implementation of corporate compliance programs and reporting of payments or transfers of value to healthcare professionals.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24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research and development involves,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certain jurisdictions in which we operate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federal, state and local laws and regulations affecting our operations may be adopted in the future. We may incur substantial costs to comply with, and substantial fines or penalties if we violate, any of these laws or regulations.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achieve the expected cost savings and related benefits from our 2022 reduction in workforce.</w:t>
      </w:r>
    </w:p>
    <w:p>
      <w:pPr>
        <w:spacing w:after="0" w:line="22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In January 2022, we announced a plan to reduce our workforce to reflect our renewed focus on key priorities and enable us to help achieve a more cost-efficient organization necessary to execute on those priorities. While we completed the reduction in workforce by the end of 2022, the full impact of the reduction in workforce is not yet known.</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fail to effectively achieve the stated goals of the reduction in workforce. Our plans may also change as we continue to refocus on our key priorities. These actions may take more time than we currently estimate and we may not be able to achieve the cost-efficiencies sought. In addition, while the reduction in workforce was completed in 2022, it may still negatively impact employee morale for those that were not directly impacted, which may increase employee attrition and hinder our ability to achieve our key priorities. Any failure to achieve the expected benefits from the reduction in workforce or from other recent management and personnel related changes could adversely affect our stock price, financial condition and ability to achieve our key priorities.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highly dependent on key members of our senior management team, including Kenneth Galbraith, the Chair of our board of directors and Chief Executive Officer, Neil Klompas, our President and Chief Operating Officer, Christopher Astle, our Chief Financial Officer, Paul Moore, our Chief Scientific Officer, and other key members of our senior management, scientific and clinical teams. Although we have entered into employment agreements with our executive officers, each of them may terminate their employment with us at any time. The loss of the services of our key senior managers and employees could impede the achievement of our research, development and commercialization objectives and seriously harm our ability to successfully implement our business strategy.</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Retention and any future recruitment of qualified scientific, technical, clinical, manufacturing and sales and marketing personnel will also be critical to our success. In addition, we will need to effectively manage our managerial, operational,</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financial, development and other resources in order to successfully pursue our research, development and commercialization efforts for our existing and future product candidates. Furthermore, replacing key senior managers and employees may be difficult and may take an extended period of time because of the limited talent pool in our industry due to the breadth of skills and experience required to successfully develop, gain regulatory approval of and commercialize products. The reduction in workforce announced in January 2022 may also make retention of our current personnel both more important and more challenging. Intense competition for attracting key skill-sets and the impact of inflationary pressure on wages may limit our ability to attract, retain and motivate key personnel on acceptable terms.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If we are unable to continue to attract and retain high quality personnel, our ability to pursue our business strategy will be limited.</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As we advance our development and commercialization plans and strategies, we may need to grow or modify our organization, and we may experience difficulty in managing such change, which could disrupt our operations.</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of December 31, 2022, we had 291 full-time employees. As we advance our development and commercialization plans and strategies in the future, we anticipate that we may need to expand or modify our employee base. Additionally, as our product candidates enter and advance through preclinical studies and any clinical trials, we may need to expand our development, manufacturing, regulatory sales and marketing capabilities or contract with other organizations to provide these capabilities for us. Future growth would impose significant added responsibilities on members of management, including the need to identify, recruit, maintain, motivate and integrate additional employees. Also, our management may need to divert a disproportionate amount of their attention away from our day-to-day activities and devote a substantial amount of time to managing any necessary growth activities. We may not be able to effectively manage an expansion of our operations, which may result in weaknesses in our infrastructure, give rise to operational errors, loss of business opportunities, loss of employees and reduced productivity amongst remaining employees. Any growth could require significant capital expenditures and may divert financial resources from other projects, such as the development of existing and additional product candidates. If our management is unable to effectively manage any needed growth, our expenses may increase more than expected, our ability to generate or grow revenue could be reduced and we may not be able to implement our business strategy. Our future financial performance and our ability to commercialize our product candidates and compete effectively with others in our industry will depend on our ability to effectively manage any future growth.</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likely to be volatile and the market price of our common stock may drop below the price paid by stockholders.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Investors should consider an investment in our common stock as risky and invest only if they can withstand a significant loss and wide fluctuations in the market value of their investment. Investors may be unable to sell their common stock at or above the price they paid for such stock due to fluctuations in the market price of our common stock arising from changes in our operating performance or prospects. Some of the factors that may cause the market price of our common stock to fluctuate or decrease include:</w:t>
      </w:r>
    </w:p>
    <w:p>
      <w:pPr>
        <w:spacing w:after="0" w:line="79"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and timing of our clinical trials and clinical trials of our competitors’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17"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success of our partnerships, including our and Jazz’s ability and efforts to collaborate to develop and commercialize zanidatamab in the territories covered by the Jazz Collaboration Agreement;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achieve milestones and receive associated milestone payments pursuant to the terms of our collaboration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issues in manufacturing our product candidates or future approved products;</w:t>
      </w:r>
    </w:p>
    <w:p>
      <w:pPr>
        <w:spacing w:after="0" w:line="11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developments or enforcement in the United States and foreign countries with respect to our product candidates or our competitors’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introduction of technological innovations or new commercial products by us or our competitors;</w:t>
      </w:r>
    </w:p>
    <w:p>
      <w:pPr>
        <w:spacing w:after="0" w:line="117"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announcements by us, our strategic partners or our competitors of significant acquisitions, strategic partnerships, joint ventures, or capital commitments;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that cover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fluctuations in the valuation of companies in the biotechnology industry or otherwise perceived by investors to be comparable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additional instances of stockholder activism, including unsolicited takeover proposals or proxy contests;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claims or litigation related to our stockholder rights plan;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public concern over our product candidates or any future approved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future sales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 price and volume fluctuations attributable to inconsistent trading volume levels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execute on our key strategic priorities;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 in the United States or other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of any of our product candidates, if approved, to achieve commercial success;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economic and other external factors or other disasters or crises, including pandemics;</w:t>
      </w:r>
    </w:p>
    <w:p>
      <w:pPr>
        <w:spacing w:after="0" w:line="117"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period-to-period fluctuations in our financial condition and results of operations, including the timing of receipt of any milestone or other payments under commercialization or licensing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market conditions and market conditions for biopharmaceutical stocks;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potential disagreements or disputes with certain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overall fluctuations in U.S. equity markets;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factors that may be unanticipated or out of our control.</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addition, the stock market in general, and the stock of biopharmaceutical companies in particular, have experienced extreme price and volume fluctuations that have often been unrelated or disproportionate to the operating performance of the relevant companies, including recently in connection with the COVID-19 pandemic, which has resulted in increased volatility and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COVID-19 pandemic, may negatively affect the market price of our common stock, regardless of our actual operating performance. The realization of any of the above risks or any of a broad range of other risks, including those described in this “Risk Factors” section, could have a material adverse effect on the market price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common stock was first listed on the NYSE in connection with the completion of the Redomicile Transactions on October 13, 2022. In December 2022, we moved our listing to The Nasdaq Stock Market LLC. There can be no assurance that an active trading market for our common stock will be sustained or continue to be as active or liquid as was the trading market for Zymeworks BC’s common shares prior to the Redomicile Transactions, and the trading price of our common stock may be effectively lower than the trading price of Zymeworks BC’s common shares. If an active market for our common stock does not continue, it may be difficult for our stockholders to sell their stock without depressing the market price for the common stock or sell their common stock at or above the prices at which they acquired their common stock or sell their common stock at the time they would like to sell. Any inactive trading market for our common stock may also impair our ability to raise capital to continue to fund our operations by selling common stock and may impair our ability to acquire other companies or technologies by using our common stock as consideration.</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fail to meet the continued listing requirements of The Nasdaq Stock Market LLC. If Nasdaq delists our shares of common stock from trading on its exchange, we could face significant material adverse consequences, including: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significant impairment of the liquidity for our common stock, which may substantially decrease the market price of our common stock;</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660" w:right="300" w:hanging="328"/>
        <w:spacing w:after="0" w:line="308" w:lineRule="auto"/>
        <w:tabs>
          <w:tab w:leader="none" w:pos="6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determination that our common stock qualifies as a “penny stock” which will require brokers trading in our common stock to adhere to more stringent rules and possibly resulting in a reduced level of trading activity in the secondary trading market for our common stock;</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Substantial future sales of our common stock, or the perception that these sales could occur, may cause the price of our common stock to drop significantly, even if our business is performing well.</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large volume of sales of our common stock could decrease the prevailing market price of our common stock and could impair our ability to raise additional capital through the sale of equity securities in the future. Even if a substantial number of sales of our common stock does not occur, the mere perception of the possibility of these sales could depress the market price of our common stock and have a negative effect on our ability to raise capital in the future.</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management team has broad discretion to use the net proceeds from public and private and debt financings as well as funds received pursuant to our strategic collaborations, and its investment of these proceeds may not yield a favorable return. They may invest the proceeds in ways with which our stockholders disagree.</w:t>
      </w:r>
    </w:p>
    <w:p>
      <w:pPr>
        <w:spacing w:after="0" w:line="18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management team has broad discretion in the application of the net proceeds we received pursuant to our January 2022 public offering of common shares and pre-funded warrants to purchase common shares, as well as funds we receive from time to time pursuant to our strategic collaborations and that we may receive from future fundraising efforts, including pursuant to any “at-the-market” equity offering programs we may use from time to time, and we could spend or invest the proceeds in ways with which our stockholders disagree. Accordingly, stockholders will need to rely on our management team’s judgment with respect to the use of these proceeds. However, the failure by management to apply these funds effectively could negatively affect our ability to operate and grow our business.</w:t>
      </w:r>
    </w:p>
    <w:p>
      <w:pPr>
        <w:spacing w:after="0" w:line="185"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We cannot specify with certainty all of the particular uses for the net proceeds to be received from our fundraising efforts or for the funds received from time to time pursuant to our strategic collaborations. In addition, the amount, allocation and timing of our actual expenditures will depend upon numerous factors, including additional milestone payments received from our strategic partnerships and royalties received on sale of any future approved product. Accordingly, we will have broad discretion in using these proceeds. Until the net proceeds are used, they may be placed in investments that do not produce significant income or that may lose value.</w:t>
      </w:r>
    </w:p>
    <w:p>
      <w:pPr>
        <w:spacing w:after="0" w:line="19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accordingly, stockholders must rely on stock appreciation for any return on their investment.</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never paid any dividends on our common stock. We currently intend to retain our future earnings, if any, to fund the development and growth of our business and do not anticipate that we will declare or pay any cash dividends on our common stock in the foreseeable future. As a result, capital appreciation, if any, of our common stock will be the sole source of gain on investment in our common stock for the foreseeable future. Investors seeking cash dividends should not invest in our common stock.</w:t>
      </w:r>
    </w:p>
    <w:p>
      <w:pPr>
        <w:spacing w:after="0" w:line="18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Any future determination to pay dividends will be at the discretion of our board of directors and will depend upon many factors, including our results of operations, financial position, capital requirements, distributable reserves, credit terms, general economic conditions and other factors as our board of directors may deem relevant from time to time. Consequently, future dividends payable to investors are not guaranteed.</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principal stockholders, in aggregate, could exert substantial influence over us which could delay or prevent a change in corporate control or result in the entrenchment of management or the board of directors.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principal stockholders, being our stockholders that beneficially own 5% or more of our common stock, together with their affiliates and related persons, in aggregate, beneficially own approximately 51.4% of our outstanding common stock as of December 31, 2022. Our directors and executive officers beneficially own, in the aggregate, approximately 1.9% of our outstanding common stock as of December 31, 2022. Our principal stockholders, if acting together (with or without our</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directors and executive officers), may have the ability to exert substantial influence over the outcome of matters submitted to our stockholders for approval, including the election and removal of directors and any merger or sale of all or substantially all of our assets. In addition, our principal stockholders, if acting together (with or without our directors and executive officers), may have the ability to exert substantial influence over the management and affairs of our company. Accordingly, this concentration of ownership could harm the market price of our common stock by:</w:t>
      </w:r>
    </w:p>
    <w:p>
      <w:pPr>
        <w:spacing w:after="0" w:line="63"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entrenching our management or the board of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impeding a merger, takeover, or other business combination involving us;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recently qualified as a smaller reporting company, and any decision on our part to comply only with certain reduced reporting and disclosure requirements applicable to such companies could make our common stock less attractive to investors</w:t>
      </w:r>
      <w:r>
        <w:rPr>
          <w:rFonts w:ascii="Arial" w:cs="Arial" w:eastAsia="Arial" w:hAnsi="Arial"/>
          <w:sz w:val="18"/>
          <w:szCs w:val="18"/>
          <w:color w:val="auto"/>
        </w:rPr>
        <w:t>.</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a result of our public float (the market value of our common stock held by non-affiliates) as of June 30, 2022, we qualify as a “smaller reporting company,” as defined under the Exchange Act. In addition, we are a “non-accelerated filer” as defined under the Exchange Act. For as long as we continue to be a smaller reporting company or a non-accelerated filer, we may choose to take advantage of exemptions from various reporting requirements applicable to other public companies that are not smaller reporting companies or non-accelerated filers, as applicable, including, but not limited to, an exemption from the requirement that our independent registered public accounting firm attest to the effectiveness of our internal control over financial reporting under Section 404. We have opted not to obtain such attestation from our independent registered public accounting firm in connection with this Annual Report on Form 10-K. This decision may have a detrimental impact on our ability to maintain the adequacy of our internal control over financial reporting, and any failure to maintain adequacy, or inability to produce accurate financial statements or other reports on a timely basis, could increase our operating costs and could materially impair our ability to operate our business.</w:t>
      </w:r>
    </w:p>
    <w:p>
      <w:pPr>
        <w:spacing w:after="0" w:line="181"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For so long as we choose to rely on any of these disclosure exemptions, the information we provide stockholders will be different than the information that is available with respect to other public companies. Moreover, if some investors find our common stock less attractive as a result of any choices to reduce our disclosure, there may be a less active trading market for our common stock and the market price of our common stock may be more volatile.</w:t>
      </w:r>
    </w:p>
    <w:p>
      <w:pPr>
        <w:spacing w:after="0" w:line="14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Sarbanes-Oxley Act of 2002, we are required to establish and maintain effective internal control over financial reporting and adequate disclosure controls and procedures. Effective internal control over financial reporting is necessary for us to provide reliable financial reports and, together with adequate disclosure controls and procedures, are designed to prevent fraud.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 Undetected material weaknesses in our internal controls could lead to financial statement restatements and require us to incur the expense of remediation.</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transitioned to a new enterprise resource planning system, which we believe will lead to improvements in our internal control over financial reporting. Although we have completed this transition to a new enterprise resource planning system, the full impact of this transition is not yet known. If, during the evaluation and testing process of our internal controls, we identify one or more material weaknesses in our internal control over financial reporting, we will be unable to assert that our internal control over financial reporting is effective. We cannot assure you that there will not be material weaknesses in our internal controls over financial reporting in the future.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Furthermore, if we cannot provide reliable financial reports or prevent fraud, including as a result of remote working by our employees, our business and results of operations would likely be materially and adversely affected.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Delaware law and provisions in our amended and restated certificate of incorporation and amended and restated bylaws might delay, discourage or prevent a change in control of Zymeworks or changes in our management, thereby depressing the market price of our common stock.</w:t>
      </w:r>
    </w:p>
    <w:p>
      <w:pPr>
        <w:spacing w:after="0" w:line="10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make the acquisition of Zymeworks more difficult or delay or prevent changes in control of its management. Among other things, these provisions:</w:t>
      </w:r>
    </w:p>
    <w:p>
      <w:pPr>
        <w:spacing w:after="0" w:line="62" w:lineRule="exact"/>
        <w:rPr>
          <w:sz w:val="20"/>
          <w:szCs w:val="20"/>
          <w:color w:val="auto"/>
        </w:rPr>
      </w:pPr>
    </w:p>
    <w:p>
      <w:pPr>
        <w:ind w:left="660" w:right="22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660" w:right="260" w:hanging="328"/>
        <w:spacing w:after="0" w:line="286"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permit only the board of directors to establish the number of directors and fill vacancies and newly created directorships on the board, provided that the board of directors’ ability to increase the size of the board and fill vacancies and newly created directorships will be subject to the restrictions in our amended and restated certificate of incorporation and amended and restated bylaws;</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 that members of our board of directors serve in one of three staggered terms of three years each;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provide that our directors may only be removed by the affirmative vote of at least 66 2/3% of the voting power of the shares cast on such proposal;</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provide for cumulative voting rights in the election of directors;</w:t>
      </w:r>
    </w:p>
    <w:p>
      <w:pPr>
        <w:spacing w:after="0" w:line="117"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that special meetings of Zymeworks’ stockholders may be called only by the board of directors, the chairperson of the board of directors, Zymeworks’ chief executive officer, president or the secretary upon request from holders of no less than 20% of our outstanding voting stock, subject to the limitations and requirements set forth in our amended and restated bylaws;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of the provisions described above.</w:t>
      </w:r>
    </w:p>
    <w:p>
      <w:pPr>
        <w:spacing w:after="0" w:line="225" w:lineRule="exact"/>
        <w:rPr>
          <w:sz w:val="20"/>
          <w:szCs w:val="20"/>
          <w:color w:val="auto"/>
        </w:rPr>
      </w:pPr>
    </w:p>
    <w:p>
      <w:pPr>
        <w:jc w:val="both"/>
        <w:ind w:right="600"/>
        <w:spacing w:after="0" w:line="286"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DGCL, which generally prohibits a Delaware corporation from engaging in any of a broad range of business combinations with any “interested stockholder” for a period of three years following the date on which the stockholder became an “interested stockholder” unless certain conditions are met.</w:t>
      </w:r>
    </w:p>
    <w:p>
      <w:pPr>
        <w:spacing w:after="0" w:line="16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These provisions, alone or together, could delay, discourage or prevent a transaction involving a change in control of Zymeworks. These provisions could also discourage proxy contests and make it more difficult for stockholders to elect directors of their choosing and to cause Zymeworks to take other corporate actions they desire, any of which, under certain circumstances, could limit the opportunity for our stockholders to receive a premium for their shares of common stock, and could also affect the price that some investors are willing to pay for our common stock.</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stockholders’ rights plan adopted by our board of directors may discourage a third party from acquiring us in a manner that could result in a premium price to our stockholders.</w:t>
      </w:r>
    </w:p>
    <w:p>
      <w:pPr>
        <w:spacing w:after="0" w:line="17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October 12, 2022, we entered into a Preferred Stock Rights Agreement (the “New Rights Plan”) pursuant to which our board of directors authorized and declared a dividend distribution of one right (each, a “Right”) for each share of our common stock outstanding on October 13, 2022 (the “Record Date”), and for each share of common stock that becomes outstanding between the Record Date and the earlier of the date the Rights become exercisable and the expiration of the Rights. Each Right entitles the registered holder to purchase from us one one-thousandth of a share of our Series B Participating Preferred Stock at an exercise price of $74.00, subject to adjustment. In general terms, the New Rights Plan works by imposing a significant penalty upon any person or group that acquires 10 percent or more (or 20 percent or more in the case of certain institutional investors who report their holdings on Schedule 13G) of the shares of our common stock without the approval of our board of directors. As a result, the overall effect of the New Rights Plan and the issuance of the Rights may be to render more difficult or discourage a merger, amalgamation, arrangement, take-over bid, tender or exchange offer or other business combination involving us that is not approved by our board of directors. However, neither the New Rights Plan nor the Rights should interfere with any merger, amalgamation, arrangement, take-over bid, tender or exchange offer or other business combination approved by the Board. The terms of the New Rights Plan are substantively similar in all material respects to the terms of the</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Zymeworks BC Preferred Shares Rights Agreement, which expired in connection with the completion of the Redomicile Transactions.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Zymeworks and its stockholders, and also provide that the federal district courts are the exclusive forum for resolving any complaint asserting a cause of action arising under the Securities Act, each of which could limit our stockholders’ ability to choose the judicial forum for disputes with Zymeworks or its directors, officers, stockholders or employees.</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Zymeworks or our stockholders, (3) any action arising pursuant to any provision of the DGCL, our amended and restated certificate of incorporation or our amended and restated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provision does not apply to any action brought to enforce a duty or liability created by the Exchange Act and the rules and regulations thereunder.</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provides that, unless we consent in writing to the selection of an alternative forum, the federal district courts of the United States will be the sole and exclusive forum for resolving any complaint asserting a cause of action arising under the Securities Act.</w:t>
      </w:r>
    </w:p>
    <w:p>
      <w:pPr>
        <w:spacing w:after="0" w:line="18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its compliance with the federal securities laws and the rules and regulations thereunder as a result of our exclusive forum provisions.</w:t>
      </w:r>
    </w:p>
    <w:p>
      <w:pPr>
        <w:spacing w:after="0" w:line="17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enforceability of similar exclusive forum provisions in other companies’ organizational documents have been challenged in legal proceedings, and, while certain courts have determined these provisions are enforceable, it is possible that a court of law could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action in other jurisdictions, which could harm our financial condition and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at risk of securities class action litigation.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Securities class action litigation has often been brought against companies following a decline in the market price of their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harm our business.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trading market for our common stock will depend on the research and reports that securities or industry analysts publish about us or our business. We do not have any control over these analysts. We cannot assure that analysts will cover us or provide accurate or favorable coverage. If one or more of the analysts who cover us downgrade our stock or change their opinion of our common stock negatively, our stock price would likely decline. If one or more of these analysts cease coverage of our company or fail to regularly publish reports on us, we could lose visibility in the financial markets, which could cause our stock price or trading volume to decline. Moreover, the research and reports that analysts publish may suggest a price for our common stock that does not fully or accurately reflect the true value of our company. Furthermore, even if such analyst publications are favorable, these reports could have negative consequences for us.</w:t>
      </w:r>
    </w:p>
    <w:p>
      <w:pPr>
        <w:spacing w:after="0" w:line="2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principal executive offices are located at 108 Patriot Drive, Suite A, Middletown, Delaware 19709. We maintain physical operations and personnel in Canada, the United States and Ireland. We have recently established a subsidiary in Singapore, and intend to hire personnel and establish an office there.</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Vancouver offices are located in a single building containing office and laboratory space at 114 East 4th Avenue, Suite 800 Vancouver, British Columbia, Canada, V5T 1G4. The lease for our Vancouver location, which we entered into in January 2019, has an initial term expiring in February 2032, with two five-year extension options. We completed our relocation to this space in February 2022 from our prior Vancouver office and laboratory spaces. Our leases for those prior Vancouver office and laboratory spaces expired in February 2022.</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U.S. office is located in Seattle, Washington at 1215 4th Avenue, Suite 2100, Seattle, Washington, 98181. The lease for our Seattle office, which we entered into in February 2019, expires in May 2027.</w:t>
      </w:r>
    </w:p>
    <w:p>
      <w:pPr>
        <w:spacing w:after="0" w:line="17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Our Ireland office is located in Dublin at Digital Office Centre - Dublin Airport, Office 104, Balheary Demense, Balheary Road, Swords, Dublin, Ireland. The license to occupy this space for our Dublin office, which we entered into in December 2022, expires in November 2023, but shall automatically renew for subsequent 12-month terms unless we provide two months’ prior written notice that we do not want to renew.</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a significant number of employees work remotely. Our executive officers and directors are located in several jurisdictions, including the United States, Canada and the United Kingdom.</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believe that our existing facilities are adequate for our immediate needs and our anticipated growth. We believe that, should it be needed, additional space can be leased to accommodate any future growth.</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As of December 31, 2022, we are not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840"/>
        <w:spacing w:after="0" w:line="56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common stock, $0.00001 par value per share (together with the associated preferred stock purchase rights), is traded on The Nasdaq Stock Market LLC under the symbol “ZYME.” Prior to December 16, 2022, our common stock (together with the associated preferred stock purchase rights) was traded on the NYSE under the symbol “ZYME.”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As of March 3, 2023, we had 56 stockholders of record holding our common stock. A substantially greater number of holders of Zymeworks’ common stock are “street name” or beneficial holders whose shares of record are held by banks, brokers, and other financial institutions.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We have never paid any dividends on our common stock or any of our other securities. We currently intend to retain any future earnings to finance the growth and development of our business, and we do not anticipate that we will declare or pay any cash dividends in the foreseeable future. Any future determination to pay cash dividends will be at the discretion of our board of directors and will be dependent upon our financial condition, results of operations, capital requirements, restrictions under any future indebtedness and other factors the board of directors deems relevant.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concerning our equity compensation plans is incorporated by reference herein to our 2023 Proxy Statement or Form 10-K/A, as applicable, to be filed with the SEC within 120 days after the end of our fiscal year ended December 31,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a “smaller reporting company,” as defined by Rule 12b-2 of the Exchange Act, and pursuant to Instruction 6 to Item 201(e) of Regulation S-K, we are not required to provide the stock performance graph.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The following discussion should be read in conjunction with the attached financial statements and notes thereto. This Annual Report on Form 10-K, including the following sections, contains forward-looking statements within the meaning of the U.S. Private Securities Litigation Reform Act of 1995 and the Exchange Act. These statements are subject to risks and uncertainties that could cause actual results and events to differ materially from those expressed or implied by such forward-looking statements. For a detailed discussion of these risks and uncertainties, see Item 1A, “Risk Factors” of this Annual Report on Form 10-K. We caution the reader not to place undue reliance on these forward-looking statements, which reflect management’s analysis only as of the date of this Annual Report on Form 10-K. We undertake no obligation to update forward-looking statements to reflect events or circumstances occurring after the date of this Annual Report on Form 10-K. The discussion regarding our financial condition and results of operations for fiscal 2021 as compared to fiscal 2020 has been omitted from this Annual Report on Form 10-K and is incorporated by reference from our Annual Report on Form 10-K for the fiscal year ended December 31, 2021, filed with the SEC and with the securities commissions in all provinces and territories of Canada on February 24, 2022, under the section titled “Part II, Item 7. Management's Discussion and Analysis of Financial Condition and Results of Operations.”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Unless the context otherwise requires or otherwise expressly states, all references in this Annual Report on Form 10-K to “Zymeworks,” the “Company,” “we,” “us” and “our” (i) for periods until completion of the Redomicile Transactions, refer to Zymeworks BC Inc. and its subsidiaries and (ii) for periods after completion of the Redomicile Transactions, refer to Zymeworks Inc. and its subsidiaries.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40"/>
        <w:spacing w:after="0" w:line="249" w:lineRule="auto"/>
        <w:rPr>
          <w:sz w:val="20"/>
          <w:szCs w:val="20"/>
          <w:color w:val="auto"/>
        </w:rPr>
      </w:pPr>
      <w:r>
        <w:rPr>
          <w:rFonts w:ascii="Arial" w:cs="Arial" w:eastAsia="Arial" w:hAnsi="Arial"/>
          <w:sz w:val="18"/>
          <w:szCs w:val="18"/>
          <w:color w:val="auto"/>
        </w:rPr>
        <w:t>Zymeworks is a biotechnology company committed to the discovery, development, and commercialization of novel, multifunctional biotherapeutics. Zymeworks’ mission is to make a meaningful difference for people impacted by difficult-to-treat cancers and other serious diseases. Zymeworks’ complementary therapeutic platforms and fully integrated drug development engine provide the flexibility and compatibility to precisely engineer and develop highly differentiated antibody-based therapeutic candidates.</w:t>
      </w:r>
    </w:p>
    <w:p>
      <w:pPr>
        <w:spacing w:after="0" w:line="18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goal is to use our experience and capabilities developing multifunctional therapeutics platforms, along with our proprietary protein engineering capabilities, to have a meaningful and positive impact on the lives of people living with difficult-to-treat cancers and other serious diseases with high unmet medical need.</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commenced operations in 2003 and have since devoted substantially all of our resources to research and development activities including developing our therapeutic platforms, identifying and developing potential product candidates and undertaking preclinical studies and clinical trials. Additionally, we have supported our research and development activities with general and administrative support, as well as by raising capital, conducting business planning and protecting our intellectual property. We have not generated any revenue from the sale of approved products to date and do not expect to do so until such time as we obtain regulatory approval and commercialize one or more of our product candidates. We cannot be certain of the timing or success of approval of our product candidates.</w:t>
      </w:r>
    </w:p>
    <w:p>
      <w:pPr>
        <w:spacing w:after="0" w:line="17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Since our initial public offering (“IPO”) in 2017, we have funded our operations primarily through follow-on public offerings, including the issuance of pre-funded warrants, and payments received under our license and collaboration agreements. Payments received from our license and collaboration agreements include upfront fees, milestone payments, as well as research support and reimbursement payments. Prior to our IPO, we also received financing from private equity placements and the issuance of convertible debt, which was subsequently converted into equity securities, and a credit facility. From inception to December 31, 2022, we received $911.3 million, net of equity issuance costs, from these sources of financing including proceeds from exercises of stock options and employee stock purchase plans. As of December 31, 2022, we had $492.2 million of cash resources consisting of cash, cash equivalents and short-term investments.</w:t>
      </w:r>
    </w:p>
    <w:p>
      <w:pPr>
        <w:spacing w:after="0" w:line="204"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Although it is difficult to predict our funding requirements, based upon our current operating plan, we anticipate that our existing cash and cash equivalents and short-term investments as of December 31, 2022, combined with certain anticipated milestone payments from our existing collaborations, will enable us to fund our operating expenditures and capital expenditure requirements for at least the next twelve months from the date this Annual Report on Form 10-K is filed with the SEC.</w:t>
      </w:r>
    </w:p>
    <w:p>
      <w:pPr>
        <w:spacing w:after="0" w:line="18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reported net income of $124.3 million for the year ended December 31, 2022 and through December 31, 2022, we had an accumulated deficit of $558.8 million. Over the next several years, we expect to continue to incur losses as we increase our research and development expenditures in connection with the ongoing development of our product candidates and other clinical, preclinical and regulatory activities.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Zanidatamab Clinical Program</w:t>
      </w:r>
    </w:p>
    <w:p>
      <w:pPr>
        <w:spacing w:after="0" w:line="21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December 2022, we published in The Lancet Oncology our Phase 1 data (NCT02892123) in pre-treated patients with HER2-expressing solid tumors who received zanidatamab monotherapy. Eighty-six patients (22 patients with BTC, 28 patients with CRC and 36 patients with other solid tumors excluding GEA or breast cancer) demonstrated promising responses and zanidatamab was generally well tolerated in patients. Grade 1-2 diarrhea and infusion reactions were the most common reported treatment-related adverse events with no treatment-related deaths. In addition, 31 [37%; 95% CI 27.0, 48.7] of 83 evaluable patients had a cORR.</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December 2022, we presented Phase 2 clinical data at the San Antonio Breast Cancer Symposium. The presentation reported data from a clinical study of 45 patients with heavily pretreated HER2-positive, HR-positive metastatic breast cancer who received zanidatamab in combination with palbociclib and fulvestrant. Patients had received prior regimens containing HER2-targeted agents including trastuzumab (100%), pertuzumab (80%), T-DM1 (98%), and other available options. In 36 efficacy-evaluable patients, treatment with zanidatamab in combination with palbociclib and fulvestrant resulted in a cORR of 33% [95% CI: 18.6, 51.0] and DCR of 92% [95% CI: 77.5, 98.2], and the majority of patients experienced a decrease in tumor size. The mPFS was 9.6 months [95% CI: 7.2, 16.6] with seven patients still on study at the time of data cut-off (August 31, 2022). The regimen was generally well tolerated with expected rates of neutropenia, a known side effect of CDK4/6 inhibitors. The majority of patients with treatment-related adverse events experienced mild to moderate severity (Grade 1 or 2).</w:t>
      </w:r>
    </w:p>
    <w:p>
      <w:pPr>
        <w:spacing w:after="0" w:line="1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Also in December 2022, we announced positive top-line data in the HERIZON-BTC-01 pivotal Phase 2b trial of zanidatamab as monotherapy in previously treated HER2-amplified BTC patients. The top-line results showed that 41.3% [95% CI: 30.4, 52.8] of enrolled patients with HER2-amplified and expressing (IHC2+ and 3+) disease achieved a confirmed objective response as assessed by independent central review. The median duration of response was 12.9 months [95% CI: 5.95 to not reached]. The safety profile of zanidatamab in this trial was consistent with that observed in previously reported monotherapy studies, with no new safety signals identified. Full results from the pivotal trial are expected to be presented at a medical meeting in the first half of 2023.</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January 2023, we presented updated Phase 2 clinical data at the ASCO Gastrointestinal Cancers Symposium. The presentation included updated data from a clinical study evaluating zanidatamab in combination with standard of care chemotherapy in first-line HER2-expressing GEA patients. Patients had not received prior HER2-targeted agents or systemic treatment for metastatic GEA. A total of 46 patients with metastatic GEA were enrolled from 15 sites across the United States, Canada and South Korea. The data demonstrated zanidatamab combined with standard chemotherapy is a highly active treatment regimen for first-line therapy of HER2-positive metastatic GEA. In 42 patients evaluable for OS receiving zanidatamab in combination with chemotherapy, the 18-month OS rate was 84% [95% CI: 68, 93], the 12-month OS rate was 88% [95% CI: 73, 95], and the median OS had not yet been reached (with 26.5 months median duration of study follow-up). These data represent the first OS data presented for a zanidatamab containing regimen. Treatment with zanidatamab resulted in a cORR of 79% [95% CI: 63, 90], a DCR of 92% [95% CI: 79, 98], with three patients achieving complete response among 38 response-evaluable patients. The median duration of response was 20.4 months [95% CI: 8.3, NE] with an mPFS of 12.5 months [95% CI: 7.1, NE] with 17 patients having an ongoing response at the time of data cut-off. The regimen was manageable, tolerable and consistent with the observed safety profiles reported for other standard combination regimens for patients with HER2-positive GEA. Zanidatamab was also recently selected for inclusion in the I-SPY platform trials for patients with HER2-expressing tumors in neoadjuvant treatment of locally advanced breast cancer, which continues to explore the potential use of zanidatamab in indications outside of GEA and BTC.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Zanidatamab Zovodotin Clinical Program</w:t>
      </w:r>
    </w:p>
    <w:p>
      <w:pPr>
        <w:spacing w:after="0" w:line="22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January 2023, we announced our plans for the continued development of zanidatamab zovodotin at the RP2D of 2.5 mg/kg every three weeks and announced that by the end of 2023, we expect to present additional data from our clinical study that further supports this RP2D. Based on the data generated to date from the Phase 1 clinical study, which has continued to enroll subjects to gather additional data for zanidatamab zovodotin monotherapy, we plan to evaluate zanidatamab zovodotin as monotherapy and/or in combination with the current respective standards of care in multiple planned Phase 2 studies. Based on our development efforts to date and in combination with the results of these planned clinical studies, we believe these results may provide the rationale for one or more registration-enabling studies of zanidatamab zovodotin before the end of 2025, which we would expect to undertake with a future collaboration partner.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Programs</w:t>
      </w:r>
    </w:p>
    <w:p>
      <w:pPr>
        <w:spacing w:after="0" w:line="212"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As part of our early Research and Development day held in New York City in October 2022, we announced multiple preclinical product candidates, including two lead candidates, ZW191 and ZW171. Our lead ADC preclinical product candidate, ZW191, is a folate receptor alpha targeted ADC with a novel TOPO1i-based payload that we believe may be competitive in areas with high unmet medical need. Similarly, our lead multispecific preclinical product candidate, ZW171, a novel and differentiated MSLN-targeted bispecific T-cell engaging antibody generated utilizing our Azymetric bispecific platform, targets the potential treatment of patients in pancreatic, mesothelioma, ovarian, and other MSLN-expressing cancers. We expect to submit IND applications for ZW191 and ZW171 in 2024.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and Collaboration Agreements</w:t>
      </w:r>
    </w:p>
    <w:p>
      <w:pPr>
        <w:spacing w:after="0" w:line="198"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In October 2022, Zymeworks BC entered into the Jazz Collaboration Agreement with Jazz, under which Jazz will have development and commercialization rights of zanidatamab throughout the world, but excluding existing territories already governed by Zymeworks BC’s November 2018 license and collaboration agreement with BeiGene. Through December 31, 2022, we have received $375 million in proceeds from the Jazz collaboration and are eligible for reimbursement of all ongoing zanidatamab-related costs in accordance with the development plan and budget. We also remain eligible to receive up to an aggregate of $525.0 million in certain regulatory milestones payments and up to an aggregate of $862.5 million in potential commercial milestone payments, for total potential payments of up to $1.76 billion. In addition, we are eligible to receive tiered royalties between 10% and 20% on Jazz’s annual net sales, with customary reductions in specified circumstances, pending regulatory approval of zanidatamab.</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Redomicile</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Effective October 13, 2022, we became a Delaware corporation following completion of the Redomicile Transactions. As a result, we have continued under the current Zymeworks name and brand, and will continue to maintain significant operations in both Canada and the United States. To effect the Redomicile Transactions, we conducted a share exchange, pursuant to which holders of Zymeworks BC common shares exchanged their Zymeworks BC common shares for shares of common stock of Zymeworks Inc. (formerly known as Zymeworks Delaware Inc.) or, at their election with respect to all or a portion of their Zymeworks BC common shares and subject to applicable eligibility criteria and an overall cap, Exchangeable Shares in the capital of ExchangeCo, a newly formed indirect subsidiary of Zymeworks Inc. A special meeting of Zymeworks BC security holders was held on October 7, 2022 to approve the Redomicile Transactions. The Redomicile Transactions were governed by the Restated and Amended Transaction Agreement, by and among Zymeworks BC, us, CallCo and ExchangeCo, including a plan of arrangement included as Exhibit A to the Restated and Amended Transaction Agreement (the “Plan of Arrangement”). The foregoing description of the Redomicile Transactions is only a summary, does not purport to be complete and is qualified in its entirety by reference to the Restated and Amended Transaction Agreement, including the Plan of Arrangement, a copy of which is included as Exhibit 2.1 to this Annual Report on Form 10-K.</w:t>
      </w:r>
    </w:p>
    <w:p>
      <w:pPr>
        <w:spacing w:after="0" w:line="164"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Pursuant to the terms of the Restated and Amended Transaction Agreement, we, Zymeworks BC, CallCo and ExchangeCo agreed, among other things, to use reasonable efforts to take certain corporate steps and actions, as may be necessary or desirable, to effect and implement certain Post-Arrangement Transactions, including the movement of certain subsidiaries of Zymeworks BC so that they become our directly, wholly-owned subsidiaries. Following Zymeworks BC’s entry into the Jazz Collaboration Agreement, we reevaluated the potential impacts of completing the Post-Arrangement Transactions and have determined that completing the Post-Arrangement Transactions as contemplated in the Restated and Amended Transaction Agreement would result in negative tax consequences. As a result, we are evaluating alternatives to the previously contemplated Post-Arrangement Transactions with our advisors.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12"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COVID-19 has impacted our research and development activities but has not caused significant disruptions to our business operations to date. In March 2020, we transitioned our workforce to a remote working arrangement to protect the health and safety of our employees. In June 2020, we implemented a program to facilitate the phased return of employees to our lab and office facilities pursuant to enhanced health and safety protocols consistent with guidelines issued by local health authorities. Our preclinical research activities were supplemented by support from external CROs to complement the temporarily reduced capacity at our lab facilities. Certain clinical trial activities, including patient enrollment and site activations, were delayed or otherwise impacted by COVID-19. To date, COVID-19 has not had a material impact on our financial condition, liquidity or longer-term strategic development and commercialization plans. Recently, President Biden announced that the administration intends to end the COVID-19 national and public health emergencies on May 11, 2023. The full impact of this termination of the public health emergencies on FDA and other regulatory policies and operations are unclear.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extent to which COVID-19 may cause more significant disruptions to our business and greater impacts to our results of operations will depend on future developments, which are highly uncertain and cannot be predicted with confidence, such as the location, duration and severity of outbreaks, including potential future waves or cycles, and the effectiveness of actions to contain and treat COVID-19. The COVID-19 pandemic continues to rapidly evolve, and we will continue to monitor the effects of COVID-19 on our business and review our current policies to protect the well-being of our employees and their families in the event of any changes in government restrictions and to ensure the continuity of our operations. See Item 1A, “Risk Factors – Risks Related to Our Business and the Development and Commercialization of Our Product Candidates – Our business has been and may continue to be adversely affected by the COVID-19 pandemic.”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On October 12, 2022, we entered into the New Rights Plan. Under the New Rights Plan, in connection with the consummation of the Redomicile Transactions, our board of directors authorized and declared a dividend distribution of one right (each, a “Right”) for each share of common stock outstanding at 12:01 a.m. (Pacific Time) on the Record Date (October 13, 2022) and for each share of common stock that becomes outstanding, including any shares of common stock issued in connection with the Redomicile Transactions and as consideration for the Exchangeable Shares, as applicable, between the Record Date and the earlier of the distribution date as set forth in the New Rights Plan and the expiration of the Rights. The terms of the New Rights Plan are substantively similar in all material respects to the terms of the Rights Plan. The New Rights Plan is scheduled to expire on June 8, 2023.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January 3, 2023, we removed Dr. Neil Josephson from the position of Chief Medical Officer.</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revenue consists of collaboration revenue, including amounts recognized relating to upfront non-refundable payments for licenses or options to obtain future licenses, research and development funding and milestone payments earned under collaboration and license agreements. We expect that collaboration revenue from our strategic partnerships will be our primary source of revenue for the foreseeable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operating expenses consist primarily of research and development expenses and general and administrative expenses. Personnel costs including salaries, benefits, bonuses and stock-based compensation expense, comprise a significant component of research and development and general and administrative expenses. We allocate certain indirect expenses associated with our facilities, information technology, depreciation and other overhead costs between research and development and general and administrative categories based on employee headcount and the nature of work performed by each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Research and development expenses consist of expenses incurred in performing research and development activities such as conducting clinical trials and preclinical research studies, technical and manufacturing operations, regulatory affairs and other indirect expenses in support of advancing our product candidates and therapeutic platforms. Research and development expenses include third-party program costs, internal personnel costs and other indirect costs as follows:</w:t>
      </w:r>
    </w:p>
    <w:p>
      <w:pPr>
        <w:spacing w:after="0" w:line="79" w:lineRule="exact"/>
        <w:rPr>
          <w:sz w:val="20"/>
          <w:szCs w:val="20"/>
          <w:color w:val="auto"/>
        </w:rPr>
      </w:pPr>
    </w:p>
    <w:p>
      <w:pPr>
        <w:ind w:left="660" w:right="32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paid to CROs, consultants, subcontractors and other third-party vendors for work performed for our clinical trials, preclinical studies and regulatory activities;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paid to third-party manufacturers to produce our product candidate supplies;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paid to vendors and suppliers for laboratory supplies;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milestone payments and other expenses incurred in connection with license agreements and amendments;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employee-related expenses such as salaries and benefits and stock-based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depreciation of laboratory equipment, computers and leasehold improvements;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overhead expenses such as facilities, information technology and other allocated items.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It is difficult to determine with certainty the duration and completion costs of our current or future clinical trials and preclinical programs of our product candidates, or if, when or to what extent we will generate revenue from the commercialization and sale of any of our product candidates that obtain regulatory approval. We may never succeed in achieving regulatory approval for any of our product candidates. The duration, costs and timing of clinical trials and development of our product candidates will depend on a variety of factors, including the uncertainties of clinical trials and preclinical studies, uncertainties in clinical trial enrollment rates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 Our research and development expenses are expected to increase in the future as we continue to develop our platforms and product candidates.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jc w:val="both"/>
        <w:ind w:right="520"/>
        <w:spacing w:after="0" w:line="279" w:lineRule="auto"/>
        <w:rPr>
          <w:sz w:val="20"/>
          <w:szCs w:val="20"/>
          <w:color w:val="auto"/>
        </w:rPr>
      </w:pPr>
      <w:r>
        <w:rPr>
          <w:rFonts w:ascii="Arial" w:cs="Arial" w:eastAsia="Arial" w:hAnsi="Arial"/>
          <w:sz w:val="17"/>
          <w:szCs w:val="17"/>
          <w:color w:val="auto"/>
        </w:rPr>
        <w:t>General and administrative expenses consist of salaries, benefits and stock-based compensation costs for employees in our executive, finance, legal, intellectual property, business development, human resources and other support functions, as well as legal and professional fees, business insurance, facilities and information technology costs and other expenses. Our general and administrative expenses may increase in the future as we expand our infrastructure to support our ongoing research and development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primarily consists of interest income and foreign exchange gain (loss).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consolidated financial statements, which have been prepared in accordance with U.S. GAAP. The preparation of these consolidated financial statements requires us to make estimates, judgments and assumptions that are inherently uncertain that affect the amounts reported in the consolidated financial statements and accompanying notes. We base our estimates on historical experience and on various other assumptions that we believe to be reasonable. We review and evaluate these estimates on an ongoing basis. These assumptions and estimates form the basis for making judgments about the carrying values of assets and liabilities and amounts that have been recorded as revenue and expenses. Actual results and experiences may differ from these estimates. The results of any material revisions would be reflected in the consolidated financial statements prospectively from the date of the change in estimate.</w:t>
      </w:r>
    </w:p>
    <w:p>
      <w:pPr>
        <w:spacing w:after="0" w:line="166"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full extent to which the COVID-19 pandemic may directly or indirectly impact our business, results of operations and financial condition, including revenues, expenses, clinical trials, research and development costs and employee-related amounts, will depend on future developments that are evolving and highly uncertain, such as the duration and severity of outbreaks, including current and potential future waves or cycles, and the effectiveness of actions taken to contain and treat COVID-19. We considered the potential impact of COVID-19 when making certain estimates and judgments relating to the preparation of our consolidated financial statements. While there was no material impact to our consolidated financial statements as of and for the year ended December 31, 2022, our future assessment of the magnitude and duration of COVID-19, as well as other factors, could result in a material impact to our consolidated financial statements in future reporting periods.</w:t>
      </w:r>
    </w:p>
    <w:p>
      <w:pPr>
        <w:spacing w:after="0" w:line="17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a summary of our significant accounting policies, see Note 2 to the Consolidated Financial Statements in Part II, Item 8, “Consolidated Financial Statements and Supplementary Data.” We consider the following accounting policies to be critical to an understanding of our financial condition and results of operations because these policies require the most subjective or complex judgments on the part of management in their application. There have been no material changes to our critical accounting policies during the year ended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revenue consists of amounts earned under research and development license and collaboration agreements with our strategic partners. Promised deliverables within these agreements may include grants of licenses, or options to obtain licenses, to our intellectual property, research and development services, and participation on joint research and/or development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 xml:space="preserve">In accordance with Accounting Standards 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we recognize revenue when our customer obtains control of promised goods or services, in an amount that reflects the consideration which we expect to receive in exchange for those goods or services. For collaborative arrangements that fall within the scope of ASC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("ASC 808"), we apply the revenue recognition model under ASC 606 to part or all of the arrangements, when deemed appropriate. For collaboration arrangements within the scope of ASC 808 that contain multiple elements, we determine which elements of the arrangement are within the scope of ASC 808 and which elements are within the scope of ASC 606, which may require application of judgment. To determine revenue recognition for arrangements that we determine are within the scope of Topic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that we are entitled to in exchange for the goods and services transferred to the customer. If the expectation at contract inception is such that the period between payment by the licensee and the completion of related performance obligations will be one year or less, we assume that the contract does not have a significant financing component.</w:t>
      </w:r>
    </w:p>
    <w:p>
      <w:pPr>
        <w:spacing w:after="0" w:line="16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When applying the revenue recognition criteria of ASC 606 to license and collaboration agreements, management may be required to apply significant judgment when evaluating whether contractual obligations represent distinct performance obligations including understanding the nature and significance of the contractual obligations and their standalone selling prices, determining when performance obligations have been met, assessing the recognition and future reversal of variable consideration, and determining and applying appropriate methods of measuring progress for performance obligations satisfied over time. These judgments are discussed in more detail in the following paragraphs for each type of payment received by us under the terms of the license and collaborations agreements.</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Licenses of intellectual property including platform technology access: </w:t>
      </w:r>
      <w:r>
        <w:rPr>
          <w:rFonts w:ascii="Arial" w:cs="Arial" w:eastAsia="Arial" w:hAnsi="Arial"/>
          <w:sz w:val="16"/>
          <w:szCs w:val="16"/>
          <w:color w:val="auto"/>
        </w:rPr>
        <w:t>If the license to our intellectual property is determined to be distinct from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obligations identified in the arrangement, we recognize revenues from non-refundable, upfront fees allocated to the license when the license is transferred to the licensee and the licensee is able to use and benefit from the license. For licenses that are not distinct from other promises, we apply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related revenue recognition accordingly.</w:t>
      </w:r>
    </w:p>
    <w:p>
      <w:pPr>
        <w:spacing w:after="0" w:line="16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research, development or regulatory milestone payments, we evaluate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that of the licensee, such as regulatory approvals, are not considered probable of being achieved until those approvals are received. The transaction price is then allocated to each performance obligation on a relative stand- alone selling price basis, for which we recognize revenue as or when the performance obligations under the contract are satisfied.</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At the end of each subsequent reporting period, we re-evaluate the probability of achievement of such development milestones and any related constraint, and if necessary, adjust our estimate of the overall transaction price. Any such adjustments are recorded on a cumulative catch-up basis, which would affect license, collaboration and other revenues and earnings in the period of adjustment. The process of successfully achieving the criteria for the milestone payments is highly uncertain. Consequently, there is a significant risk that we may not earn all of the milestone payments from each of our strategic partners. We apply significant judgment when assessing the likelihood of whether milestones are considered probable of being achieved and when allocating the transaction price to each performance obligation for revenue recognition purposes.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Royalties and commercial milestones: </w:t>
      </w:r>
      <w:r>
        <w:rPr>
          <w:rFonts w:ascii="Arial" w:cs="Arial" w:eastAsia="Arial" w:hAnsi="Arial"/>
          <w:sz w:val="18"/>
          <w:szCs w:val="18"/>
          <w:color w:val="auto"/>
        </w:rPr>
        <w:t>For arrangements that include sales-based royalties, including commercial milestone payments based on pre-specified level of sales, we recognize revenue at the later of (i) when the related sales occur, or (ii) when the performance obligation to which some or all of the royalty has been allocated has been satisfied (or partially satisfied). Achievement of these royalties and commercial milestones may solely depend upon performance of the licensee. Since inception to date, we have not recognized any royalty revenue or commercial milestone from any of our out-licensing arrangements.</w:t>
      </w:r>
    </w:p>
    <w:p>
      <w:pPr>
        <w:spacing w:after="0" w:line="18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i w:val="1"/>
          <w:iCs w:val="1"/>
          <w:color w:val="auto"/>
        </w:rPr>
        <w:t xml:space="preserve">Research support and other payments: </w:t>
      </w:r>
      <w:r>
        <w:rPr>
          <w:rFonts w:ascii="Arial" w:cs="Arial" w:eastAsia="Arial" w:hAnsi="Arial"/>
          <w:sz w:val="18"/>
          <w:szCs w:val="18"/>
          <w:color w:val="auto"/>
        </w:rPr>
        <w:t>Payments by the licensees in exchange for research activities performed by us on behalf of the licensee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as revenue upon performance of such activities at rates consistent with prevailing market rates. Payments for research supplies provided are recognized as revenue upon delivery of the supplies.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 and Related Accrued Expenses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Research and development costs are expensed as incurred and include costs that we incur for our own and for our strategic partners’ research and development activities. These costs primarily consist of employee-related expenses, including salaries and benefits, expenses incurred under agreements with CROs on our behalf, costs associated with investigative sites and consultants that conduct our clinical trials, the cost of acquiring and manufacturing clinical trial materials and other allocated expenses, share-based compensation expense, and costs associated with nonclinical activities and regulatory approvals.</w:t>
      </w:r>
    </w:p>
    <w:p>
      <w:pPr>
        <w:spacing w:after="0" w:line="18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Clinical trial expenses represent a significant component of research and development expenses and we outsource a significant portion of these activities to third party contract research organizations. Third-party clinical trial expenses include investigator fees, site costs, clinical research organization costs and other trial-related vendor costs. As part of preparing the consolidated financial statements, we estimate accrued liabilities for services that have been performed by clinical research organizations or investigator sites but have not yet been invoiced to us. When making these estimates, we use operational and contractual information from third party service providers and operational data from internal personnel.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Goodwill and IPR&amp;D assets classified as indefinite-lived are not amortized, but are evaluated for impairment annually or more frequently if impairment indicators arise. IPR&amp;D becomes definite-lived upon the completion or abandonment of the associated research and development efforts. For definite-lived intangible assets, if there is a major event indicating that the carrying value may be impaired, then management will perform an impairment test.</w:t>
      </w:r>
    </w:p>
    <w:p>
      <w:pPr>
        <w:spacing w:after="0" w:line="14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Impairment tests for goodwill and intangibles assets involve considerable use of judgment and require management to make estimates and assumptions. The fair values of reporting units are derived from valuation models, which consider various factors such as discount rates, future earnings and growth rates. Changes in estimates and assumptions can affect the reported value of goodwill and intangible assets.</w:t>
      </w:r>
    </w:p>
    <w:p>
      <w:pPr>
        <w:spacing w:after="0" w:line="16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As at December 31, 2022, we performed a qualitative assessment for our annual impairment test of goodwill after concluding that it was not more likely than not that the fair value of the reporting unit was less than its carrying value. Consequently, the quantitative impairment test was not required. We concluded that there were no impairment indicators related to goodwill or other intangible assets as of December 31,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recognize stock-based compensation expense on certain stock-based awards granted to employees and members of the board of directors based on their estimated fair values using the Black-Scholes option pricing model. The Black-Scholes option pricing model requires assumptions for various inputs to measure fair value, including expected term of the awards, underlying share price volatility, forfeiture rates, risk-free interest rate and expected dividend yields of our common stock. Management uses judgement to determine the inputs to the Black-Scholes option pricing model and changes in these assumptions could have a material impact to the fair value calculations and the amount and timing of stock-based compensation expense recognized in earnings.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summary of recent accounting pronouncements is presented in Note 3 of our Annual Consolidated Financial Statements for the year ended December 31, 2022 within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2022, 2021 and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80" w:type="dxa"/>
            <w:vAlign w:val="bottom"/>
            <w:gridSpan w:val="6"/>
          </w:tcPr>
          <w:p>
            <w:pPr>
              <w:jc w:val="center"/>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Change 2022 – 2021</w:t>
            </w:r>
          </w:p>
        </w:tc>
        <w:tc>
          <w:tcPr>
            <w:tcW w:w="0" w:type="dxa"/>
            <w:vAlign w:val="bottom"/>
          </w:tcPr>
          <w:p>
            <w:pPr>
              <w:spacing w:after="0"/>
              <w:rPr>
                <w:sz w:val="1"/>
                <w:szCs w:val="1"/>
                <w:color w:val="auto"/>
              </w:rPr>
            </w:pPr>
          </w:p>
        </w:tc>
      </w:tr>
      <w:tr>
        <w:trPr>
          <w:trHeight w:val="184"/>
        </w:trPr>
        <w:tc>
          <w:tcPr>
            <w:tcW w:w="4460" w:type="dxa"/>
            <w:vAlign w:val="bottom"/>
            <w:gridSpan w:val="2"/>
          </w:tcPr>
          <w:p>
            <w:pPr>
              <w:ind w:left="1480"/>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Revenue from research and development collaborations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385.8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1,445 %</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04"/>
        </w:trPr>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93</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Revenue for all periods presented relates primarily to non-recurring upfront fees, expansion payments or milestone payments from our licensing and collaboration agreements.</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Total revenue increased by $385.8 million in 2022 compared to 2021. Revenue for 2022 included $375.0 million in upfront fees and a $24.3 million development support payments from Jazz, and a $5.0 million upfront fee from Atreca as well as $8.2 million from our other partners for research and development support under cost sharing arrangements. Revenue for 2021 included $8.0 million from BeiGene for a development milestone, $8.0 million from Janssen for two development milestones, $5.0 million from Iconic for partner revenue and $5.7 million from our partners for research and development support under cost sharing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6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6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w w:val="94"/>
              </w:rPr>
              <w:t>Change 2022 – 2021</w:t>
            </w: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Third-party research and development program</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color w:val="auto"/>
              </w:rPr>
              <w:t>Clinical development programs: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Zanidatamab</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4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Zanidatamab zovodotin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Preclinical and other research programs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w:t>
            </w: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Unallocated departmental research and development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7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7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(85)%</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unallocated expenses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7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Research and development expense </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7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40" w:firstLine="8"/>
        <w:spacing w:after="0" w:line="298" w:lineRule="auto"/>
        <w:tabs>
          <w:tab w:leader="none" w:pos="165" w:val="left"/>
        </w:tabs>
        <w:numPr>
          <w:ilvl w:val="0"/>
          <w:numId w:val="53"/>
        </w:numPr>
        <w:rPr>
          <w:rFonts w:ascii="Arial" w:cs="Arial" w:eastAsia="Arial" w:hAnsi="Arial"/>
          <w:sz w:val="19"/>
          <w:szCs w:val="19"/>
          <w:color w:val="auto"/>
          <w:vertAlign w:val="superscript"/>
        </w:rPr>
      </w:pPr>
      <w:r>
        <w:rPr>
          <w:rFonts w:ascii="Arial" w:cs="Arial" w:eastAsia="Arial" w:hAnsi="Arial"/>
          <w:sz w:val="15"/>
          <w:szCs w:val="15"/>
          <w:color w:val="auto"/>
        </w:rPr>
        <w:t>We expect research and development expenditures to increase over time, subject to periodic fluctuations, in line with the advancement, expansion and completion of the clinical development of our product candidates, as well as our ongoing preclinical research activities.</w:t>
      </w:r>
    </w:p>
    <w:p>
      <w:pPr>
        <w:spacing w:after="0" w:line="13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Research and development expense increased by $8.8 million in 2022 compared to 2021. In 2022, research and development expense included a non-cash stock-based compensation expense of $2.4 million comprised of a $3.2 million expense from equity classified awards (2021 – $20.1 million expense) and a $0.8 million recovery related to the non-cash mark-to-market revaluation of certain historical liability classified awards (2021 - $4.6 million recovery). Excluding stock-based compensation expense, research and development expense increased by $21.9 million or 12% in 2022 compared to 2021. The increase related primarily to higher manufacturing expenses of zanidatamab for process performance qualification activities and clinical trial expenses for zanidatamab. These were partially offset by a decrease in expenses related to preclinical activities as well as a decrease in expenses related to clinical activities for zanidatamab zovodotin.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w w:val="91"/>
              </w:rPr>
              <w:t>Change 2022 – 2021</w:t>
            </w: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6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(dollars in millions)</w:t>
            </w: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416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4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and benefits</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4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Stock-based compensation expense (recovery)</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7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(121)%</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Professional fees, consulting and business insurance</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general and administrative expenses</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7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General and administrative expense increased by $30.8 million in 2022 compared to 2021. In 2022, general and administrative expense included a non-cash stock-based compensation expense of $1.2 million comprised of a $4.1 million expense from equity-classified awards (2021 – $18.2 million expense) and a $2.9 million recovery from the non-cash mark-to-market revaluation of certain historical liability-classified awards (2021 – $23.8 million recovery).</w:t>
      </w:r>
    </w:p>
    <w:p>
      <w:pPr>
        <w:spacing w:after="0" w:line="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Excluding stock-based compensation expense, general and administrative expense increased by $24.0 million or 50% in 2022 compared to 2021. This increase was primarily due to an increase in consulting fees and professional fees, including fees incurred in connection with the Jazz Collaboration Agreement, depreciation expenses, and other expenses incurred due to our restructuring program (the “Restructuring”) in 2022, as well as a non-recurring sales tax refund recognized in 2021, which partially offset expenses. The increase in expenses during 2022 were partially offset by a decrease in salaries and benefits expense as a result of a decrease in headcount due to our Restructuring.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6"/>
          </w:tcPr>
          <w:p>
            <w:pPr>
              <w:jc w:val="center"/>
              <w:ind w:right="150"/>
              <w:spacing w:after="0"/>
              <w:rPr>
                <w:sz w:val="20"/>
                <w:szCs w:val="20"/>
                <w:color w:val="auto"/>
              </w:rPr>
            </w:pPr>
            <w:r>
              <w:rPr>
                <w:rFonts w:ascii="Arial" w:cs="Arial" w:eastAsia="Arial" w:hAnsi="Arial"/>
                <w:sz w:val="14"/>
                <w:szCs w:val="14"/>
                <w:b w:val="1"/>
                <w:bCs w:val="1"/>
                <w:color w:val="auto"/>
                <w:w w:val="91"/>
              </w:rPr>
              <w:t>Year Ended December 31,</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7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Change 2022 – 2021</w:t>
            </w: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380" w:type="dxa"/>
            <w:vAlign w:val="bottom"/>
          </w:tcPr>
          <w:p>
            <w:pPr>
              <w:spacing w:after="0"/>
              <w:rPr>
                <w:sz w:val="16"/>
                <w:szCs w:val="16"/>
                <w:color w:val="auto"/>
              </w:rPr>
            </w:pPr>
          </w:p>
        </w:tc>
        <w:tc>
          <w:tcPr>
            <w:tcW w:w="3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27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270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3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Other income, net</w:t>
            </w:r>
          </w:p>
        </w:tc>
        <w:tc>
          <w:tcPr>
            <w:tcW w:w="3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Net other income increased by $1.4 million in 2022 compared to 2021. Net other income for 2022 included $3.6 million interest income and a net foreign exchange gain of $1.2 million primarily due to the revaluation of stock option liabilities and certain cash, cash equivalents and investments denominated in Canadian dollars. Net other income for 2021 included interest income of $2.0 million and a net foreign exchange gain of $1.2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Since our IPO in 2017, we have funded our operations primarily through follow-on public offerings, including the issuance of pre-funded warrants, as well as from upfront fees, milestone payments, and research support payments generated from our strategic collaborations and licensing agreements.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completed a public offering on January 27, 2020 pursuant to which we sold (i) 5,824,729 common shares (including the sale of 900,000 common shares to the underwriters upon their full exercise of their over-allotment option) at $46.50 per common shares and (ii) 1,075,271 pre-funded warrants in lieu of common shares at 46.4999 per pre-funded warrant. We received gross proceeds of $320.9 million and net cash proceeds of $300.9 million, after underwriting discounts, commissions and estimated offering expenses.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January 31, 2022, we completed a public offering pursuant to which we sold (i) 11,035,000 common shares (including the sale of 1,875,000 common shares to the underwriters upon their full exercise of their over-allotment option) at $8.00 per common share and (ii) 3,340,000 pre-funded warrants in lieu of common shares at $7.9999 per pre-funded warrant. We received gross proceeds of $115.0 million and net proceeds were $107.6 million, after underwriting discounts, commissions and estimated offering expenses.</w:t>
      </w:r>
    </w:p>
    <w:p>
      <w:pPr>
        <w:spacing w:after="0" w:line="181"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In October 2021, Zymeworks BC amended its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dated as of November 5, 2019 (as amended, the “Prior Sales Agreement”), with Jefferies LLC (“Jefferies”). The Prior Sales Agreement provided for the offer and sale of Zymeworks BC’s common shares from time to time through Jefferies as its sales agent, subject to the maximum aggregate dollar amount registered pursuant to the applicable prospectus supplement. Sales of common shares through Jefferies, if any, were to be made by any method permitted by law deemed to be an “at the market offering” as defined in Rule 415(a)(4) under the Securities Act. No shares of Zymeworks BC’s common shares were sold under the Prior Sales Agreement prior to its termination in October 2022.</w:t>
      </w:r>
    </w:p>
    <w:p>
      <w:pPr>
        <w:spacing w:after="0" w:line="20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As a result of the Redomicile Transactions, in October 2022, Zymeworks BC and Jefferies mutually terminated the Prior Sales Agreement, and we entered into an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dated as of October 21, 2022 (the “Sales Agreement”) with Jefferies. Subsequently, on October 26, 2022, we notified Jefferies of our decision to terminate the Sales Agreement, effective as of November 9, 2022. No shares of common stock were sold under the Sales Agreement prior to its termination in November 2022.</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November 2022, we entered into a Sales Agreement, dated as of November 9, 2022 (the “Cantor Sales Agreement”), with Cantor Fitzgerald &amp; Co. (“Cantor”). The Cantor Sales Agreement provides for the offer and sale of our common stock from time to time through Cantor as our sales agent, subject to the maximum aggregate dollar amount registered pursuant to the applicable prospectus supplement. Sales of shares of common stock through Cantor, if any, will be made by any method permitted by law deemed to be an “at-the-market” offering as defined in Rule 415(a)(4) under the Securities Act. As of the date of this Annual Report on Form 10-K, no shares of our common stock have been sold under the Cantor Sales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we had $492.2 million in cash resources consisting of cash, cash equivalents and short-term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summary of our cash flows for the years ended December 31, 2022, 2021 and 2020:</w:t>
      </w:r>
    </w:p>
    <w:p>
      <w:pPr>
        <w:spacing w:after="0" w:line="41"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163"/>
        </w:trPr>
        <w:tc>
          <w:tcPr>
            <w:tcW w:w="7020" w:type="dxa"/>
            <w:vAlign w:val="bottom"/>
          </w:tcPr>
          <w:p>
            <w:pPr>
              <w:ind w:left="2920"/>
              <w:spacing w:after="0"/>
              <w:rPr>
                <w:sz w:val="20"/>
                <w:szCs w:val="20"/>
                <w:color w:val="auto"/>
              </w:rPr>
            </w:pPr>
            <w:r>
              <w:rPr>
                <w:rFonts w:ascii="Arial" w:cs="Arial" w:eastAsia="Arial" w:hAnsi="Arial"/>
                <w:sz w:val="14"/>
                <w:szCs w:val="14"/>
                <w:b w:val="1"/>
                <w:bCs w:val="1"/>
                <w:color w:val="auto"/>
              </w:rPr>
              <w:t>(dollars in millions)</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458"/>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Investing activities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 activities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2022, we generated net cash of $144.1 million in operating activities compared to $192.5 million used in 2021. The increase in net cash provided by operating activities was primarily due to the Jazz Collaboration Agreement, from which we had received a non-refundable $50.0 million upfront payment following receipt of HSR Clearance and delivery of licenses and technology transfer to Jazz, and then a further payment of $325.0 million following Jazz’s decision to continue the collaboration, both in 2022. This was partially offset by higher clinical trial expenses for zanidatamab and increased drug manufacturing expenses, professional fees as well as severance and other expenses incurred due to our Restructuring.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in 2022 is primarily related to purchases, net of redemptions of short-term investments in marketable securities of</w:t>
      </w:r>
    </w:p>
    <w:p>
      <w:pPr>
        <w:spacing w:after="0" w:line="4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$40.7 million, cash outflows of $8.1 million for the acquisition of property and equipment as well as leasehold improvement expenses for our new office and lab spaces and $5.0 million for acquisitions of intangible assets, primarily consisting of our new computer system implementation in 2022. Net cash provided by investing activities in 2021 was is primarily related to net redemptions of short-term investments in marketable securities of $157.9 million partially offset by cash outflows of $12.4 million for the acquisition of property and equipment as well as leasehold improvement expenses for our new office and lab spaces.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Net cash provided by financing activities in 2022 included $107.5 million relating to net proceeds from our January 2022 public offering of equity securities and $0.3 million from stock option exercises and $1.4 million from the issuance of common stock in relation to our employee stock purchase plan. Net cash provided by financing activities in 2021 included net proceeds of $6.4 million from stock option exercises and $2.1 million from the issuance of common stock in relation to our employee stock purchase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not generated any revenue from approved product sales to date and do not expect to do so until such time as we obtain regulatory approval and commercialize one or more of our product candidates. As we are currently in the clinical and preclinical stages of development, it will be some time before we expect to achieve this, and it is uncertain that we ever will.</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expect that we will continue to increase our operating expenses in connection with ongoing clinical trials and preclinical activities and the development of product candidates in our pipeline. In addition, inflation generally may affect us by increasing our cost of labor and clinical trial expenses. Our funding requirements in the short-term and long-term will consist of the operational, capital, and manufacturing expenditures, a portion of which contain contractual or other obligations including future minimum lease payments under non-cancelable operating leases as presented in note 15 and other commitments and contingencies as presented in note 17 to the annual consolidated financial statements. Because of the inherent risks and uncertainties associated with the development and commercialization of our drug candidates, we are unable to estimate the amounts of capital outflows and operating expenditures associated with our current and anticipated clinical trials and preclinical studies.</w:t>
      </w:r>
    </w:p>
    <w:p>
      <w:pPr>
        <w:spacing w:after="0" w:line="17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Although it is difficult to predict our funding requirements, based on our current operating plan, we anticipate that our existing cash and cash equivalents and short-term investments combined with certain anticipated milestone payments from our existing collaborations will enable us to fund our operating expenses and capital expenditure requirements for at least the next twelve months from the date this Annual Report on Form 10-K is filed with the SEC. We have based these estimates on assumptions and plans which may change and which could impact the magnitude and/or timing of operating expenses, capital expenditures and our cash runway. These estimates include future milestone payments which are dependent upon the successful completion of specified research and development activities by us and our collaborators and are therefore uncertain at this time. The successful development of our product candidates and the achievement of milestones by our strategic partners is uncertain, and therefore we are unable to estimate the actual funds we will require to complete the research, development and commercialization of product candidates. See Item 1A, “Risk Factors - Risks Related to Our Business and the Development and Commercialization of Our Product Candidates” and “Risk Factors - Risks Related to Our Dependence on Third Parties.”</w:t>
      </w:r>
    </w:p>
    <w:p>
      <w:pPr>
        <w:spacing w:after="0" w:line="17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will need substantial additional funding to support our continuing operations and pursue our long-term business plans. Accordingly, our future funding requirements will depend on many factors, including but not limited to:</w:t>
      </w:r>
    </w:p>
    <w:p>
      <w:pPr>
        <w:spacing w:after="0" w:line="76"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scope, rate of progress, results and costs of our clinical trials, preclinical studies and other related activities;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such agreements as well as our ability to enter into new arrangements;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and the costs of obtaining regulatory approvals for any of our current or future drug candidates;</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our current or future drug candidates are approved for sale, including marketing, sales and distribution costs;</w:t>
      </w:r>
    </w:p>
    <w:p>
      <w:pPr>
        <w:spacing w:after="0" w:line="6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 of royalties and sales-based milestones, if any, received from our collaboration partners for commercial sales of drug candidates, should any of such drug candidates receive marketing approval; and</w:t>
      </w:r>
    </w:p>
    <w:p>
      <w:pPr>
        <w:spacing w:after="0" w:line="62"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 of revenue, if any, received from commercial sales of our drug candidates, should any of our drug candidates receive marketing approval.</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adequate funds are not available at favorable terms, we may be required to reduce operating expenses, delay or reduce the scope of our product development and commercial expansion programs,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 deterioration in the equity or credit markets may make any necessary debt or equity financing more difficult, more costly and more dilutive.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view our operations and manage our business in one segment, which is the development of next-generation multifunctional biotherapeutics.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authorized share capital consists of 1,000,000,000 shares of stock, consisting of 900,000,000 shares of common stock, par value $0.00001 per share, and 100,000,000 shares of preferred stock, par value 0.00001 per share. As of March 3, 2023,</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64,041,287 shares of common stock were issued and outstanding. In addition, as of March 3, 2023, we had 2,079,224 shares of common stock issuable pursuant to 2,079,224 pre-funded warrants, 3,961,726 shares of common stock issuable pursuant to 3,961,726 exercisable outstanding stock options, 4,886,666 shares of common stock issuable pursuant to 4,886,666 outstanding options that were not exercisable at that date, and 1,038,922 shares of common stock issuable upon vesting of outstanding restricted stock units.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Plan of Arrangement, we issued to Computershare Trust Company of Canada, a trust company existing under the laws of Canada (the “Share Trustee”), one share of our preferred stock, par value $0.00001 per share, which has certain variable voting rights in proportion to the number of Exchangeable Shares outstanding (the “Special Voting Preferred Stock”), enabling the Share Trustee to exercise voting rights for the benefit of the Exchangeable Shareholders.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consummation of the Plan of Arrangement, 1,424,533 Exchangeable Shares were issued to former Zymeworks BC shareholders. We will issue shares of our common stock as consideration when a holder of Exchangeable Shares calls for Exchangeable Shares to be retracted by ExchangeCo, when ExchangeCo redeems Exchangeable Shares from the holder, or when CallCo purchases Exchangeable Shares from the Exchangeable Shareholder under CallCo’s overriding call rights.</w:t>
      </w:r>
    </w:p>
    <w:p>
      <w:pPr>
        <w:spacing w:after="0" w:line="17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 of March 3, 2023, 765,921 Exchangeable Shares have been exchanged on a one-to-one basis for 765,921 shares of our common stock and 658,612 Exchangeable Shares are held by former Zymeworks BC shareholders and are exchangeable on a one-to-one basis, subject to adjustment, for up to 658,612 shares of our common stock.</w:t>
      </w:r>
    </w:p>
    <w:p>
      <w:pPr>
        <w:spacing w:after="0" w:line="200" w:lineRule="exact"/>
        <w:rPr>
          <w:sz w:val="20"/>
          <w:szCs w:val="20"/>
          <w:color w:val="auto"/>
        </w:rPr>
      </w:pPr>
    </w:p>
    <w:p>
      <w:pPr>
        <w:spacing w:after="0" w:line="34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1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As a “smaller reporting company,” as defined by Rule 12b-2 of the Exchange Act, and pursuant to Item 305 of Regulation S-K we are not required to provide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6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360" w:type="dxa"/>
            <w:vAlign w:val="bottom"/>
            <w:gridSpan w:val="8"/>
          </w:tcPr>
          <w:p>
            <w:pPr>
              <w:spacing w:after="0"/>
              <w:rPr>
                <w:sz w:val="20"/>
                <w:szCs w:val="20"/>
                <w:color w:val="auto"/>
              </w:rPr>
            </w:pPr>
            <w:r>
              <w:rPr>
                <w:rFonts w:ascii="Arial" w:cs="Arial" w:eastAsia="Arial" w:hAnsi="Arial"/>
                <w:sz w:val="18"/>
                <w:szCs w:val="18"/>
                <w:b w:val="1"/>
                <w:bCs w:val="1"/>
                <w:color w:val="auto"/>
              </w:rPr>
              <w:t>Zymeworks Inc.</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360" w:type="dxa"/>
            <w:vAlign w:val="bottom"/>
            <w:gridSpan w:val="8"/>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360" w:type="dxa"/>
            <w:vAlign w:val="bottom"/>
            <w:gridSpan w:val="8"/>
          </w:tcPr>
          <w:p>
            <w:pPr>
              <w:spacing w:after="0"/>
              <w:rPr>
                <w:sz w:val="20"/>
                <w:szCs w:val="20"/>
                <w:color w:val="auto"/>
              </w:rPr>
            </w:pPr>
            <w:r>
              <w:rPr>
                <w:rFonts w:ascii="Arial" w:cs="Arial" w:eastAsia="Arial" w:hAnsi="Arial"/>
                <w:sz w:val="18"/>
                <w:szCs w:val="18"/>
                <w:b w:val="1"/>
                <w:bCs w:val="1"/>
                <w:color w:val="auto"/>
              </w:rPr>
              <w:t>Year ended December 31, 2022</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gridSpan w:val="2"/>
            <w:vMerge w:val="restart"/>
          </w:tcPr>
          <w:p>
            <w:pPr>
              <w:spacing w:after="0"/>
              <w:rPr>
                <w:sz w:val="20"/>
                <w:szCs w:val="20"/>
                <w:color w:val="auto"/>
              </w:rPr>
            </w:pPr>
            <w:r>
              <w:rPr>
                <w:rFonts w:ascii="Arial" w:cs="Arial" w:eastAsia="Arial" w:hAnsi="Arial"/>
                <w:sz w:val="18"/>
                <w:szCs w:val="18"/>
                <w:color w:val="0000FF"/>
                <w:w w:val="91"/>
              </w:rPr>
              <w:t>Report of Independent Registered Public Accounting Firm</w:t>
            </w:r>
          </w:p>
        </w:tc>
        <w:tc>
          <w:tcPr>
            <w:tcW w:w="6120" w:type="dxa"/>
            <w:vAlign w:val="bottom"/>
            <w:gridSpan w:val="5"/>
            <w:vMerge w:val="restart"/>
          </w:tcPr>
          <w:p>
            <w:pPr>
              <w:ind w:left="40"/>
              <w:spacing w:after="0"/>
              <w:rPr>
                <w:sz w:val="20"/>
                <w:szCs w:val="20"/>
                <w:color w:val="auto"/>
              </w:rPr>
            </w:pPr>
            <w:r>
              <w:rPr>
                <w:rFonts w:ascii="Arial" w:cs="Arial" w:eastAsia="Arial" w:hAnsi="Arial"/>
                <w:sz w:val="18"/>
                <w:szCs w:val="18"/>
                <w:color w:val="auto"/>
              </w:rPr>
              <w:t>(PCAOB ID 85)</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4220" w:type="dxa"/>
            <w:vAlign w:val="bottom"/>
            <w:tcBorders>
              <w:bottom w:val="single" w:sz="8" w:color="0000FF"/>
            </w:tcBorders>
            <w:gridSpan w:val="2"/>
            <w:vMerge w:val="continue"/>
          </w:tcPr>
          <w:p>
            <w:pPr>
              <w:spacing w:after="0"/>
              <w:rPr>
                <w:sz w:val="14"/>
                <w:szCs w:val="14"/>
                <w:color w:val="auto"/>
              </w:rPr>
            </w:pPr>
          </w:p>
        </w:tc>
        <w:tc>
          <w:tcPr>
            <w:tcW w:w="6120" w:type="dxa"/>
            <w:vAlign w:val="bottom"/>
            <w:gridSpan w:val="5"/>
            <w:vMerge w:val="continue"/>
          </w:tcPr>
          <w:p>
            <w:pPr>
              <w:spacing w:after="0"/>
              <w:rPr>
                <w:sz w:val="14"/>
                <w:szCs w:val="14"/>
                <w:color w:val="auto"/>
              </w:rPr>
            </w:pPr>
          </w:p>
        </w:tc>
        <w:tc>
          <w:tcPr>
            <w:tcW w:w="880" w:type="dxa"/>
            <w:vAlign w:val="bottom"/>
          </w:tcPr>
          <w:p>
            <w:pPr>
              <w:jc w:val="center"/>
              <w:spacing w:after="0" w:line="169" w:lineRule="exact"/>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8"/>
              </w:rPr>
              <w:t>Consolidated Balance Sheets as at December 31, 2022 and 2021</w:t>
            </w:r>
          </w:p>
        </w:tc>
        <w:tc>
          <w:tcPr>
            <w:tcW w:w="5700" w:type="dxa"/>
            <w:vAlign w:val="bottom"/>
            <w:gridSpan w:val="4"/>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102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Consolidated Statements of Income (Loss) and Comprehensive Income (Loss) for the years ended December 31, 2022, 2021 and 2020</w:t>
            </w:r>
          </w:p>
        </w:tc>
        <w:tc>
          <w:tcPr>
            <w:tcW w:w="6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103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340" w:type="dxa"/>
            <w:vAlign w:val="bottom"/>
            <w:gridSpan w:val="7"/>
          </w:tcPr>
          <w:p>
            <w:pPr>
              <w:spacing w:after="0"/>
              <w:rPr>
                <w:sz w:val="20"/>
                <w:szCs w:val="20"/>
                <w:color w:val="auto"/>
              </w:rPr>
            </w:pPr>
            <w:r>
              <w:rPr>
                <w:rFonts w:ascii="Arial" w:cs="Arial" w:eastAsia="Arial" w:hAnsi="Arial"/>
                <w:sz w:val="18"/>
                <w:szCs w:val="18"/>
                <w:color w:val="0000FF"/>
              </w:rPr>
              <w:t>Consolidated Statements of Changes in Stockholders’ Equity for the years ended December 31, 2022, 2021 and 2020</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9"/>
              </w:rPr>
              <w:t>Consolidated Statements of Cash Flows for the years ended December 31, 2022, 2021 and 2020</w:t>
            </w:r>
          </w:p>
        </w:tc>
        <w:tc>
          <w:tcPr>
            <w:tcW w:w="1520" w:type="dxa"/>
            <w:vAlign w:val="bottom"/>
            <w:tcBorders>
              <w:top w:val="single" w:sz="8" w:color="0000FF"/>
            </w:tcBorders>
          </w:tcPr>
          <w:p>
            <w:pPr>
              <w:spacing w:after="0"/>
              <w:rPr>
                <w:sz w:val="18"/>
                <w:szCs w:val="18"/>
                <w:color w:val="auto"/>
              </w:rPr>
            </w:pPr>
          </w:p>
        </w:tc>
        <w:tc>
          <w:tcPr>
            <w:tcW w:w="1900" w:type="dxa"/>
            <w:vAlign w:val="bottom"/>
            <w:gridSpan w:val="2"/>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Notes to the Consolidated Financial Statements</w:t>
            </w:r>
          </w:p>
        </w:tc>
        <w:tc>
          <w:tcPr>
            <w:tcW w:w="6920" w:type="dxa"/>
            <w:vAlign w:val="bottom"/>
            <w:gridSpan w:val="6"/>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106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Zymeworks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39" w:lineRule="exact"/>
        <w:rPr>
          <w:sz w:val="20"/>
          <w:szCs w:val="20"/>
          <w:color w:val="auto"/>
        </w:rPr>
      </w:pPr>
    </w:p>
    <w:p>
      <w:pPr>
        <w:ind w:right="40"/>
        <w:spacing w:after="0" w:line="205" w:lineRule="exact"/>
        <w:rPr>
          <w:sz w:val="20"/>
          <w:szCs w:val="20"/>
          <w:color w:val="auto"/>
        </w:rPr>
      </w:pPr>
      <w:r>
        <w:rPr>
          <w:rFonts w:ascii="Arial" w:cs="Arial" w:eastAsia="Arial" w:hAnsi="Arial"/>
          <w:sz w:val="18"/>
          <w:szCs w:val="18"/>
          <w:color w:val="auto"/>
        </w:rPr>
        <w:t>We have audited the accompanying consolidated balance sheets of Zymeworks Inc. (the Company) as of December 31, 2022 and 2021, the related consolidated statements of income (loss), comprehensive income (loss), changes in stockholders’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2022, in conformity with U.S. generally accepted accounting principles.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5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5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distinct performance obligations related to the license and collaboration agreement with Jazz Pharmaceuticals Ireland Limited</w:t>
      </w:r>
    </w:p>
    <w:p>
      <w:pPr>
        <w:spacing w:after="0" w:line="25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discussed in Note 12 to the consolidated financial statements, the Company entered into a license and collaboration agreement with Jazz Pharmaceuticals Ireland Limited (“Jazz”). The Company recognized upfront consideration of $375.0 million related to the license of intellectual property and $24.3 million related to performance of ongoing clinical research activities during the year ended December 31, 2022. As discussed in Note 2, the accounting for the Company’s contracts with customers arising from licensing and collaboration arrangements requires the Company to apply significant judgment when evaluating whether contractual obligations represent distinct performance obligations, including understanding the nature and significance of the contractual obligations and their standalone selling prices.</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identified the evaluation of distinct performance obligations, including understanding the nature and significance of the contractual obligations and their standalone selling prices, related to the license and collaboration agreement with Jazz as a critical audit matter. Subjective and complex auditor judgment was required to assess the Company’s determination of distinct performance obligations, including evaluating the rights and obligations described in the agreement, their benefit to the customer, and the level of interdependence between the promised goods and services in the agreement. Complex auditor judgment was also required in determining the significance of the contractual obligations to assess if these were immaterial performance obligations.</w:t>
      </w:r>
    </w:p>
    <w:p>
      <w:pPr>
        <w:spacing w:after="0" w:line="21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primary procedures we performed to address this critical audit matter included the following. We evaluated the design of an internal control over the Company’s revenue recognition process. This included a control over the Company’s accounting analysis of licensing and collaboration agreements, and the evaluation of distinct performance obligations. We read the license and collaboration agreement with Jazz to gain an understanding of the contractual terms and conditions and the commitments being made in the agreement. We conducted interviews with the Company’s business development personnel to understand the specific functionalities of the license and to evaluate the nature of the commitments made to the customer. We evaluated management’s accounting analysis and assessed the reasonableness of management’s judgments and assumptions in the</w:t>
      </w:r>
    </w:p>
    <w:p>
      <w:pPr>
        <w:spacing w:after="0" w:line="4"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determination of distinct performance obligations and the significance of the contractual obligations by comparing them to underlying documentation. We assessed the stand-alone selling price of a selection of certain of the performance obligations used by the Company by comparing them to the Company’s past pricing policies and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thousands of U.S. dollars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400,912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201,867</w:t>
            </w:r>
          </w:p>
        </w:tc>
        <w:tc>
          <w:tcPr>
            <w:tcW w:w="0" w:type="dxa"/>
            <w:vAlign w:val="bottom"/>
          </w:tcPr>
          <w:p>
            <w:pPr>
              <w:spacing w:after="0"/>
              <w:rPr>
                <w:sz w:val="1"/>
                <w:szCs w:val="1"/>
                <w:color w:val="auto"/>
              </w:rPr>
            </w:pPr>
          </w:p>
        </w:tc>
      </w:tr>
      <w:tr>
        <w:trPr>
          <w:trHeight w:val="213"/>
        </w:trPr>
        <w:tc>
          <w:tcPr>
            <w:tcW w:w="8480" w:type="dxa"/>
            <w:vAlign w:val="bottom"/>
          </w:tcPr>
          <w:p>
            <w:pPr>
              <w:ind w:left="240"/>
              <w:spacing w:after="0"/>
              <w:rPr>
                <w:sz w:val="20"/>
                <w:szCs w:val="20"/>
                <w:color w:val="auto"/>
              </w:rPr>
            </w:pPr>
            <w:r>
              <w:rPr>
                <w:rFonts w:ascii="Arial" w:cs="Arial" w:eastAsia="Arial" w:hAnsi="Arial"/>
                <w:sz w:val="16"/>
                <w:szCs w:val="16"/>
                <w:color w:val="auto"/>
              </w:rPr>
              <w:t>Short-term investments (note 5)</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91,320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50,741</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15,614</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19,998</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544,706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288,220</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Deferred financing fees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 (note 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Long-term prepaid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12,490</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 (note 14)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Property and equipment, net (note 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24,713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22,783</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(note 15)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26,987</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Intangible assets, net (note 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8,755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3,838</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in-process research and development (note 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17,628</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 (note 6)</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12,016</w:t>
            </w:r>
          </w:p>
        </w:tc>
        <w:tc>
          <w:tcPr>
            <w:tcW w:w="0" w:type="dxa"/>
            <w:vAlign w:val="bottom"/>
          </w:tcPr>
          <w:p>
            <w:pPr>
              <w:spacing w:after="0"/>
              <w:rPr>
                <w:sz w:val="1"/>
                <w:szCs w:val="1"/>
                <w:color w:val="auto"/>
              </w:rPr>
            </w:pPr>
          </w:p>
        </w:tc>
      </w:tr>
      <w:tr>
        <w:trPr>
          <w:trHeight w:val="234"/>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648,725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389,132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40"/>
              <w:spacing w:after="0"/>
              <w:rPr>
                <w:sz w:val="20"/>
                <w:szCs w:val="20"/>
                <w:color w:val="auto"/>
              </w:rPr>
            </w:pPr>
            <w:r>
              <w:rPr>
                <w:rFonts w:ascii="Arial" w:cs="Arial" w:eastAsia="Arial" w:hAnsi="Arial"/>
                <w:sz w:val="16"/>
                <w:szCs w:val="16"/>
                <w:color w:val="auto"/>
              </w:rPr>
              <w:t>Accounts payable and accrued liabilities (note 9)</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87,468</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62,789</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payable (note 14)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Pr>
          <w:p>
            <w:pPr>
              <w:ind w:left="240"/>
              <w:spacing w:after="0"/>
              <w:rPr>
                <w:sz w:val="20"/>
                <w:szCs w:val="20"/>
                <w:color w:val="auto"/>
              </w:rPr>
            </w:pPr>
            <w:r>
              <w:rPr>
                <w:rFonts w:ascii="Arial" w:cs="Arial" w:eastAsia="Arial" w:hAnsi="Arial"/>
                <w:sz w:val="16"/>
                <w:szCs w:val="16"/>
                <w:color w:val="auto"/>
              </w:rPr>
              <w:t>Fair value of liability-classified stock options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7,754</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portion of operating lease liability (note 15)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Deferred revenue (note 12)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95,625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71,853</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Long-term portion of operating lease liability (note 15)</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24,667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30,923</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(note 12)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30,588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32,941</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Other long-term liabilities (note 9)</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3,101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2,748</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 (note 14)</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1,573</w:t>
            </w:r>
          </w:p>
        </w:tc>
        <w:tc>
          <w:tcPr>
            <w:tcW w:w="0" w:type="dxa"/>
            <w:vAlign w:val="bottom"/>
          </w:tcPr>
          <w:p>
            <w:pPr>
              <w:spacing w:after="0"/>
              <w:rPr>
                <w:sz w:val="1"/>
                <w:szCs w:val="1"/>
                <w:color w:val="auto"/>
              </w:rPr>
            </w:pPr>
          </w:p>
        </w:tc>
      </w:tr>
      <w:tr>
        <w:trPr>
          <w:trHeight w:val="207"/>
        </w:trPr>
        <w:tc>
          <w:tcPr>
            <w:tcW w:w="848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155,769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140,038</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480" w:type="dxa"/>
            <w:vAlign w:val="bottom"/>
          </w:tcPr>
          <w:p>
            <w:pPr>
              <w:ind w:left="220"/>
              <w:spacing w:after="0" w:line="166" w:lineRule="exact"/>
              <w:rPr>
                <w:sz w:val="20"/>
                <w:szCs w:val="20"/>
                <w:color w:val="auto"/>
              </w:rPr>
            </w:pPr>
            <w:r>
              <w:rPr>
                <w:rFonts w:ascii="Arial" w:cs="Arial" w:eastAsia="Arial" w:hAnsi="Arial"/>
                <w:sz w:val="16"/>
                <w:szCs w:val="16"/>
                <w:color w:val="auto"/>
                <w:w w:val="93"/>
              </w:rPr>
              <w:t>Common shares, $0.00001 par value; 900,000,000 authorized shares of common stock at December 31, 2022 (no par value,</w:t>
            </w:r>
          </w:p>
        </w:tc>
        <w:tc>
          <w:tcPr>
            <w:tcW w:w="320" w:type="dxa"/>
            <w:vAlign w:val="bottom"/>
          </w:tcPr>
          <w:p>
            <w:pPr>
              <w:spacing w:after="0"/>
              <w:rPr>
                <w:sz w:val="14"/>
                <w:szCs w:val="14"/>
                <w:color w:val="auto"/>
              </w:rPr>
            </w:pPr>
          </w:p>
        </w:tc>
        <w:tc>
          <w:tcPr>
            <w:tcW w:w="1000" w:type="dxa"/>
            <w:vAlign w:val="bottom"/>
          </w:tcPr>
          <w:p>
            <w:pPr>
              <w:jc w:val="right"/>
              <w:spacing w:after="0" w:line="166" w:lineRule="exact"/>
              <w:rPr>
                <w:sz w:val="20"/>
                <w:szCs w:val="20"/>
                <w:color w:val="auto"/>
              </w:rPr>
            </w:pPr>
            <w:r>
              <w:rPr>
                <w:rFonts w:ascii="Arial" w:cs="Arial" w:eastAsia="Arial" w:hAnsi="Arial"/>
                <w:sz w:val="16"/>
                <w:szCs w:val="16"/>
                <w:color w:val="auto"/>
              </w:rPr>
              <w:t>886,322</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6"/>
                <w:szCs w:val="16"/>
                <w:color w:val="auto"/>
              </w:rPr>
              <w:t>741,147</w:t>
            </w:r>
          </w:p>
        </w:tc>
        <w:tc>
          <w:tcPr>
            <w:tcW w:w="0" w:type="dxa"/>
            <w:vAlign w:val="bottom"/>
          </w:tcPr>
          <w:p>
            <w:pPr>
              <w:spacing w:after="0"/>
              <w:rPr>
                <w:sz w:val="1"/>
                <w:szCs w:val="1"/>
                <w:color w:val="auto"/>
              </w:rPr>
            </w:pPr>
          </w:p>
        </w:tc>
      </w:tr>
      <w:tr>
        <w:trPr>
          <w:trHeight w:val="162"/>
        </w:trPr>
        <w:tc>
          <w:tcPr>
            <w:tcW w:w="8480" w:type="dxa"/>
            <w:vAlign w:val="bottom"/>
          </w:tcPr>
          <w:p>
            <w:pPr>
              <w:ind w:left="460"/>
              <w:spacing w:after="0" w:line="162" w:lineRule="exact"/>
              <w:rPr>
                <w:sz w:val="20"/>
                <w:szCs w:val="20"/>
                <w:color w:val="auto"/>
              </w:rPr>
            </w:pPr>
            <w:r>
              <w:rPr>
                <w:rFonts w:ascii="Arial" w:cs="Arial" w:eastAsia="Arial" w:hAnsi="Arial"/>
                <w:sz w:val="16"/>
                <w:szCs w:val="16"/>
                <w:color w:val="auto"/>
                <w:w w:val="92"/>
              </w:rPr>
              <w:t>unlimited shares at December 31, 2021; 63,059,501 and 46,633,935 shares issued and outstanding at December 31, 2022</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480" w:type="dxa"/>
            <w:vAlign w:val="bottom"/>
          </w:tcPr>
          <w:p>
            <w:pPr>
              <w:ind w:left="460"/>
              <w:spacing w:after="0"/>
              <w:rPr>
                <w:sz w:val="20"/>
                <w:szCs w:val="20"/>
                <w:color w:val="auto"/>
              </w:rPr>
            </w:pPr>
            <w:r>
              <w:rPr>
                <w:rFonts w:ascii="Arial" w:cs="Arial" w:eastAsia="Arial" w:hAnsi="Arial"/>
                <w:sz w:val="16"/>
                <w:szCs w:val="16"/>
                <w:color w:val="auto"/>
              </w:rPr>
              <w:t>and 2021, respectively (note 10b).</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4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3"/>
              </w:rPr>
              <w:t>Preferred shares, $0.00001 par value; 100,000,000 authorized shares of preferred stock, out of which, one share of preferred</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460"/>
              <w:spacing w:after="0" w:line="162" w:lineRule="exact"/>
              <w:rPr>
                <w:sz w:val="20"/>
                <w:szCs w:val="20"/>
                <w:color w:val="auto"/>
              </w:rPr>
            </w:pPr>
            <w:r>
              <w:rPr>
                <w:rFonts w:ascii="Arial" w:cs="Arial" w:eastAsia="Arial" w:hAnsi="Arial"/>
                <w:sz w:val="16"/>
                <w:szCs w:val="16"/>
                <w:color w:val="auto"/>
                <w:w w:val="91"/>
              </w:rPr>
              <w:t>stock is a share of Special Voting Preferred Stock and outstanding as of December 31, 2022 (December 31, 2021: nil) (note</w:t>
            </w:r>
          </w:p>
        </w:tc>
        <w:tc>
          <w:tcPr>
            <w:tcW w:w="3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10b).</w:t>
            </w:r>
          </w:p>
        </w:tc>
        <w:tc>
          <w:tcPr>
            <w:tcW w:w="3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480" w:type="dxa"/>
            <w:vAlign w:val="bottom"/>
          </w:tcPr>
          <w:p>
            <w:pPr>
              <w:ind w:left="220"/>
              <w:spacing w:after="0" w:line="166" w:lineRule="exact"/>
              <w:rPr>
                <w:sz w:val="20"/>
                <w:szCs w:val="20"/>
                <w:color w:val="auto"/>
              </w:rPr>
            </w:pPr>
            <w:r>
              <w:rPr>
                <w:rFonts w:ascii="Arial" w:cs="Arial" w:eastAsia="Arial" w:hAnsi="Arial"/>
                <w:sz w:val="16"/>
                <w:szCs w:val="16"/>
                <w:color w:val="auto"/>
                <w:w w:val="92"/>
              </w:rPr>
              <w:t>Exchangeable shares, no par value, 1,424,533 issued and outstanding shares at December 31, 2022 (December 31, 2021: nil)</w:t>
            </w:r>
          </w:p>
        </w:tc>
        <w:tc>
          <w:tcPr>
            <w:tcW w:w="3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20,442</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480" w:type="dxa"/>
            <w:vAlign w:val="bottom"/>
          </w:tcPr>
          <w:p>
            <w:pPr>
              <w:ind w:left="460"/>
              <w:spacing w:after="0"/>
              <w:rPr>
                <w:sz w:val="20"/>
                <w:szCs w:val="20"/>
                <w:color w:val="auto"/>
              </w:rPr>
            </w:pPr>
            <w:r>
              <w:rPr>
                <w:rFonts w:ascii="Arial" w:cs="Arial" w:eastAsia="Arial" w:hAnsi="Arial"/>
                <w:sz w:val="16"/>
                <w:szCs w:val="16"/>
                <w:color w:val="auto"/>
              </w:rPr>
              <w:t>(note 10b).</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197,710</w:t>
            </w:r>
          </w:p>
        </w:tc>
        <w:tc>
          <w:tcPr>
            <w:tcW w:w="0" w:type="dxa"/>
            <w:vAlign w:val="bottom"/>
          </w:tcPr>
          <w:p>
            <w:pPr>
              <w:spacing w:after="0"/>
              <w:rPr>
                <w:sz w:val="1"/>
                <w:szCs w:val="1"/>
                <w:color w:val="auto"/>
              </w:rPr>
            </w:pPr>
          </w:p>
        </w:tc>
      </w:tr>
      <w:tr>
        <w:trPr>
          <w:trHeight w:val="213"/>
        </w:trPr>
        <w:tc>
          <w:tcPr>
            <w:tcW w:w="8480" w:type="dxa"/>
            <w:vAlign w:val="bottom"/>
          </w:tcPr>
          <w:p>
            <w:pPr>
              <w:ind w:left="24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(6,659)</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(558,763)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(683,104)</w:t>
            </w:r>
          </w:p>
        </w:tc>
        <w:tc>
          <w:tcPr>
            <w:tcW w:w="0" w:type="dxa"/>
            <w:vAlign w:val="bottom"/>
          </w:tcPr>
          <w:p>
            <w:pPr>
              <w:spacing w:after="0"/>
              <w:rPr>
                <w:sz w:val="1"/>
                <w:szCs w:val="1"/>
                <w:color w:val="auto"/>
              </w:rPr>
            </w:pPr>
          </w:p>
        </w:tc>
      </w:tr>
      <w:tr>
        <w:trPr>
          <w:trHeight w:val="20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492,956</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249,094</w:t>
            </w:r>
          </w:p>
        </w:tc>
        <w:tc>
          <w:tcPr>
            <w:tcW w:w="0" w:type="dxa"/>
            <w:vAlign w:val="bottom"/>
          </w:tcPr>
          <w:p>
            <w:pPr>
              <w:spacing w:after="0"/>
              <w:rPr>
                <w:sz w:val="1"/>
                <w:szCs w:val="1"/>
                <w:color w:val="auto"/>
              </w:rPr>
            </w:pPr>
          </w:p>
        </w:tc>
      </w:tr>
      <w:tr>
        <w:trPr>
          <w:trHeight w:val="23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648,725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389,132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Research collaboration and licensing agreements (note 12)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(Loss) and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6"/>
                <w:szCs w:val="16"/>
                <w:color w:val="auto"/>
              </w:rPr>
            </w:pPr>
          </w:p>
        </w:tc>
      </w:tr>
      <w:tr>
        <w:trPr>
          <w:trHeight w:val="26"/>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Research and development collaborations (note 12)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412,482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26,680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38,951</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208,596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199,752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171,203</w:t>
            </w: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55,216</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281,954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242,313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226,419</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(187,468)</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w:t>
            </w:r>
          </w:p>
        </w:tc>
      </w:tr>
      <w:tr>
        <w:trPr>
          <w:trHeight w:val="229"/>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 (note 13)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7,345</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135,234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(212,359)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(180,123)</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recovery (expense), net (note 14)</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Net income (loss) and comprehensive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(211,843)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(180,552)</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Net income (loss) per common share (note 4):</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70"/>
        </w:trPr>
        <w:tc>
          <w:tcPr>
            <w:tcW w:w="7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Weighted-average common stock outstanding (note 4):</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65,194,775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51,553,869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50,382,497</w:t>
            </w: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65,249,184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52,131,596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50,382,497</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 (Note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thousands of U.S. dollars except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118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Preferred stock</w:t>
            </w:r>
          </w:p>
        </w:tc>
        <w:tc>
          <w:tcPr>
            <w:tcW w:w="160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Exchangeable shares</w:t>
            </w:r>
          </w:p>
        </w:tc>
        <w:tc>
          <w:tcPr>
            <w:tcW w:w="170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other</w:t>
            </w:r>
          </w:p>
        </w:tc>
        <w:tc>
          <w:tcPr>
            <w:tcW w:w="8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080" w:type="dxa"/>
            <w:vAlign w:val="bottom"/>
          </w:tcPr>
          <w:p>
            <w:pPr>
              <w:spacing w:after="0"/>
              <w:rPr>
                <w:sz w:val="9"/>
                <w:szCs w:val="9"/>
                <w:color w:val="auto"/>
              </w:rPr>
            </w:pPr>
          </w:p>
        </w:tc>
        <w:tc>
          <w:tcPr>
            <w:tcW w:w="1180" w:type="dxa"/>
            <w:vAlign w:val="bottom"/>
            <w:gridSpan w:val="5"/>
            <w:vMerge w:val="continue"/>
          </w:tcPr>
          <w:p>
            <w:pPr>
              <w:spacing w:after="0"/>
              <w:rPr>
                <w:sz w:val="9"/>
                <w:szCs w:val="9"/>
                <w:color w:val="auto"/>
              </w:rPr>
            </w:pPr>
          </w:p>
        </w:tc>
        <w:tc>
          <w:tcPr>
            <w:tcW w:w="1600" w:type="dxa"/>
            <w:vAlign w:val="bottom"/>
            <w:gridSpan w:val="5"/>
            <w:vMerge w:val="continue"/>
          </w:tcPr>
          <w:p>
            <w:pPr>
              <w:spacing w:after="0"/>
              <w:rPr>
                <w:sz w:val="9"/>
                <w:szCs w:val="9"/>
                <w:color w:val="auto"/>
              </w:rPr>
            </w:pPr>
          </w:p>
        </w:tc>
        <w:tc>
          <w:tcPr>
            <w:tcW w:w="1700" w:type="dxa"/>
            <w:vAlign w:val="bottom"/>
            <w:gridSpan w:val="5"/>
            <w:vMerge w:val="continue"/>
          </w:tcPr>
          <w:p>
            <w:pPr>
              <w:spacing w:after="0"/>
              <w:rPr>
                <w:sz w:val="9"/>
                <w:szCs w:val="9"/>
                <w:color w:val="auto"/>
              </w:rPr>
            </w:pPr>
          </w:p>
        </w:tc>
        <w:tc>
          <w:tcPr>
            <w:tcW w:w="940" w:type="dxa"/>
            <w:vAlign w:val="bottom"/>
            <w:gridSpan w:val="3"/>
            <w:vMerge w:val="restart"/>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040" w:type="dxa"/>
            <w:vAlign w:val="bottom"/>
            <w:gridSpan w:val="3"/>
            <w:vMerge w:val="restart"/>
          </w:tcPr>
          <w:p>
            <w:pPr>
              <w:ind w:left="20"/>
              <w:spacing w:after="0" w:line="129" w:lineRule="exact"/>
              <w:rPr>
                <w:sz w:val="20"/>
                <w:szCs w:val="20"/>
                <w:color w:val="auto"/>
              </w:rPr>
            </w:pPr>
            <w:r>
              <w:rPr>
                <w:rFonts w:ascii="Arial" w:cs="Arial" w:eastAsia="Arial" w:hAnsi="Arial"/>
                <w:sz w:val="14"/>
                <w:szCs w:val="14"/>
                <w:b w:val="1"/>
                <w:bCs w:val="1"/>
                <w:color w:val="auto"/>
                <w:w w:val="97"/>
              </w:rPr>
              <w:t>comprehensive</w:t>
            </w:r>
          </w:p>
        </w:tc>
        <w:tc>
          <w:tcPr>
            <w:tcW w:w="100" w:type="dxa"/>
            <w:vAlign w:val="bottom"/>
          </w:tcPr>
          <w:p>
            <w:pPr>
              <w:spacing w:after="0"/>
              <w:rPr>
                <w:sz w:val="9"/>
                <w:szCs w:val="9"/>
                <w:color w:val="auto"/>
              </w:rPr>
            </w:pPr>
          </w:p>
        </w:tc>
        <w:tc>
          <w:tcPr>
            <w:tcW w:w="700" w:type="dxa"/>
            <w:vAlign w:val="bottom"/>
            <w:gridSpan w:val="2"/>
            <w:vMerge w:val="restart"/>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paid-in</w:t>
            </w:r>
          </w:p>
        </w:tc>
        <w:tc>
          <w:tcPr>
            <w:tcW w:w="900" w:type="dxa"/>
            <w:vAlign w:val="bottom"/>
            <w:gridSpan w:val="2"/>
            <w:vMerge w:val="restart"/>
          </w:tcPr>
          <w:p>
            <w:pPr>
              <w:ind w:left="40"/>
              <w:spacing w:after="0" w:line="12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6"/>
        </w:trPr>
        <w:tc>
          <w:tcPr>
            <w:tcW w:w="30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80" w:type="dxa"/>
            <w:vAlign w:val="bottom"/>
          </w:tcPr>
          <w:p>
            <w:pPr>
              <w:spacing w:after="0"/>
              <w:rPr>
                <w:sz w:val="16"/>
                <w:szCs w:val="16"/>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39,564,529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450,210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(290,709)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w w:val="94"/>
              </w:rPr>
              <w:t>(6,659)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92,839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245,681</w:t>
            </w:r>
          </w:p>
        </w:tc>
        <w:tc>
          <w:tcPr>
            <w:tcW w:w="0" w:type="dxa"/>
            <w:vAlign w:val="bottom"/>
          </w:tcPr>
          <w:p>
            <w:pPr>
              <w:spacing w:after="0"/>
              <w:rPr>
                <w:sz w:val="1"/>
                <w:szCs w:val="1"/>
                <w:color w:val="auto"/>
              </w:rPr>
            </w:pPr>
          </w:p>
        </w:tc>
      </w:tr>
      <w:tr>
        <w:trPr>
          <w:trHeight w:val="184"/>
        </w:trPr>
        <w:tc>
          <w:tcPr>
            <w:tcW w:w="3080" w:type="dxa"/>
            <w:vAlign w:val="bottom"/>
          </w:tcPr>
          <w:p>
            <w:pPr>
              <w:ind w:left="20"/>
              <w:spacing w:after="0"/>
              <w:rPr>
                <w:sz w:val="20"/>
                <w:szCs w:val="20"/>
                <w:color w:val="auto"/>
              </w:rPr>
            </w:pPr>
            <w:r>
              <w:rPr>
                <w:rFonts w:ascii="Arial" w:cs="Arial" w:eastAsia="Arial" w:hAnsi="Arial"/>
                <w:sz w:val="14"/>
                <w:szCs w:val="14"/>
                <w:color w:val="auto"/>
              </w:rPr>
              <w:t>Issuance of common stock on exercise of stock</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80" w:type="dxa"/>
            <w:vAlign w:val="bottom"/>
          </w:tcPr>
          <w:p>
            <w:pPr>
              <w:ind w:left="180"/>
              <w:spacing w:after="0"/>
              <w:rPr>
                <w:sz w:val="20"/>
                <w:szCs w:val="20"/>
                <w:color w:val="auto"/>
              </w:rPr>
            </w:pPr>
            <w:r>
              <w:rPr>
                <w:rFonts w:ascii="Arial" w:cs="Arial" w:eastAsia="Arial" w:hAnsi="Arial"/>
                <w:sz w:val="14"/>
                <w:szCs w:val="14"/>
                <w:color w:val="auto"/>
              </w:rPr>
              <w:t>options (note 10e)</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602,158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18,373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(2,943)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15,430</w:t>
            </w:r>
          </w:p>
        </w:tc>
        <w:tc>
          <w:tcPr>
            <w:tcW w:w="0" w:type="dxa"/>
            <w:vAlign w:val="bottom"/>
          </w:tcPr>
          <w:p>
            <w:pPr>
              <w:spacing w:after="0"/>
              <w:rPr>
                <w:sz w:val="1"/>
                <w:szCs w:val="1"/>
                <w:color w:val="auto"/>
              </w:rPr>
            </w:pPr>
          </w:p>
        </w:tc>
      </w:tr>
      <w:tr>
        <w:trPr>
          <w:trHeight w:val="26"/>
        </w:trPr>
        <w:tc>
          <w:tcPr>
            <w:tcW w:w="3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employee</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 purchase plan (note 10f)</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43,973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0" w:type="dxa"/>
            <w:vAlign w:val="bottom"/>
          </w:tcPr>
          <w:p>
            <w:pPr>
              <w:spacing w:after="0"/>
              <w:rPr>
                <w:sz w:val="1"/>
                <w:szCs w:val="1"/>
                <w:color w:val="auto"/>
              </w:rPr>
            </w:pPr>
          </w:p>
        </w:tc>
      </w:tr>
      <w:tr>
        <w:trPr>
          <w:trHeight w:val="143"/>
        </w:trPr>
        <w:tc>
          <w:tcPr>
            <w:tcW w:w="3080" w:type="dxa"/>
            <w:vAlign w:val="bottom"/>
          </w:tcPr>
          <w:p>
            <w:pPr>
              <w:ind w:left="20"/>
              <w:spacing w:after="0" w:line="143" w:lineRule="exact"/>
              <w:rPr>
                <w:sz w:val="20"/>
                <w:szCs w:val="20"/>
                <w:color w:val="auto"/>
              </w:rPr>
            </w:pPr>
            <w:r>
              <w:rPr>
                <w:rFonts w:ascii="Arial" w:cs="Arial" w:eastAsia="Arial" w:hAnsi="Arial"/>
                <w:sz w:val="14"/>
                <w:szCs w:val="14"/>
                <w:color w:val="auto"/>
              </w:rPr>
              <w:t>Fair value adjustments upon reclassification of</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8"/>
        </w:trPr>
        <w:tc>
          <w:tcPr>
            <w:tcW w:w="3080" w:type="dxa"/>
            <w:vAlign w:val="bottom"/>
          </w:tcPr>
          <w:p>
            <w:pPr>
              <w:ind w:left="180"/>
              <w:spacing w:after="0"/>
              <w:rPr>
                <w:sz w:val="20"/>
                <w:szCs w:val="20"/>
                <w:color w:val="auto"/>
              </w:rPr>
            </w:pPr>
            <w:r>
              <w:rPr>
                <w:rFonts w:ascii="Arial" w:cs="Arial" w:eastAsia="Arial" w:hAnsi="Arial"/>
                <w:sz w:val="14"/>
                <w:szCs w:val="14"/>
                <w:color w:val="auto"/>
              </w:rPr>
              <w:t>stock options to liabilities</w:t>
            </w:r>
          </w:p>
        </w:tc>
        <w:tc>
          <w:tcPr>
            <w:tcW w:w="5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26,945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26,945</w:t>
            </w:r>
          </w:p>
        </w:tc>
        <w:tc>
          <w:tcPr>
            <w:tcW w:w="0" w:type="dxa"/>
            <w:vAlign w:val="bottom"/>
          </w:tcPr>
          <w:p>
            <w:pPr>
              <w:spacing w:after="0"/>
              <w:rPr>
                <w:sz w:val="1"/>
                <w:szCs w:val="1"/>
                <w:color w:val="auto"/>
              </w:rPr>
            </w:pPr>
          </w:p>
        </w:tc>
      </w:tr>
      <w:tr>
        <w:trPr>
          <w:trHeight w:val="184"/>
        </w:trPr>
        <w:tc>
          <w:tcPr>
            <w:tcW w:w="3080" w:type="dxa"/>
            <w:vAlign w:val="bottom"/>
          </w:tcPr>
          <w:p>
            <w:pPr>
              <w:ind w:left="20"/>
              <w:spacing w:after="0"/>
              <w:rPr>
                <w:sz w:val="20"/>
                <w:szCs w:val="20"/>
                <w:color w:val="auto"/>
              </w:rPr>
            </w:pPr>
            <w:r>
              <w:rPr>
                <w:rFonts w:ascii="Arial" w:cs="Arial" w:eastAsia="Arial" w:hAnsi="Arial"/>
                <w:sz w:val="14"/>
                <w:szCs w:val="14"/>
                <w:color w:val="auto"/>
              </w:rPr>
              <w:t>Issuance of common stock and pre-funded</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Arial" w:cs="Arial" w:eastAsia="Arial" w:hAnsi="Arial"/>
                <w:sz w:val="14"/>
                <w:szCs w:val="14"/>
                <w:color w:val="auto"/>
              </w:rPr>
              <w:t>warrants in connection with public offering, net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Arial" w:cs="Arial" w:eastAsia="Arial" w:hAnsi="Arial"/>
                <w:sz w:val="14"/>
                <w:szCs w:val="14"/>
                <w:color w:val="auto"/>
              </w:rPr>
              <w:t>of offering costs (note 10a and 10c)</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5,824,729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254,018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46,892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300,910</w:t>
            </w:r>
          </w:p>
        </w:tc>
        <w:tc>
          <w:tcPr>
            <w:tcW w:w="0" w:type="dxa"/>
            <w:vAlign w:val="bottom"/>
          </w:tcPr>
          <w:p>
            <w:pPr>
              <w:spacing w:after="0"/>
              <w:rPr>
                <w:sz w:val="1"/>
                <w:szCs w:val="1"/>
                <w:color w:val="auto"/>
              </w:rPr>
            </w:pPr>
          </w:p>
        </w:tc>
      </w:tr>
      <w:tr>
        <w:trPr>
          <w:trHeight w:val="26"/>
        </w:trPr>
        <w:tc>
          <w:tcPr>
            <w:tcW w:w="3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(180,552)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(180,552)</w:t>
            </w: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46,035,389</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724,219</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(471,261)</w:t>
            </w:r>
          </w:p>
        </w:tc>
        <w:tc>
          <w:tcPr>
            <w:tcW w:w="80" w:type="dxa"/>
            <w:vAlign w:val="bottom"/>
          </w:tcPr>
          <w:p>
            <w:pPr>
              <w:spacing w:after="0"/>
              <w:rPr>
                <w:sz w:val="15"/>
                <w:szCs w:val="15"/>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w w:val="94"/>
              </w:rPr>
              <w:t>(6,659)</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163,623</w:t>
            </w:r>
          </w:p>
        </w:tc>
        <w:tc>
          <w:tcPr>
            <w:tcW w:w="80" w:type="dxa"/>
            <w:vAlign w:val="bottom"/>
          </w:tcPr>
          <w:p>
            <w:pPr>
              <w:spacing w:after="0"/>
              <w:rPr>
                <w:sz w:val="15"/>
                <w:szCs w:val="15"/>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409,922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Issuance of common stock on exercise stock</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502,019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12,878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9,660</w:t>
            </w: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 (note 10e)</w:t>
            </w:r>
          </w:p>
        </w:tc>
        <w:tc>
          <w:tcPr>
            <w:tcW w:w="5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08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through employee</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68,964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3,080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3,080</w:t>
            </w:r>
          </w:p>
        </w:tc>
        <w:tc>
          <w:tcPr>
            <w:tcW w:w="0" w:type="dxa"/>
            <w:vAlign w:val="bottom"/>
          </w:tcPr>
          <w:p>
            <w:pPr>
              <w:spacing w:after="0"/>
              <w:rPr>
                <w:sz w:val="1"/>
                <w:szCs w:val="1"/>
                <w:color w:val="auto"/>
              </w:rPr>
            </w:pPr>
          </w:p>
        </w:tc>
      </w:tr>
      <w:tr>
        <w:trPr>
          <w:trHeight w:val="188"/>
        </w:trPr>
        <w:tc>
          <w:tcPr>
            <w:tcW w:w="3080" w:type="dxa"/>
            <w:vAlign w:val="bottom"/>
          </w:tcPr>
          <w:p>
            <w:pPr>
              <w:ind w:left="180"/>
              <w:spacing w:after="0"/>
              <w:rPr>
                <w:sz w:val="20"/>
                <w:szCs w:val="20"/>
                <w:color w:val="auto"/>
              </w:rPr>
            </w:pPr>
            <w:r>
              <w:rPr>
                <w:rFonts w:ascii="Arial" w:cs="Arial" w:eastAsia="Arial" w:hAnsi="Arial"/>
                <w:sz w:val="14"/>
                <w:szCs w:val="14"/>
                <w:color w:val="auto"/>
              </w:rPr>
              <w:t>stock purchase plan (note 10f)</w:t>
            </w:r>
          </w:p>
        </w:tc>
        <w:tc>
          <w:tcPr>
            <w:tcW w:w="5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upon vesting of</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27,563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 units ("RSUs") (note 10e)</w:t>
            </w:r>
          </w:p>
        </w:tc>
        <w:tc>
          <w:tcPr>
            <w:tcW w:w="5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38,275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38,275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(211,843)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(211,843)</w:t>
            </w: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rPr>
                <w:sz w:val="20"/>
                <w:szCs w:val="20"/>
                <w:color w:val="auto"/>
              </w:rPr>
            </w:pPr>
            <w:r>
              <w:rPr>
                <w:rFonts w:ascii="Arial" w:cs="Arial" w:eastAsia="Arial" w:hAnsi="Arial"/>
                <w:sz w:val="14"/>
                <w:szCs w:val="14"/>
                <w:color w:val="auto"/>
              </w:rPr>
              <w:t>Balance at December 31, 2021</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46,633,935</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741,147</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(683,104)</w:t>
            </w:r>
          </w:p>
        </w:tc>
        <w:tc>
          <w:tcPr>
            <w:tcW w:w="80" w:type="dxa"/>
            <w:vAlign w:val="bottom"/>
          </w:tcPr>
          <w:p>
            <w:pPr>
              <w:spacing w:after="0"/>
              <w:rPr>
                <w:sz w:val="15"/>
                <w:szCs w:val="15"/>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w w:val="94"/>
              </w:rPr>
              <w:t>(6,659)</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197,710</w:t>
            </w:r>
          </w:p>
        </w:tc>
        <w:tc>
          <w:tcPr>
            <w:tcW w:w="80" w:type="dxa"/>
            <w:vAlign w:val="bottom"/>
          </w:tcPr>
          <w:p>
            <w:pPr>
              <w:spacing w:after="0"/>
              <w:rPr>
                <w:sz w:val="15"/>
                <w:szCs w:val="15"/>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249,094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Issuance of common stock on exercise of stock</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39,220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 (note 10e)</w:t>
            </w:r>
          </w:p>
        </w:tc>
        <w:tc>
          <w:tcPr>
            <w:tcW w:w="5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08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through employee</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179,238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2,191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2,191</w:t>
            </w:r>
          </w:p>
        </w:tc>
        <w:tc>
          <w:tcPr>
            <w:tcW w:w="0" w:type="dxa"/>
            <w:vAlign w:val="bottom"/>
          </w:tcPr>
          <w:p>
            <w:pPr>
              <w:spacing w:after="0"/>
              <w:rPr>
                <w:sz w:val="1"/>
                <w:szCs w:val="1"/>
                <w:color w:val="auto"/>
              </w:rPr>
            </w:pPr>
          </w:p>
        </w:tc>
      </w:tr>
      <w:tr>
        <w:trPr>
          <w:trHeight w:val="188"/>
        </w:trPr>
        <w:tc>
          <w:tcPr>
            <w:tcW w:w="3080" w:type="dxa"/>
            <w:vAlign w:val="bottom"/>
          </w:tcPr>
          <w:p>
            <w:pPr>
              <w:ind w:left="180"/>
              <w:spacing w:after="0"/>
              <w:rPr>
                <w:sz w:val="20"/>
                <w:szCs w:val="20"/>
                <w:color w:val="auto"/>
              </w:rPr>
            </w:pPr>
            <w:r>
              <w:rPr>
                <w:rFonts w:ascii="Arial" w:cs="Arial" w:eastAsia="Arial" w:hAnsi="Arial"/>
                <w:sz w:val="14"/>
                <w:szCs w:val="14"/>
                <w:color w:val="auto"/>
              </w:rPr>
              <w:t>share purchase plan (note 10f)</w:t>
            </w:r>
          </w:p>
        </w:tc>
        <w:tc>
          <w:tcPr>
            <w:tcW w:w="5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Issuance of common stock upon vesting of RSUs</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93,966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 10e)</w:t>
            </w:r>
          </w:p>
        </w:tc>
        <w:tc>
          <w:tcPr>
            <w:tcW w:w="5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08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upon exercise of pre-</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6,502,675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78,168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(78,168)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Arial" w:cs="Arial" w:eastAsia="Arial" w:hAnsi="Arial"/>
                <w:sz w:val="14"/>
                <w:szCs w:val="14"/>
                <w:color w:val="auto"/>
              </w:rPr>
              <w:t>funded warrants (note 10c)</w:t>
            </w:r>
          </w:p>
        </w:tc>
        <w:tc>
          <w:tcPr>
            <w:tcW w:w="5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The Redomicile Transactions (note 1, note 10b)</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1,424,533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7"/>
              </w:rPr>
              <w:t>20,442</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(1,424,533)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(20,442)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9,516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9,516</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Issuance of common stock and pre-funded</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8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warrants in connection with public offering, net of</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11,035,000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82,549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24,985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107,534</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offering costs (note 10a and 10c)</w:t>
            </w:r>
          </w:p>
        </w:tc>
        <w:tc>
          <w:tcPr>
            <w:tcW w:w="540" w:type="dxa"/>
            <w:vAlign w:val="bottom"/>
            <w:tcBorders>
              <w:bottom w:val="single" w:sz="8" w:color="CCEEFF"/>
            </w:tcBorders>
            <w:gridSpan w:val="2"/>
            <w:vMerge w:val="continue"/>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vMerge w:val="continue"/>
            <w:shd w:val="clear" w:color="auto" w:fill="CCEEFF"/>
          </w:tcPr>
          <w:p>
            <w:pPr>
              <w:spacing w:after="0"/>
              <w:rPr>
                <w:sz w:val="15"/>
                <w:szCs w:val="15"/>
                <w:color w:val="auto"/>
              </w:rPr>
            </w:pPr>
          </w:p>
        </w:tc>
        <w:tc>
          <w:tcPr>
            <w:tcW w:w="86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vMerge w:val="continue"/>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124,341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124,341</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1,424,533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7"/>
              </w:rPr>
              <w:t>20,442</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63,059,501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886,322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(558,763)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w w:val="94"/>
              </w:rPr>
              <w:t>(6,659)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151,614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492,956</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thousands of U.S. dollars)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6"/>
                <w:szCs w:val="16"/>
                <w:color w:val="auto"/>
              </w:rPr>
            </w:pPr>
          </w:p>
        </w:tc>
      </w:tr>
      <w:tr>
        <w:trPr>
          <w:trHeight w:val="26"/>
        </w:trPr>
        <w:tc>
          <w:tcPr>
            <w:tcW w:w="6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6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2"/>
        </w:trPr>
        <w:tc>
          <w:tcPr>
            <w:tcW w:w="67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124,341</w:t>
            </w:r>
          </w:p>
        </w:tc>
        <w:tc>
          <w:tcPr>
            <w:tcW w:w="1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(211,843)</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(180,552)</w:t>
            </w:r>
          </w:p>
        </w:tc>
      </w:tr>
      <w:tr>
        <w:trPr>
          <w:trHeight w:val="20"/>
        </w:trPr>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Items not involving cash:</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82"/>
        </w:trPr>
        <w:tc>
          <w:tcPr>
            <w:tcW w:w="6700" w:type="dxa"/>
            <w:vAlign w:val="bottom"/>
          </w:tcPr>
          <w:p>
            <w:pPr>
              <w:ind w:left="560"/>
              <w:spacing w:after="0"/>
              <w:rPr>
                <w:sz w:val="20"/>
                <w:szCs w:val="20"/>
                <w:color w:val="auto"/>
              </w:rPr>
            </w:pPr>
            <w:r>
              <w:rPr>
                <w:rFonts w:ascii="Arial" w:cs="Arial" w:eastAsia="Arial" w:hAnsi="Arial"/>
                <w:sz w:val="14"/>
                <w:szCs w:val="14"/>
                <w:color w:val="auto"/>
              </w:rPr>
              <w:t>Depreciation of property and equipment (note 7)</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6,220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3,739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3,355</w:t>
            </w:r>
          </w:p>
        </w:tc>
      </w:tr>
      <w:tr>
        <w:trPr>
          <w:trHeight w:val="20"/>
        </w:trPr>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7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Amortization of intangible assets (note 8)</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4,160</w:t>
            </w:r>
          </w:p>
        </w:tc>
      </w:tr>
      <w:tr>
        <w:trPr>
          <w:trHeight w:val="182"/>
        </w:trPr>
        <w:tc>
          <w:tcPr>
            <w:tcW w:w="6700" w:type="dxa"/>
            <w:vAlign w:val="bottom"/>
          </w:tcPr>
          <w:p>
            <w:pPr>
              <w:ind w:left="560"/>
              <w:spacing w:after="0"/>
              <w:rPr>
                <w:sz w:val="20"/>
                <w:szCs w:val="20"/>
                <w:color w:val="auto"/>
              </w:rPr>
            </w:pPr>
            <w:r>
              <w:rPr>
                <w:rFonts w:ascii="Arial" w:cs="Arial" w:eastAsia="Arial" w:hAnsi="Arial"/>
                <w:sz w:val="14"/>
                <w:szCs w:val="14"/>
                <w:color w:val="auto"/>
              </w:rPr>
              <w:t>Stock-based compensation (note 10e)</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4,015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10,756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29,116</w:t>
            </w:r>
          </w:p>
        </w:tc>
      </w:tr>
      <w:tr>
        <w:trPr>
          <w:trHeight w:val="20"/>
        </w:trPr>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7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Amortization and impairment of operating lease right-of-use assets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4,769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2,764</w:t>
            </w:r>
          </w:p>
        </w:tc>
      </w:tr>
      <w:tr>
        <w:trPr>
          <w:trHeight w:val="182"/>
        </w:trPr>
        <w:tc>
          <w:tcPr>
            <w:tcW w:w="6700" w:type="dxa"/>
            <w:vAlign w:val="bottom"/>
          </w:tcPr>
          <w:p>
            <w:pPr>
              <w:ind w:left="560"/>
              <w:spacing w:after="0"/>
              <w:rPr>
                <w:sz w:val="20"/>
                <w:szCs w:val="20"/>
                <w:color w:val="auto"/>
              </w:rPr>
            </w:pPr>
            <w:r>
              <w:rPr>
                <w:rFonts w:ascii="Arial" w:cs="Arial" w:eastAsia="Arial" w:hAnsi="Arial"/>
                <w:sz w:val="14"/>
                <w:szCs w:val="14"/>
                <w:color w:val="auto"/>
              </w:rPr>
              <w:t>Deferred income tax expense (recovery)</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1,940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266</w:t>
            </w:r>
          </w:p>
        </w:tc>
      </w:tr>
      <w:tr>
        <w:trPr>
          <w:trHeight w:val="20"/>
        </w:trPr>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7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Non-cash consideration from licensing agreement</w:t>
            </w: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w:t>
            </w:r>
          </w:p>
        </w:tc>
      </w:tr>
      <w:tr>
        <w:trPr>
          <w:trHeight w:val="182"/>
        </w:trPr>
        <w:tc>
          <w:tcPr>
            <w:tcW w:w="6700" w:type="dxa"/>
            <w:vAlign w:val="bottom"/>
          </w:tcPr>
          <w:p>
            <w:pPr>
              <w:ind w:left="560"/>
              <w:spacing w:after="0"/>
              <w:rPr>
                <w:sz w:val="20"/>
                <w:szCs w:val="20"/>
                <w:color w:val="auto"/>
              </w:rPr>
            </w:pPr>
            <w:r>
              <w:rPr>
                <w:rFonts w:ascii="Arial" w:cs="Arial" w:eastAsia="Arial" w:hAnsi="Arial"/>
                <w:sz w:val="14"/>
                <w:szCs w:val="14"/>
                <w:color w:val="auto"/>
              </w:rPr>
              <w:t>Change in fair value of contingent consideration liability (note 17)</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307</w:t>
            </w:r>
          </w:p>
        </w:tc>
      </w:tr>
      <w:tr>
        <w:trPr>
          <w:trHeight w:val="20"/>
        </w:trPr>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7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Change in fair value of investments in equity instruments</w:t>
            </w: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6700" w:type="dxa"/>
            <w:vAlign w:val="bottom"/>
          </w:tcPr>
          <w:p>
            <w:pPr>
              <w:ind w:left="560"/>
              <w:spacing w:after="0"/>
              <w:rPr>
                <w:sz w:val="20"/>
                <w:szCs w:val="20"/>
                <w:color w:val="auto"/>
              </w:rPr>
            </w:pPr>
            <w:r>
              <w:rPr>
                <w:rFonts w:ascii="Arial" w:cs="Arial" w:eastAsia="Arial" w:hAnsi="Arial"/>
                <w:sz w:val="14"/>
                <w:szCs w:val="14"/>
                <w:color w:val="auto"/>
              </w:rPr>
              <w:t>Unrealized foreign exchange gain</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(1,956)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(453)</w:t>
            </w:r>
          </w:p>
        </w:tc>
      </w:tr>
      <w:tr>
        <w:trPr>
          <w:trHeight w:val="20"/>
        </w:trPr>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non-cash operating working capital:</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82"/>
        </w:trPr>
        <w:tc>
          <w:tcPr>
            <w:tcW w:w="6700" w:type="dxa"/>
            <w:vAlign w:val="bottom"/>
          </w:tcPr>
          <w:p>
            <w:pPr>
              <w:ind w:left="56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(17,509)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(13,107)</w:t>
            </w:r>
          </w:p>
        </w:tc>
      </w:tr>
      <w:tr>
        <w:trPr>
          <w:trHeight w:val="20"/>
        </w:trPr>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2"/>
        </w:trPr>
        <w:tc>
          <w:tcPr>
            <w:tcW w:w="67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(15,792)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(3,519)</w:t>
            </w:r>
          </w:p>
        </w:tc>
      </w:tr>
      <w:tr>
        <w:trPr>
          <w:trHeight w:val="182"/>
        </w:trPr>
        <w:tc>
          <w:tcPr>
            <w:tcW w:w="6700" w:type="dxa"/>
            <w:vAlign w:val="bottom"/>
          </w:tcPr>
          <w:p>
            <w:pPr>
              <w:ind w:left="560"/>
              <w:spacing w:after="0"/>
              <w:rPr>
                <w:sz w:val="20"/>
                <w:szCs w:val="20"/>
                <w:color w:val="auto"/>
              </w:rPr>
            </w:pPr>
            <w:r>
              <w:rPr>
                <w:rFonts w:ascii="Arial" w:cs="Arial" w:eastAsia="Arial" w:hAnsi="Arial"/>
                <w:sz w:val="14"/>
                <w:szCs w:val="14"/>
                <w:color w:val="auto"/>
              </w:rPr>
              <w:t>Accounts payable and accrued liabilities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26,479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16,477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7,618</w:t>
            </w:r>
          </w:p>
        </w:tc>
      </w:tr>
      <w:tr>
        <w:trPr>
          <w:trHeight w:val="20"/>
        </w:trPr>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7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Operating lease liabilities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(3,736)</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(1,140)</w:t>
            </w:r>
          </w:p>
        </w:tc>
      </w:tr>
      <w:tr>
        <w:trPr>
          <w:trHeight w:val="182"/>
        </w:trPr>
        <w:tc>
          <w:tcPr>
            <w:tcW w:w="6700" w:type="dxa"/>
            <w:vAlign w:val="bottom"/>
          </w:tcPr>
          <w:p>
            <w:pPr>
              <w:ind w:left="560"/>
              <w:spacing w:after="0"/>
              <w:rPr>
                <w:sz w:val="20"/>
                <w:szCs w:val="20"/>
                <w:color w:val="auto"/>
              </w:rPr>
            </w:pPr>
            <w:r>
              <w:rPr>
                <w:rFonts w:ascii="Arial" w:cs="Arial" w:eastAsia="Arial" w:hAnsi="Arial"/>
                <w:sz w:val="14"/>
                <w:szCs w:val="14"/>
                <w:color w:val="auto"/>
              </w:rPr>
              <w:t>Income taxes payable</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 (used in) operating activities</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144,109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(192,451)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(151,403)</w:t>
            </w:r>
          </w:p>
        </w:tc>
      </w:tr>
      <w:tr>
        <w:trPr>
          <w:trHeight w:val="174"/>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r>
      <w:tr>
        <w:trPr>
          <w:trHeight w:val="191"/>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public offerings, net of issuance costs (note 10a)</w:t>
            </w: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107,534</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300,910</w:t>
            </w:r>
          </w:p>
        </w:tc>
      </w:tr>
      <w:tr>
        <w:trPr>
          <w:trHeight w:val="182"/>
        </w:trPr>
        <w:tc>
          <w:tcPr>
            <w:tcW w:w="6700" w:type="dxa"/>
            <w:vAlign w:val="bottom"/>
          </w:tcPr>
          <w:p>
            <w:pPr>
              <w:ind w:left="20"/>
              <w:spacing w:after="0"/>
              <w:rPr>
                <w:sz w:val="20"/>
                <w:szCs w:val="20"/>
                <w:color w:val="auto"/>
              </w:rPr>
            </w:pPr>
            <w:r>
              <w:rPr>
                <w:rFonts w:ascii="Arial" w:cs="Arial" w:eastAsia="Arial" w:hAnsi="Arial"/>
                <w:sz w:val="14"/>
                <w:szCs w:val="14"/>
                <w:color w:val="auto"/>
              </w:rPr>
              <w:t>Issuance of common stock on exercise of stock options (note 10e)</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7,111</w:t>
            </w:r>
          </w:p>
        </w:tc>
      </w:tr>
      <w:tr>
        <w:trPr>
          <w:trHeight w:val="20"/>
        </w:trPr>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employee stock purchase plan (note 10f)</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1,111</w:t>
            </w:r>
          </w:p>
        </w:tc>
      </w:tr>
      <w:tr>
        <w:trPr>
          <w:trHeight w:val="182"/>
        </w:trPr>
        <w:tc>
          <w:tcPr>
            <w:tcW w:w="6700" w:type="dxa"/>
            <w:vAlign w:val="bottom"/>
          </w:tcPr>
          <w:p>
            <w:pPr>
              <w:ind w:left="20"/>
              <w:spacing w:after="0"/>
              <w:rPr>
                <w:sz w:val="20"/>
                <w:szCs w:val="20"/>
                <w:color w:val="auto"/>
              </w:rPr>
            </w:pPr>
            <w:r>
              <w:rPr>
                <w:rFonts w:ascii="Arial" w:cs="Arial" w:eastAsia="Arial" w:hAnsi="Arial"/>
                <w:sz w:val="14"/>
                <w:szCs w:val="14"/>
                <w:color w:val="auto"/>
              </w:rPr>
              <w:t>Deferred financing fees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20"/>
        </w:trPr>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Finance lease payments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76"/>
        </w:trPr>
        <w:tc>
          <w:tcPr>
            <w:tcW w:w="670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108,582</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8,011</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308,978</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2"/>
        </w:trPr>
        <w:tc>
          <w:tcPr>
            <w:tcW w:w="6700" w:type="dxa"/>
            <w:vAlign w:val="bottom"/>
          </w:tcPr>
          <w:p>
            <w:pPr>
              <w:ind w:left="20"/>
              <w:spacing w:after="0"/>
              <w:rPr>
                <w:sz w:val="20"/>
                <w:szCs w:val="20"/>
                <w:color w:val="auto"/>
              </w:rPr>
            </w:pPr>
            <w:r>
              <w:rPr>
                <w:rFonts w:ascii="Arial" w:cs="Arial" w:eastAsia="Arial" w:hAnsi="Arial"/>
                <w:sz w:val="14"/>
                <w:szCs w:val="14"/>
                <w:color w:val="auto"/>
              </w:rPr>
              <w:t>Net redemptions (purchases) of short-term investments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(40,724)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157,881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13,325</w:t>
            </w:r>
          </w:p>
        </w:tc>
      </w:tr>
      <w:tr>
        <w:trPr>
          <w:trHeight w:val="20"/>
        </w:trPr>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long-term investments</w:t>
            </w: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(50,500)</w:t>
            </w:r>
          </w:p>
        </w:tc>
      </w:tr>
      <w:tr>
        <w:trPr>
          <w:trHeight w:val="182"/>
        </w:trPr>
        <w:tc>
          <w:tcPr>
            <w:tcW w:w="6700" w:type="dxa"/>
            <w:vAlign w:val="bottom"/>
          </w:tcPr>
          <w:p>
            <w:pPr>
              <w:ind w:left="20"/>
              <w:spacing w:after="0"/>
              <w:rPr>
                <w:sz w:val="20"/>
                <w:szCs w:val="20"/>
                <w:color w:val="auto"/>
              </w:rPr>
            </w:pPr>
            <w:r>
              <w:rPr>
                <w:rFonts w:ascii="Arial" w:cs="Arial" w:eastAsia="Arial" w:hAnsi="Arial"/>
                <w:sz w:val="14"/>
                <w:szCs w:val="14"/>
                <w:color w:val="auto"/>
              </w:rPr>
              <w:t>Acquisition of property and equipment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(8,150)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(12,404)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(4,310)</w:t>
            </w:r>
          </w:p>
        </w:tc>
      </w:tr>
      <w:tr>
        <w:trPr>
          <w:trHeight w:val="20"/>
        </w:trPr>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Acquisition of intangible assets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(4,975)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(1,955)</w:t>
            </w:r>
          </w:p>
        </w:tc>
      </w:tr>
      <w:tr>
        <w:trPr>
          <w:trHeight w:val="176"/>
        </w:trPr>
        <w:tc>
          <w:tcPr>
            <w:tcW w:w="6700" w:type="dxa"/>
            <w:vAlign w:val="bottom"/>
          </w:tcPr>
          <w:p>
            <w:pPr>
              <w:ind w:left="20"/>
              <w:spacing w:after="0"/>
              <w:rPr>
                <w:sz w:val="20"/>
                <w:szCs w:val="20"/>
                <w:color w:val="auto"/>
              </w:rPr>
            </w:pPr>
            <w:r>
              <w:rPr>
                <w:rFonts w:ascii="Arial" w:cs="Arial" w:eastAsia="Arial" w:hAnsi="Arial"/>
                <w:sz w:val="14"/>
                <w:szCs w:val="14"/>
                <w:color w:val="auto"/>
              </w:rPr>
              <w:t>Net cash (used in) / provided by investing activities</w:t>
            </w: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(53,849)</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144,596</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(43,440)</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w:t>
            </w:r>
          </w:p>
        </w:tc>
      </w:tr>
      <w:tr>
        <w:trPr>
          <w:trHeight w:val="176"/>
        </w:trPr>
        <w:tc>
          <w:tcPr>
            <w:tcW w:w="6700" w:type="dxa"/>
            <w:vAlign w:val="bottom"/>
          </w:tcPr>
          <w:p>
            <w:pPr>
              <w:ind w:left="20"/>
              <w:spacing w:after="0"/>
              <w:rPr>
                <w:sz w:val="20"/>
                <w:szCs w:val="20"/>
                <w:color w:val="auto"/>
              </w:rPr>
            </w:pPr>
            <w:r>
              <w:rPr>
                <w:rFonts w:ascii="Arial" w:cs="Arial" w:eastAsia="Arial" w:hAnsi="Arial"/>
                <w:sz w:val="14"/>
                <w:szCs w:val="14"/>
                <w:color w:val="auto"/>
              </w:rPr>
              <w:t>Net change in cash and cash equivalents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199,045</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(40,169)</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113,585</w:t>
            </w:r>
          </w:p>
        </w:tc>
      </w:tr>
      <w:tr>
        <w:trPr>
          <w:trHeight w:val="20"/>
        </w:trPr>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201,867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242,036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128,451</w:t>
            </w:r>
          </w:p>
        </w:tc>
      </w:tr>
      <w:tr>
        <w:trPr>
          <w:trHeight w:val="176"/>
        </w:trPr>
        <w:tc>
          <w:tcPr>
            <w:tcW w:w="6700" w:type="dxa"/>
            <w:vAlign w:val="bottom"/>
          </w:tcPr>
          <w:p>
            <w:pPr>
              <w:ind w:left="20"/>
              <w:spacing w:after="0"/>
              <w:rPr>
                <w:sz w:val="20"/>
                <w:szCs w:val="20"/>
                <w:color w:val="auto"/>
              </w:rPr>
            </w:pPr>
            <w:r>
              <w:rPr>
                <w:rFonts w:ascii="Arial" w:cs="Arial" w:eastAsia="Arial" w:hAnsi="Arial"/>
                <w:sz w:val="14"/>
                <w:szCs w:val="14"/>
                <w:color w:val="auto"/>
              </w:rPr>
              <w:t>Cash and cash equivalents, end of year</w:t>
            </w: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400,912</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201,867</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242,036</w:t>
            </w: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9"/>
        </w:trPr>
        <w:tc>
          <w:tcPr>
            <w:tcW w:w="6700" w:type="dxa"/>
            <w:vAlign w:val="bottom"/>
            <w:tcBorders>
              <w:bottom w:val="single" w:sz="8" w:color="CCEEFF"/>
            </w:tcBorders>
            <w:shd w:val="clear" w:color="auto" w:fill="CCEEFF"/>
          </w:tcPr>
          <w:p>
            <w:pPr>
              <w:ind w:left="140"/>
              <w:spacing w:after="0" w:line="149" w:lineRule="exact"/>
              <w:rPr>
                <w:sz w:val="20"/>
                <w:szCs w:val="20"/>
                <w:color w:val="auto"/>
              </w:rPr>
            </w:pPr>
            <w:r>
              <w:rPr>
                <w:rFonts w:ascii="Arial" w:cs="Arial" w:eastAsia="Arial" w:hAnsi="Arial"/>
                <w:sz w:val="14"/>
                <w:szCs w:val="14"/>
                <w:i w:val="1"/>
                <w:iCs w:val="1"/>
                <w:color w:val="auto"/>
              </w:rPr>
              <w:t>Supplemental disclosure of non-cash investing and finance items:</w:t>
            </w:r>
          </w:p>
        </w:tc>
        <w:tc>
          <w:tcPr>
            <w:tcW w:w="3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r>
      <w:tr>
        <w:trPr>
          <w:trHeight w:val="182"/>
        </w:trPr>
        <w:tc>
          <w:tcPr>
            <w:tcW w:w="6700" w:type="dxa"/>
            <w:vAlign w:val="bottom"/>
          </w:tcPr>
          <w:p>
            <w:pPr>
              <w:ind w:left="240"/>
              <w:spacing w:after="0"/>
              <w:rPr>
                <w:sz w:val="20"/>
                <w:szCs w:val="20"/>
                <w:color w:val="auto"/>
              </w:rPr>
            </w:pPr>
            <w:r>
              <w:rPr>
                <w:rFonts w:ascii="Arial" w:cs="Arial" w:eastAsia="Arial" w:hAnsi="Arial"/>
                <w:sz w:val="14"/>
                <w:szCs w:val="14"/>
                <w:color w:val="auto"/>
              </w:rPr>
              <w:t>Leased assets obtained in exchange for operating lease liabilities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24,609</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2,407</w:t>
            </w:r>
          </w:p>
        </w:tc>
      </w:tr>
      <w:tr>
        <w:trPr>
          <w:trHeight w:val="20"/>
        </w:trPr>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2"/>
        </w:trPr>
        <w:tc>
          <w:tcPr>
            <w:tcW w:w="6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Acquisition of property and equipment and intangible assets in accounts payable and accrued liabilities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r>
      <w:tr>
        <w:trPr>
          <w:trHeight w:val="20"/>
        </w:trPr>
        <w:tc>
          <w:tcPr>
            <w:tcW w:w="6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229" w:right="6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ZYMEWORKS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thousands of U.S. dollars except share and per share data)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Zymeworks Inc. (the “Company” or “Zymeworks”) is a clinical-stage biopharmaceutical company dedicated to the development of next-generation multifunctional biotherapeutics. Zymeworks BC Inc. (previously known as "Zymeworks Inc.") was incorporated on September 8, 2003 under the laws of the Canada Business Corporations Act. On October 22, 2003, the Company was registered as an extra-provincial company under the Company Act (British Columbia). On May 2, 2017, the Company continued under the Business Corporations Act (British Columbia).</w:t>
      </w:r>
    </w:p>
    <w:p>
      <w:pPr>
        <w:spacing w:after="0" w:line="171"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Since its inception, the Company has devoted substantially all of its resources to research and development activities, including developing its therapeutic platforms and identifying and developing potential product candidates by undertaking preclinical studies and clinical trials. The Company supports these activities through general and administrative support, as well as by raising capital, conducting business planning and protecting its intellectual property.</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15, 2022, the Company announced its intention to become a Delaware corporation, subject to receipt of necessary shareholder, stock exchange, and court approvals (the "Redomicile Transactions"). The Redomicile Transactions were completed on October 13, 2022. On October 13, 2022, the Company changed its name to Zymeworks BC Inc. Unless the context otherwise requires or otherwise expressly states, all references in the accompanying consolidated financial statements to “Zymeworks,” the “Company,” “we,” “us” and “our” (i) for periods until completion of the Redomicile Transactions, refer to Zymeworks BC Inc. and its subsidiaries and (ii) for periods after completion of the Redomicile Transactions, refer to Zymeworks Inc. (formerly known as Zymeworks Delaware Inc.) and its subsidiaries.</w:t>
      </w:r>
    </w:p>
    <w:p>
      <w:pPr>
        <w:spacing w:after="0" w:line="19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 effect the Redomicile Transactions, the Company conducted a share exchange, pursuant to which holders of the Company's common shares exchanged their common shares in the Company for shares of common stock of Zymeworks Inc. (formerly known as Zymeworks Delaware Inc.) or, at their election with respect to all or a portion of their common shares in the Company and subject to applicable eligibility criteria and an overall cap, exchangeable shares (the “Exchangeable Shares”) in the capital of a newly formed indirect subsidiary of Zymeworks Inc. A special meeting of Company security holders was held on October 7, 2022 to approve the Redomicile Transactions. The Redomicile Transactions were governed by a transaction agreement dated July 14, 2022, as restated and amended on August 18, 2022 (the “Restated and Amended Transaction Agreement”), by and among the Company and its direct or indirect subsidiaries Zymeworks Inc., Zymeworks CallCo ULC and Zymeworks ExchangeCo Ltd., including a plan of arrangement included as Exhibit A to the Restated and Amended Transaction Agreement (the “Plan of Arrangement”).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consolidated financial statements of the Company have been prepared in accordance with generally accepted accounting principles in the United States of America (“U.S. GAAP”). The consolidated financial statements include the accounts of Zymeworks Inc. and its wholly owned subsidiaries, Zymeworks BC Inc., Zymeworks Biopharmaceuticals Inc., Zymeworks Pharmaceuticals Limited (Ireland), Zymeworks CallCo ULC, Zymeworks ExchangeCo Ltd., Zymeworks Management Inc. (including this entity's branch in the United Kingdom) and Zymeworks Zanidatamab Inc. All inter-company accounts and transactions have been eliminated on consolidation.</w:t>
      </w:r>
    </w:p>
    <w:p>
      <w:pPr>
        <w:spacing w:after="0" w:line="80"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All amounts expressed in the consolidated financial statements of the Company and the accompanying notes thereto are expressed in thousands of U.S. dollars, except for share and per share data and where otherwise indicated. References to “$” are to U.S. dollars and references to “C$” are to Canadian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functional currency of the Company is the U.S. dollar. Transactions denominated in foreign currencies are translated at the approximate exchange rate prevailing on the date of the transaction. At period end, monetary assets and liabilities denominated in foreign currencies are translated into U.S. dollars using exchange rates in effect at the balance sheet date. Resulting foreign exchange gains and losses are reflected in the Consolidated Statements of Income (Loss) and Comprehensive Income (Loss).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preparation of consolidated financial statements in accordance with U.S. GAAP requires the Company to make estimates and judgments in certain circumstances that affect the reported amounts of assets, liabilities, revenue and expenses, and related disclosure of contingent assets and liabilities. On an ongoing basis, the Company evaluates its estimates, most notably those related to revenue recognition including estimated timing of completion of performance obligations required to meet revenue recognition criteria, accrual of expenses including clinical and preclinical study expense accruals, stock-based compensation, valuation allowance for deferred taxes, benefits under the Scientific Research and Experimental Development (“SR&amp;ED”) program, and other contingencies. Management bases its estimates on historical experience and on various other assumptions that it believes to be reasonable under the circumstances. Actual results could differ from these estimates.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Accounting Standards 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applies to all contracts with customers, except for contracts that are within the scope of other standards, such as leases, insurance, collaboration arrangements and financial instruments. In accordance with ASC 606, the Company recognizes revenue when the Company’s customer obtains control of promised goods or services, in an amount that reflects the consideration which the Company expects to receive in exchange for those goods or services.</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applied ASC 606 to all revenue arrangements to date. For collaborative arrangements that fall within the scope of ASC 808, Collaborative Arrangements (“ASC 808”), the Company applies the revenue recognition model under ASC 606 to part or all of the arrangements, when deemed appropriate.</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accordance with ASC 606, the Company recognizes revenue when the Company’s customer obtains control of promised goods or services, in an amount that reflects the consideration that the Company expects to receive in exchange for those goods or services. In determining the appropriate amount of revenue to be recognized as it fulfills its obligations under each of its agreements, the Company performs the following steps: (i) identification of the promised deliverables in the contract; (ii) determination of whether the promised deliverables are performance obligations including whether they are distinct; (iii) measurement of the transaction price, including uncertainties related to variable consideration; (iv) allocation of the transaction price to the performance obligations based on the stand-alone selling prices; and (v) recognition of revenue when or as the Company satisfies each performance obligation.</w:t>
      </w:r>
    </w:p>
    <w:p>
      <w:pPr>
        <w:spacing w:after="0" w:line="19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only applies the five-step model to contracts when it is probable that the Company will collect the consideration that it is entitled to in exchange for the goods and services transferred to the customer. At contract inception, the Company assesses the goods or services promised within each contract that falls under the scope of Topic 606, to identify distinct performance obligations. The Company then recognizes as revenue the amount of the transaction price that is allocated to the respective performance obligation when or as the performance obligation is satisfied.</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entered into a number of collaboration and licensing agreements. Promised deliverables within these agreements may include: (i) grants of licenses, or options to obtain licenses, to the Company’s intellectual property, (ii) research and development services, (iii) drug product manufacturing, and (iv) participation on joint research and/or development committees. The terms of these agreements typically include one or more of the following types of payments to the Company:</w:t>
      </w:r>
    </w:p>
    <w:p>
      <w:pPr>
        <w:spacing w:after="0" w:line="79"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non-refundable, upfront license and platform technology access fees;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research, development and regulatory milestone payments;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research support, development and other payments;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royalties and commercial milestone payments.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 expectation at contract inception is such that the period between payment by the licensee and the completion of related performance obligations will be one year or less, the Company assumes that the contract does not have a significant financing component.</w:t>
      </w:r>
    </w:p>
    <w:p>
      <w:pPr>
        <w:spacing w:after="0" w:line="17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When applying the revenue recognition criteria of ASC 606 to license and collaboration agreements, the Company may be required to apply significant judgment when evaluating whether contractual obligations represent distinct performance obligations including understanding the nature and significance of the contractual obligations and their standalone selling prices, determining when performance obligations have been met, assessing the recognition and future reversal of variable consideration, and determining and applying appropriate methods of measuring progress for performance obligations satisfied</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over time. These judgments are discussed in more detail in the following paragraphs for each type of payment received by the Company under the terms of the license and collaborations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Non-refundable, upfront license and platform technology access fees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the license to the Company’s intellectual property is determined to be distinct from the other performance obligations identified in the arrangement, the Company recognizes revenue from non-refundable, upfront fees allocated to the license when the license is transferred to the licensee and the licensee is able to use and benefit from the license. For licenses that are not distinct from other promises, the Company uses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related revenue recognition accordingly.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regulatory milestone payments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 the inception of each arrangement that includes research, development or regulatory milestone payments, the Company evaluates whether the milestones are considered probable of being reached and estimates the amount to be included in the transaction price using the most likely amount method. When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collaboration and other revenues and earnings in the period of adjustment. The probability of successfully achieving the criteria for the milestone payments is highly uncertain. Consequently, there is a significant risk that the Company may not earn all of the milestone payments from each of its strategic partners.</w:t>
      </w:r>
    </w:p>
    <w:p>
      <w:pPr>
        <w:spacing w:after="0" w:line="16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Research and development milestones in the Company’s collaboration agreements may include some, but not necessarily all, of the following types of events:</w:t>
      </w:r>
    </w:p>
    <w:p>
      <w:pPr>
        <w:spacing w:after="0" w:line="62" w:lineRule="exact"/>
        <w:rPr>
          <w:sz w:val="20"/>
          <w:szCs w:val="20"/>
          <w:color w:val="auto"/>
        </w:rPr>
      </w:pPr>
    </w:p>
    <w:p>
      <w:pPr>
        <w:ind w:left="820" w:hanging="245"/>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completion of preclinical research and development work leading to selection of product candidates;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initiation of Phase 1, Phase 2 and Phase 3 clinical trials; and</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achievement of certain other technical, scientific or development criteria.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Regulatory milestone payments may include the following types of events:</w:t>
      </w:r>
    </w:p>
    <w:p>
      <w:pPr>
        <w:spacing w:after="0" w:line="117" w:lineRule="exact"/>
        <w:rPr>
          <w:sz w:val="20"/>
          <w:szCs w:val="20"/>
          <w:color w:val="auto"/>
        </w:rPr>
      </w:pPr>
    </w:p>
    <w:p>
      <w:pPr>
        <w:ind w:left="900" w:right="380" w:hanging="325"/>
        <w:spacing w:after="0" w:line="277" w:lineRule="auto"/>
        <w:tabs>
          <w:tab w:leader="none" w:pos="819"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filing of regulatory applications for marketing approval in the United States, Europe or Japan, including Investigational New Drug (“IND”) applications and Biologics License Application (“BLA”); and</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marketing approval in major markets, such as the United States, Europe or Japan.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support, development and other payments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Payments by the licensees in exchange for research and development activities performed by the Company on behalf of the licensee are recognized as revenue upon performance of such activities at rates consistent with prevailing market rates. Payments for research and development supplies provided are recognized as revenue upon delivery of the supplies.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commercial milestone payments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arrangements that include sales-based royalties, including commercial milestone payments based on pre-specified level of sales, the Company recognizes revenue at the later of (i) when the related sales occur, or (ii) when the performance obligation to which some or all of the royalty has been allocated has been satisfied (or partially satisfied). Achievement of these royalties and commercial milestones may solely depend upon performance of the licensee.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Contract assets are mainly comprised of trade receivables net of expected credit losses, which includes amounts billed and currently due from customers.</w:t>
      </w:r>
    </w:p>
    <w:p>
      <w:pPr>
        <w:spacing w:after="0" w:line="24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Contract liabilities are mainly comprised of deferred revenues. Amounts received prior to satisfying all revenue recognition criteria are recorded as deferred revenue in the Company’s consolidated financial statements. Amounts not expected to be recognized as revenue within the next twelve months of the consolidated balance sheet date are classified as long-term deferred revenue.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highly liquid investments purchased with original maturities of 90 days or less at the date of acquisition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are recorded at cost plus accrued interest.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short-term and long-term investments include guaranteed investment certificates and term deposits with original maturities exceeding three months. These investments are recorded at cost plus accrued interest, which approximates their fair value.</w:t>
      </w:r>
    </w:p>
    <w:p>
      <w:pPr>
        <w:spacing w:after="0" w:line="19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Company also holds a limited number of equity securities in private entities which are accounted for as available for sale financial instruments with changes in fair value recorded through other comprehensive income or at cost subject to impairment (note 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Expected Credit Losses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Accounts receivable are recorded at invoiced amounts, net of any allowance for doubtful accounts. The allowance for doubtful accounts is the Company’s best estimate of the amount of probable credit losses in existing accounts receivable.</w:t>
      </w:r>
    </w:p>
    <w:p>
      <w:pPr>
        <w:spacing w:after="0" w:line="170"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The Company evaluates the collectability of accounts receivable on a regular basis based upon various factors including the financial condition and payment history of customers, an overall review of collections experience on other accounts and economic factors or events expected to affect future collections experience. Expected credit losses on our accounts receivable were immaterial as at December 31, 2022 and 2021.</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Fees</w:t>
      </w:r>
    </w:p>
    <w:p>
      <w:pPr>
        <w:spacing w:after="0" w:line="10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Deferred financing fees consist of amounts charged by underwriters, attorneys, accountants and printers that are directly attributable to future financing transactions. These costs are deferred and subsequently charged against the gross proceeds of the related financing transaction upon closing of such transaction.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operates and manages its business in one segment, which is the discovery, development and commercialization of next-generation multifunctional biotherapeutics. Operating segments are defined as components of an enterprise about which separate discrete information is available for the chief operating decision maker, or decision making group, in deciding how to allocate resources and assessing performance.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Property and equipment are recorded at cost net of accumulated depreciation. Upon retirement or sale, the cost of assets disposed of and the related accumulated depreciation are removed from the accounts and any resulting gain or loss is recognized in earnings. Repairs and maintenance costs are expensed as incurred.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depreciation using the straight-line method over the estimated useful lives of the property and equipment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gridSpan w:val="2"/>
          </w:tcPr>
          <w:p>
            <w:pPr>
              <w:ind w:left="3020"/>
              <w:spacing w:after="0"/>
              <w:rPr>
                <w:sz w:val="20"/>
                <w:szCs w:val="20"/>
                <w:color w:val="auto"/>
              </w:rPr>
            </w:pPr>
            <w:r>
              <w:rPr>
                <w:rFonts w:ascii="Arial" w:cs="Arial" w:eastAsia="Arial" w:hAnsi="Arial"/>
                <w:sz w:val="14"/>
                <w:szCs w:val="14"/>
                <w:b w:val="1"/>
                <w:bCs w:val="1"/>
                <w:color w:val="auto"/>
              </w:rPr>
              <w:t>Asset Class</w:t>
            </w:r>
          </w:p>
        </w:tc>
        <w:tc>
          <w:tcPr>
            <w:tcW w:w="4080" w:type="dxa"/>
            <w:vAlign w:val="bottom"/>
          </w:tcPr>
          <w:p>
            <w:pPr>
              <w:jc w:val="right"/>
              <w:ind w:right="1813"/>
              <w:spacing w:after="0"/>
              <w:rPr>
                <w:sz w:val="20"/>
                <w:szCs w:val="20"/>
                <w:color w:val="auto"/>
              </w:rPr>
            </w:pPr>
            <w:r>
              <w:rPr>
                <w:rFonts w:ascii="Arial" w:cs="Arial" w:eastAsia="Arial" w:hAnsi="Arial"/>
                <w:sz w:val="14"/>
                <w:szCs w:val="14"/>
                <w:b w:val="1"/>
                <w:bCs w:val="1"/>
                <w:color w:val="auto"/>
              </w:rPr>
              <w:t>Rate</w:t>
            </w:r>
          </w:p>
        </w:tc>
      </w:tr>
      <w:tr>
        <w:trPr>
          <w:trHeight w:val="26"/>
        </w:trPr>
        <w:tc>
          <w:tcPr>
            <w:tcW w:w="6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180" w:type="dxa"/>
            <w:vAlign w:val="bottom"/>
            <w:shd w:val="clear" w:color="auto" w:fill="CCEEFF"/>
          </w:tcPr>
          <w:p>
            <w:pPr>
              <w:spacing w:after="0"/>
              <w:rPr>
                <w:sz w:val="19"/>
                <w:szCs w:val="19"/>
                <w:color w:val="auto"/>
              </w:rPr>
            </w:pP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Office equipment</w:t>
            </w:r>
          </w:p>
        </w:tc>
        <w:tc>
          <w:tcPr>
            <w:tcW w:w="408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22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Laboratory equipment</w:t>
            </w:r>
          </w:p>
        </w:tc>
        <w:tc>
          <w:tcPr>
            <w:tcW w:w="408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2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Shorter of the initial lease term or useful life</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acquired or disposed of during the year are depreciated proportionately for the period they are in use.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accounts for leases in accordance with ASC 842 "Leases" ("ASC 842"). The Company determines if an arrangement contains a lease at inception. Right-of-use ("ROU") assets represent the Company's right to use an underlying asset for the lease term and lease liabilities represent the Company's obligation to make lease payments arising from that lease. For leases with a term greater than 12 months, ROU assets and liabilities are recognized at the lease commencement date based on the estimated present value of lease payments over the lease term. The lease term includes the option to extend the lease when it is reasonably certain the Company will exercise that option. When available, the Company uses the rate implicit in the lease to discount lease payments to present value. In the case the implicit rate is not available, the Company uses its incremental borrowing rate based on information available at the lease commencement date, to determine the present value of lease payments.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Intellectual Property Costs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Costs incurred to acquire patents and to prosecute and maintain intellectual property rights are expensed as incurred to general and administrative expense due to the uncertainty surrounding the drug development process and the uncertainty of future benefits. Patents and intellectual property acquired from third parties are capitalized and amortized over the remaining life of the patent, if related to approved products or if there are alternative future uses for the underlying technology. No patent or intellectual property costs have been capitalized to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assesses the recoverability of its long-lived assets whenever events or changes in circumstances indicate that the carrying amount of an asset may not be recoverable. Recoverability of the long-lived asset is measured by a comparison of the carrying amount of the asset to future undiscounted net cash flows expected to be generated by the asset or group of assets. If carrying value exceeds the sum of undiscounted cash flows, the Company then determines the fair value of the underlying asset. Any impairment to be recognized is measured by the amount by which the carrying amount of the asset group exceeds the estimated fair value of the asset or asset group. As of December 31, 2022 and 2021, the Company determined that there were no indicators of impairment of long-lived assets.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Grants and Credits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Government grants are recognized where there is reasonable assurance that the grant will be received and all associated conditions will be complied with. Reimbursements of eligible research and development expenditures pursuant to government assistance programs are recorded as reductions of research and development costs when the related costs have been incurred and there is reasonable assurance regarding collection of the claim.</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Grant claims not settled by the balance sheet date are recorded as receivables, provided their receipt is probable. The determination of the amount of the claim, and hence the receivable amount, requires management to make calculations based on its interpretation of eligible expenditures in accordance with the terms of the programs. The reimbursement claims submitted by the Company are subject to review by the relevant government agencies. The Company has used its best judgment and understanding of the related program agreements in determining the receivable amount.</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participates in SR&amp;ED and Research Tax Credit Programs, two federal tax incentive programs that encourage Canadian and U.S. businesses to conduct research and development in Canada and in United States, respectively. The benefits of investment tax credits for scientific research and development expenditures are recognized in the year the qualifying</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expenditure is made provided there is reasonable assurance of recoverability. The refundable portion of investment tax credits are recorded as reductions to research and development expenditures.</w:t>
      </w:r>
    </w:p>
    <w:p>
      <w:pPr>
        <w:spacing w:after="0" w:line="19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Company also participated in the Canada Emergency Wage Subsidy (“CEWS”) and Canada Emergency Rent Subsidy (“CERS”) programs announced by the Government of Canada in April 2020, in order to help employers keep and/or return Canadian-based employees to payrolls in response to challenges posed by the COVID-19 pandemic. The Company recognized CEWS and CERS grants when it is probable that it complied with relevant eligibility requirements and conditions of the grant and that the grant would be received. These grants are recorded as reductions to wage and rent expenditures.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Research and development costs are expensed as incurred and include costs that the Company incurs for its own and for the Company’s strategic partners’ research and development activities. These costs primarily consist of expenses incurred under agreements with contract research organizations on the Company’s behalf, investigative sites and consultants that conduct the Company’s clinical trials, the cost of acquiring and manufacturing clinical trial materials and other allocated expenses, the cost of acquired research patents and intellectual property that do not meet the requirements for capitalization, employee related expenses, including salaries and benefits, stock-based compensation expense, and costs associated with nonclinical activities and regulatory approvals.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Expense Accruals</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Clinical trial expenses represent a significant component of research and development expenses and the Company outsources a significant portion of these activities to third party contract research organizations. Third-party clinical trial expenses include investigator fees, site costs, clinical research organization costs and other trial-related vendor costs. As part of preparing the consolidated financial statements, the Company estimates accrued liabilities for services that have been performed by clinical research organizations or investigator sites but have not yet been invoiced to the Company. When making these estimates, the Company uses operational and contractual information from third party service providers and operational data from internal personnel.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accounts for income taxes using an asset and liability method. Deferred tax assets and liabilities are determined based on the difference between the financial statement and tax basis of assets and liabilities using enacted tax rates in effect for the year in which the differences are expected to reverse. The measurement of deferred tax assets is reduced, if necessary, by the extent of a valuation allowance. The recognition of uncertain tax positions is evaluated based on whether it is considered more likely than not that the position taken, or expected to be taken, on a tax return will be sustained upon examination through litigation or appeal. For those positions that meet the recognition criteria, they are measured as the largest amount that is more than 50% likely to be realized upon ultimate settlement.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recognizes stock-based compensation expense on equity and liability classified stock-based awards granted to employees, directors, and certain consultants. The Company measures the cost of such awards based on the fair value of the award, net of estimated forfeitures, and recognizes stock-based compensation expense in the consolidated statements of income (loss) and comprehensive income (loss) on a straight-line basis over the requisite service period. The requisite service period generally equals the vesting period of the awards. The fair values of stock option awards are estimated using the Black-Scholes option pricing model which uses various inputs including estimated fair value of the Company’s underlying common stock at the grant date, expected term, estimated volatility, risk-free interest rate and expected dividend yields of the Company’s common stock. The Company applies an estimated forfeiture rate derived from historical employee termination behavior. If the actual number of forfeitures differs from those estimated by management, adjustments to compensation expense may be required in future periods. The fair value of restricted stock units (“RSU”) is measured using the per share fair value of the Company’s common stock on the dates of grant.</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Equity classified awards are measured using their grant date fair value. Liability classified awards are initially measured using their grant date fair value and are subsequently remeasured at fair value at each balance sheet date until exercised or cancelled, with changes in fair value recognized as compensation cost (ASC 718 awards) or other income and expenses (ASC 815 awards) for the period, while fair value changes below the grant date fair value of the original awards are recorded in additional paid-in capital.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ASC 718 “Compensation—Stock Options” (“ASC 718”), with an exercise price which is not denominated in: (a) the currency of a market in which a substantial portion of the Company’s equity securities trades, (b) the currency in which the individual’s pay is denominated, or (c) the Company’s functional currency, are required to be classified as liabilities. For awards accounted for under ASC 815 “Derivatives and Hedging” (“ASC 815”), any warrant or option that provides for an exercise price which is not denominated in the Company’s functional currency is required to be classified as a liability. Certain option awards which were classified as equity on grant dates were subsequently reclassified to liability upon the change of the compensation currency for certain executives and employees holding these option awards from Canadian dollars to U.S. dollars. Total fair value of these options on reclassification date were recorded as liability awards. Accumulated expense amount to the reclassification date was reversed from additional paid-in capital and the remaining amount was recorded to the statement of loss on reclassification date.</w:t>
      </w:r>
    </w:p>
    <w:p>
      <w:pPr>
        <w:spacing w:after="0" w:line="17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has an employee stock purchase plan which is considered compensatory. Accordingly, the Company recognizes compensation expense on these awards based on their estimated grant date fair value using the Black-Scholes option pricing model. The Company recognizes compensation expense in the consolidated statements of loss and comprehensive loss on a straight-line basis over the requisite service period.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and Goodwill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Business combinations are accounted for using the acquisition method. The fair value of total purchase consideration is allocated to the fair values of identifiable tangible and intangible assets acquired and liabilities assumed, with the remaining amount being classified as goodwill. All assets, liabilities and contingent liabilities acquired or assumed in a business combination are recorded at their fair values at the date of acquisition. If the Company’s interest in the fair value of the acquiree’s net identifiable assets exceeds the cost of the acquisition, the excess is recognized in earnings or loss immediately. Transaction costs that are incurred in connection with a business combination, other than costs associated with the issuance of debt or equity securities, are expensed as incurred.</w:t>
      </w:r>
    </w:p>
    <w:p>
      <w:pPr>
        <w:spacing w:after="0" w:line="192"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color w:val="auto"/>
        </w:rPr>
        <w:t>Goodwill is evaluated for impairment on an annual basis or more frequently if an indicator of impairment is present (note 6). As part of the impairment evaluation, the Company may elect to perform an assessment of qualitative factors. If this qualitative assessment indicates that it is more likely than not that the fair value of the reporting unit that includes the goodwill is less than its carrying value, then a quantitative impairment test would be prepared to compare the fair value to the carrying value and record an impairment charge if the carrying value exceeds the fair value.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(IPR&amp;D) and Definite-lived Intangible Assets</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Acquired IPR&amp;D represents the fair value assigned to research and development assets that have not reached technological feasibility. IPR&amp;D is classified as an indefinite-lived intangible asset and is not amortized. IPR&amp;D becomes definite-lived upon the completion or abandonment of the associated research and development efforts. All research and development costs incurred subsequent to the acquisition of IPR&amp;D are expensed as incurred. Indefinite-lived intangible assets are evaluated for impairment on an annual basis or more frequently if an indicator of impairment is present.</w:t>
      </w:r>
    </w:p>
    <w:p>
      <w:pPr>
        <w:spacing w:after="0" w:line="15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Definite-lived intangible assets include computer software and a research license and are amortized on a basis which reflects the pattern in which the economic benefits are consumed. Amortization begins when the assets are put into use. If there is an event indicating that the carrying value of a definite-lived intangible asset may be impaired, then the Company will perform an impairment test. When an impairment test is performed, if the carrying value exceeds the recoverable value, based on the sum of undiscounted future cash flows, then such asset is written down to its fair value.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records amortization using the straight-line method over the estimated useful lives of the definite-lived intangible assets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gridSpan w:val="2"/>
          </w:tcPr>
          <w:p>
            <w:pPr>
              <w:ind w:left="3020"/>
              <w:spacing w:after="0"/>
              <w:rPr>
                <w:sz w:val="20"/>
                <w:szCs w:val="20"/>
                <w:color w:val="auto"/>
              </w:rPr>
            </w:pPr>
            <w:r>
              <w:rPr>
                <w:rFonts w:ascii="Arial" w:cs="Arial" w:eastAsia="Arial" w:hAnsi="Arial"/>
                <w:sz w:val="14"/>
                <w:szCs w:val="14"/>
                <w:b w:val="1"/>
                <w:bCs w:val="1"/>
                <w:color w:val="auto"/>
              </w:rPr>
              <w:t>Asset Class</w:t>
            </w:r>
          </w:p>
        </w:tc>
        <w:tc>
          <w:tcPr>
            <w:tcW w:w="4080" w:type="dxa"/>
            <w:vAlign w:val="bottom"/>
          </w:tcPr>
          <w:p>
            <w:pPr>
              <w:jc w:val="right"/>
              <w:ind w:right="1816"/>
              <w:spacing w:after="0"/>
              <w:rPr>
                <w:sz w:val="20"/>
                <w:szCs w:val="20"/>
                <w:color w:val="auto"/>
              </w:rPr>
            </w:pPr>
            <w:r>
              <w:rPr>
                <w:rFonts w:ascii="Arial" w:cs="Arial" w:eastAsia="Arial" w:hAnsi="Arial"/>
                <w:sz w:val="14"/>
                <w:szCs w:val="14"/>
                <w:b w:val="1"/>
                <w:bCs w:val="1"/>
                <w:color w:val="auto"/>
              </w:rPr>
              <w:t>Rate</w:t>
            </w:r>
          </w:p>
        </w:tc>
      </w:tr>
      <w:tr>
        <w:trPr>
          <w:trHeight w:val="25"/>
        </w:trPr>
        <w:tc>
          <w:tcPr>
            <w:tcW w:w="6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80" w:type="dxa"/>
            <w:vAlign w:val="bottom"/>
            <w:shd w:val="clear" w:color="auto" w:fill="CCEEFF"/>
          </w:tcPr>
          <w:p>
            <w:pPr>
              <w:spacing w:after="0"/>
              <w:rPr>
                <w:sz w:val="19"/>
                <w:szCs w:val="19"/>
                <w:color w:val="auto"/>
              </w:rPr>
            </w:pP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Licensing agreements</w:t>
            </w:r>
          </w:p>
        </w:tc>
        <w:tc>
          <w:tcPr>
            <w:tcW w:w="4080" w:type="dxa"/>
            <w:vAlign w:val="bottom"/>
          </w:tcPr>
          <w:p>
            <w:pPr>
              <w:jc w:val="right"/>
              <w:spacing w:after="0"/>
              <w:rPr>
                <w:sz w:val="20"/>
                <w:szCs w:val="20"/>
                <w:color w:val="auto"/>
              </w:rPr>
            </w:pPr>
            <w:r>
              <w:rPr>
                <w:rFonts w:ascii="Arial" w:cs="Arial" w:eastAsia="Arial" w:hAnsi="Arial"/>
                <w:sz w:val="18"/>
                <w:szCs w:val="18"/>
                <w:color w:val="auto"/>
              </w:rPr>
              <w:t>Shorter of the licensing term or useful life</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 average number of shares of common stock outstanding for the year. Diluted net income (loss) per share attributable to common stockholders is computed by adjusting net income (loss) attributable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to common stockholders to reallocate undistributed earnings based on the potential impact of dilutive securities, including outstanding stock options and warrants. Diluted net income (loss) per share attributable to common stockholders is computed by dividing the diluted net income (loss) attributable to common stockholders by the weighted-average number of shares of common stock outstanding for the year, including potential dilutive shares of common stock assuming the dilutive effect of outstanding instruments. The treasury stock method is used to determine the dilutive effect of the Company’s stock option grants and warrants. ASC 260 “Earnings Per Share” requires an adjustment to the numerator for any income or loss related to liability classified warrants and stock options, if dilutive, if they are presumed to be share settled.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1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Company has reviewed recent accounting pronouncements and concluded that they are either not applicable, or that no material impact is expected on the consolidated financial statements as a result of future adoption.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per share for the years ended December 31, 2022, 2021 and 2020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60" w:type="dxa"/>
            <w:vAlign w:val="bottom"/>
            <w:gridSpan w:val="6"/>
          </w:tcPr>
          <w:p>
            <w:pPr>
              <w:jc w:val="right"/>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1060" w:type="dxa"/>
            <w:vAlign w:val="bottom"/>
          </w:tcPr>
          <w:p>
            <w:pPr>
              <w:spacing w:after="0"/>
              <w:rPr>
                <w:sz w:val="16"/>
                <w:szCs w:val="16"/>
                <w:color w:val="auto"/>
              </w:rPr>
            </w:pPr>
          </w:p>
        </w:tc>
      </w:tr>
      <w:tr>
        <w:trPr>
          <w:trHeight w:val="26"/>
        </w:trPr>
        <w:tc>
          <w:tcPr>
            <w:tcW w:w="7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124,341</w:t>
            </w:r>
          </w:p>
        </w:tc>
        <w:tc>
          <w:tcPr>
            <w:tcW w:w="4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(211,843)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(180,552)</w:t>
            </w:r>
          </w:p>
        </w:tc>
      </w:tr>
      <w:tr>
        <w:trPr>
          <w:trHeight w:val="230"/>
        </w:trPr>
        <w:tc>
          <w:tcPr>
            <w:tcW w:w="7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Adjustment for change in fair value of liability classified stock options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(180,552)</w:t>
            </w:r>
          </w:p>
        </w:tc>
      </w:tr>
      <w:tr>
        <w:trPr>
          <w:trHeight w:val="270"/>
        </w:trPr>
        <w:tc>
          <w:tcPr>
            <w:tcW w:w="7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Weighted-average common stock outstanding:</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65,194,775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51,553,869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50,382,497</w:t>
            </w:r>
          </w:p>
        </w:tc>
      </w:tr>
      <w:tr>
        <w:trPr>
          <w:trHeight w:val="230"/>
        </w:trPr>
        <w:tc>
          <w:tcPr>
            <w:tcW w:w="7020" w:type="dxa"/>
            <w:vAlign w:val="bottom"/>
          </w:tcPr>
          <w:p>
            <w:pPr>
              <w:ind w:left="240"/>
              <w:spacing w:after="0"/>
              <w:rPr>
                <w:sz w:val="20"/>
                <w:szCs w:val="20"/>
                <w:color w:val="auto"/>
              </w:rPr>
            </w:pPr>
            <w:r>
              <w:rPr>
                <w:rFonts w:ascii="Arial" w:cs="Arial" w:eastAsia="Arial" w:hAnsi="Arial"/>
                <w:sz w:val="18"/>
                <w:szCs w:val="18"/>
                <w:color w:val="auto"/>
              </w:rPr>
              <w:t>Adjustment for dilutive effect of equity classified stock options and RSUs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 for dilutive effect of liability classified stock options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65,249,184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52,131,596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50,382,497</w:t>
            </w:r>
          </w:p>
        </w:tc>
      </w:tr>
      <w:tr>
        <w:trPr>
          <w:trHeight w:val="270"/>
        </w:trPr>
        <w:tc>
          <w:tcPr>
            <w:tcW w:w="7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70"/>
        </w:trPr>
        <w:tc>
          <w:tcPr>
            <w:tcW w:w="7020" w:type="dxa"/>
            <w:vAlign w:val="bottom"/>
          </w:tcPr>
          <w:p>
            <w:pPr>
              <w:ind w:left="20"/>
              <w:spacing w:after="0"/>
              <w:rPr>
                <w:sz w:val="20"/>
                <w:szCs w:val="20"/>
                <w:color w:val="auto"/>
              </w:rPr>
            </w:pPr>
            <w:r>
              <w:rPr>
                <w:rFonts w:ascii="Arial" w:cs="Arial" w:eastAsia="Arial" w:hAnsi="Arial"/>
                <w:sz w:val="18"/>
                <w:szCs w:val="18"/>
                <w:color w:val="auto"/>
              </w:rPr>
              <w:t>Net income (loss) per common share –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1.91</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7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common share – 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bl>
    <w:p>
      <w:pPr>
        <w:spacing w:after="0" w:line="29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Weighted average number of common shares used in the basic and diluted earnings per share calculations include Exchangeable Shares and the pre-funded warrants issued in connection with the Company’s June 2019 and January 2020 offerings as the warrants are exercisable at any time for nominal cash consideration.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Short-term investments are denominated in U.S. dollars or Canadian dollars and consist of guaranteed investment certificates (“GICs”) acquired from financial institutions in accordance with the Company’s cash investment policy. Short-term GICs are classified as held to maturity and available for sale and are accounted for at amortized cost or at fair value.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Investments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Long-term investments at December 31, 2022 consist of equity securities of $886 acquired for strategic purposes or in connection with licensing and collaboration agreements (December 31, 2021 - $886 which included both equity and debt securities).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IPR&amp;D and Goodwill</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Acquired IPR&amp;D</w:t>
      </w:r>
    </w:p>
    <w:p>
      <w:pPr>
        <w:spacing w:after="0" w:line="10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In-process research and development assets (“IPR&amp;D”) acquired in the 2016 Kairos Therapeutics Inc. (“Kairos”) business combination are classified as indefinite-lived intangible assets and are not currently being amortized. The following table summarizes the carrying value of IPR&amp;D, net of impairment:</w:t>
      </w:r>
    </w:p>
    <w:tbl>
      <w:tblPr>
        <w:tblLayout w:type="fixed"/>
        <w:tblInd w:w="0" w:type="dxa"/>
        <w:tblCellMar>
          <w:top w:w="0" w:type="dxa"/>
          <w:left w:w="0" w:type="dxa"/>
          <w:bottom w:w="0" w:type="dxa"/>
          <w:right w:w="0" w:type="dxa"/>
        </w:tblCellMar>
      </w:tblPr>
      <w:tr>
        <w:trPr>
          <w:trHeight w:val="150"/>
        </w:trPr>
        <w:tc>
          <w:tcPr>
            <w:tcW w:w="7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Acquired</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3"/>
                <w:szCs w:val="13"/>
                <w:color w:val="auto"/>
              </w:rPr>
            </w:pPr>
          </w:p>
        </w:tc>
        <w:tc>
          <w:tcPr>
            <w:tcW w:w="10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IPR&amp;D</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Impairment</w:t>
            </w:r>
          </w:p>
        </w:tc>
        <w:tc>
          <w:tcPr>
            <w:tcW w:w="3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17,628</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Change during the period</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17,628</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Change during the period</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17,628</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Change during the period</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years ended December 31, 2022, December 31, 2021 and December 31, 2020, the Company did not record any impairment charge related to the fair value of IPR&amp;D. The Company performed a qualitative test and concluded that IPR&amp;D was not impaired as of December 31,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performed its annual impairment test of goodwill as of December 31, 2022 and concluded that no impairment existed. As part of the evaluation of the recoverability of goodwill, the Company identified only one reporting unit to which the total carrying amount of goodwill has been assigned. As at December 31, 2022, the Company performed a qualitative assessment for its annual impairment test of goodwill after concluding that it was not more likely than not that the fair value of the reporting unit was less than its carrying value. Consequently, the quantitative impairment test was not required.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r>
      <w:tr>
        <w:trPr>
          <w:trHeight w:val="25"/>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1,558</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8,326</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13,257</w:t>
            </w:r>
          </w:p>
        </w:tc>
      </w:tr>
      <w:tr>
        <w:trPr>
          <w:trHeight w:val="223"/>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36,844</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(14,061)</w:t>
            </w: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on property and equipment for the years ended December 31, 2022, 2021 and 2020 was $6,220, $3,739 and $3,355, respectively.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r>
      <w:tr>
        <w:trPr>
          <w:trHeight w:val="26"/>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licenses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14,936</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1,494</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implementation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17,719</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(13,881)</w:t>
            </w: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3,838</w:t>
            </w:r>
          </w:p>
        </w:tc>
      </w:tr>
      <w:tr>
        <w:trPr>
          <w:trHeight w:val="21"/>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on intangible assets for the years ended December 31, 2022, 2021 and 2020 was $1,015, $2,793 and $4,160,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amortization expense on capitalized intangible assets is estimated to be as follows for each of the next five years: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6"/>
          </w:tcPr>
          <w:p>
            <w:pPr>
              <w:ind w:left="60"/>
              <w:spacing w:after="0"/>
              <w:rPr>
                <w:sz w:val="20"/>
                <w:szCs w:val="20"/>
                <w:color w:val="auto"/>
              </w:rPr>
            </w:pPr>
            <w:r>
              <w:rPr>
                <w:rFonts w:ascii="Arial" w:cs="Arial" w:eastAsia="Arial" w:hAnsi="Arial"/>
                <w:sz w:val="14"/>
                <w:szCs w:val="14"/>
                <w:b w:val="1"/>
                <w:bCs w:val="1"/>
                <w:color w:val="auto"/>
              </w:rPr>
              <w:t>Amortization expense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2,683</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6"/>
              </w:rPr>
              <w:t>427</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213</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8,284</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b w:val="1"/>
                <w:bCs w:val="1"/>
                <w:color w:val="auto"/>
              </w:rPr>
              <w:t>9. Liabilities</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1"/>
        </w:trPr>
        <w:tc>
          <w:tcPr>
            <w:tcW w:w="8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80" w:type="dxa"/>
            <w:vAlign w:val="bottom"/>
          </w:tcPr>
          <w:p>
            <w:pPr>
              <w:spacing w:after="0"/>
              <w:rPr>
                <w:sz w:val="20"/>
                <w:szCs w:val="20"/>
                <w:color w:val="auto"/>
              </w:rPr>
            </w:pPr>
            <w:r>
              <w:rPr>
                <w:rFonts w:ascii="Arial" w:cs="Arial" w:eastAsia="Arial" w:hAnsi="Arial"/>
                <w:sz w:val="18"/>
                <w:szCs w:val="18"/>
                <w:color w:val="auto"/>
              </w:rPr>
              <w:t>Accounts payable and accrued expenses consisted of the following:</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5"/>
          </w:tcPr>
          <w:p>
            <w:pPr>
              <w:ind w:left="560"/>
              <w:spacing w:after="0"/>
              <w:rPr>
                <w:sz w:val="20"/>
                <w:szCs w:val="20"/>
                <w:color w:val="auto"/>
              </w:rPr>
            </w:pPr>
            <w:r>
              <w:rPr>
                <w:rFonts w:ascii="Arial" w:cs="Arial" w:eastAsia="Arial" w:hAnsi="Arial"/>
                <w:sz w:val="14"/>
                <w:szCs w:val="14"/>
                <w:b w:val="1"/>
                <w:bCs w:val="1"/>
                <w:color w:val="auto"/>
                <w:w w:val="98"/>
              </w:rPr>
              <w:t>December 31,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39,358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50,963</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Goods and services tax payable</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Employee compensation and vacation accruals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14,365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legal and professional fees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87,468</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Other long-term liabilities consisted of the following: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5"/>
          </w:tcPr>
          <w:p>
            <w:pPr>
              <w:ind w:left="560"/>
              <w:spacing w:after="0"/>
              <w:rPr>
                <w:sz w:val="20"/>
                <w:szCs w:val="20"/>
                <w:color w:val="auto"/>
              </w:rPr>
            </w:pPr>
            <w:r>
              <w:rPr>
                <w:rFonts w:ascii="Arial" w:cs="Arial" w:eastAsia="Arial" w:hAnsi="Arial"/>
                <w:sz w:val="14"/>
                <w:szCs w:val="14"/>
                <w:b w:val="1"/>
                <w:bCs w:val="1"/>
                <w:color w:val="auto"/>
                <w:w w:val="98"/>
              </w:rPr>
              <w:t>December 31,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for contingent consideration (note 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Liability from in-licensing agreements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1" w:lineRule="exact"/>
        <w:rPr>
          <w:sz w:val="20"/>
          <w:szCs w:val="20"/>
          <w:color w:val="auto"/>
        </w:rPr>
      </w:pPr>
    </w:p>
    <w:p>
      <w:pPr>
        <w:ind w:left="480" w:hanging="472"/>
        <w:spacing w:after="0"/>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Equity Offerings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Public Offering</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27, 2020, the Company closed a public offering pursuant to which the Company sold 5,824,729 common shares, including the sale of 900,000 common shares to the underwriters upon their full exercise of their over-allotment option, at $46.50 per common share and 1,075,271 pre-funded warrants (note 10c) in lieu of common shares at $46.4999 per pre-funded warrant. Net proceeds were $300,910, after underwriting discounts, commissions and offering expenses of $19,940.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Public Offering</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January 31, 2022, the Company closed a public offering pursuant to which the Company sold 11,035,000 common shares, including the sale of 1,875,000 common shares to the underwriters upon their full exercise of their over-allotment option, at $8.00 per common share and 3,340,000 pre-funded warrants (note 10c) in lieu of common shares at $7.9999 per pre-funded warrant. Net proceeds were $107,534, after underwriting discounts, commissions and offering expenses.</w:t>
      </w:r>
    </w:p>
    <w:p>
      <w:pPr>
        <w:spacing w:after="0" w:line="295"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Authorized Share Capital and Preferred Stock</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Company’s authorized share capital consists of 1,000,000,000 shares of stock, consisting of (i) 900,000,000 shares of common stock, par value $0.00001 per share, and (ii) 100,000,000 shares of preferred stock, par value $0.00001 per share.</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Plan of Arrangement, we issued to Computershare Trust Company of Canada, a trust company existing under the laws of Canada (the “Share Trustee”), one share of our preferred stock, par value $0.00001 per share, which has certain variable voting rights in proportion to the number of Exchangeable Shares outstanding (the “Special Voting Preferred Stock”), enabling the Share Trustee to exercise voting rights for the benefit of the Exchangeable Shareholders.</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Immediately prior to the completion of the Redomicile Transactions, there were 61,699,387 Zymeworks BC Inc. common shares issued and outstanding. In connection with the consummation of the Plan of Arrangement, 60,274,854 shares of Common Stock and 1,424,533 Exchangeable Shares were issued to former Zymeworks BC shareholders. As of December 31, 2022, there were 1,424,533 Exchangeable Shares outstanding. We will issue shares of our common stock as consideration when a holder of Exchangeable Shares calls for Exchangeable Shares to be retracted by ExchangeCo, when ExchangeCo redeems Exchangeable Shares from the holder, or when CallCo purchases Exchangeable Shares from the Exchangeable Shareholder under CallCo’s overriding call rights. These Exchangeable Shares and the Special Voting Preferred Stock, when taken together, are similar in substance to the Company’s common stock.</w:t>
      </w:r>
    </w:p>
    <w:p>
      <w:pPr>
        <w:spacing w:after="0" w:line="303" w:lineRule="exact"/>
        <w:rPr>
          <w:sz w:val="20"/>
          <w:szCs w:val="20"/>
          <w:color w:val="auto"/>
        </w:rPr>
      </w:pPr>
    </w:p>
    <w:p>
      <w:pPr>
        <w:ind w:left="480" w:hanging="472"/>
        <w:spacing w:after="0"/>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Pre-Funded Common Share Warrants</w:t>
      </w:r>
    </w:p>
    <w:p>
      <w:pPr>
        <w:spacing w:after="0" w:line="10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a public offering completed on June 24, 2019, the Company issued 4,166,690 pre-funded warrants at a price of $17.9999 per pre-funded warrant which granted holders of warrants the right to purchase up to 4,166,690 common shares of the Company, at an exercise price of $0.0001 per share.</w:t>
      </w:r>
    </w:p>
    <w:p>
      <w:pPr>
        <w:spacing w:after="0" w:line="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connection with a public offering completed on January 27, 2020 (note 10a), the Company issued 1,075,271 pre-funded warrants at a price of $46.4999 per pre-funded warrant which granted holders of warrants the right to purchase up to 1,075,271 common shares of the Company, at an exercise price of $0.0001 per share.</w:t>
      </w:r>
    </w:p>
    <w:p>
      <w:pPr>
        <w:spacing w:after="0" w:line="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connection with a public offering completed on January 31, 2022 (note 10a), the Company issued 3,340,000 pre-funded warrants at a price of $7.9999 per pre-funded warrant which granted holders of warrants the right to purchase up to 3,340,000 common shares of the Company, at an exercise price of $0.0001 per share.</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pre-funded warrants are exercisable by the holders at any time on or after the original issue date. The pre-funded warrants do not expire unless they are exercised or settled in accordance with the pre-funded warrant agreement. As the pre-funded warrants meet the condition for equity classification, proceeds from issuance of the pre-funded warrants, net of any transaction costs, are recorded in additional paid-in capital. Upon exercise of the pre-funded warrants, the historical costs recorded in additional paid-in capital along with exercise price collected from holders will be recorded in common shares.</w:t>
      </w:r>
    </w:p>
    <w:p>
      <w:pPr>
        <w:spacing w:after="0" w:line="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August 23, 2022, 3,787,737 pre-funded warrants were exercised in a cashless transaction in exchange for issuance of 3,787,675 common shares upon which $57,858 has been transferred to common shares account from additional paid-in capital. On October 25, 2022, the Company issued an aggregate of 1,375,000 common shares, to a warrant holder upon the exercise of 1,375,000 pre-funded warrants. On October 27, 2022, the Company issued an additional 1,340,000 common shares to the same</w:t>
      </w:r>
    </w:p>
    <w:p>
      <w:pPr>
        <w:sectPr>
          <w:pgSz w:w="11900" w:h="16838" w:orient="portrait"/>
          <w:cols w:equalWidth="0" w:num="1">
            <w:col w:w="11200"/>
          </w:cols>
          <w:pgMar w:left="320" w:top="229" w:right="37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warrant holder upon the exercise of 1,340,000 pre-funded warrants. Each pre-funded warrant had an exercise price of $0.0001 per share of Common Stock.</w:t>
      </w:r>
    </w:p>
    <w:p>
      <w:pPr>
        <w:spacing w:after="0" w:line="356"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Adoption of a Shareholder Rights Plan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9, 2022, the board of directors authorized and declared a dividend distribution of one right (each, a “Right”) for each outstanding common share of the Company to shareholders of record as of the close of business on June 21, 2022. Each Right entitles the registered holder to purchase from the Company one one-thousandth of a share of Series A Participating Preferred Share, of the Company, at an exercise price of $74.00, subject to adjustment. The complete terms of the Rights are set forth in a Preferred Shares Rights Agreement (the “Rights Plan”), dated as of June 9, 2022, between the Company and Computershare Trust Company, N.A., as rights agent.</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general terms, the Rights Plan works by imposing a significant penalty upon any person or group that acquires 10 percent or more (or 20 percent or more in the case of certain institutional investors who report their holdings on Schedule 13G) of the common shares without the approval of the board of directors. As a result, the overall effect of the Rights Plan and the issuance of the Rights may be to render more difficult or discourage a merger, amalgamation, arrangement, take-over bid, tender or exchange offer or other business combination involving the Company that is not approved by the board of directors. However, neither the Rights Plan nor the Rights should interfere with any merger, amalgamation, arrangement, take-over bid, tender or exchange offer or other business combination approved by the board of directors. The issuance of Rights does not affect reported earnings per share.</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12, 2022, Zymeworks Inc. (a Delaware corporation) and Computershare Trust Company, N.A., as rights agent, entered into a Preferred Stock Rights Agreement (the “New Rights Plan”) and on October 13, 2022, the board of directors of Zymeworks Inc. (a Delaware corporation) declared a dividend distribution of one right (each, a “Right”) for each share of common stock outstanding at 12:01 a.m. (Pacific Time) on October 13, 2022 (the “Record Date”) and for each share of common stock that becomes outstanding, including any shares of common stock issued in connection with the Redomicile Transactions and as consideration for the Exchangeable Shares, as applicable, between the Record Date and the earlier of the Distribution Date (as defined in the New Rights Plan) and the expiration of the Rights. On October 13, 2022, the Rights Plan expired. The New Rights Plan has substantively similar terms as the Rights Plan.</w:t>
      </w:r>
    </w:p>
    <w:p>
      <w:pPr>
        <w:spacing w:after="0" w:line="303" w:lineRule="exact"/>
        <w:rPr>
          <w:sz w:val="20"/>
          <w:szCs w:val="20"/>
          <w:color w:val="auto"/>
        </w:rPr>
      </w:pPr>
    </w:p>
    <w:p>
      <w:pPr>
        <w:ind w:left="480" w:hanging="472"/>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Redomicile Transactions, Zymeworks BC Inc. assigned to the Company, and the Company assumed, all of Zymeworks BC Inc.’s rights and obligations under each of the stock-based compensation plans, as described below, and such plans became the Company’s stock-based compensation plans, with each outstanding award assumed by the Company and deemed exchanged for equivalent awards of the Company, except that the security issuable upon exercise or settlement, as applicable, will be shares of common stock of the Company rather than common shares of Zymeworks BC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Original Stock Option Plan</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July 14, 2006, the shareholders of the Company approved an employee stock option plan (the “Original Plan”). The Original Plan provides for the granting of options to directors, officers, employees and consultants. Options to purchase common shares may be granted at an exercise price of each option equal to the last private issuance of common shares immediately preceding the date of the grant. The total number of options outstanding is not to exceed 20% of the issued common shares of the Company.</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Options granted under the Original Plan are exercisable at various dates over their 10-year life. Common shares are issued from treasury when options are exercised.</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exercise prices of the Company’s stock options under the Original Plan are denominated in Canadian dollars. The Canadian dollar amounts have been translated to U.S. dollars using the period end rate or the average foreign exchange rate for the period, as applicable, and have been provided for information purposes. Upon the effectiveness of the Company’s New Stock Option Plan described below, no further options were issuable under the Original Plan. However, all outstanding options granted under the Original Plan remain outstanding, subject to the terms of the Original Plan and the applicable grant documents, until such outstanding options are exercised or they terminate or expire by their terms.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Plan and Inducement Plan</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April 10, 2017, the Company’s shareholders approved a new stock option plan, which became effective immediately prior to the consummation of the Company’s initial public offering (“IPO”). This plan allows for the grant of options to directors, officers, employees and consultants in U.S. or Canadian dollars, and also permitted the Company to grant incentive stock options (“ISOs”), within the meaning of Section 422 of the Internal Revenue Code, to its employees, until the shares reserved for issuance of ISOs were depleted. On June 7, 2018, the Company’s shareholders approved an amendment and restatement of this plan (this plan, as amended and restated, the “New Plan”), which includes an article that allows the Company to grant restricted shares, restricted share units (“RSUs”) and other share-based awards, in addition to stock options. On March 4, 2020, the board of directors approved certain minor amendments to the New Plan that did not require shareholder approval.</w:t>
      </w:r>
    </w:p>
    <w:p>
      <w:pPr>
        <w:spacing w:after="0" w:line="6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original maximum number of common shares reserved for issuance under the New Plan as of June 7, 2018 was 5,686,097, which includes 3,686,097 shares issuable upon exercise of options outstanding as of March 31, 2018. Beginning in 2019 and ending in 2028, this maximum number may be increased on the first day of each calendar year by up to 4.0% of the number of outstanding shares on the last day of the immediately preceding calendar year. As of December 31, 2022, 3,205,132 common shares were available for future award grants under the New Plan (December 31, 2021: 952,632 common shares). ISOs may be granted with respect to a maximum fixed amount equal to 20% of the shares reserved for issuance under the New Plan as of June 7, 2018.</w:t>
      </w:r>
    </w:p>
    <w:p>
      <w:pPr>
        <w:spacing w:after="0" w:line="5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January 5, 2022, board of directors approved the "Zymeworks Inc. Inducement Stock Option and Equity Compensation Plan" (the "Inducement Plan") and reserved 750,000 of the Company’s common shares for issuance pursuant to equity awards granted thereunder. As of December 31, 2022 ,50,000 common shares were available for future award grants under this plan.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year ended December 31, 2020, the Company started granting RSUs to certain employees, which typically vest over a period of three years, in the amount of one-third each year on the anniversary of the grant date. RSUs are equity-settled on each vesting date, subject to the grantee’s continued employment with the Company on the vesting date. The fair value of RSUs granted was calculated by using the Company’s closing stock price on the grant date.</w:t>
      </w:r>
    </w:p>
    <w:tbl>
      <w:tblPr>
        <w:tblLayout w:type="fixed"/>
        <w:tblInd w:w="0" w:type="dxa"/>
        <w:tblCellMar>
          <w:top w:w="0" w:type="dxa"/>
          <w:left w:w="0" w:type="dxa"/>
          <w:bottom w:w="0" w:type="dxa"/>
          <w:right w:w="0" w:type="dxa"/>
        </w:tblCellMar>
      </w:tblPr>
      <w:tr>
        <w:trPr>
          <w:trHeight w:val="151"/>
        </w:trPr>
        <w:tc>
          <w:tcPr>
            <w:tcW w:w="8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4"/>
        </w:trPr>
        <w:tc>
          <w:tcPr>
            <w:tcW w:w="8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39"/>
        </w:trPr>
        <w:tc>
          <w:tcPr>
            <w:tcW w:w="8440" w:type="dxa"/>
            <w:vAlign w:val="bottom"/>
          </w:tcPr>
          <w:p>
            <w:pPr>
              <w:spacing w:after="0"/>
              <w:rPr>
                <w:sz w:val="12"/>
                <w:szCs w:val="12"/>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 of RSUs</w:t>
            </w:r>
          </w:p>
        </w:tc>
        <w:tc>
          <w:tcPr>
            <w:tcW w:w="13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86"/>
        </w:trPr>
        <w:tc>
          <w:tcPr>
            <w:tcW w:w="84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5"/>
        </w:trPr>
        <w:tc>
          <w:tcPr>
            <w:tcW w:w="8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354,269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110,400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settled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(93,966)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(143,480)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227,223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880"/>
        <w:spacing w:after="0" w:line="375" w:lineRule="auto"/>
        <w:rPr>
          <w:sz w:val="20"/>
          <w:szCs w:val="20"/>
          <w:color w:val="auto"/>
        </w:rPr>
      </w:pPr>
      <w:r>
        <w:rPr>
          <w:rFonts w:ascii="Arial" w:cs="Arial" w:eastAsia="Arial" w:hAnsi="Arial"/>
          <w:sz w:val="18"/>
          <w:szCs w:val="18"/>
          <w:color w:val="auto"/>
        </w:rPr>
        <w:t xml:space="preserve">As of December 31, 2022, there was $1,738 of unamortized RSU expense that will be recognized over a weighted average period of 2.00 years. </w:t>
      </w:r>
      <w:r>
        <w:rPr>
          <w:rFonts w:ascii="Arial" w:cs="Arial" w:eastAsia="Arial" w:hAnsi="Arial"/>
          <w:sz w:val="18"/>
          <w:szCs w:val="18"/>
          <w:i w:val="1"/>
          <w:iCs w:val="1"/>
          <w:color w:val="auto"/>
        </w:rPr>
        <w:t>Stock Options</w:t>
      </w:r>
    </w:p>
    <w:p>
      <w:pPr>
        <w:spacing w:after="0" w:line="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All options granted under the New Plan will have an exercise price determined and approved by the board of directors on the date of the grant, which shall not be less than the market price of the common shares at such time. For the purposes of the New Plan, the market price of a common share shall be the closing sale price of a share on the grant date reported by the stock exchange with the greatest trading volume or, if such day is not a trading day, the closing sale price reported for the immediately preceding trading day. The Company may convert a market price denominated in Canadian dollars into United States dollars and vice versa and such converted amount shall be the market price.</w:t>
      </w:r>
    </w:p>
    <w:p>
      <w:pPr>
        <w:spacing w:after="0" w:line="1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An option shall be exercisable during a period established by the board of directors which shall commence on the date of the grant and shall terminate not later than ten years after the date of the granting of the option. The New Plan provides that the exercise period shall automatically be extended if the date on which it is scheduled to terminate shall fall during a black-out period. In such cases, the extended exercise period shall terminate on the tenth business day after the last day of the black-out period, provided that the exercise period shall in no case be extended beyond the tenth anniversary of the date the option was granted. All options shall vest in accordance with the terms of their grant agreements.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options granted in Canadian dollars under the Original Plan and the New Plan: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360" w:type="dxa"/>
            <w:vAlign w:val="bottom"/>
            <w:gridSpan w:val="2"/>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Term</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 value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of Options</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(years)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2,285,569</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87,545</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68,664</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480,117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240" w:type="dxa"/>
            <w:vAlign w:val="bottom"/>
          </w:tcPr>
          <w:p>
            <w:pPr>
              <w:jc w:val="right"/>
              <w:spacing w:after="0"/>
              <w:rPr>
                <w:sz w:val="20"/>
                <w:szCs w:val="20"/>
                <w:color w:val="auto"/>
              </w:rPr>
            </w:pPr>
            <w:r>
              <w:rPr>
                <w:rFonts w:ascii="Arial" w:cs="Arial" w:eastAsia="Arial" w:hAnsi="Arial"/>
                <w:sz w:val="18"/>
                <w:szCs w:val="18"/>
                <w:color w:val="auto"/>
              </w:rPr>
              <w:t>(212,817)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(64,214)</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8"/>
                <w:szCs w:val="18"/>
                <w:color w:val="auto"/>
              </w:rPr>
              <w:t>Outstanding, December 31, 2021</w:t>
            </w:r>
          </w:p>
        </w:tc>
        <w:tc>
          <w:tcPr>
            <w:tcW w:w="1240" w:type="dxa"/>
            <w:vAlign w:val="bottom"/>
          </w:tcPr>
          <w:p>
            <w:pPr>
              <w:jc w:val="right"/>
              <w:spacing w:after="0"/>
              <w:rPr>
                <w:sz w:val="20"/>
                <w:szCs w:val="20"/>
                <w:color w:val="auto"/>
              </w:rPr>
            </w:pPr>
            <w:r>
              <w:rPr>
                <w:rFonts w:ascii="Arial" w:cs="Arial" w:eastAsia="Arial" w:hAnsi="Arial"/>
                <w:sz w:val="18"/>
                <w:szCs w:val="18"/>
                <w:color w:val="auto"/>
              </w:rPr>
              <w:t>2,488,655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7,919</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6,224</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917,035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Expired</w:t>
            </w:r>
          </w:p>
        </w:tc>
        <w:tc>
          <w:tcPr>
            <w:tcW w:w="1240" w:type="dxa"/>
            <w:vAlign w:val="bottom"/>
          </w:tcPr>
          <w:p>
            <w:pPr>
              <w:jc w:val="right"/>
              <w:spacing w:after="0"/>
              <w:rPr>
                <w:sz w:val="20"/>
                <w:szCs w:val="20"/>
                <w:color w:val="auto"/>
              </w:rPr>
            </w:pPr>
            <w:r>
              <w:rPr>
                <w:rFonts w:ascii="Arial" w:cs="Arial" w:eastAsia="Arial" w:hAnsi="Arial"/>
                <w:sz w:val="18"/>
                <w:szCs w:val="18"/>
                <w:color w:val="auto"/>
              </w:rPr>
              <w:t>(54,221)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(1,174,165)</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2,147,141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December 31, 2022</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1,374,601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Vested and expected to vest</w:t>
            </w:r>
          </w:p>
        </w:tc>
        <w:tc>
          <w:tcPr>
            <w:tcW w:w="1240" w:type="dxa"/>
            <w:vAlign w:val="bottom"/>
          </w:tcPr>
          <w:p>
            <w:pPr>
              <w:jc w:val="right"/>
              <w:spacing w:after="0"/>
              <w:rPr>
                <w:sz w:val="20"/>
                <w:szCs w:val="20"/>
                <w:color w:val="auto"/>
              </w:rPr>
            </w:pPr>
            <w:r>
              <w:rPr>
                <w:rFonts w:ascii="Arial" w:cs="Arial" w:eastAsia="Arial" w:hAnsi="Arial"/>
                <w:sz w:val="18"/>
                <w:szCs w:val="18"/>
                <w:color w:val="auto"/>
              </w:rPr>
              <w:t>2,076,607</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options granted in U.S. dollars under the New Plan and the Inducement Plan: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Term</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of Options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30"/>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3,790,326</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92,705</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1,726,421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320" w:type="dxa"/>
            <w:vAlign w:val="bottom"/>
          </w:tcPr>
          <w:p>
            <w:pPr>
              <w:jc w:val="right"/>
              <w:spacing w:after="0"/>
              <w:rPr>
                <w:sz w:val="20"/>
                <w:szCs w:val="20"/>
                <w:color w:val="auto"/>
              </w:rPr>
            </w:pPr>
            <w:r>
              <w:rPr>
                <w:rFonts w:ascii="Arial" w:cs="Arial" w:eastAsia="Arial" w:hAnsi="Arial"/>
                <w:sz w:val="18"/>
                <w:szCs w:val="18"/>
                <w:color w:val="auto"/>
              </w:rPr>
              <w:t>(289,202)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(310,631)</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Outstanding, December 31, 2021</w:t>
            </w:r>
          </w:p>
        </w:tc>
        <w:tc>
          <w:tcPr>
            <w:tcW w:w="1320" w:type="dxa"/>
            <w:vAlign w:val="bottom"/>
          </w:tcPr>
          <w:p>
            <w:pPr>
              <w:jc w:val="right"/>
              <w:spacing w:after="0"/>
              <w:rPr>
                <w:sz w:val="20"/>
                <w:szCs w:val="20"/>
                <w:color w:val="auto"/>
              </w:rPr>
            </w:pPr>
            <w:r>
              <w:rPr>
                <w:rFonts w:ascii="Arial" w:cs="Arial" w:eastAsia="Arial" w:hAnsi="Arial"/>
                <w:sz w:val="18"/>
                <w:szCs w:val="18"/>
                <w:color w:val="auto"/>
              </w:rPr>
              <w:t>4,916,914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2,996,898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Expired</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(2,339,610)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5,565,145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December 31, 2022</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2,553,862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Vested and expected to vest</w:t>
            </w:r>
          </w:p>
        </w:tc>
        <w:tc>
          <w:tcPr>
            <w:tcW w:w="1320" w:type="dxa"/>
            <w:vAlign w:val="bottom"/>
          </w:tcPr>
          <w:p>
            <w:pPr>
              <w:jc w:val="right"/>
              <w:spacing w:after="0"/>
              <w:rPr>
                <w:sz w:val="20"/>
                <w:szCs w:val="20"/>
                <w:color w:val="auto"/>
              </w:rPr>
            </w:pPr>
            <w:r>
              <w:rPr>
                <w:rFonts w:ascii="Arial" w:cs="Arial" w:eastAsia="Arial" w:hAnsi="Arial"/>
                <w:sz w:val="18"/>
                <w:szCs w:val="18"/>
                <w:color w:val="auto"/>
              </w:rPr>
              <w:t>5,320,561</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2022, the Company received cash proceeds of $255 (2021: $6,428 and 2020: $7,111) from stock options exercised.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stock options outstanding at December 31, 2022 expire at various dates from January 1, 2023 to December 20, 2032.</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non-vested stock option activity and related information of the Company’s stock options granted in Canadian dollars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4"/>
        </w:trPr>
        <w:tc>
          <w:tcPr>
            <w:tcW w:w="7020" w:type="dxa"/>
            <w:vAlign w:val="bottom"/>
          </w:tcPr>
          <w:p>
            <w:pPr>
              <w:spacing w:after="0"/>
              <w:rPr>
                <w:sz w:val="12"/>
                <w:szCs w:val="12"/>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4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average grant</w:t>
            </w: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date fair value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options</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8"/>
              </w:rPr>
              <w:t>(US$)</w:t>
            </w:r>
          </w:p>
        </w:tc>
        <w:tc>
          <w:tcPr>
            <w:tcW w:w="0" w:type="dxa"/>
            <w:vAlign w:val="bottom"/>
          </w:tcPr>
          <w:p>
            <w:pPr>
              <w:spacing w:after="0"/>
              <w:rPr>
                <w:sz w:val="1"/>
                <w:szCs w:val="1"/>
                <w:color w:val="auto"/>
              </w:rPr>
            </w:pPr>
          </w:p>
        </w:tc>
      </w:tr>
      <w:tr>
        <w:trPr>
          <w:trHeight w:val="229"/>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December 31, 2021</w:t>
            </w:r>
          </w:p>
        </w:tc>
        <w:tc>
          <w:tcPr>
            <w:tcW w:w="1320" w:type="dxa"/>
            <w:vAlign w:val="bottom"/>
            <w:tcBorders>
              <w:top w:val="single" w:sz="8" w:color="auto"/>
            </w:tcBorders>
            <w:shd w:val="clear" w:color="auto" w:fill="CCEEFF"/>
          </w:tcPr>
          <w:p>
            <w:pPr>
              <w:jc w:val="center"/>
              <w:ind w:left="495"/>
              <w:spacing w:after="0"/>
              <w:rPr>
                <w:sz w:val="20"/>
                <w:szCs w:val="20"/>
                <w:color w:val="auto"/>
              </w:rPr>
            </w:pPr>
            <w:r>
              <w:rPr>
                <w:rFonts w:ascii="Arial" w:cs="Arial" w:eastAsia="Arial" w:hAnsi="Arial"/>
                <w:sz w:val="18"/>
                <w:szCs w:val="18"/>
                <w:color w:val="auto"/>
                <w:w w:val="89"/>
              </w:rPr>
              <w:t>773,593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320" w:type="dxa"/>
            <w:vAlign w:val="bottom"/>
          </w:tcPr>
          <w:p>
            <w:pPr>
              <w:jc w:val="center"/>
              <w:ind w:left="495"/>
              <w:spacing w:after="0"/>
              <w:rPr>
                <w:sz w:val="20"/>
                <w:szCs w:val="20"/>
                <w:color w:val="auto"/>
              </w:rPr>
            </w:pPr>
            <w:r>
              <w:rPr>
                <w:rFonts w:ascii="Arial" w:cs="Arial" w:eastAsia="Arial" w:hAnsi="Arial"/>
                <w:sz w:val="18"/>
                <w:szCs w:val="18"/>
                <w:color w:val="auto"/>
                <w:w w:val="89"/>
              </w:rPr>
              <w:t>917,035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vested</w:t>
            </w:r>
          </w:p>
        </w:tc>
        <w:tc>
          <w:tcPr>
            <w:tcW w:w="132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93"/>
              </w:rPr>
              <w:t>(355,428)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forfeited and cancelled</w:t>
            </w:r>
          </w:p>
        </w:tc>
        <w:tc>
          <w:tcPr>
            <w:tcW w:w="132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color w:val="auto"/>
                <w:w w:val="93"/>
              </w:rPr>
              <w:t>(562,660)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December 31, 2022</w:t>
            </w:r>
          </w:p>
        </w:tc>
        <w:tc>
          <w:tcPr>
            <w:tcW w:w="132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89"/>
              </w:rPr>
              <w:t>772,540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non-vested stock option activity and related information of the Company’s stock options granted in U.S. dollars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r>
      <w:tr>
        <w:trPr>
          <w:trHeight w:val="139"/>
        </w:trPr>
        <w:tc>
          <w:tcPr>
            <w:tcW w:w="8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average grant</w:t>
            </w:r>
          </w:p>
        </w:tc>
      </w:tr>
      <w:tr>
        <w:trPr>
          <w:trHeight w:val="158"/>
        </w:trPr>
        <w:tc>
          <w:tcPr>
            <w:tcW w:w="8440" w:type="dxa"/>
            <w:vAlign w:val="bottom"/>
          </w:tcPr>
          <w:p>
            <w:pPr>
              <w:spacing w:after="0"/>
              <w:rPr>
                <w:sz w:val="13"/>
                <w:szCs w:val="13"/>
                <w:color w:val="auto"/>
              </w:rPr>
            </w:pP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Number of</w:t>
            </w: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date fair value</w:t>
            </w:r>
          </w:p>
        </w:tc>
      </w:tr>
      <w:tr>
        <w:trPr>
          <w:trHeight w:val="196"/>
        </w:trPr>
        <w:tc>
          <w:tcPr>
            <w:tcW w:w="844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options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8"/>
              </w:rPr>
              <w:t>(US$)</w:t>
            </w:r>
          </w:p>
        </w:tc>
      </w:tr>
      <w:tr>
        <w:trPr>
          <w:trHeight w:val="230"/>
        </w:trPr>
        <w:tc>
          <w:tcPr>
            <w:tcW w:w="8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2,601,916</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2,996,898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(997,572)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forfeited and cancelled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(1,589,959)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December 31, 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3,011,283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r>
    </w:tbl>
    <w:p>
      <w:pPr>
        <w:spacing w:after="0" w:line="283" w:lineRule="exact"/>
        <w:rPr>
          <w:sz w:val="20"/>
          <w:szCs w:val="20"/>
          <w:color w:val="auto"/>
        </w:rPr>
      </w:pPr>
    </w:p>
    <w:p>
      <w:pPr>
        <w:jc w:val="both"/>
        <w:ind w:right="140"/>
        <w:spacing w:after="0" w:line="295" w:lineRule="auto"/>
        <w:rPr>
          <w:sz w:val="20"/>
          <w:szCs w:val="20"/>
          <w:color w:val="auto"/>
        </w:rPr>
      </w:pPr>
      <w:r>
        <w:rPr>
          <w:rFonts w:ascii="Arial" w:cs="Arial" w:eastAsia="Arial" w:hAnsi="Arial"/>
          <w:sz w:val="16"/>
          <w:szCs w:val="16"/>
          <w:color w:val="auto"/>
        </w:rPr>
        <w:t>The estimated fair values of options granted to officers, directors, employees and consultants are amortized over the relevant vesting periods. Stock-based compensation expense for equity classified instruments, as well as the financial statement impact of the amortization and periodic revaluation of liability classified instruments (note 2), are recorded in research and development expense, general and administration expense and finance expense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6"/>
                <w:szCs w:val="16"/>
                <w:color w:val="auto"/>
              </w:rPr>
            </w:pPr>
          </w:p>
        </w:tc>
      </w:tr>
      <w:tr>
        <w:trPr>
          <w:trHeight w:val="25"/>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Stock-based compensation for equity classified instruments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20,090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12,299</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liability classified instruments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0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15,444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12,293</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Stock-based compensation for equity classified instruments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18,184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14,645</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liability classified instruments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23"/>
        </w:trPr>
        <w:tc>
          <w:tcPr>
            <w:tcW w:w="70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(5,574)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16,061</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of liability classified instruments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70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bl>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Amounts for equity classified instruments above include stock-based compensation expense relating to RSUs of $913 for the year ended December 31, 2022 (2021: $3,101 and 2020: $1,387).</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year ended December 31, 2022, stock-based compensation expense of $9,516 was recorded in additional paid-in capital and recovery of $3,261 was recorded in the liability classified stock options and ESPP liability accounts (2021: $38,275 in additional paid-in capital and recovery of $27,517 in liability classified stock options and ESPP liability accounts, 2020: $26,945 in additional paid-in capital and $2,171 in liability classified stock options and ESPP liability accounts).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estimated fair value of stock options granted under the New Plan was determined using the Black-Scholes option pricing model with the following weighted-average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4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Year ended December 31,</w:t>
            </w:r>
          </w:p>
        </w:tc>
        <w:tc>
          <w:tcPr>
            <w:tcW w:w="1440" w:type="dxa"/>
            <w:vAlign w:val="bottom"/>
          </w:tcPr>
          <w:p>
            <w:pPr>
              <w:spacing w:after="0"/>
              <w:rPr>
                <w:sz w:val="16"/>
                <w:szCs w:val="16"/>
                <w:color w:val="auto"/>
              </w:rPr>
            </w:pPr>
          </w:p>
        </w:tc>
      </w:tr>
      <w:tr>
        <w:trPr>
          <w:trHeight w:val="26"/>
        </w:trPr>
        <w:tc>
          <w:tcPr>
            <w:tcW w:w="67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9"/>
        </w:trPr>
        <w:tc>
          <w:tcPr>
            <w:tcW w:w="6700" w:type="dxa"/>
            <w:vAlign w:val="bottom"/>
          </w:tcPr>
          <w:p>
            <w:pPr>
              <w:spacing w:after="0"/>
              <w:rPr>
                <w:sz w:val="16"/>
                <w:szCs w:val="16"/>
                <w:color w:val="auto"/>
              </w:rPr>
            </w:pPr>
          </w:p>
        </w:tc>
        <w:tc>
          <w:tcPr>
            <w:tcW w:w="14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54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420" w:type="dxa"/>
            <w:vAlign w:val="bottom"/>
          </w:tcPr>
          <w:p>
            <w:pPr>
              <w:jc w:val="right"/>
              <w:spacing w:after="0"/>
              <w:rPr>
                <w:sz w:val="20"/>
                <w:szCs w:val="20"/>
                <w:color w:val="auto"/>
              </w:rPr>
            </w:pPr>
            <w:r>
              <w:rPr>
                <w:rFonts w:ascii="Arial" w:cs="Arial" w:eastAsia="Arial" w:hAnsi="Arial"/>
                <w:sz w:val="18"/>
                <w:szCs w:val="18"/>
                <w:color w:val="auto"/>
              </w:rPr>
              <w:t>77.2 %</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80.3 %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76.8 %</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0.66 %</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Expected average life of options</w:t>
            </w:r>
          </w:p>
        </w:tc>
        <w:tc>
          <w:tcPr>
            <w:tcW w:w="1420" w:type="dxa"/>
            <w:vAlign w:val="bottom"/>
          </w:tcPr>
          <w:p>
            <w:pPr>
              <w:jc w:val="right"/>
              <w:spacing w:after="0"/>
              <w:rPr>
                <w:sz w:val="20"/>
                <w:szCs w:val="20"/>
                <w:color w:val="auto"/>
              </w:rPr>
            </w:pPr>
            <w:r>
              <w:rPr>
                <w:rFonts w:ascii="Arial" w:cs="Arial" w:eastAsia="Arial" w:hAnsi="Arial"/>
                <w:sz w:val="18"/>
                <w:szCs w:val="18"/>
                <w:color w:val="auto"/>
              </w:rPr>
              <w:t>5.93 years</w:t>
            </w:r>
          </w:p>
        </w:tc>
        <w:tc>
          <w:tcPr>
            <w:tcW w:w="100" w:type="dxa"/>
            <w:vAlign w:val="bottom"/>
          </w:tcPr>
          <w:p>
            <w:pPr>
              <w:spacing w:after="0"/>
              <w:rPr>
                <w:sz w:val="20"/>
                <w:szCs w:val="20"/>
                <w:color w:val="auto"/>
              </w:rPr>
            </w:pPr>
          </w:p>
        </w:tc>
        <w:tc>
          <w:tcPr>
            <w:tcW w:w="1540" w:type="dxa"/>
            <w:vAlign w:val="bottom"/>
            <w:gridSpan w:val="2"/>
          </w:tcPr>
          <w:p>
            <w:pPr>
              <w:ind w:left="680"/>
              <w:spacing w:after="0"/>
              <w:rPr>
                <w:sz w:val="20"/>
                <w:szCs w:val="20"/>
                <w:color w:val="auto"/>
              </w:rPr>
            </w:pPr>
            <w:r>
              <w:rPr>
                <w:rFonts w:ascii="Arial" w:cs="Arial" w:eastAsia="Arial" w:hAnsi="Arial"/>
                <w:sz w:val="18"/>
                <w:szCs w:val="18"/>
                <w:color w:val="auto"/>
                <w:w w:val="99"/>
              </w:rPr>
              <w:t>6.05 years</w:t>
            </w:r>
          </w:p>
        </w:tc>
        <w:tc>
          <w:tcPr>
            <w:tcW w:w="1440" w:type="dxa"/>
            <w:vAlign w:val="bottom"/>
          </w:tcPr>
          <w:p>
            <w:pPr>
              <w:jc w:val="right"/>
              <w:spacing w:after="0"/>
              <w:rPr>
                <w:sz w:val="20"/>
                <w:szCs w:val="20"/>
                <w:color w:val="auto"/>
              </w:rPr>
            </w:pPr>
            <w:r>
              <w:rPr>
                <w:rFonts w:ascii="Arial" w:cs="Arial" w:eastAsia="Arial" w:hAnsi="Arial"/>
                <w:sz w:val="18"/>
                <w:szCs w:val="18"/>
                <w:color w:val="auto"/>
              </w:rPr>
              <w:t>6.04 years</w:t>
            </w:r>
          </w:p>
        </w:tc>
      </w:tr>
    </w:tbl>
    <w:p>
      <w:pPr>
        <w:spacing w:after="0" w:line="29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Volatility is a measure of the amount by which a financial variable such as a share price has fluctuated (historical volatility) or is</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fluctuate (expected volatility) during a period. The Company has calculated the expected volatility using the volatility of its own stock and that of several public entities of similar complexity and stage of development and calculates historical volatility using the volatility of these companies.</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This rate is from the Government of Canada and U.S. Federal Reserve marketable bonds for the month prior to each option grant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 having a term that most closely resembles the expected life of the option.</w:t>
      </w:r>
    </w:p>
    <w:p>
      <w:pPr>
        <w:spacing w:after="0" w:line="17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This is the period of time that the options granted are expected to remain unexercised. Options granted have a maximum term of ten</w:t>
      </w:r>
      <w:r>
        <w:rPr>
          <w:rFonts w:ascii="Arial" w:cs="Arial" w:eastAsia="Arial" w:hAnsi="Arial"/>
          <w:sz w:val="18"/>
          <w:szCs w:val="18"/>
          <w:i w:val="1"/>
          <w:iCs w:val="1"/>
          <w:color w:val="auto"/>
        </w:rPr>
        <w:t xml:space="preserve"> </w:t>
      </w:r>
      <w:r>
        <w:rPr>
          <w:rFonts w:ascii="Arial" w:cs="Arial" w:eastAsia="Arial" w:hAnsi="Arial"/>
          <w:sz w:val="18"/>
          <w:szCs w:val="18"/>
          <w:color w:val="auto"/>
        </w:rPr>
        <w:t>years. The Company uses the simplified method to calculate the average expected term, which represents the average of the vesting period and the contractual term.</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 xml:space="preserve">Share Fair Value </w:t>
      </w:r>
      <w:r>
        <w:rPr>
          <w:rFonts w:ascii="Arial" w:cs="Arial" w:eastAsia="Arial" w:hAnsi="Arial"/>
          <w:sz w:val="17"/>
          <w:szCs w:val="17"/>
          <w:color w:val="auto"/>
        </w:rPr>
        <w:t>— Options granted after the Company’s IPO are issued with exercise price equal to the fair market value of the Company’s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on the grant date. Before the IPO, the Company granted stock options at exercise prices not less than the fair value of its common shares as determined by the board of directors, with input from management. Management estimated the fair value of its common shares based on a number of objective and subjective factors, including the most recently available valuation of common shares prepared by independent valuation specialists, external market considerations affecting the biotechnology industry and the historic prices at which the Company sold common shares.</w:t>
      </w:r>
    </w:p>
    <w:p>
      <w:pPr>
        <w:spacing w:after="0" w:line="176"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The weighted-average Black-Scholes option pricing assumptions for liability classified stock options outstanding at December 31, 2022 and 2021 are as follows:</w:t>
      </w:r>
    </w:p>
    <w:tbl>
      <w:tblPr>
        <w:tblLayout w:type="fixed"/>
        <w:tblInd w:w="0" w:type="dxa"/>
        <w:tblCellMar>
          <w:top w:w="0" w:type="dxa"/>
          <w:left w:w="0" w:type="dxa"/>
          <w:bottom w:w="0" w:type="dxa"/>
          <w:right w:w="0" w:type="dxa"/>
        </w:tblCellMar>
      </w:tblPr>
      <w:tr>
        <w:trPr>
          <w:trHeight w:val="144"/>
        </w:trPr>
        <w:tc>
          <w:tcPr>
            <w:tcW w:w="8220" w:type="dxa"/>
            <w:vAlign w:val="bottom"/>
          </w:tcPr>
          <w:p>
            <w:pPr>
              <w:spacing w:after="0"/>
              <w:rPr>
                <w:sz w:val="12"/>
                <w:szCs w:val="12"/>
                <w:color w:val="auto"/>
              </w:rPr>
            </w:pPr>
          </w:p>
        </w:tc>
        <w:tc>
          <w:tcPr>
            <w:tcW w:w="1560" w:type="dxa"/>
            <w:vAlign w:val="bottom"/>
            <w:gridSpan w:val="2"/>
          </w:tcPr>
          <w:p>
            <w:pPr>
              <w:ind w:left="300"/>
              <w:spacing w:after="0" w:line="145" w:lineRule="exact"/>
              <w:rPr>
                <w:sz w:val="20"/>
                <w:szCs w:val="20"/>
                <w:color w:val="auto"/>
              </w:rPr>
            </w:pPr>
            <w:r>
              <w:rPr>
                <w:rFonts w:ascii="Arial" w:cs="Arial" w:eastAsia="Arial" w:hAnsi="Arial"/>
                <w:sz w:val="14"/>
                <w:szCs w:val="14"/>
                <w:b w:val="1"/>
                <w:bCs w:val="1"/>
                <w:color w:val="auto"/>
              </w:rPr>
              <w:t>December 31,</w:t>
            </w:r>
          </w:p>
        </w:tc>
        <w:tc>
          <w:tcPr>
            <w:tcW w:w="1460" w:type="dxa"/>
            <w:vAlign w:val="bottom"/>
          </w:tcPr>
          <w:p>
            <w:pPr>
              <w:jc w:val="right"/>
              <w:ind w:right="215"/>
              <w:spacing w:after="0" w:line="145" w:lineRule="exact"/>
              <w:rPr>
                <w:sz w:val="20"/>
                <w:szCs w:val="20"/>
                <w:color w:val="auto"/>
              </w:rPr>
            </w:pPr>
            <w:r>
              <w:rPr>
                <w:rFonts w:ascii="Arial" w:cs="Arial" w:eastAsia="Arial" w:hAnsi="Arial"/>
                <w:sz w:val="14"/>
                <w:szCs w:val="14"/>
                <w:b w:val="1"/>
                <w:bCs w:val="1"/>
                <w:color w:val="auto"/>
              </w:rPr>
              <w:t>December 31,</w:t>
            </w:r>
          </w:p>
        </w:tc>
      </w:tr>
      <w:tr>
        <w:trPr>
          <w:trHeight w:val="196"/>
        </w:trPr>
        <w:tc>
          <w:tcPr>
            <w:tcW w:w="82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460" w:type="dxa"/>
            <w:vAlign w:val="bottom"/>
          </w:tcPr>
          <w:p>
            <w:pPr>
              <w:jc w:val="right"/>
              <w:spacing w:after="0"/>
              <w:rPr>
                <w:sz w:val="20"/>
                <w:szCs w:val="20"/>
                <w:color w:val="auto"/>
              </w:rPr>
            </w:pPr>
            <w:r>
              <w:rPr>
                <w:rFonts w:ascii="Arial" w:cs="Arial" w:eastAsia="Arial" w:hAnsi="Arial"/>
                <w:sz w:val="18"/>
                <w:szCs w:val="18"/>
                <w:color w:val="auto"/>
              </w:rPr>
              <w:t>78.6 %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74.3 %</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0.99 %</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Expected average option term</w:t>
            </w:r>
          </w:p>
        </w:tc>
        <w:tc>
          <w:tcPr>
            <w:tcW w:w="1560" w:type="dxa"/>
            <w:vAlign w:val="bottom"/>
            <w:gridSpan w:val="2"/>
          </w:tcPr>
          <w:p>
            <w:pPr>
              <w:ind w:left="700"/>
              <w:spacing w:after="0"/>
              <w:rPr>
                <w:sz w:val="20"/>
                <w:szCs w:val="20"/>
                <w:color w:val="auto"/>
              </w:rPr>
            </w:pPr>
            <w:r>
              <w:rPr>
                <w:rFonts w:ascii="Arial" w:cs="Arial" w:eastAsia="Arial" w:hAnsi="Arial"/>
                <w:sz w:val="18"/>
                <w:szCs w:val="18"/>
                <w:color w:val="auto"/>
                <w:w w:val="99"/>
              </w:rPr>
              <w:t>1.90 years</w:t>
            </w:r>
          </w:p>
        </w:tc>
        <w:tc>
          <w:tcPr>
            <w:tcW w:w="1460" w:type="dxa"/>
            <w:vAlign w:val="bottom"/>
          </w:tcPr>
          <w:p>
            <w:pPr>
              <w:jc w:val="right"/>
              <w:spacing w:after="0"/>
              <w:rPr>
                <w:sz w:val="20"/>
                <w:szCs w:val="20"/>
                <w:color w:val="auto"/>
              </w:rPr>
            </w:pPr>
            <w:r>
              <w:rPr>
                <w:rFonts w:ascii="Arial" w:cs="Arial" w:eastAsia="Arial" w:hAnsi="Arial"/>
                <w:sz w:val="18"/>
                <w:szCs w:val="18"/>
                <w:color w:val="auto"/>
              </w:rPr>
              <w:t>2.35 years</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liability classified stock options outstanding</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721,985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911,400</w:t>
            </w:r>
          </w:p>
        </w:tc>
      </w:tr>
    </w:tbl>
    <w:p>
      <w:pPr>
        <w:spacing w:after="0" w:line="28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total intrinsic value of stock options exercised during the years ended December 31, 2022, 2021 and 2020 was $53, $10,998 and $19,446 respectively. At December 31, 2022, the unamortized compensation expense related to unvested options was $13,879. The remaining unamortized compensation expense as of December 31, 2022 will be recognized over a weighted-average period of 1.5 years.</w:t>
      </w:r>
    </w:p>
    <w:p>
      <w:pPr>
        <w:spacing w:after="0" w:line="292"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Employee Stock Purchase Plan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April 10, 2017, the Company’s shareholders approved an employee stock purchase plan (“ESPP”) which became effective immediately prior to the consummation of the Company’s IPO. On June 7, 2018, certain amendments to the ESPP were approved by shareholders. Prior to these amendments, the ESPP allowed eligible employees to acquire common shares at a discounted purchase price of 85% of the market value of the Company’s common shares on the purchase date. The ESPP, as amended, allows eligible employees to acquire common shares at a discounted purchase price of the lesser of (i) 85% of the market price of a common share on the first day of the applicable purchase period and (ii) 85% of the market price of a common share on the purchase date. The ESPP qualifies as an “employee stock purchase plan” within the meaning of Section 423 of the Code for employees who are United States taxpayers.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currently holds offerings consisting of a single six-month purchase period commencing on January 1 and July 1 of each calendar year, with a single purchase date at the end of the purchase period on June 30 and December 31 of each calendar year.</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Eligible employees are able to contribute up to 15% of their gross base earnings for purchases under the ESPP through regular payroll deductions. Purchases of shares under the ESPP are limited for each employee at twenty-five thousand dollars worth of the Company’s common shares (determined using the lesser of (i) the market price of a common share on the first day of the applicable purchase period and (ii) the market price of a common share on the purchase date) for each year such purchase right is outstanding.</w:t>
      </w:r>
    </w:p>
    <w:p>
      <w:pPr>
        <w:spacing w:after="0" w:line="187"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As this plan is considered compensatory, the Company recognizes compensation expense on these awards based on their estimated grant date fair value using the Black-Scholes option pricing model. The Company recognizes compensation expense in the consolidated statements of income (loss) and comprehensive income (loss) on a straight-line basis over the requisite service period. For the year ended December 31, 2022, the Company recorded compensation expense of $424 (2021: $1,016, 2020: 803) in research and development expense and general and administrative expense accounts. As of December 31, 2022, the total amount contributed by ESPP participants and not yet settled is $287 (December 31, 2021: $1,243).</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Government Grants and Credits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64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64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CEWS and CERS subsidies</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SR&amp;ED credits, net</w:t>
            </w: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April 2020, the Government of Canada announced the CEWS and CERS programs for Canadian employers whose businesses were affected by the COVID-19 pandemic. The CEWS and CERS provide a subsidy of up to a certain percentage of eligible employees’ eligible remuneration and eligible rent payments, subject to certain criteria. The Company applied for the CEWS and CERS to the extent it met the requirements to receive the subsidy and recognized $130 (2021: $2,805) and nil (2021: $597) in total CEWS and CERS subsidies respectively, as a reduction to salaries and benefits expense and rent expense in research and development expense and general administrative expense in the consolidated statement of income (loss) and comprehensive income (loss).</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year ended December 31, 2022, the Company recognized refundable investment tax credits of nil as a reduction of research and development expense. Although the Company has used its best judgment and understanding of the related income tax legislation in determining its claims, it is possible the amounts could increase or decrease materially in the future, as the Canada Revenue Agency and Revenue Québec reserve the right to review and audit the investment tax credit claims.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Research, Collaboration and Licensing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recognized from the Company’s strategic partnerships is summarized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60" w:type="dxa"/>
            <w:vAlign w:val="bottom"/>
            <w:gridSpan w:val="6"/>
          </w:tcPr>
          <w:p>
            <w:pPr>
              <w:spacing w:after="0"/>
              <w:rPr>
                <w:sz w:val="20"/>
                <w:szCs w:val="20"/>
                <w:color w:val="auto"/>
              </w:rPr>
            </w:pPr>
            <w:r>
              <w:rPr>
                <w:rFonts w:ascii="Arial" w:cs="Arial" w:eastAsia="Arial" w:hAnsi="Arial"/>
                <w:sz w:val="14"/>
                <w:szCs w:val="14"/>
                <w:b w:val="1"/>
                <w:bCs w:val="1"/>
                <w:color w:val="auto"/>
                <w:w w:val="90"/>
              </w:rPr>
              <w:t>Year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7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7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Jazz:</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Recognition of licensing and technology transfer fee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4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Development support payments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Atreca: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Recognition of licensing fee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BeiGene: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Milestone revenue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Janssen: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Milestone revenue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Iconic:</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Partner revenue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BMS: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Upfront fee relating to amendment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12,000</w:t>
            </w:r>
          </w:p>
        </w:tc>
      </w:tr>
      <w:tr>
        <w:trPr>
          <w:trHeight w:val="270"/>
        </w:trPr>
        <w:tc>
          <w:tcPr>
            <w:tcW w:w="7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 support and other payments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w:t>
            </w:r>
          </w:p>
        </w:tc>
      </w:tr>
      <w:tr>
        <w:trPr>
          <w:trHeight w:val="248"/>
        </w:trPr>
        <w:tc>
          <w:tcPr>
            <w:tcW w:w="7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412,482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at December 31, 2022, contract assets from research, collaboration and licensing agreements were $3,000, which is presented within accounts receivable (December 31, 2021: nil) and contract liabilities were $32,941 (December 31, 2021: $32,941). As at December 31, 2022 and 2021, $2,353 and nil respectively, of the contract liabilities is classified as short term. Contract liabilities relate to deferred revenue from the BeiGene agreement described below.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2022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Jazz</w:t>
      </w:r>
    </w:p>
    <w:p>
      <w:pPr>
        <w:spacing w:after="0" w:line="2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October 18, 2022, the Zymeworks BC entered into a License and Collaboration Agreement (the "Jazz Collaboration Agreement") with Jazz Pharmaceuticals Ireland Limited ("Jazz"), under which Jazz will have development and commercialization rights of zanidatamab throughout the world, but excluding the People’s Republic of China, Australia, New Zealand, Kazakhstan, Kyrgyzstan, Tajikistan, Turkmenistan, Uzbekistan, Hong Kong, Taiwan, Macau, Mongolia, South Korea, Brunei Darussalam, Cambodia, Indonesia, Papua New Guinea, Lao People’s Democratic Republic, Malaysia, Myanmar, Philippines, Singapore, Thailand, Timor-Leste, and Vietnam.</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Under the Jazz Collaboration Agreement, the Company received a $50.0 million upfront payment upon delivery of licenses and technology transfer to Jazz as well as the receipt of United States Hart-Scott Rodino Antitrust Improvements Act of 1976 (“HSR”) Clearance (“Initial Technology Transfer”). A further payment of $325.0 million was received following Jazz's decision to continue the collaboration after readout of the top-line clinical data from HERIZON-BTC-01 (“BTC Data Transfer”). The Company considered the fair value of performance obligations based on the Company’s best estimate of their relative stand-alone selling prices, and allocated $375.0 million of the transaction price to the Company’s performance obligations in relation to the delivery of licenses, the Initial Technology Transfer and BTC Data Transfer under the Jazz Collaboration Agreement.</w:t>
      </w:r>
    </w:p>
    <w:p>
      <w:pPr>
        <w:spacing w:after="0" w:line="16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Development and commercial licenses, the Initial Technology and BTC Data Transfers were considered to be a single performance obligation. The consideration of $50.0 million allocated to this performance obligation was recognized as revenue in November 2022, upon delivery of these performance obligations and receipt of the HSR Clearance. Remaining consideration of $325.0 million was recognized as revenue upon completion of BTC Data Transfer to Jazz and Jazz’s decision to continue the Jazz Collaboration agreement, in December 2022.</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Deliverables of development work performed by the Company, continuing technology transfer, participation in the Joint Steering Committee (“JSC”), and transfer of first BLA together were considered to be a single performance obligation and the consideration allocated to this performance obligation will be recognized as revenue over time as these activities are completed. Accordingly, the Company recognized $24.3 million in relation to recovery of cost of development work for zanidatamab, for the year ended December 31, 2022.</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Remaining deliverables of Manufacturing Technology Transfer, Development Drug Supply, Commercial Drug Supply are considered individually distinct and did not result in a performance obligation during the year ended December 31, 2022 and the revenue related to these deliveries will be recognized upon completion of future deliveries to Jazz.</w:t>
      </w:r>
    </w:p>
    <w:p>
      <w:pPr>
        <w:spacing w:after="0" w:line="18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Company will be also eligible to receive up to $525.0 million in certain regulatory milestones payments and up to $862.5 million in potential commercial milestone payments. Pending approval, the Company is eligible to receive tiered royalties between 10% and 20% on Jazz’s annual net sales, with customary reductions in specified circumstances. No development or commercial milestone payments or royalties have been received to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Atreca</w:t>
      </w:r>
    </w:p>
    <w:p>
      <w:pPr>
        <w:spacing w:after="0" w:line="17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April 2022, the Company entered into a new licensing agreement with Atreca, Inc. (“Atreca”), granting Atreca a worldwide, royalty-bearing license to research, develop and commercialize novel ADCs. The Company is eligible to receive up to $210.0 million in option exercise fees and clinical development and regulatory approval milestone payments and up to $540.0 million in commercial milestone payments, as well as tiered royalties on worldwide sales. The Company's performance obligations in relation to the research license fee of $5.0 million were met in April 2022. Accordingly, the research license fee was recognized as revenue during the year ended December 31, 2022.</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2021 and prior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License Agreement with Merck Sharp &amp; Dohme Research Ltd. (“Merck”)</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August 22, 2011, the Company entered into a research and license agreement with Merck, which was amended and restated in December 2014, to develop and commercialize three bispecific antibodies generated through the use of the Company’s Azymetric and EFECT platforms. Under the terms of the agreement, the Company granted Merck a worldwide, royalty-bearing antibody sequence pair exclusive license to research, develop and commercialize certain licensed products. The amendments did not impact the determination of units of accounting or the allocation of the arrangement consideration. From contract inception to December 31, 2022, the Company has received an upfront payment of $1.25 million and research and development related payments totaling $5.5 million. Currently, there are no active programs under development pursuant to this agreement.</w:t>
      </w:r>
    </w:p>
    <w:p>
      <w:pPr>
        <w:spacing w:after="0" w:line="5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July 2020, the Company entered into a new licensing agreement with Merck granting Merck a worldwide, royalty-bearing license to research, develop and commercialize up to three new multispecific antibodies toward Merck’s therapeutic targets in the human health field and up to three new multispecific antibodies toward Merck’s therapeutic targets in the animal health field using the Company’s Azymetric and EFECT platforms. The Company is eligible to receive up to $419.3 million in option exercise fees and clinical development and regulatory approval milestone payments and up to $502.5 million in commercial milestone payments, as well as tiered royalties on worldwide sales.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and Collaboration Agreement with Eli Lilly and Company (“Lilly”)</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On December 17, 2013, the Company entered into a licensing and collaboration agreement with Lilly to develop novel bispecific antibody therapeutics using the Company’s proprietary Azymetric platform. The Company will apply its Azymetric platform in combination with Lilly’s proprietary targets to create novel bispecific antibodies which Lilly will have the right to develop and commercialize worldwide.</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From contract inception to December 31, 2022, the Company has received an upfront payment of $1.0 million and research and development related payments of $3.0 million. There are no active programs under development pursuant to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and Collaboration Agreement with Lilly</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October 22, 2014, the Company entered into a second licensing and collaboration agreement with Lilly to develop novel bispecific antibody therapeutics using the Company’s proprietary Azymetric platform. This agreement did not alter or amend the initial agreement entered into on December 17, 2013. Under the terms of this agreement Lilly was granted a worldwide, royalty-bearing antibody sequence pair-specific license to research, develop and commercialize certain licensed products. Each of the two agreements with Lilly were negotiated independently and the deliverables covered by the respective contracts are</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unrelated to one another as they cover different product candidates. Accordingly, the second Licensing and Collaboration Agreement with Lilly has been accounted for as a new arrangement.</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From contract inception to December 31, 2022, the Company has received research and development related payments totaling $10.0 million. There are no active programs under development pursuant to this agreement.</w:t>
      </w:r>
    </w:p>
    <w:p>
      <w:pPr>
        <w:spacing w:after="0" w:line="2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Licensing and Collaboration Agreement with Celgene Corporation &amp; Celgene Alpine Investment Co. LLC (formerly “Celgene” and now a Bristol-Myers Squibb company, “BMS”)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December 23, 2014, the Company entered into an agreement with Celgene (now “BMS”) to research, develop and commercialize bispecific antibodies generated through the use of the Company’s Azymetric platform. The Company will apply its Azymetric platform in combination with BMS’s proprietary targets to create novel bispecific antibodies for which BMS has an option to develop and commercialize a certain number of products (“Commercial License Option”).</w:t>
      </w:r>
    </w:p>
    <w:p>
      <w:pPr>
        <w:spacing w:after="0" w:line="18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Upon the execution of the Agreement, the Company received an upfront payment of $8.0 million and an expansion fee of $4.0 million. BMS has the right to exercise options on up to ten programs and if BMS opts in on a program, the Company is eligible to receive up to $164.0 million per product candidate (up to $1.64 billion for all ten programs), comprised of a commercial license option payment of $7.5 million, development milestone payments of up to $101.5 million and commercial milestone payments of up to $55.0 million. From contract inception to December 31, 2022, BMS has exercised one commercial license option and the Company has received a total of $7.5 million in product candidate-specific payments. After conclusion of BMS’s research period, BMS will be solely responsible for the research, development, manufacturing and commercialization of the products. In addition, the Company is eligible to receive tiered royalties calculated upon the global net sales of the resulting products. BMS will have exclusive worldwide commercialization rights to products derived from the agreement if BMS elects to exercise a commercial license option for each product. The Company determined that, the events and conditions resulting in payments for research, development and commercial milestones solely depend on BMS’s performance.</w:t>
      </w:r>
    </w:p>
    <w:p>
      <w:pPr>
        <w:spacing w:after="0" w:line="194" w:lineRule="exact"/>
        <w:rPr>
          <w:sz w:val="20"/>
          <w:szCs w:val="20"/>
          <w:color w:val="auto"/>
        </w:rPr>
      </w:pPr>
    </w:p>
    <w:p>
      <w:pPr>
        <w:ind w:right="280"/>
        <w:spacing w:after="0" w:line="299" w:lineRule="auto"/>
        <w:rPr>
          <w:sz w:val="20"/>
          <w:szCs w:val="20"/>
          <w:color w:val="auto"/>
        </w:rPr>
      </w:pPr>
      <w:r>
        <w:rPr>
          <w:rFonts w:ascii="Arial" w:cs="Arial" w:eastAsia="Arial" w:hAnsi="Arial"/>
          <w:sz w:val="16"/>
          <w:szCs w:val="16"/>
          <w:color w:val="auto"/>
        </w:rPr>
        <w:t>In June 2020, the Company’s existing collaboration agreement with BMS was amended to expand the license grant to include the use of the Company’s EFECT platform for the development of therapeutic candidates and to extend the research term. The amendment included an upfront expansion fee of $12.0 million paid to the Company and all other financial terms were unchanged. The Company’s performance obligations in relation to the upfront fee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were met on the date of amendment. Accordingly, the upfront payment was recognized as revenue during the year ended December 31, 2020.</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Agreement with GlaxoSmithKline Intellectual Property Development Ltd. (“GSK”)</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1, 2015, the Company entered into a collaboration and license agreement with GSK for the research, development, and commercialization of up to ten Fc-engineered monoclonal and bispecific antibodies generated through the use of the Company’s EFECT and Azymetric platforms. The Company and GSK will collaborate to further develop the Company’s EFECT platform through the design, engineering, and testing of novel engineered Fc domains tailored to induce specific antibody-mediated immune responses.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the conclusion of the research collaboration, both GSK and the Company will have the right to develop and commercialize monoclonal and bispecific antibody candidates that incorporate the Company’s optimized immune-modulating Fc domains.</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Under the terms of the agreement, GSK will have the right to develop a minimum of four products across multiple disease areas, and the Company will be eligible to receive up to $1.1 billion, including research, development, and commercial milestones of up to $110.0 million for each product. In addition, the Company is eligible to receive tiered sales royalties in the low single digits on net sales of products. Under this agreement, the Company is sharing certain research and development responsibilities with GSK to generate new Fc-engineered antibodies. Each party will bear its own costs for the responsibilities assigned to it during the research period. Furthermore, the Company will have the right to develop up to four products, free of royalties, using the new intellectual property arising from the collaboration and after a period of time, to grant licenses to such</w:t>
      </w:r>
    </w:p>
    <w:p>
      <w:pPr>
        <w:spacing w:after="0" w:line="1"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intellectual property for development of additional products by third parties without any royalty or milestone payment to GSK. The Company determined that, the events and conditions resulting in payments for research, development and commercial milestones solely depend on GSK’s performance.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No development or commercial milestone payments or royalties have been received to 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Technology Transfer and License Agreement with GSK</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April 21, 2016, the Company entered into a platform technology transfer and license agreement with GSK for the research, development, and commercialization of up to six bispecific antibodies enabled using the Company’s Azymetric platform. Each of the two agreements with GSK were negotiated independently and the deliverables covered by the respective contracts utilize different therapeutic platforms and are unrelated to one another. Accordingly, the Platform Technology and License Agreement with GSK has been accounted for as a new arrangement. In May 2019, this agreement was expanded to provide GSK access to the Company’s unique heavy-light chain pairing technology under the Azymetric platform. This may include bispecific antibodies incorporating new engineered Fc regions generated under the 2015 GSK agreement.</w:t>
      </w:r>
    </w:p>
    <w:p>
      <w:pPr>
        <w:spacing w:after="0" w:line="17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is eligible to receive up to $1.1 billion in milestone and other payments. From contract inception to December 31, 2022, the Company has received an upfront technology access fee payment of $6.0 million. The Company is also eligible to receive research milestone payments of up to $37.5 million, development milestone payments of up to $183.5 million and commercial milestone payments of up to $867.0 million. In addition, the Company is entitled to receive tiered royalties in the low to mid-single digits on product sales. The Company determined that, the events and conditions resulting in payments for research, development and commercial milestones solely depend on GSK’s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No research, development or commercial milestone payments or royalties have been received to date.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Cross License Agreement with Daiichi Sankyo, Co., Ltd. (“Daiichi Sankyo”)</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September 26, 2016, the Company entered into a collaboration and cross license agreement with Daiichi Sankyo for the research, development, and commercialization of one bispecific antibody enabled using the Company’s Azymetric and EFECT platforms. Additionally, the Company will license immuno-oncology antibodies from Daiichi Sankyo, with the right to research, develop and commercialize multiple products globally in exchange for royalties on product sales. Under the agreement, Daiichi Sankyo will have the option to develop and commercialize a single bispecific immuno-oncology therapeutic.</w:t>
      </w:r>
    </w:p>
    <w:p>
      <w:pPr>
        <w:spacing w:after="0" w:line="18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is also eligible to $149.9 million in milestone and other payments. From contract inception to December 31, 2022, the Company has received an upfront technology access fee payment of $2.0 million and research and commercial option related payments totaling $4.5 million. The Company is also eligible to receive additional development milestone payments of up to $63.4 million, and commercial milestone payments of up to $80.0 million. In addition, the Company is eligible to receive tiered royalties ranging from the low single digits up to 10% on product sales. The Company also has non-exclusive rights to develop and commercialize up to six products using Daiichi Sankyo’s proprietary immune-oncology antibodies, with royalties in the low single digits to be paid to Daiichi Sankyo on sales of such products. Daiichi Sankyo is solely responsible for the research, development, manufacturing and commercialization of the products. Under the non-exclusive immuno-oncology antibody license to Zymeworks, Zymeworks is solely responsible for all research, development and commercialization of the resulting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License Agreement with Daiichi Sankyo</w:t>
      </w:r>
    </w:p>
    <w:p>
      <w:pPr>
        <w:spacing w:after="0" w:line="11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May 2018, the Company entered into a second license agreement with Daiichi Sankyo to research, develop and commercialize two bispecific antibodies generated through the use of the Company’s Azymetric and EFECT platforms. Under the terms of the agreement, the Company granted Daiichi Sankyo a worldwide, royalty-bearing, antibody sequence pair-specific, exclusive license to research, develop and commercialize certain products. Under the agreement, Daiichi Sankyo will be solely responsible for the research, development, manufacturing and commercialization of the products.</w:t>
      </w:r>
    </w:p>
    <w:p>
      <w:pPr>
        <w:spacing w:after="0" w:line="15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is also eligible to receive up to $484.7 million in various milestone and other payments. From contract inception to December 31, 2022, the Company has received an upfront technology access fee payment of $18.0 million. The Company is also eligible to receive development milestone payments totaling up to $126.7 million and commercial milestone payments of up to $340.0 million. In addition, the Company is eligible to receive tiered royalties ranging from the low single digits up to 10% on product sales, with the royalty term being, on a product-by-product and country-by-country basis, either (i) for as long as there is Zymeworks platform patent coverage on products, or (ii) for 10 years beginning from the first commercial sale, whichever period is longer. If there is no Zymeworks patent coverage on products, royalty rates may be reduced.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 development or commercial milestone payments or royalties have been received to 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Agreement with Janssen Biotech, Inc. (“Janssen”)</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November 13, 2017, the Company entered into a collaboration and license agreement with Janssen to research, develop and commercialize up to six bispecific antibodies generated through the use of the Company’s Azymetric and EFECT platforms. Under the terms of the agreement, the Company granted Janssen a worldwide, royalty-bearing, antibody group-specific exclusive license to research, develop and commercialize certain products. Janssen also has the option to develop two additional bispecific antibodies under this agreement subject to a future option payment. Under the agreement, Janssen will be solely responsible for the research, development, manufacturing and commercialization of the products.</w:t>
      </w:r>
    </w:p>
    <w:p>
      <w:pPr>
        <w:spacing w:after="0" w:line="17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is eligible to receive up to $1.45 billion in various license and milestone payments. From contract inception to December 31, 2022, the Company has received an upfront payment of $50.0 million and development milestones totaling $8.0 million with two bispecific antibodies initiating clinical trials. The Company is also eligible to receive development milestone payments of up to $274.0 million and commercial milestone payments of up to $1.12 billion. In addition, the Company is eligible to receive tiered royalties in the mid-single digits on product sales, with the royalty term being, on a product-by-product and country-by-country basis, either (i) for as long as there is Zymeworks platform patent coverage on products, or (ii) for 10 years, beginning from the first commercial sale, whichever period is longer. If there is no Zymeworks patent coverage on products, royalty rates may be potentially reduced. Janssen has the right, prior to the first dosing of a patient in a Phase 3 clinical trial for a product, to buy down the royalty relating to such product by one percentage point with a payment of $10.0 million. The Company determined that, the events and conditions resulting in payments for research, development and commercial milestones solely depend on Janssen’s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commercial milestone payments or royalties have been received to date.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License Agreement with LEO Pharma A/S (“LEO”)</w:t>
      </w:r>
    </w:p>
    <w:p>
      <w:pPr>
        <w:spacing w:after="0" w:line="117"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On October 23, 2018, the Company entered into a research and license agreement with LEO. The Company granted LEO a worldwide, royalty-bearing, antibody sequence pair-specific exclusive license to research, develop and commercialize two bispecific antibodies, generated through the use of the Company’s Azymetric and EFECT platforms, for dermatologic indications. The Company will retain rights to develop antibodies resulting from this collaboration in all other therapeutic areas. The Company and LEO are jointly responsible for certain research activities, with the Company’s cost to be fully reimbursed by LEO. Each party is solely responsible for the development, manufacturing, and commercialization of their own products.</w:t>
      </w:r>
    </w:p>
    <w:p>
      <w:pPr>
        <w:spacing w:after="0" w:line="16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Pursuant to this agreement, the Company received an upfront payment of $5.0 million. In addition, (i) for the first therapeutic candidate, the Company is eligible to receive preclinical and development milestone payments of up to $74.0 million and commercial milestone payments of up to $157.0 million together with tiered royalties on future sales of up to 20% in the United States and up to high single digits elsewhere, and (ii) for the second therapeutic candidate, the Company is eligible to receive preclinical and development milestone payments of up to $86.5 million and commercial milestone payments of up to $157.0 million together with tiered royalties on future sales of up to low double digits globally. For products developed by the Company outside of dermatology, LEO is eligible to receive commercial milestone payments and up to single-digit royalties on future sales.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 development or commercial milestone payments or royalties have been received to date.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Agreements with BeiGene, Ltd. (“BeiGene”)</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November 26, 2018, the Company entered into three concurrent agreements with BeiGene whereby the Company granted BeiGene royalty-bearing exclusive licenses for the research, development and commercialization of its bispecific therapeutic candidates, zanidatamab (formerly known as “ZW25”) (“Zanidatamab Agreement”) and zanidatamab zovodotin (formerly known as “ZW49”) (“Zanidatamab Zovodotin Agreement”) in Asia (excluding Japan but including the People’s Republic of China, South Korea and other countries), Australia and New Zealand. In addition, the Company also granted BeiGene a worldwide, royalty-bearing, antibody sequence pair-specific license to research, develop and commercialize globally three bispecific antibodies generated through the use of the Company’s Azymetric and EFECT platforms.</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Pursuant to these agreements, the Company received an upfront payment of $60.0 million for the totality of the rights described. The Company considered the fair value of performance obligations based on the Company’s best estimate of their relative stand-alone selling prices, and allocated $40.0 million of the transaction price to the license and collaboration agreements for zanidatamab and zanidatamab zovodotin and $20.0 million to the Company’s performance obligations under the research and licensing agreement for Azymetric and EFECT Platforms.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Agreements for Zanidatamab and Z</w:t>
      </w:r>
      <w:r>
        <w:rPr>
          <w:rFonts w:ascii="Arial" w:cs="Arial" w:eastAsia="Arial" w:hAnsi="Arial"/>
          <w:sz w:val="18"/>
          <w:szCs w:val="18"/>
          <w:color w:val="auto"/>
        </w:rPr>
        <w:t>anidatamab Zovodotin</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is also eligible to receive development and commercial milestone payments of up to $390.0 million, together with tiered royalties from high single digits and up to 20% on future sales of the products. Under the agreements, the Company and BeiGene are collaborating on certain global clinical studies and both the Company and BeiGene will be independently conducting clinical studies in their own respective territories. Each of the Company and BeiGene are responsible for all the development and commercialization costs in their own territories.</w:t>
      </w:r>
    </w:p>
    <w:p>
      <w:pPr>
        <w:spacing w:after="0" w:line="17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relation to the Zanidatamab Agreement, the Company identified the following promised goods and services at the inception of the BeiGene agreement that are material: development and commercial licenses, initial transfer of the Company’s technologies and relevant know-how, continuing technology transfer, participation in the Joint Steering Committee (“JSC”) and other sub-committees, manufacturing technology transfer, provision of development supply, provision of commercial supply, and transfer of future rights related to the development and commercial license. The Company concluded that the licenses and initial technology transfer are distinct together and the continuing technology transfer and the Company’s participation to the JSC and other sub-committees’ activities are also distinct together. Remaining deliverables were individually determined to be distinct.</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Development and commercial licenses as well as initial transfer of technologies and relevant know-how were considered to be a single performance obligation. The consideration of $7.1 million allocated to this performance obligation was recognized as revenue over a two-month period during which the delivery of the license and transfer of the relevant technology occurred. Deliverables of continuing technology transfer and participation in the JSC and other sub-committees together were considered to be a single performance obligation and the consideration allocated to this performance obligation will be recognized as revenue over time as these activities are completed. Remaining deliverables are considered individually distinct and the revenue will be recognized as delivery or transfer of future rights to BeiGene occurs.</w:t>
      </w:r>
    </w:p>
    <w:p>
      <w:pPr>
        <w:spacing w:after="0" w:line="19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March 2020, BeiGene dosed the first patient in a two-arm Phase 1b/2 trial evaluating zanidatamab in combination with chemotherapy as a first-line treatment for patients with metastatic HER2-positive breast cancer and in combination with chemotherapy and BeiGene’s PD-1-targeted antibody tislelizumab as a first-line treatment for patients with metastatic HER2-positive GEA. The Company recognized revenue of $5.0 million in relation to this milestone. In November 2020, BeiGene dosed the first patient in South Korea in the pivotal HERIZON-BTC-01 study. The Company recognized revenue of $10.0 million in relation to this milestone. In December 2021, BeiGene dosed the first patient in South Korea in the pivotal HERIZON-GEA-01 study and the Company recognized revenue of $8.0 million in relation to this milestone.</w:t>
      </w:r>
    </w:p>
    <w:p>
      <w:pPr>
        <w:spacing w:after="0" w:line="17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relation to the Zanidatamab Zovodotin Agreement, the Company identified the following promised goods and services at the inception of the BeiGene agreement that are material: development and commercial licenses, initial transfer of the Company’s technologies and relevant know-how, continuing technology transfer, participation in the JSC and other sub-committees, manufacturing technology transfer, provision of development supply, provision of commercial supply, and transfer of future rights related to the development and commercial license. The Company concluded that the licenses and initial technology transfer together are distinct together and the continuing technology transfer and the Company’s participation to the JSC and other sub-committees’ activities are also distinct together. Manufacturing technology transfer, provision of development supply and provision of commercial supply were individually determined to be distinct.</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Development and commercial licenses as well as initial transfer of technologies and relevant know-how were considered to be a single performance obligation while continuing technology transfer and participation in the JSC and other sub-committees together were considered as a single performance obligation. Remaining deliverables were considered individually distinct. No performance obligations were completed by the Company as of December 31, 2022 as the initial transfer of technologies and relevant know-how is not going to start until the earlier of completion of the Company’s Phase-1 clinical studies for zanidatamab zovodotin or completion of dose escalation studies. Accordingly, no revenue was recognized from the Zanidatamab Zovodotin Agreement to date.</w:t>
      </w:r>
    </w:p>
    <w:p>
      <w:pPr>
        <w:spacing w:after="0" w:line="19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of December 31, 2022, the Company recorded $32,941 of the upfront fees from the zanidatamab and zanidatamab zovodotin agreements as deferred revenue on the Company’s consolidated balance sheet (December 31, 2021: $32,941). Amounts not expected to be recognized as revenue within the next twelve months of the consolidated balance sheet date are classified as long-term deferred revenue.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Licensing Agreement for Azymetric and EFECT Platforms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development and commercialization licenses of up to three bispecific antibody therapeutics using the Company’s Azymetric and EFECT platforms, the Company received an upfront payment of $20.0 million. The Company is also eligible to</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receive development and commercial milestone payments of up to $702.0 million. In addition, the Company is eligible to receive tiered royalties in the mid-single digits on product sales. No development or commercial milestone payments or royalties have been received to date. BeiGene is solely responsible for the research, development, manufacturing, and commercialization of the products.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Iconic Therapeutics, Inc. (“Iconic”)</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13, 2019, the Company entered into a license agreement with Iconic to develop and commercialize an antibody-drug conjugate (ICON-2) targeting tissue factor generated through the use of the Company’s ZymeLink platform. Under the terms of this agreement, the Company granted Iconic a worldwide, royalty-bearing, antibody sequence-specific, exclusive license to develop and commercialize certain products. Iconic is responsible for the development, manufacturing, and commercialization of the products.</w:t>
      </w:r>
    </w:p>
    <w:p>
      <w:pPr>
        <w:spacing w:after="0" w:line="79"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Pursuant to this agreement, the Company was initially eligible to receive development and commercial milestone payments and tiered royalties on worldwide net sales. From contract inception to December 31, 2022, the Company has received $1.0 million in milestone payments.</w:t>
      </w:r>
    </w:p>
    <w:p>
      <w:pPr>
        <w:spacing w:after="0" w:line="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December 2020, Exelixis, Inc. exercised an option under an existing agreement with Iconic to license ICON-2 (also known as XB002) and under the Company’s agreement with Iconic, the Company received $4.0 million accordingly, a share of the $20.0 million option fee paid to Iconic by Exelixis. In December 2021, under an amendment between Iconic and Exelixis, the Company recognized $5.0 million as a share of the one-time fee received by Iconic in exchange for all future milestones owing to Iconic from Exelixis. The Company will continue to be eligible to receive future royalties on the ICON-2 program pursuant to the agreement with Iconic. Iconic and its partners are responsible for the development, manufacturing, and commercialization of the products.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Income,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consists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14. Income Taxes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20" w:type="dxa"/>
            <w:vAlign w:val="bottom"/>
          </w:tcPr>
          <w:p>
            <w:pPr>
              <w:spacing w:after="0"/>
              <w:rPr>
                <w:sz w:val="20"/>
                <w:szCs w:val="20"/>
                <w:color w:val="auto"/>
              </w:rPr>
            </w:pPr>
            <w:r>
              <w:rPr>
                <w:rFonts w:ascii="Arial" w:cs="Arial" w:eastAsia="Arial" w:hAnsi="Arial"/>
                <w:sz w:val="18"/>
                <w:szCs w:val="18"/>
                <w:color w:val="auto"/>
              </w:rPr>
              <w:t>a. Income tax (expense) recovery is comprised of the following:</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60" w:type="dxa"/>
            <w:vAlign w:val="bottom"/>
            <w:gridSpan w:val="8"/>
          </w:tcPr>
          <w:p>
            <w:pPr>
              <w:jc w:val="center"/>
              <w:ind w:left="616"/>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 recovery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recovery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Current income tax expense for the years ended December 31, 2022, 2021 and 2020 arose from the operations of the Company as well as its wholly owned subsidiaries in Canada and in the United States, as well as withholding taxes paid by the Company abroad in 2022, 2021 and 2020.</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b. Following the Redomicile Transactions, the applicable statutory tax rate is the U.S. federal income tax at the statutory rate. Income tax (expense) recovery varies from the amounts that would be computed by apply the expected U.S. statutory income tax rate of 21% (2021: 21% and 2020: 21%) to income (loss) before income taxes as shown in the following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6"/>
                <w:szCs w:val="16"/>
                <w:color w:val="auto"/>
              </w:rPr>
            </w:pPr>
          </w:p>
        </w:tc>
      </w:tr>
      <w:tr>
        <w:trPr>
          <w:trHeight w:val="26"/>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taxes at United States statutory income tax rate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37,821</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(7,149)</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Difference between domestic and foreign tax rate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Adjustments to prior year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(48,411)</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Share issuance costs in equity</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5,385</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due to SR&amp;ED and research credits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recovery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c. Deferred income tax assets and liabilities result from the temporary differences between the amounts of assets and liabilities recognized for financial statement and income tax purposes. The significant components of the deferred income tax assets and liabilities are as follows:</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ind w:left="60"/>
              <w:spacing w:after="0" w:line="146"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140" w:type="dxa"/>
            <w:vAlign w:val="bottom"/>
          </w:tcPr>
          <w:p>
            <w:pPr>
              <w:jc w:val="right"/>
              <w:ind w:right="152"/>
              <w:spacing w:after="0" w:line="146" w:lineRule="exact"/>
              <w:rPr>
                <w:sz w:val="20"/>
                <w:szCs w:val="20"/>
                <w:color w:val="auto"/>
              </w:rPr>
            </w:pPr>
            <w:r>
              <w:rPr>
                <w:rFonts w:ascii="Arial" w:cs="Arial" w:eastAsia="Arial" w:hAnsi="Arial"/>
                <w:sz w:val="14"/>
                <w:szCs w:val="14"/>
                <w:b w:val="1"/>
                <w:bCs w:val="1"/>
                <w:color w:val="auto"/>
                <w:w w:val="96"/>
              </w:rPr>
              <w:t>December 31,</w:t>
            </w:r>
          </w:p>
        </w:tc>
      </w:tr>
      <w:tr>
        <w:trPr>
          <w:trHeight w:val="196"/>
        </w:trPr>
        <w:tc>
          <w:tcPr>
            <w:tcW w:w="2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67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175"/>
        </w:trPr>
        <w:tc>
          <w:tcPr>
            <w:tcW w:w="20" w:type="dxa"/>
            <w:vAlign w:val="bottom"/>
            <w:shd w:val="clear" w:color="auto" w:fill="CCEEFF"/>
          </w:tcPr>
          <w:p>
            <w:pPr>
              <w:spacing w:after="0"/>
              <w:rPr>
                <w:sz w:val="15"/>
                <w:szCs w:val="15"/>
                <w:color w:val="auto"/>
              </w:rPr>
            </w:pPr>
          </w:p>
        </w:tc>
        <w:tc>
          <w:tcPr>
            <w:tcW w:w="84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Non-capital losses carried forward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84,948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123,554</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8,894</w:t>
            </w:r>
          </w:p>
        </w:tc>
      </w:tr>
      <w:tr>
        <w:trPr>
          <w:trHeight w:val="229"/>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Share issue costs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6,058</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r>
      <w:tr>
        <w:trPr>
          <w:trHeight w:val="230"/>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2,911</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Research and development deductions and credits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35,401</w:t>
            </w:r>
          </w:p>
        </w:tc>
      </w:tr>
      <w:tr>
        <w:trPr>
          <w:trHeight w:val="230"/>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r>
      <w:tr>
        <w:trPr>
          <w:trHeight w:val="230"/>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Operating lease liability</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7,871</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23"/>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156,900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191,010</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3"/>
              </w:rPr>
              <w:t>Deferred tax liabilities:</w:t>
            </w:r>
          </w:p>
        </w:tc>
        <w:tc>
          <w:tcPr>
            <w:tcW w:w="6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(1,085)</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IPR&amp;D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r>
      <w:tr>
        <w:trPr>
          <w:trHeight w:val="230"/>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(6,685)</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Outside basis difference in foreign subsidiary</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r>
      <w:tr>
        <w:trPr>
          <w:trHeight w:val="223"/>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(13,272)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(14,103)</w:t>
            </w:r>
          </w:p>
        </w:tc>
      </w:tr>
      <w:tr>
        <w:trPr>
          <w:trHeight w:val="230"/>
        </w:trPr>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176,907</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Less: valuation allowance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(144,071)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(175,410)</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deferred tax (liabilities)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r>
      <w:tr>
        <w:trPr>
          <w:trHeight w:val="223"/>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3,070</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r>
      <w:tr>
        <w:trPr>
          <w:trHeight w:val="223"/>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Net deferred tax (liabilities)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realization of deferred income tax assets is dependent upon the generation of sufficient taxable income during future periods in which the temporary differences are expected to reverse. The valuation allowance is reviewed on a quarterly basis and if the assessment of the “more likely than not” criterion changes, the valuation allowance is adjusted accordingly.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d. At December 31, 2022, the Company has net operating losses carried forward for tax purposes in Canada, which are available to reduce taxable income of future years of approximately $314.7 million (December 31, 2021: $457.6 million) expiring commencing 2040 through 2041.</w:t>
      </w:r>
    </w:p>
    <w:p>
      <w:pPr>
        <w:spacing w:after="0" w:line="14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At December 31, 2022, the Company also has unclaimed tax deductions for scientific research and experimental development expenditures of approximately $89.0 million (December 31, 2021: $81.4 million) available to reduce taxable income of future years in Canada, with no expiry. At December 31, 2022, the Company has approximately $18.5 million (December 31, 2021: $15.8 million) of investment tax credits available to offset Canadian federal and provincial taxes payable expiring commencing in 2029 through 2042, and has approximately $1.2 million (December 31, 2021: $1.1 million) of research tax credit available to offset US federal taxes payable expiring commencing in 2041 through 2042.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e. The investment tax credits and non-capital losses for income tax purposes expire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Expiry date</w:t>
            </w: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Investment tax credits</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Research tax</w:t>
            </w:r>
          </w:p>
        </w:tc>
        <w:tc>
          <w:tcPr>
            <w:tcW w:w="100" w:type="dxa"/>
            <w:vAlign w:val="bottom"/>
          </w:tcPr>
          <w:p>
            <w:pPr>
              <w:spacing w:after="0"/>
              <w:rPr>
                <w:sz w:val="14"/>
                <w:szCs w:val="14"/>
                <w:color w:val="auto"/>
              </w:rPr>
            </w:pPr>
          </w:p>
        </w:tc>
        <w:tc>
          <w:tcPr>
            <w:tcW w:w="12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87"/>
              </w:rPr>
              <w:t>Non-capital losses</w:t>
            </w:r>
          </w:p>
        </w:tc>
        <w:tc>
          <w:tcPr>
            <w:tcW w:w="0" w:type="dxa"/>
            <w:vAlign w:val="bottom"/>
          </w:tcPr>
          <w:p>
            <w:pPr>
              <w:spacing w:after="0"/>
              <w:rPr>
                <w:sz w:val="1"/>
                <w:szCs w:val="1"/>
                <w:color w:val="auto"/>
              </w:rPr>
            </w:pPr>
          </w:p>
        </w:tc>
      </w:tr>
      <w:tr>
        <w:trPr>
          <w:trHeight w:val="192"/>
        </w:trPr>
        <w:tc>
          <w:tcPr>
            <w:tcW w:w="6700" w:type="dxa"/>
            <w:vAlign w:val="bottom"/>
            <w:gridSpan w:val="2"/>
            <w:vMerge w:val="continue"/>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credits</w:t>
            </w: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121,729</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192,924</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314,653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 A reconciliation of total unrecognized tax benefits for the years ended December 31, 2022, 2021, and 2020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Pr>
          <w:p>
            <w:pPr>
              <w:spacing w:after="0"/>
              <w:rPr>
                <w:sz w:val="16"/>
                <w:szCs w:val="16"/>
                <w:color w:val="auto"/>
              </w:rPr>
            </w:pPr>
          </w:p>
        </w:tc>
      </w:tr>
      <w:tr>
        <w:trPr>
          <w:trHeight w:val="25"/>
        </w:trPr>
        <w:tc>
          <w:tcPr>
            <w:tcW w:w="68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9"/>
        </w:trPr>
        <w:tc>
          <w:tcPr>
            <w:tcW w:w="68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3,063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Increases related to prior year tax positions</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related to current year tax positions</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3,063</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w:t>
            </w:r>
          </w:p>
        </w:tc>
      </w:tr>
      <w:tr>
        <w:trPr>
          <w:trHeight w:val="20"/>
        </w:trPr>
        <w:tc>
          <w:tcPr>
            <w:tcW w:w="6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Included in the balance of unrecognized tax benefits at December 31, 2022, 2021 and 2020 are potential benefits of nil that, if recognized, would affect the effective tax rate on income from continuing operations. Recognition of these potential benefits would result in a deferred tax asset in the form of net operating loss carry-forward, which would be subject to a valuation allowance based on conditions existing at the reporting date.</w:t>
      </w:r>
    </w:p>
    <w:p>
      <w:pPr>
        <w:spacing w:after="0" w:line="16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Company recognizes interest expense and penalties related to unrecognized tax benefits within the provision for income tax expense on the consolidated statements of income (loss) and comprehensive income (loss).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currently files income tax returns in Canada, the United States, the United Kingdom, and Ireland, the jurisdictions in which the Company believes that it is subject to tax. Further, while the statute of limitations in each jurisdiction where an income tax return has been filed generally limits the examination period, as a result of loss carry-forwards, the limitation period for examination generally does not expire until several years after the loss carry-forwards are utilized. Other than routine audits by tax authorities for tax credits and tax refunds that the Company has claimed, management is not aware of</w:t>
      </w: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any other material income tax examination currently in progress by any taxing jurisdiction. Tax years ranging from 2006 to 2022 remain subject to Canadian income tax examinations. Tax years ranging from 2019 to 2022 remain subject to U.S. income tax examinations. Tax year 2022 remain subject to U.K and Ireland income tax examinations.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leased separate office and laboratory spaces in Vancouver, British Columbia, which expired in February 2022. On January 25, 2019, the Company entered into a lease for a new building in Vancouver, including both office and laboratory space. This lease commenced for accounting purposes in May 2021 and construction of leasehold improvements was completed during the year ended December 31, 2022. This lease has an initial term of ten years, with two five-year extension options. In addition, the Company leases office space in Seattle, Washington with lease terms expiring in May 2027. None of the optional extension periods have been included in the determination of the right-of-use assets or the lease liabilities for operating leases as the Company did not consider it reasonably certain that the Company would exercise any such options. The Company also leases office equipment under capital lease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balance sheet classification of the Company’s lease liabilities was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215"/>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Current portion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3,322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1,310</w:t>
            </w: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portion</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30,923</w:t>
            </w:r>
          </w:p>
        </w:tc>
      </w:tr>
      <w:tr>
        <w:trPr>
          <w:trHeight w:val="223"/>
        </w:trPr>
        <w:tc>
          <w:tcPr>
            <w:tcW w:w="84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32,233</w:t>
            </w:r>
          </w:p>
        </w:tc>
      </w:tr>
      <w:tr>
        <w:trPr>
          <w:trHeight w:val="20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Current portion included in other current liabilities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portion included in 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84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finance lease liabilities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48"/>
        </w:trPr>
        <w:tc>
          <w:tcPr>
            <w:tcW w:w="8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for fixed lease payments for the year ended December 31, 2022 was $4,471 and was included in net cash used in operating activities in the consolidated statement of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maturities of the Company’s operating lease liabilities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53"/>
              <w:spacing w:after="0"/>
              <w:rPr>
                <w:sz w:val="20"/>
                <w:szCs w:val="20"/>
                <w:color w:val="auto"/>
              </w:rPr>
            </w:pPr>
            <w:r>
              <w:rPr>
                <w:rFonts w:ascii="Arial" w:cs="Arial" w:eastAsia="Arial" w:hAnsi="Arial"/>
                <w:sz w:val="14"/>
                <w:szCs w:val="14"/>
                <w:b w:val="1"/>
                <w:bCs w:val="1"/>
                <w:color w:val="auto"/>
              </w:rPr>
              <w:t>Operating</w:t>
            </w:r>
          </w:p>
        </w:tc>
      </w:tr>
      <w:tr>
        <w:trPr>
          <w:trHeight w:val="196"/>
        </w:trPr>
        <w:tc>
          <w:tcPr>
            <w:tcW w:w="99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leases</w:t>
            </w:r>
          </w:p>
        </w:tc>
      </w:tr>
      <w:tr>
        <w:trPr>
          <w:trHeight w:val="230"/>
        </w:trPr>
        <w:tc>
          <w:tcPr>
            <w:tcW w:w="9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Within 1 year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r>
      <w:tr>
        <w:trPr>
          <w:trHeight w:val="230"/>
        </w:trPr>
        <w:tc>
          <w:tcPr>
            <w:tcW w:w="9920" w:type="dxa"/>
            <w:vAlign w:val="bottom"/>
          </w:tcPr>
          <w:p>
            <w:pPr>
              <w:ind w:left="360"/>
              <w:spacing w:after="0"/>
              <w:rPr>
                <w:sz w:val="20"/>
                <w:szCs w:val="20"/>
                <w:color w:val="auto"/>
              </w:rPr>
            </w:pPr>
            <w:r>
              <w:rPr>
                <w:rFonts w:ascii="Arial" w:cs="Arial" w:eastAsia="Arial" w:hAnsi="Arial"/>
                <w:sz w:val="18"/>
                <w:szCs w:val="18"/>
                <w:color w:val="auto"/>
              </w:rPr>
              <w:t>1 to 2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4,493</w:t>
            </w:r>
          </w:p>
        </w:tc>
      </w:tr>
      <w:tr>
        <w:trPr>
          <w:trHeight w:val="229"/>
        </w:trPr>
        <w:tc>
          <w:tcPr>
            <w:tcW w:w="9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 to 3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r>
      <w:tr>
        <w:trPr>
          <w:trHeight w:val="230"/>
        </w:trPr>
        <w:tc>
          <w:tcPr>
            <w:tcW w:w="9920" w:type="dxa"/>
            <w:vAlign w:val="bottom"/>
          </w:tcPr>
          <w:p>
            <w:pPr>
              <w:ind w:left="360"/>
              <w:spacing w:after="0"/>
              <w:rPr>
                <w:sz w:val="20"/>
                <w:szCs w:val="20"/>
                <w:color w:val="auto"/>
              </w:rPr>
            </w:pPr>
            <w:r>
              <w:rPr>
                <w:rFonts w:ascii="Arial" w:cs="Arial" w:eastAsia="Arial" w:hAnsi="Arial"/>
                <w:sz w:val="18"/>
                <w:szCs w:val="18"/>
                <w:color w:val="auto"/>
              </w:rPr>
              <w:t>3 to 4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4,589</w:t>
            </w:r>
          </w:p>
        </w:tc>
      </w:tr>
      <w:tr>
        <w:trPr>
          <w:trHeight w:val="230"/>
        </w:trPr>
        <w:tc>
          <w:tcPr>
            <w:tcW w:w="9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 to 5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r>
      <w:tr>
        <w:trPr>
          <w:trHeight w:val="230"/>
        </w:trPr>
        <w:tc>
          <w:tcPr>
            <w:tcW w:w="9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11,653</w:t>
            </w:r>
          </w:p>
        </w:tc>
      </w:tr>
      <w:tr>
        <w:trPr>
          <w:trHeight w:val="223"/>
        </w:trPr>
        <w:tc>
          <w:tcPr>
            <w:tcW w:w="9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lease payments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33,138</w:t>
            </w: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9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Imputed interest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w:t>
            </w:r>
          </w:p>
        </w:tc>
      </w:tr>
      <w:tr>
        <w:trPr>
          <w:trHeight w:val="223"/>
        </w:trPr>
        <w:tc>
          <w:tcPr>
            <w:tcW w:w="99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27,989</w:t>
            </w:r>
          </w:p>
        </w:tc>
      </w:tr>
      <w:tr>
        <w:trPr>
          <w:trHeight w:val="21"/>
        </w:trPr>
        <w:tc>
          <w:tcPr>
            <w:tcW w:w="9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2022, the weighted average remaining lease term is 7.8 years and the discount rate used to determine the operating lease liability was 4.8% for leases in Canadian dollars and 2.8% for leases in U.S. dollars.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year ended December 31, 2022, the Company incurred total operating lease expenses of $7,795 (2021 - $5,658, 2020 - $3,595), which included lease expenses associated with fixed lease payments of $6,609 (2021 - $5,323 and 2020 -</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$3,156), and variable payments associated with common area maintenance and similar expenses of $1,186 (2021 - $335 and 2020 - $439).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2022, the Company did not recognize any impairment losses on its right-of-use assets (2021: nil).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Instruments</w:t>
      </w:r>
    </w:p>
    <w:p>
      <w:pPr>
        <w:spacing w:after="0" w:line="121"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The Company evaluates financial assets and liabilities subject to fair value measurements on a recurring basis to determine the appropriate level of classification each reporting period. This determination requires the Company to make subjective judgments as to the significance of inputs used in determining fair value and where such inputs lie within the fair value hierarchy.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financial instruments and other items at fair value.</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 determine fair value, the Company uses a fair value hierarchy that prioritizes the inputs, assumptions and valuation techniques used to measure fair value. The three levels of the fair value hierarchy are as follows:</w:t>
      </w:r>
    </w:p>
    <w:p>
      <w:pPr>
        <w:spacing w:after="0" w:line="62" w:lineRule="exact"/>
        <w:rPr>
          <w:sz w:val="20"/>
          <w:szCs w:val="20"/>
          <w:color w:val="auto"/>
        </w:rPr>
      </w:pPr>
    </w:p>
    <w:p>
      <w:pPr>
        <w:ind w:left="900" w:hanging="244"/>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Level 1 inputs are unadjusted quoted market prices for identical instruments available in active markets.</w:t>
      </w:r>
    </w:p>
    <w:p>
      <w:pPr>
        <w:spacing w:after="0" w:line="117" w:lineRule="exact"/>
        <w:rPr>
          <w:rFonts w:ascii="Arial" w:cs="Arial" w:eastAsia="Arial" w:hAnsi="Arial"/>
          <w:sz w:val="18"/>
          <w:szCs w:val="18"/>
          <w:color w:val="auto"/>
        </w:rPr>
      </w:pPr>
    </w:p>
    <w:p>
      <w:pPr>
        <w:ind w:left="980" w:right="40" w:hanging="324"/>
        <w:spacing w:after="0" w:line="263" w:lineRule="auto"/>
        <w:tabs>
          <w:tab w:leader="none" w:pos="8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Level 2 inputs are inputs other than Level 1 prices, such as prices for a similar asset or liability that are observable either directly or indirectly. If the asset or liability has a contractual term, the input must be observable for substantially the full term. An example includes quoted market prices for similar assets or liabilities in active markets.</w:t>
      </w:r>
    </w:p>
    <w:p>
      <w:pPr>
        <w:spacing w:after="0" w:line="75" w:lineRule="exact"/>
        <w:rPr>
          <w:rFonts w:ascii="Arial" w:cs="Arial" w:eastAsia="Arial" w:hAnsi="Arial"/>
          <w:sz w:val="18"/>
          <w:szCs w:val="18"/>
          <w:color w:val="auto"/>
        </w:rPr>
      </w:pPr>
    </w:p>
    <w:p>
      <w:pPr>
        <w:ind w:left="980" w:right="20" w:hanging="324"/>
        <w:spacing w:after="0" w:line="277" w:lineRule="auto"/>
        <w:tabs>
          <w:tab w:leader="none" w:pos="8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assessment about market assumptions that would be used to price the asset or liability.</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62"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The Company’s financial instruments consist of cash and cash equivalents, short-term and long-term investments in marketable and other securities, accounts receivable, accounts payable and accrued liabilities, contingent consideration, finance and operating lease obligations, and other long-term liabilities.</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carrying values of cash and cash equivalents, short-term investments in marketable securities, accounts receivable and accounts payable and accrued liabilities approximate their fair values due to the near-term maturities of these financial instruments. As at December 31, 2022, long-term investments in equity securities of private entities are accounted for as available for sale at their fair values. Other long-term liabilities for contingent consideration related to business acquisitions are recorded at fair value on the acquisition date and are adjusted quarterly for changes in fair value. Changes in the fair value of contingent consideration liabilities can result from changes in anticipated milestone payments and changes in assumed discount periods and rates. These inputs are unobservable in the market and therefore categorized as level 3 inputs as defined above.</w:t>
      </w:r>
    </w:p>
    <w:p>
      <w:pPr>
        <w:spacing w:after="0" w:line="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 the fair value hierarchy of the valuation techniques used to determine such fair value: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GICs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GICs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291,609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291,609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for contingent consideration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GICs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112,128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112,128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for contingent consideration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liability for contingent consideration:</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4"/>
          <w:szCs w:val="14"/>
          <w:b w:val="1"/>
          <w:bCs w:val="1"/>
          <w:color w:val="auto"/>
        </w:rPr>
        <w:t>Increase</w:t>
      </w:r>
    </w:p>
    <w:p>
      <w:pPr>
        <w:ind w:left="5380"/>
        <w:spacing w:after="0" w:line="221" w:lineRule="auto"/>
        <w:rPr>
          <w:sz w:val="20"/>
          <w:szCs w:val="20"/>
          <w:color w:val="auto"/>
        </w:rPr>
      </w:pPr>
      <w:r>
        <w:rPr>
          <w:rFonts w:ascii="Arial" w:cs="Arial" w:eastAsia="Arial" w:hAnsi="Arial"/>
          <w:sz w:val="14"/>
          <w:szCs w:val="14"/>
          <w:b w:val="1"/>
          <w:bCs w:val="1"/>
          <w:color w:val="auto"/>
        </w:rPr>
        <w:t>(decrease) in</w:t>
      </w:r>
    </w:p>
    <w:tbl>
      <w:tblPr>
        <w:tblLayout w:type="fixed"/>
        <w:tblInd w:w="0" w:type="dxa"/>
        <w:tblCellMar>
          <w:top w:w="0" w:type="dxa"/>
          <w:left w:w="0" w:type="dxa"/>
          <w:bottom w:w="0" w:type="dxa"/>
          <w:right w:w="0" w:type="dxa"/>
        </w:tblCellMar>
      </w:tblPr>
      <w:tr>
        <w:trPr>
          <w:trHeight w:val="133"/>
        </w:trPr>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Liability at</w:t>
            </w:r>
          </w:p>
        </w:tc>
        <w:tc>
          <w:tcPr>
            <w:tcW w:w="180" w:type="dxa"/>
            <w:vAlign w:val="bottom"/>
          </w:tcPr>
          <w:p>
            <w:pPr>
              <w:spacing w:after="0"/>
              <w:rPr>
                <w:sz w:val="11"/>
                <w:szCs w:val="11"/>
                <w:color w:val="auto"/>
              </w:rPr>
            </w:pPr>
          </w:p>
        </w:tc>
        <w:tc>
          <w:tcPr>
            <w:tcW w:w="12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fair value of</w:t>
            </w:r>
          </w:p>
        </w:tc>
        <w:tc>
          <w:tcPr>
            <w:tcW w:w="140" w:type="dxa"/>
            <w:vAlign w:val="bottom"/>
          </w:tcPr>
          <w:p>
            <w:pPr>
              <w:spacing w:after="0"/>
              <w:rPr>
                <w:sz w:val="11"/>
                <w:szCs w:val="11"/>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Amounts paid or</w:t>
            </w: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5"/>
              </w:rPr>
              <w:t>liability for</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7"/>
              </w:rPr>
              <w:t>Liability at end</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the beginning</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contingent</w:t>
            </w: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transferred to</w:t>
            </w: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of the period</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consideration</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payables</w:t>
            </w:r>
          </w:p>
        </w:tc>
        <w:tc>
          <w:tcPr>
            <w:tcW w:w="160" w:type="dxa"/>
            <w:vAlign w:val="bottom"/>
          </w:tcPr>
          <w:p>
            <w:pPr>
              <w:spacing w:after="0"/>
              <w:rPr>
                <w:sz w:val="17"/>
                <w:szCs w:val="17"/>
                <w:color w:val="auto"/>
              </w:rPr>
            </w:pPr>
          </w:p>
        </w:tc>
        <w:tc>
          <w:tcPr>
            <w:tcW w:w="1180" w:type="dxa"/>
            <w:vAlign w:val="bottom"/>
          </w:tcPr>
          <w:p>
            <w:pPr>
              <w:jc w:val="right"/>
              <w:ind w:right="199"/>
              <w:spacing w:after="0"/>
              <w:rPr>
                <w:sz w:val="20"/>
                <w:szCs w:val="20"/>
                <w:color w:val="auto"/>
              </w:rPr>
            </w:pPr>
            <w:r>
              <w:rPr>
                <w:rFonts w:ascii="Arial" w:cs="Arial" w:eastAsia="Arial" w:hAnsi="Arial"/>
                <w:sz w:val="14"/>
                <w:szCs w:val="14"/>
                <w:b w:val="1"/>
                <w:bCs w:val="1"/>
                <w:color w:val="auto"/>
              </w:rPr>
              <w:t>of the period</w:t>
            </w:r>
          </w:p>
        </w:tc>
        <w:tc>
          <w:tcPr>
            <w:tcW w:w="0" w:type="dxa"/>
            <w:vAlign w:val="bottom"/>
          </w:tcPr>
          <w:p>
            <w:pPr>
              <w:spacing w:after="0"/>
              <w:rPr>
                <w:sz w:val="1"/>
                <w:szCs w:val="1"/>
                <w:color w:val="auto"/>
              </w:rPr>
            </w:pPr>
          </w:p>
        </w:tc>
      </w:tr>
      <w:tr>
        <w:trPr>
          <w:trHeight w:val="230"/>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Year ended December 31, 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primarily of cash and cash equivalents, short-term investments, long-term investments and accounts receivable. Cash and cash equivalents and investments in marketable securities are invested in accordance with the Company’s cash investment policy with the primary objective being the preservation of capital and maintenance of liquidity. The cash investment policy includes guidelines on the quality of financial instruments and defines allowable investments that the Company believes minimizes the exposure to concentration of credit risk. The Company limits its exposure to credit loss by placing its cash and cash equivalents, short-term investments and long-term investments with high credit quality financial institutions.</w:t>
      </w:r>
    </w:p>
    <w:p>
      <w:pPr>
        <w:spacing w:after="0" w:line="71" w:lineRule="exact"/>
        <w:rPr>
          <w:sz w:val="20"/>
          <w:szCs w:val="20"/>
          <w:color w:val="auto"/>
        </w:rPr>
      </w:pPr>
    </w:p>
    <w:p>
      <w:pPr>
        <w:jc w:val="both"/>
        <w:ind w:right="640"/>
        <w:spacing w:after="0" w:line="248" w:lineRule="auto"/>
        <w:rPr>
          <w:sz w:val="20"/>
          <w:szCs w:val="20"/>
          <w:color w:val="auto"/>
        </w:rPr>
      </w:pPr>
      <w:r>
        <w:rPr>
          <w:rFonts w:ascii="Arial" w:cs="Arial" w:eastAsia="Arial" w:hAnsi="Arial"/>
          <w:sz w:val="18"/>
          <w:szCs w:val="18"/>
          <w:color w:val="auto"/>
        </w:rPr>
        <w:t>At December 31, 2022, the maximum exposure to credit risk for accounts receivable was $33,400 (December 31, 2021: $15,614) and all accounts receivable are due within the next 12 months. As at December 31, 2022 and December 31, 2021, the Company has recognized nominal amounts of provision for expected credit losses in relation to accounts receivable.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Liquidity risk is the risk that the Company will encounter difficulty in meeting the obligations associated with its financial liabilities that are settled by delivering cash or another financial asset. The Company’s short-term cash requirements are primarily to settle its financial liabilities, which consist primarily of accounts payable and accrued liabilities falling due within 45 days and current portion of lease obligations falling due within the next 12 months, with medium term requirements to invest in property and equipment and research and development. The Company’s principal sources of liquidity to settle its financial liabilities are cash, cash equivalents and short-term investments, collection of accounts receivable relating to research collaboration and license agreements and additional public equity offerings as required. The Company believes that these principal sources of liquidity are sufficient to fund its operations for at least the next 12 months, and potentially beyond.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Company incurs certain operating expenses in currencies other than the U.S. dollar and accordingly is subject to foreign exchange risk due to fluctuations in exchange rates. The Company does not use derivative instruments to hedge exposure to foreign exchange risk due to the low volume of transactions denominated in foreign currencies. At December 31, 2022, the Company’s net monetary liabilities denominated in Canadian dollars were $1,593 (C$2,144).</w:t>
      </w:r>
    </w:p>
    <w:p>
      <w:pPr>
        <w:spacing w:after="0" w:line="7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operating results and financial position of the Company are reported in U.S. dollars in the Company’s consolidated financial statements. The fluctuation of the U.S. dollar relative to the Canadian dollar and other foreign currencies will have an</w:t>
      </w:r>
    </w:p>
    <w:p>
      <w:pPr>
        <w:sectPr>
          <w:pgSz w:w="11900" w:h="16838" w:orient="portrait"/>
          <w:cols w:equalWidth="0" w:num="1">
            <w:col w:w="11220"/>
          </w:cols>
          <w:pgMar w:left="320" w:top="229"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impact on the reported balances for net assets, net income (loss) and stockholders’ equity in the Company’s consolidated financial statements.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has entered into research collaboration agreements with strategic partners in the ordinary course of operations that may include contractual milestone payments related to the achievement of pre-specified research, development, regulatory and commercialization events and indemnification provisions, which are common in such agreements. Pursuant to the agreements, the Company is obligated to make research and development and regulatory milestone payments upon the occurrence of certain events and royalty payments based on net sales. The maximum amount of potential future indemnification is unlimited, however, the Company currently holds commercial and product liability insurance that limits the Company’s liability and may enable it to recover a portion of any future amounts paid. Historically, the Company has not made any indemnification payments under such agreements and believes that the fair value of these indemnification obligations is minimal. Accordingly, the Company has not recognized any liabilities relating to indemnification obligations for any period presented in the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Company’s 2016 Kairos acquisition, the Company may be required to make future payments of up to an</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aggregate of C$8.5 million, consisting of (i) a C$2.5 million payment when the first patient is dosed in the first Phase 2 trial and (ii) a C$6.0 million payment when the first patient is dosed in the first Phase 3 trial, to CDRD Ventures Inc. (“CVI”) upon the direct achievement of certain development milestones for products incorporating certain Kairos intellectual property. In addition, CVI is eligible to receive low single-digit royalty payments from the Company on the net sales of such products. For out-licensed products and technologies incorporating certain Kairos intellectual property, the Company may also be required to pay CVI a mid-single digit percentage of certain future revenue. As of December 31, 2022, the contingent consideration had an estimated fair value of $1,248, which has been recorded within other long-term liabilities on the Company’s consolidated balance sheet (December 31, 2021: $1,498). The contingent consideration was calculated using a probability weighted assessment of the likelihood of the milestones being met, a probability adjusted discount rate that reflects the stage of the development and time to complete the development. Contingent consideration is a financial liability and measured at its fair value at each reporting period, with any changes in fair value from the previous reporting period recorded within research and development expenses in the statement of income (loss) and comprehensive income (loss).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From time to time, the Company may be subject to various legal proceedings and claims related to matters arising in the ordinary course of business. The Company does not believe it is currently subject to any material matters where there is at least a reasonable possibility that a material loss may be incurred.</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Restructuring</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January 2022, the Company started implementing a restructuring program (the “Restructuring”) as part of its renewed focus on achieving its key strategic priorities and to help create a more cost-efficient organization in order to execute on its strategic priorities. In connection with the Restructuring, the Company made changes to its management team and reduced headcount by approximately 25% by the completion of the Restructuring during the three months period ended March 31, 2022. During the year ended December 31, 2022, the Company recorded the following costs for the Restructuring:</w:t>
      </w:r>
    </w:p>
    <w:p>
      <w:pPr>
        <w:spacing w:after="0" w:line="202" w:lineRule="exact"/>
        <w:rPr>
          <w:sz w:val="20"/>
          <w:szCs w:val="20"/>
          <w:color w:val="auto"/>
        </w:rPr>
      </w:pPr>
    </w:p>
    <w:p>
      <w:pPr>
        <w:ind w:left="620" w:hanging="288"/>
        <w:spacing w:after="0"/>
        <w:tabs>
          <w:tab w:leader="none" w:pos="620" w:val="left"/>
        </w:tabs>
        <w:numPr>
          <w:ilvl w:val="0"/>
          <w:numId w:val="65"/>
        </w:numPr>
        <w:rPr>
          <w:rFonts w:ascii="Arial" w:cs="Arial" w:eastAsia="Arial" w:hAnsi="Arial"/>
          <w:sz w:val="22"/>
          <w:szCs w:val="22"/>
          <w:color w:val="auto"/>
        </w:rPr>
      </w:pPr>
      <w:r>
        <w:rPr>
          <w:rFonts w:ascii="Arial" w:cs="Arial" w:eastAsia="Arial" w:hAnsi="Arial"/>
          <w:sz w:val="18"/>
          <w:szCs w:val="18"/>
          <w:color w:val="auto"/>
        </w:rPr>
        <w:t>employee severance and termination benefits of $5,214;</w:t>
      </w:r>
    </w:p>
    <w:p>
      <w:pPr>
        <w:spacing w:after="0" w:line="26" w:lineRule="exact"/>
        <w:rPr>
          <w:rFonts w:ascii="Arial" w:cs="Arial" w:eastAsia="Arial" w:hAnsi="Arial"/>
          <w:sz w:val="22"/>
          <w:szCs w:val="22"/>
          <w:color w:val="auto"/>
        </w:rPr>
      </w:pPr>
    </w:p>
    <w:p>
      <w:pPr>
        <w:ind w:left="620" w:hanging="288"/>
        <w:spacing w:after="0"/>
        <w:tabs>
          <w:tab w:leader="none" w:pos="620" w:val="left"/>
        </w:tabs>
        <w:numPr>
          <w:ilvl w:val="0"/>
          <w:numId w:val="65"/>
        </w:numPr>
        <w:rPr>
          <w:rFonts w:ascii="Arial" w:cs="Arial" w:eastAsia="Arial" w:hAnsi="Arial"/>
          <w:sz w:val="19"/>
          <w:szCs w:val="19"/>
          <w:color w:val="auto"/>
        </w:rPr>
      </w:pPr>
      <w:r>
        <w:rPr>
          <w:rFonts w:ascii="Arial" w:cs="Arial" w:eastAsia="Arial" w:hAnsi="Arial"/>
          <w:sz w:val="16"/>
          <w:szCs w:val="16"/>
          <w:color w:val="auto"/>
        </w:rPr>
        <w:t>an offsetting non-cash reversal of previously recognized stock-based compensation expenses for unvested stock and RSU awards of $10,381; and</w:t>
      </w:r>
    </w:p>
    <w:p>
      <w:pPr>
        <w:spacing w:after="0" w:line="38" w:lineRule="exact"/>
        <w:rPr>
          <w:rFonts w:ascii="Arial" w:cs="Arial" w:eastAsia="Arial" w:hAnsi="Arial"/>
          <w:sz w:val="19"/>
          <w:szCs w:val="19"/>
          <w:color w:val="auto"/>
        </w:rPr>
      </w:pPr>
    </w:p>
    <w:p>
      <w:pPr>
        <w:ind w:left="660" w:right="120" w:hanging="328"/>
        <w:spacing w:after="0" w:line="239" w:lineRule="auto"/>
        <w:tabs>
          <w:tab w:leader="none" w:pos="628" w:val="left"/>
        </w:tabs>
        <w:numPr>
          <w:ilvl w:val="0"/>
          <w:numId w:val="65"/>
        </w:numPr>
        <w:rPr>
          <w:rFonts w:ascii="Arial" w:cs="Arial" w:eastAsia="Arial" w:hAnsi="Arial"/>
          <w:sz w:val="22"/>
          <w:szCs w:val="22"/>
          <w:color w:val="auto"/>
        </w:rPr>
      </w:pPr>
      <w:r>
        <w:rPr>
          <w:rFonts w:ascii="Arial" w:cs="Arial" w:eastAsia="Arial" w:hAnsi="Arial"/>
          <w:sz w:val="18"/>
          <w:szCs w:val="18"/>
          <w:color w:val="auto"/>
        </w:rPr>
        <w:t>other restructuring charges primarily related to accelerated depreciation and accelerated recognition of rent expense in relation to the shutdown of certain facilities of $2,435 and early termination of certain service contracts of $1,275.</w:t>
      </w:r>
    </w:p>
    <w:p>
      <w:pPr>
        <w:spacing w:after="0" w:line="2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Of the net charges, $5,659 expense and $5,516 recovery of stock-based compensation were recorded in research and development expenses, and $3,265 expense and $4,865 stock-based compensation recovery were recorded in general and administrative expenses in the accompanying statements of income (loss) and comprehensive income (loss).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December 31, 2022, the net outstanding liability related to employee severance termination benefits and other contract liabilities was approximately $678. The Company recognized the majority of these charges during the year ended December 31, 2022 and does not expect to incur any material additional costs related to the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9" w:right="47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of the end of the period covered by this Annual Report on Form 10-K, our management, with the participation of our Chief Executive Officer and Chief Financial Officer, evaluated the design and operating effectiveness of our disclosure controls and procedures as defined in Rules 13a-15(e) and 15d-15(e) under the Exchange Act. Our disclosure controls and procedures are designed to ensure that information required to be disclosed in the reports that the Company files or submits under the Exchange Act is recorded, processed, summarized and reported within the time periods specified in the SEC’s rules and forms. Any such information is accumulated and communicated to the Company’s management, including its principal executive and principal financial officers, as appropriate, to allow timely decisions regarding required disclosure.</w:t>
      </w:r>
    </w:p>
    <w:p>
      <w:pPr>
        <w:spacing w:after="0" w:line="178"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our evaluation of our disclosure controls and procedures as of December 31, 2022, our Chief Executive Officer and our Chief Financial Officer concluded that, as of such date, our disclosure controls and procedures were, in design and operation, effective at the reasonable assurance level.</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is responsible for establishing and maintaining adequate internal control over our financial reporting, as defined in Rule 13a-15(f) and Rule 15d-15(f) of the Exchange Act.</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Also, projections of any evaluation of effectiveness to future periods are subject to the risk that controls may become inadequate because of changes in conditions or that the degree of compliance with the policies or procedures may deteriorate. Management has assessed the effectiveness of our internal control over financial reporting as at December 31, 2022. In making its assessment, management used the criteria set forth in the internal control – integrated framework issued by the Committee of Sponsoring Organizations of the Treadway Commission (2013 COSO framework) to evaluate the effectiveness of our internal control over financial reporting. Based on this evaluation, management has concluded that our internal control over financial reporting was effective as of December 31, 2022.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regarding our internal control over financial reporting. For so long as we are not classified as an “accelerated filer” or “large accelerated filer” pursuant to SEC rules, we will continue to be exempt from the auditor attestation requirements of Section 404(b) of Sarbanes-Oxley.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previously reported on January 4, 2023, the Company removed Dr. Neil Josephson from the position of Chief Medical Officer, effective January 3, 2023 (the “Separation Date”). In accordance with the terms of Dr. Josephson’s employment agreement with the Company and pursuant to the separation and release agreement with the Company, dated as of March 3, 2023 (the “Separation Agreement”), for the 12-month period following the Separation Date, Dr. Josephson will be paid the equivalent of his base salary in effect as of the Separation Date ($40,000 per month), less applicable withholdings, and payment or reimbursement of COBRA premiums for up to 12 months following the Separation Date, or until Dr. Josephson secures health insurance coverage through another employer.</w:t>
      </w:r>
    </w:p>
    <w:p>
      <w:pPr>
        <w:spacing w:after="0" w:line="1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Dr. Josephson’s receipt of the foregoing benefits under the Separation Agreement is subject to his non-revocation of the Separation Agreement and his continued compliance with the surviving terms of his employment agreement with the Company that pertain to confidentiality, non-disclosure, and invention assignment obligations and post-employment non-solicitation and non-competition covenants. The Separation Agreement includes a release of claims.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foregoing description of the Separation Agreement does not purport to be complete and is qualified in its entirety by reference to the complete text of the Separation Agreement, which is attached hereto as Exhibit 10.59 and is incorporated herein by reference.</w:t>
      </w:r>
    </w:p>
    <w:p>
      <w:pPr>
        <w:spacing w:after="0" w:line="200" w:lineRule="exact"/>
        <w:rPr>
          <w:sz w:val="20"/>
          <w:szCs w:val="20"/>
          <w:color w:val="auto"/>
        </w:rPr>
      </w:pPr>
    </w:p>
    <w:p>
      <w:pPr>
        <w:spacing w:after="0" w:line="22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III</w:t>
      </w:r>
    </w:p>
    <w:p>
      <w:pPr>
        <w:spacing w:after="0" w:line="3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maintain a Code of Business Conduct and Ethics (the “Code of Conduct”) that incorporates our code of business conduct and ethics applicable to members of our board of directors and our executive officers as well as all of our employees. Our Code of Conduct is posted on our website at www.zymeworks.com. We intend to satisfy the disclosure requirement under Item 5.05 of Form 8-K regarding amendments to, or waiver from, a provision of the Code of Conduct by posting such information on the website address and location specified above. Paper copies of the Code of Conduct, as well as our governing documents (including our certificate of incorporation and bylaws) may be obtained upon request by writing to: Corporate Secretary, Zymeworks Inc., 108 Patriot Drive, Suite A, Middletown, Delaware 19709.</w:t>
      </w:r>
    </w:p>
    <w:p>
      <w:pPr>
        <w:spacing w:after="0" w:line="17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remaining information required by Item 10. of Form 10-K is incorporated by reference to our 2023 Proxy Statement or our Form 10-K/A, as applicable, to be filed with the SEC within 120 days after the end of the fiscal year ended December 31, 2022.</w:t>
      </w:r>
    </w:p>
    <w:p>
      <w:pPr>
        <w:spacing w:after="0" w:line="27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information required by Item 11. of Form 10-K is incorporated by reference to our 2023 Proxy Statement or our Form 10-K/A, as applicable, to be filed with the SEC within 120 days after the end of the fiscal year ended December 31, 2022.</w:t>
      </w:r>
    </w:p>
    <w:p>
      <w:pPr>
        <w:spacing w:after="0" w:line="2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Item 12. of Form 10-K is incorporated by reference to our 2023 Proxy Statement or our Form 10-K/A, as applicable, to be filed with the SEC within 120 days after the end of the fiscal year ended December 31, 2022.</w:t>
      </w:r>
    </w:p>
    <w:p>
      <w:pPr>
        <w:spacing w:after="0" w:line="2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Item 13. of Form 10-K is incorporated by reference to our 2023 Proxy Statement or our Form 10-K/A, as applicable, to be filed with the SEC within 120 days after the end of the fiscal year ended December 31, 2022.</w:t>
      </w:r>
    </w:p>
    <w:p>
      <w:pPr>
        <w:sectPr>
          <w:pgSz w:w="11900" w:h="16838" w:orient="portrait"/>
          <w:cols w:equalWidth="0" w:num="1">
            <w:col w:w="11220"/>
          </w:cols>
          <w:pgMar w:left="320" w:top="229"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Item 14. of Form 10-K is incorporated by reference to our 2023 Proxy Statement or our Form 10-K/A, as applicable, to be filed with the SEC within 120 days after the end of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229" w:right="67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Statements—The financial statements included in Item 8 are filed as part of this Annual Report on Form 10-K.</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(a)(2) Financial Statement Schedules—All schedules have been omitted because they are not applicable or required, or the information required to be set forth therein is included in the consolidated Financial Statements or notes thereto included in Item 8 of this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(a)(3) Exhibits—The exhibits required by Item 601 of Regulation S-K are listed in paragraph (b)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 Exhibits—The exhibits listed on the Exhibit Index below are filed herewith or are incorporated by reference to exhibits previously filed with the SEC.</w:t>
      </w:r>
    </w:p>
    <w:p>
      <w:pPr>
        <w:spacing w:after="0" w:line="24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EXHIBITS INDEX</w:t>
      </w:r>
    </w:p>
    <w:p>
      <w:pPr>
        <w:spacing w:after="0" w:line="45" w:lineRule="exact"/>
        <w:rPr>
          <w:sz w:val="20"/>
          <w:szCs w:val="20"/>
          <w:color w:val="auto"/>
        </w:rPr>
      </w:pPr>
    </w:p>
    <w:p>
      <w:pPr>
        <w:ind w:left="160"/>
        <w:spacing w:after="0"/>
        <w:tabs>
          <w:tab w:leader="none" w:pos="50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62236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84" w:lineRule="exact"/>
        <w:rPr>
          <w:sz w:val="20"/>
          <w:szCs w:val="20"/>
          <w:color w:val="auto"/>
        </w:rPr>
      </w:pPr>
    </w:p>
    <w:p>
      <w:pPr>
        <w:ind w:left="1140" w:right="1700" w:hanging="730"/>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2.1</w:t>
      </w:r>
      <w:r>
        <w:rPr>
          <w:sz w:val="20"/>
          <w:szCs w:val="20"/>
          <w:color w:val="auto"/>
        </w:rPr>
        <w:tab/>
      </w:r>
      <w:hyperlink r:id="rId157">
        <w:r>
          <w:rPr>
            <w:rFonts w:ascii="Arial" w:cs="Arial" w:eastAsia="Arial" w:hAnsi="Arial"/>
            <w:sz w:val="16"/>
            <w:szCs w:val="16"/>
            <w:u w:val="single" w:color="auto"/>
            <w:color w:val="0000FF"/>
          </w:rPr>
          <w:t>Restated and Amended Transaction Agreement, dated August 18, 2022, by and among Zymeworks BC Inc., the</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Company, Zymeworks Callco ULC and Zymeworks ExchangeCo Ltd. (incorporated by reference to Exhibit 2.1 to</w:t>
        </w:r>
      </w:hyperlink>
    </w:p>
    <w:p>
      <w:pPr>
        <w:ind w:left="1140"/>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Amendment No. 1 to the Company’s Registration Statement on Form S-4 filed with the SEC on August 19, 2022).</w:t>
        </w:r>
      </w:hyperlink>
    </w:p>
    <w:p>
      <w:pPr>
        <w:spacing w:after="0" w:line="61" w:lineRule="exact"/>
        <w:rPr>
          <w:sz w:val="20"/>
          <w:szCs w:val="20"/>
          <w:color w:val="auto"/>
        </w:rPr>
      </w:pPr>
    </w:p>
    <w:p>
      <w:pPr>
        <w:ind w:left="1140" w:right="1660" w:hanging="730"/>
        <w:spacing w:after="0" w:line="261"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hyperlink r:id="rId158">
        <w:r>
          <w:rPr>
            <w:rFonts w:ascii="Arial" w:cs="Arial" w:eastAsia="Arial" w:hAnsi="Arial"/>
            <w:sz w:val="18"/>
            <w:szCs w:val="18"/>
            <w:u w:val="single" w:color="auto"/>
            <w:color w:val="0000FF"/>
          </w:rPr>
          <w:t>Plan of Arrangement (incorporated by reference to Exhibit 2.2 to Amendment No. 1 to the Company’s Registration</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Statement on Form S-4 filed with the SEC on August 19, 2022).</w:t>
        </w:r>
      </w:hyperlink>
    </w:p>
    <w:p>
      <w:pPr>
        <w:spacing w:after="0" w:line="63" w:lineRule="exact"/>
        <w:rPr>
          <w:sz w:val="20"/>
          <w:szCs w:val="20"/>
          <w:color w:val="auto"/>
        </w:rPr>
      </w:pPr>
    </w:p>
    <w:p>
      <w:pPr>
        <w:ind w:left="1140" w:right="1580" w:hanging="730"/>
        <w:spacing w:after="0" w:line="24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2.3</w:t>
      </w:r>
      <w:r>
        <w:rPr>
          <w:sz w:val="20"/>
          <w:szCs w:val="20"/>
          <w:color w:val="auto"/>
        </w:rPr>
        <w:tab/>
      </w:r>
      <w:hyperlink r:id="rId159">
        <w:r>
          <w:rPr>
            <w:rFonts w:ascii="Arial" w:cs="Arial" w:eastAsia="Arial" w:hAnsi="Arial"/>
            <w:sz w:val="18"/>
            <w:szCs w:val="18"/>
            <w:u w:val="single" w:color="auto"/>
            <w:color w:val="0000FF"/>
          </w:rPr>
          <w:t>Exchangeable Share Support Agreement, dated as of October 13, 2022, by and between the Company, Zymeworks</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CallCo ULC, and Zymeworks ExchangeCo Ltd. (incorporated by reference to Exhibit 2.3 to the Company’s Current</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Report on Form 8-K12B filed with the SEC on October 13, 2022).</w:t>
        </w:r>
      </w:hyperlink>
    </w:p>
    <w:p>
      <w:pPr>
        <w:spacing w:after="0" w:line="74" w:lineRule="exact"/>
        <w:rPr>
          <w:rFonts w:ascii="Arial" w:cs="Arial" w:eastAsia="Arial" w:hAnsi="Arial"/>
          <w:sz w:val="18"/>
          <w:szCs w:val="18"/>
          <w:u w:val="single" w:color="auto"/>
          <w:color w:val="0000FF"/>
        </w:rPr>
      </w:pPr>
    </w:p>
    <w:p>
      <w:pPr>
        <w:ind w:left="1140" w:right="1300" w:hanging="730"/>
        <w:spacing w:after="0" w:line="24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2.4</w:t>
      </w:r>
      <w:r>
        <w:rPr>
          <w:sz w:val="20"/>
          <w:szCs w:val="20"/>
          <w:color w:val="auto"/>
        </w:rPr>
        <w:tab/>
      </w:r>
      <w:hyperlink r:id="rId160">
        <w:r>
          <w:rPr>
            <w:rFonts w:ascii="Arial" w:cs="Arial" w:eastAsia="Arial" w:hAnsi="Arial"/>
            <w:sz w:val="18"/>
            <w:szCs w:val="18"/>
            <w:u w:val="single" w:color="auto"/>
            <w:color w:val="0000FF"/>
          </w:rPr>
          <w:t>Voting and Exchange Trust Agreement, dated as of October 13, 2022, by and between the Company, Zymeworks Callco</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ULC, Zymeworks ExchangeCo Ltd. and the Share Trustee (incorporated by reference to Exhibit 2.4 to the Company’s</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Current Report on Form 8-K12B filed with the SEC on October 13, 2022).</w:t>
        </w:r>
      </w:hyperlink>
    </w:p>
    <w:p>
      <w:pPr>
        <w:spacing w:after="0" w:line="74" w:lineRule="exact"/>
        <w:rPr>
          <w:rFonts w:ascii="Arial" w:cs="Arial" w:eastAsia="Arial" w:hAnsi="Arial"/>
          <w:sz w:val="18"/>
          <w:szCs w:val="18"/>
          <w:u w:val="single" w:color="auto"/>
          <w:color w:val="0000FF"/>
        </w:rPr>
      </w:pPr>
    </w:p>
    <w:p>
      <w:pPr>
        <w:ind w:left="1140" w:right="1620" w:hanging="730"/>
        <w:spacing w:after="0" w:line="235"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61">
        <w:r>
          <w:rPr>
            <w:rFonts w:ascii="Arial" w:cs="Arial" w:eastAsia="Arial" w:hAnsi="Arial"/>
            <w:sz w:val="18"/>
            <w:szCs w:val="18"/>
            <w:u w:val="single" w:color="auto"/>
            <w:color w:val="0000FF"/>
          </w:rPr>
          <w:t>Amended and Restated Certificate of Incorporation of the Company (incorporated by reference to Exhibit 3.1 to the</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Company’s Current Report on Form 8-K12B filed with the SEC on October 13, 2022).</w:t>
        </w:r>
      </w:hyperlink>
    </w:p>
    <w:p>
      <w:pPr>
        <w:spacing w:after="0" w:line="67" w:lineRule="exact"/>
        <w:rPr>
          <w:sz w:val="20"/>
          <w:szCs w:val="20"/>
          <w:color w:val="auto"/>
        </w:rPr>
      </w:pPr>
    </w:p>
    <w:p>
      <w:pPr>
        <w:ind w:left="1140" w:right="1620" w:hanging="730"/>
        <w:spacing w:after="0" w:line="235"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162">
        <w:r>
          <w:rPr>
            <w:rFonts w:ascii="Arial" w:cs="Arial" w:eastAsia="Arial" w:hAnsi="Arial"/>
            <w:sz w:val="18"/>
            <w:szCs w:val="18"/>
            <w:u w:val="single" w:color="auto"/>
            <w:color w:val="0000FF"/>
          </w:rPr>
          <w:t>Certificate of Designations of Special Voting Stock of the Company (incorporated by reference to Exhibit 3.2 to the</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Company’s Current Report on Form 8-K12B filed with the SEC on October 13, 2022).</w:t>
        </w:r>
      </w:hyperlink>
    </w:p>
    <w:p>
      <w:pPr>
        <w:spacing w:after="0" w:line="52" w:lineRule="exact"/>
        <w:rPr>
          <w:sz w:val="20"/>
          <w:szCs w:val="20"/>
          <w:color w:val="auto"/>
        </w:rPr>
      </w:pPr>
    </w:p>
    <w:p>
      <w:pPr>
        <w:ind w:left="40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3.3</w:t>
      </w:r>
      <w:r>
        <w:rPr>
          <w:sz w:val="20"/>
          <w:szCs w:val="20"/>
          <w:color w:val="auto"/>
        </w:rPr>
        <w:tab/>
      </w:r>
      <w:hyperlink r:id="rId163">
        <w:r>
          <w:rPr>
            <w:rFonts w:ascii="Arial" w:cs="Arial" w:eastAsia="Arial" w:hAnsi="Arial"/>
            <w:sz w:val="16"/>
            <w:szCs w:val="16"/>
            <w:u w:val="single" w:color="auto"/>
            <w:color w:val="0000FF"/>
          </w:rPr>
          <w:t>Certificate of Designations of Series B Participating Preferred Stock of the Company (incorporated by reference to</w:t>
        </w:r>
      </w:hyperlink>
    </w:p>
    <w:p>
      <w:pPr>
        <w:ind w:left="1140"/>
        <w:spacing w:after="0"/>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Exhibit 3.3 to the Company’s Current Report on Form 8-K12B filed with the SEC on October 13, 2022).</w:t>
        </w:r>
      </w:hyperlink>
    </w:p>
    <w:p>
      <w:pPr>
        <w:spacing w:after="0" w:line="74" w:lineRule="exact"/>
        <w:rPr>
          <w:sz w:val="20"/>
          <w:szCs w:val="20"/>
          <w:color w:val="auto"/>
        </w:rPr>
      </w:pPr>
    </w:p>
    <w:p>
      <w:pPr>
        <w:ind w:left="1140" w:right="1600" w:hanging="730"/>
        <w:spacing w:after="0" w:line="235"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164">
        <w:r>
          <w:rPr>
            <w:rFonts w:ascii="Arial" w:cs="Arial" w:eastAsia="Arial" w:hAnsi="Arial"/>
            <w:sz w:val="18"/>
            <w:szCs w:val="18"/>
            <w:u w:val="single" w:color="auto"/>
            <w:color w:val="0000FF"/>
          </w:rPr>
          <w:t>Amended and Restated Bylaws of the Company (incorporated by reference to Exhibit 3.4 to the Company’s Current</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Report on Form 8-K12B filed with the SEC on October 13, 2022).</w:t>
        </w:r>
      </w:hyperlink>
    </w:p>
    <w:p>
      <w:pPr>
        <w:spacing w:after="0" w:line="67"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0000FF"/>
        </w:rPr>
        <w:t>Description of Capital Stock.</w:t>
      </w:r>
    </w:p>
    <w:p>
      <w:pPr>
        <w:spacing w:after="0" w:line="77" w:lineRule="exact"/>
        <w:rPr>
          <w:sz w:val="20"/>
          <w:szCs w:val="20"/>
          <w:color w:val="auto"/>
        </w:rPr>
      </w:pPr>
    </w:p>
    <w:p>
      <w:pPr>
        <w:ind w:left="1140" w:right="1480" w:hanging="730"/>
        <w:spacing w:after="0" w:line="258" w:lineRule="auto"/>
        <w:tabs>
          <w:tab w:leader="none" w:pos="1120" w:val="left"/>
        </w:tabs>
        <w:rPr>
          <w:rFonts w:ascii="Arial" w:cs="Arial" w:eastAsia="Arial" w:hAnsi="Arial"/>
          <w:sz w:val="17"/>
          <w:szCs w:val="17"/>
          <w:u w:val="single" w:color="auto"/>
          <w:color w:val="0000FF"/>
        </w:rPr>
      </w:pPr>
      <w:r>
        <w:rPr>
          <w:rFonts w:ascii="Arial" w:cs="Arial" w:eastAsia="Arial" w:hAnsi="Arial"/>
          <w:sz w:val="18"/>
          <w:szCs w:val="18"/>
          <w:color w:val="auto"/>
        </w:rPr>
        <w:t>4.2</w:t>
      </w:r>
      <w:r>
        <w:rPr>
          <w:sz w:val="20"/>
          <w:szCs w:val="20"/>
          <w:color w:val="auto"/>
        </w:rPr>
        <w:tab/>
      </w:r>
      <w:hyperlink r:id="rId165">
        <w:r>
          <w:rPr>
            <w:rFonts w:ascii="Arial" w:cs="Arial" w:eastAsia="Arial" w:hAnsi="Arial"/>
            <w:sz w:val="17"/>
            <w:szCs w:val="17"/>
            <w:u w:val="single" w:color="auto"/>
            <w:color w:val="0000FF"/>
          </w:rPr>
          <w:t>Specimen common stock certificate of the Company (incorporated by reference to Exhibit 4.1 to Amendment No.1 to</w:t>
        </w:r>
      </w:hyperlink>
      <w:r>
        <w:rPr>
          <w:rFonts w:ascii="Arial" w:cs="Arial" w:eastAsia="Arial" w:hAnsi="Arial"/>
          <w:sz w:val="17"/>
          <w:szCs w:val="17"/>
          <w:u w:val="single" w:color="auto"/>
          <w:color w:val="0000FF"/>
        </w:rPr>
        <w:t xml:space="preserve"> </w:t>
      </w:r>
      <w:hyperlink r:id="rId165">
        <w:r>
          <w:rPr>
            <w:rFonts w:ascii="Arial" w:cs="Arial" w:eastAsia="Arial" w:hAnsi="Arial"/>
            <w:sz w:val="17"/>
            <w:szCs w:val="17"/>
            <w:u w:val="single" w:color="auto"/>
            <w:color w:val="0000FF"/>
          </w:rPr>
          <w:t>the Company’s Registration Statement on Form S-4 filed with the SEC on August 19, 2022).</w:t>
        </w:r>
      </w:hyperlink>
    </w:p>
    <w:p>
      <w:pPr>
        <w:spacing w:after="0" w:line="52" w:lineRule="exact"/>
        <w:rPr>
          <w:sz w:val="20"/>
          <w:szCs w:val="20"/>
          <w:color w:val="auto"/>
        </w:rPr>
      </w:pPr>
    </w:p>
    <w:p>
      <w:pPr>
        <w:ind w:left="1140" w:right="1380" w:hanging="730"/>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4.3</w:t>
      </w:r>
      <w:r>
        <w:rPr>
          <w:sz w:val="20"/>
          <w:szCs w:val="20"/>
          <w:color w:val="auto"/>
        </w:rPr>
        <w:tab/>
      </w:r>
      <w:hyperlink r:id="rId166">
        <w:r>
          <w:rPr>
            <w:rFonts w:ascii="Arial" w:cs="Arial" w:eastAsia="Arial" w:hAnsi="Arial"/>
            <w:sz w:val="16"/>
            <w:szCs w:val="16"/>
            <w:u w:val="single" w:color="auto"/>
            <w:color w:val="0000FF"/>
          </w:rPr>
          <w:t>Preferred Shares Rights Agreement, dated as of June 9, 2022, by and between Zymeworks BC Inc. and Computershare</w:t>
        </w:r>
      </w:hyperlink>
      <w:r>
        <w:rPr>
          <w:rFonts w:ascii="Arial" w:cs="Arial" w:eastAsia="Arial" w:hAnsi="Arial"/>
          <w:sz w:val="16"/>
          <w:szCs w:val="16"/>
          <w:u w:val="single" w:color="auto"/>
          <w:color w:val="0000FF"/>
        </w:rPr>
        <w:t xml:space="preserve"> </w:t>
      </w:r>
      <w:hyperlink r:id="rId166">
        <w:r>
          <w:rPr>
            <w:rFonts w:ascii="Arial" w:cs="Arial" w:eastAsia="Arial" w:hAnsi="Arial"/>
            <w:sz w:val="16"/>
            <w:szCs w:val="16"/>
            <w:u w:val="single" w:color="auto"/>
            <w:color w:val="0000FF"/>
          </w:rPr>
          <w:t>Trust Company, N.A., as rights agent (including the Resolutions of the Board of Directors of Zymeworks BC Inc. as</w:t>
        </w:r>
      </w:hyperlink>
    </w:p>
    <w:p>
      <w:pPr>
        <w:ind w:left="1140" w:right="1500"/>
        <w:spacing w:after="0" w:line="226" w:lineRule="auto"/>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Exhibit A of Exhibit 4.3 hereto) (incorporated by reference to Exhibit 4.1 to Zymeworks BC Inc.’s Current Report on</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Form 8-K filed with the SEC on June 10, 2022).</w:t>
        </w:r>
      </w:hyperlink>
    </w:p>
    <w:p>
      <w:pPr>
        <w:spacing w:after="0" w:line="53" w:lineRule="exact"/>
        <w:rPr>
          <w:sz w:val="20"/>
          <w:szCs w:val="20"/>
          <w:color w:val="auto"/>
        </w:rPr>
      </w:pPr>
    </w:p>
    <w:p>
      <w:pPr>
        <w:ind w:left="1140" w:right="1340" w:hanging="730"/>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4.4</w:t>
      </w:r>
      <w:r>
        <w:rPr>
          <w:sz w:val="20"/>
          <w:szCs w:val="20"/>
          <w:color w:val="auto"/>
        </w:rPr>
        <w:tab/>
      </w:r>
      <w:hyperlink r:id="rId167">
        <w:r>
          <w:rPr>
            <w:rFonts w:ascii="Arial" w:cs="Arial" w:eastAsia="Arial" w:hAnsi="Arial"/>
            <w:sz w:val="16"/>
            <w:szCs w:val="16"/>
            <w:u w:val="single" w:color="auto"/>
            <w:color w:val="0000FF"/>
          </w:rPr>
          <w:t>Amendment No. 1 to the Preferred Shares Rights Agreement, dated as of October 12, 2022, by and between</w:t>
        </w:r>
      </w:hyperlink>
      <w:r>
        <w:rPr>
          <w:rFonts w:ascii="Arial" w:cs="Arial" w:eastAsia="Arial" w:hAnsi="Arial"/>
          <w:sz w:val="16"/>
          <w:szCs w:val="16"/>
          <w:u w:val="single" w:color="auto"/>
          <w:color w:val="0000FF"/>
        </w:rPr>
        <w:t xml:space="preserve"> </w:t>
      </w:r>
      <w:hyperlink r:id="rId167">
        <w:r>
          <w:rPr>
            <w:rFonts w:ascii="Arial" w:cs="Arial" w:eastAsia="Arial" w:hAnsi="Arial"/>
            <w:sz w:val="16"/>
            <w:szCs w:val="16"/>
            <w:u w:val="single" w:color="auto"/>
            <w:color w:val="0000FF"/>
          </w:rPr>
          <w:t>Zymeworks BC Inc. and Computershare Trust Company, N.A., as rights agent (incorporated by reference to Exhibit 4.4</w:t>
        </w:r>
      </w:hyperlink>
    </w:p>
    <w:p>
      <w:pPr>
        <w:ind w:left="1140"/>
        <w:spacing w:after="0"/>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to the Company’s Quarterly Report on Form 10-Q filed with the SEC on November 8, 2022).</w:t>
        </w:r>
      </w:hyperlink>
    </w:p>
    <w:p>
      <w:pPr>
        <w:spacing w:after="0" w:line="61" w:lineRule="exact"/>
        <w:rPr>
          <w:sz w:val="20"/>
          <w:szCs w:val="20"/>
          <w:color w:val="auto"/>
        </w:rPr>
      </w:pPr>
    </w:p>
    <w:p>
      <w:pPr>
        <w:jc w:val="right"/>
        <w:ind w:left="400" w:right="1340"/>
        <w:spacing w:after="0" w:line="24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4.5      </w:t>
      </w:r>
      <w:hyperlink r:id="rId168">
        <w:r>
          <w:rPr>
            <w:rFonts w:ascii="Arial" w:cs="Arial" w:eastAsia="Arial" w:hAnsi="Arial"/>
            <w:sz w:val="16"/>
            <w:szCs w:val="16"/>
            <w:u w:val="single" w:color="auto"/>
            <w:color w:val="0000FF"/>
          </w:rPr>
          <w:t>Preferred Stock Rights Agreement, dated October 12, 2022, between the Company and Computershare Trust Company,</w:t>
        </w:r>
      </w:hyperlink>
      <w:r>
        <w:rPr>
          <w:rFonts w:ascii="Arial" w:cs="Arial" w:eastAsia="Arial" w:hAnsi="Arial"/>
          <w:sz w:val="16"/>
          <w:szCs w:val="16"/>
          <w:color w:val="auto"/>
        </w:rPr>
        <w:t xml:space="preserve"> </w:t>
      </w:r>
      <w:hyperlink r:id="rId168">
        <w:r>
          <w:rPr>
            <w:rFonts w:ascii="Arial" w:cs="Arial" w:eastAsia="Arial" w:hAnsi="Arial"/>
            <w:sz w:val="16"/>
            <w:szCs w:val="16"/>
            <w:u w:val="single" w:color="auto"/>
            <w:color w:val="0000FF"/>
          </w:rPr>
          <w:t>N.A., as rights agent (incorporated by reference to Exhibit 4.2 to the Company’s Current Report on Form 8-K12B filed</w:t>
        </w:r>
      </w:hyperlink>
    </w:p>
    <w:p>
      <w:pPr>
        <w:ind w:left="1140"/>
        <w:spacing w:after="0"/>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with the SEC on October 13, 2022).</w:t>
        </w:r>
      </w:hyperlink>
    </w:p>
    <w:p>
      <w:pPr>
        <w:spacing w:after="0" w:line="61" w:lineRule="exact"/>
        <w:rPr>
          <w:sz w:val="20"/>
          <w:szCs w:val="20"/>
          <w:color w:val="auto"/>
        </w:rPr>
      </w:pPr>
    </w:p>
    <w:p>
      <w:pPr>
        <w:ind w:left="1140" w:right="1300" w:hanging="730"/>
        <w:spacing w:after="0" w:line="235"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hyperlink r:id="rId169">
        <w:r>
          <w:rPr>
            <w:rFonts w:ascii="Arial" w:cs="Arial" w:eastAsia="Arial" w:hAnsi="Arial"/>
            <w:sz w:val="18"/>
            <w:szCs w:val="18"/>
            <w:u w:val="single" w:color="auto"/>
            <w:color w:val="0000FF"/>
          </w:rPr>
          <w:t>Form of Pre-Funded Warrant to Purchase Common Shares (incorporated by reference to Exhibit 99.2 to Zymeworks BC</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Inc.’s Current Report on Form 8-K filed with the SEC on June 20, 2019).</w:t>
        </w:r>
      </w:hyperlink>
    </w:p>
    <w:p>
      <w:pPr>
        <w:spacing w:after="0" w:line="67" w:lineRule="exact"/>
        <w:rPr>
          <w:sz w:val="20"/>
          <w:szCs w:val="20"/>
          <w:color w:val="auto"/>
        </w:rPr>
      </w:pPr>
    </w:p>
    <w:p>
      <w:pPr>
        <w:ind w:left="1140" w:right="1380" w:hanging="730"/>
        <w:spacing w:after="0" w:line="261"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hyperlink r:id="rId170">
        <w:r>
          <w:rPr>
            <w:rFonts w:ascii="Arial" w:cs="Arial" w:eastAsia="Arial" w:hAnsi="Arial"/>
            <w:sz w:val="18"/>
            <w:szCs w:val="18"/>
            <w:u w:val="single" w:color="auto"/>
            <w:color w:val="0000FF"/>
          </w:rPr>
          <w:t>Form of Pre-Funded Warrant to Purchase Common Shares (incorporated by reference to Exhibit 4.1 to Zymeworks BC</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Inc.'s Current Report on Form 8-K filed with the SEC on January 24, 2020).</w:t>
        </w:r>
      </w:hyperlink>
    </w:p>
    <w:p>
      <w:pPr>
        <w:sectPr>
          <w:pgSz w:w="11900" w:h="16838" w:orient="portrait"/>
          <w:cols w:equalWidth="0" w:num="1">
            <w:col w:w="11080"/>
          </w:cols>
          <w:pgMar w:left="320" w:top="22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
        <w:spacing w:after="0"/>
        <w:tabs>
          <w:tab w:leader="none" w:pos="50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62236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43" w:lineRule="exact"/>
        <w:rPr>
          <w:sz w:val="20"/>
          <w:szCs w:val="20"/>
          <w:color w:val="auto"/>
        </w:rPr>
      </w:pPr>
    </w:p>
    <w:p>
      <w:pPr>
        <w:ind w:left="1140" w:right="439" w:hanging="730"/>
        <w:spacing w:after="0" w:line="256"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hyperlink r:id="rId173">
        <w:r>
          <w:rPr>
            <w:rFonts w:ascii="Arial" w:cs="Arial" w:eastAsia="Arial" w:hAnsi="Arial"/>
            <w:sz w:val="18"/>
            <w:szCs w:val="18"/>
            <w:u w:val="single" w:color="auto"/>
            <w:color w:val="0000FF"/>
          </w:rPr>
          <w:t>Registration Rights Agreement dated March 16, 2020, by and among Zymeworks BC Inc., Baker Brothers Life</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Sciences, L.P. and 667, L.P. (incorporated by reference to Exhibit 4.1 to Zymeworks BC Inc.’s Current Report on Form</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8-K filed with the SEC on March 16, 2020).</w:t>
        </w:r>
      </w:hyperlink>
    </w:p>
    <w:p>
      <w:pPr>
        <w:spacing w:after="0" w:line="51" w:lineRule="exact"/>
        <w:rPr>
          <w:rFonts w:ascii="Arial" w:cs="Arial" w:eastAsia="Arial" w:hAnsi="Arial"/>
          <w:sz w:val="18"/>
          <w:szCs w:val="18"/>
          <w:u w:val="single" w:color="auto"/>
          <w:color w:val="0000FF"/>
        </w:rPr>
      </w:pPr>
    </w:p>
    <w:p>
      <w:pPr>
        <w:ind w:left="32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174">
        <w:r>
          <w:rPr>
            <w:rFonts w:ascii="Arial" w:cs="Arial" w:eastAsia="Arial" w:hAnsi="Arial"/>
            <w:sz w:val="16"/>
            <w:szCs w:val="16"/>
            <w:u w:val="single" w:color="auto"/>
            <w:color w:val="0000FF"/>
          </w:rPr>
          <w:t>Amended and Restated Employment Agreement, dated January 17, 2017, by and between Zymeworks BC Inc. and</w:t>
        </w:r>
      </w:hyperlink>
    </w:p>
    <w:p>
      <w:pPr>
        <w:ind w:left="1140"/>
        <w:spacing w:after="0"/>
        <w:rPr>
          <w:rFonts w:ascii="Arial" w:cs="Arial" w:eastAsia="Arial" w:hAnsi="Arial"/>
          <w:sz w:val="16"/>
          <w:szCs w:val="16"/>
          <w:u w:val="single" w:color="auto"/>
          <w:color w:val="0000FF"/>
        </w:rPr>
      </w:pPr>
      <w:hyperlink r:id="rId174">
        <w:r>
          <w:rPr>
            <w:rFonts w:ascii="Arial" w:cs="Arial" w:eastAsia="Arial" w:hAnsi="Arial"/>
            <w:sz w:val="16"/>
            <w:szCs w:val="16"/>
            <w:u w:val="single" w:color="auto"/>
            <w:color w:val="0000FF"/>
          </w:rPr>
          <w:t>Dr. Ali Tehrani (incorporated by reference to Exhibit 10.2 to Zymeworks BC Inc.’s Registration Statement on Form F-1</w:t>
        </w:r>
      </w:hyperlink>
    </w:p>
    <w:p>
      <w:pPr>
        <w:spacing w:after="0" w:line="5" w:lineRule="exact"/>
        <w:rPr>
          <w:rFonts w:ascii="Arial" w:cs="Arial" w:eastAsia="Arial" w:hAnsi="Arial"/>
          <w:sz w:val="18"/>
          <w:szCs w:val="18"/>
          <w:u w:val="single" w:color="auto"/>
          <w:color w:val="0000FF"/>
        </w:rPr>
      </w:pPr>
    </w:p>
    <w:p>
      <w:pPr>
        <w:ind w:left="1140"/>
        <w:spacing w:after="0"/>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filed with the SEC on April 3, 2017).</w:t>
        </w:r>
      </w:hyperlink>
    </w:p>
    <w:p>
      <w:pPr>
        <w:spacing w:after="0" w:line="61" w:lineRule="exact"/>
        <w:rPr>
          <w:rFonts w:ascii="Arial" w:cs="Arial" w:eastAsia="Arial" w:hAnsi="Arial"/>
          <w:sz w:val="18"/>
          <w:szCs w:val="18"/>
          <w:u w:val="single" w:color="auto"/>
          <w:color w:val="0000FF"/>
        </w:rPr>
      </w:pPr>
    </w:p>
    <w:p>
      <w:pPr>
        <w:ind w:left="1140" w:right="439" w:hanging="820"/>
        <w:spacing w:after="0" w:line="24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175">
        <w:r>
          <w:rPr>
            <w:rFonts w:ascii="Arial" w:cs="Arial" w:eastAsia="Arial" w:hAnsi="Arial"/>
            <w:sz w:val="18"/>
            <w:szCs w:val="18"/>
            <w:u w:val="single" w:color="auto"/>
            <w:color w:val="0000FF"/>
          </w:rPr>
          <w:t>Separation Agreement and Release by and between Zymeworks BC Inc. and Ali Tehrani, dated January 5, 2022</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(incorporated by reference to Exhibit 10.2 to Zymeworks BC Inc.’s Current Report on Form 8-K filed with the SEC on</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January 5, 2022).</w:t>
        </w:r>
      </w:hyperlink>
    </w:p>
    <w:p>
      <w:pPr>
        <w:spacing w:after="0" w:line="74" w:lineRule="exact"/>
        <w:rPr>
          <w:rFonts w:ascii="Arial" w:cs="Arial" w:eastAsia="Arial" w:hAnsi="Arial"/>
          <w:sz w:val="18"/>
          <w:szCs w:val="18"/>
          <w:u w:val="single" w:color="auto"/>
          <w:color w:val="0000FF"/>
        </w:rPr>
      </w:pPr>
    </w:p>
    <w:p>
      <w:pPr>
        <w:ind w:left="1140" w:right="379" w:hanging="820"/>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176">
        <w:r>
          <w:rPr>
            <w:rFonts w:ascii="Arial" w:cs="Arial" w:eastAsia="Arial" w:hAnsi="Arial"/>
            <w:sz w:val="16"/>
            <w:szCs w:val="16"/>
            <w:u w:val="single" w:color="auto"/>
            <w:color w:val="0000FF"/>
          </w:rPr>
          <w:t>Amended and Restated Employment Agreement, dated January 17, 2017, by and between Zymeworks BC Inc. and Neil</w:t>
        </w:r>
      </w:hyperlink>
      <w:r>
        <w:rPr>
          <w:rFonts w:ascii="Arial" w:cs="Arial" w:eastAsia="Arial" w:hAnsi="Arial"/>
          <w:sz w:val="16"/>
          <w:szCs w:val="16"/>
          <w:u w:val="single" w:color="auto"/>
          <w:color w:val="0000FF"/>
        </w:rPr>
        <w:t xml:space="preserve"> </w:t>
      </w:r>
      <w:hyperlink r:id="rId176">
        <w:r>
          <w:rPr>
            <w:rFonts w:ascii="Arial" w:cs="Arial" w:eastAsia="Arial" w:hAnsi="Arial"/>
            <w:sz w:val="16"/>
            <w:szCs w:val="16"/>
            <w:u w:val="single" w:color="auto"/>
            <w:color w:val="0000FF"/>
          </w:rPr>
          <w:t>Klompas (incorporated by reference to Exhibit 10.4 to Zymeworks BC Inc.’s Registration Statement on Form F-1 filed</w:t>
        </w:r>
      </w:hyperlink>
    </w:p>
    <w:p>
      <w:pPr>
        <w:ind w:left="1140"/>
        <w:spacing w:after="0"/>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with the SEC on April 3, 2017).</w:t>
        </w:r>
      </w:hyperlink>
    </w:p>
    <w:p>
      <w:pPr>
        <w:spacing w:after="0" w:line="61" w:lineRule="exact"/>
        <w:rPr>
          <w:sz w:val="20"/>
          <w:szCs w:val="20"/>
          <w:color w:val="auto"/>
        </w:rPr>
      </w:pPr>
    </w:p>
    <w:p>
      <w:pPr>
        <w:ind w:left="1140" w:right="819" w:hanging="820"/>
        <w:spacing w:after="0" w:line="324"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10.4#</w:t>
      </w:r>
      <w:r>
        <w:rPr>
          <w:sz w:val="20"/>
          <w:szCs w:val="20"/>
          <w:color w:val="auto"/>
        </w:rPr>
        <w:tab/>
      </w:r>
      <w:hyperlink r:id="rId177">
        <w:r>
          <w:rPr>
            <w:rFonts w:ascii="Arial" w:cs="Arial" w:eastAsia="Arial" w:hAnsi="Arial"/>
            <w:sz w:val="16"/>
            <w:szCs w:val="16"/>
            <w:u w:val="single" w:color="auto"/>
            <w:color w:val="0000FF"/>
          </w:rPr>
          <w:t>Promotion Letter from Zymeworks BC Inc. to Neil Klompas, dated January 5, 2022 (incorporated by reference to</w:t>
        </w:r>
      </w:hyperlink>
      <w:r>
        <w:rPr>
          <w:rFonts w:ascii="Arial" w:cs="Arial" w:eastAsia="Arial" w:hAnsi="Arial"/>
          <w:sz w:val="16"/>
          <w:szCs w:val="16"/>
          <w:u w:val="single" w:color="auto"/>
          <w:color w:val="0000FF"/>
        </w:rPr>
        <w:t xml:space="preserve"> </w:t>
      </w:r>
      <w:hyperlink r:id="rId177">
        <w:r>
          <w:rPr>
            <w:rFonts w:ascii="Arial" w:cs="Arial" w:eastAsia="Arial" w:hAnsi="Arial"/>
            <w:sz w:val="16"/>
            <w:szCs w:val="16"/>
            <w:u w:val="single" w:color="auto"/>
            <w:color w:val="0000FF"/>
          </w:rPr>
          <w:t>Exhibit 10.3 to Zymeworks BC Inc.’s Current Report on Form 8-K filed with the SEC on January 5, 2022).</w:t>
        </w:r>
      </w:hyperlink>
    </w:p>
    <w:p>
      <w:pPr>
        <w:spacing w:after="0" w:line="16" w:lineRule="exact"/>
        <w:rPr>
          <w:sz w:val="20"/>
          <w:szCs w:val="20"/>
          <w:color w:val="auto"/>
        </w:rPr>
      </w:pPr>
    </w:p>
    <w:p>
      <w:pPr>
        <w:ind w:left="1140" w:right="399" w:hanging="820"/>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sz w:val="20"/>
          <w:szCs w:val="20"/>
          <w:color w:val="auto"/>
        </w:rPr>
        <w:tab/>
      </w:r>
      <w:hyperlink r:id="rId178">
        <w:r>
          <w:rPr>
            <w:rFonts w:ascii="Arial" w:cs="Arial" w:eastAsia="Arial" w:hAnsi="Arial"/>
            <w:sz w:val="16"/>
            <w:szCs w:val="16"/>
            <w:u w:val="single" w:color="auto"/>
            <w:color w:val="0000FF"/>
          </w:rPr>
          <w:t>Collaboration Agreement, effective as of December 23, 2014, by and among Zymeworks BC Inc., Celgene Corporation</w:t>
        </w:r>
      </w:hyperlink>
      <w:r>
        <w:rPr>
          <w:rFonts w:ascii="Arial" w:cs="Arial" w:eastAsia="Arial" w:hAnsi="Arial"/>
          <w:sz w:val="16"/>
          <w:szCs w:val="16"/>
          <w:u w:val="single" w:color="auto"/>
          <w:color w:val="0000FF"/>
        </w:rPr>
        <w:t xml:space="preserve"> </w:t>
      </w:r>
      <w:hyperlink r:id="rId178">
        <w:r>
          <w:rPr>
            <w:rFonts w:ascii="Arial" w:cs="Arial" w:eastAsia="Arial" w:hAnsi="Arial"/>
            <w:sz w:val="16"/>
            <w:szCs w:val="16"/>
            <w:u w:val="single" w:color="auto"/>
            <w:color w:val="0000FF"/>
          </w:rPr>
          <w:t>and Celgene Alpine Investment Co. LLC (incorporated by reference to Exhibit 10.22 to Zymeworks BC Inc.’s</w:t>
        </w:r>
      </w:hyperlink>
    </w:p>
    <w:p>
      <w:pPr>
        <w:ind w:left="1140"/>
        <w:spacing w:after="0"/>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Registration Statement on Form F-1 filed with the SEC on April 3, 2017).</w:t>
        </w:r>
      </w:hyperlink>
    </w:p>
    <w:p>
      <w:pPr>
        <w:spacing w:after="0" w:line="61" w:lineRule="exact"/>
        <w:rPr>
          <w:sz w:val="20"/>
          <w:szCs w:val="20"/>
          <w:color w:val="auto"/>
        </w:rPr>
      </w:pPr>
    </w:p>
    <w:p>
      <w:pPr>
        <w:ind w:left="1140" w:right="379" w:hanging="820"/>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10.6†</w:t>
      </w:r>
      <w:r>
        <w:rPr>
          <w:sz w:val="20"/>
          <w:szCs w:val="20"/>
          <w:color w:val="auto"/>
        </w:rPr>
        <w:tab/>
      </w:r>
      <w:hyperlink r:id="rId179">
        <w:r>
          <w:rPr>
            <w:rFonts w:ascii="Arial" w:cs="Arial" w:eastAsia="Arial" w:hAnsi="Arial"/>
            <w:sz w:val="16"/>
            <w:szCs w:val="16"/>
            <w:u w:val="single" w:color="auto"/>
            <w:color w:val="0000FF"/>
          </w:rPr>
          <w:t>First Amendment to Collaboration Agreement, effective as of May 29, 2017, by and between Zymeworks BC Inc.,</w:t>
        </w:r>
      </w:hyperlink>
      <w:r>
        <w:rPr>
          <w:rFonts w:ascii="Arial" w:cs="Arial" w:eastAsia="Arial" w:hAnsi="Arial"/>
          <w:sz w:val="16"/>
          <w:szCs w:val="16"/>
          <w:u w:val="single" w:color="auto"/>
          <w:color w:val="0000FF"/>
        </w:rPr>
        <w:t xml:space="preserve"> </w:t>
      </w:r>
      <w:hyperlink r:id="rId179">
        <w:r>
          <w:rPr>
            <w:rFonts w:ascii="Arial" w:cs="Arial" w:eastAsia="Arial" w:hAnsi="Arial"/>
            <w:sz w:val="16"/>
            <w:szCs w:val="16"/>
            <w:u w:val="single" w:color="auto"/>
            <w:color w:val="0000FF"/>
          </w:rPr>
          <w:t>Celgene Corporation and Celgene Alpine Investment Co. LLC (incorporated by reference to Exhibit 99.1 to a Report of</w:t>
        </w:r>
      </w:hyperlink>
    </w:p>
    <w:p>
      <w:pPr>
        <w:ind w:left="1140"/>
        <w:spacing w:after="0"/>
        <w:rPr>
          <w:rFonts w:ascii="Arial" w:cs="Arial" w:eastAsia="Arial" w:hAnsi="Arial"/>
          <w:sz w:val="16"/>
          <w:szCs w:val="16"/>
          <w:u w:val="single" w:color="auto"/>
          <w:color w:val="0000FF"/>
        </w:rPr>
      </w:pPr>
      <w:hyperlink r:id="rId179">
        <w:r>
          <w:rPr>
            <w:rFonts w:ascii="Arial" w:cs="Arial" w:eastAsia="Arial" w:hAnsi="Arial"/>
            <w:sz w:val="16"/>
            <w:szCs w:val="16"/>
            <w:u w:val="single" w:color="auto"/>
            <w:color w:val="0000FF"/>
          </w:rPr>
          <w:t>Foreign Private Issuer on Form 6-K furnished to the SEC on July 18, 2017 and deemed filed under the Exchange Act).</w:t>
        </w:r>
      </w:hyperlink>
    </w:p>
    <w:p>
      <w:pPr>
        <w:spacing w:after="0" w:line="84" w:lineRule="exact"/>
        <w:rPr>
          <w:sz w:val="20"/>
          <w:szCs w:val="20"/>
          <w:color w:val="auto"/>
        </w:rPr>
      </w:pPr>
    </w:p>
    <w:p>
      <w:pPr>
        <w:ind w:left="32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10.7*</w:t>
      </w:r>
      <w:r>
        <w:rPr>
          <w:sz w:val="20"/>
          <w:szCs w:val="20"/>
          <w:color w:val="auto"/>
        </w:rPr>
        <w:tab/>
      </w:r>
      <w:hyperlink r:id="rId180">
        <w:r>
          <w:rPr>
            <w:rFonts w:ascii="Arial" w:cs="Arial" w:eastAsia="Arial" w:hAnsi="Arial"/>
            <w:sz w:val="16"/>
            <w:szCs w:val="16"/>
            <w:u w:val="single" w:color="auto"/>
            <w:color w:val="0000FF"/>
          </w:rPr>
          <w:t>Second Amendment to Collaboration Agreement, effective as of March 31, 2020, by and between Zymeworks BC Inc.,</w:t>
        </w:r>
      </w:hyperlink>
    </w:p>
    <w:p>
      <w:pPr>
        <w:spacing w:after="0" w:line="25" w:lineRule="exact"/>
        <w:rPr>
          <w:sz w:val="20"/>
          <w:szCs w:val="20"/>
          <w:color w:val="auto"/>
        </w:rPr>
      </w:pPr>
    </w:p>
    <w:p>
      <w:pPr>
        <w:ind w:left="1140" w:right="1239"/>
        <w:spacing w:after="0" w:line="288" w:lineRule="auto"/>
        <w:rPr>
          <w:rFonts w:ascii="Arial" w:cs="Arial" w:eastAsia="Arial" w:hAnsi="Arial"/>
          <w:sz w:val="17"/>
          <w:szCs w:val="17"/>
          <w:u w:val="single" w:color="auto"/>
          <w:color w:val="0000FF"/>
        </w:rPr>
      </w:pPr>
      <w:hyperlink r:id="rId180">
        <w:r>
          <w:rPr>
            <w:rFonts w:ascii="Arial" w:cs="Arial" w:eastAsia="Arial" w:hAnsi="Arial"/>
            <w:sz w:val="17"/>
            <w:szCs w:val="17"/>
            <w:u w:val="single" w:color="auto"/>
            <w:color w:val="0000FF"/>
          </w:rPr>
          <w:t>Celgene Corporation and Celgene Alpine Investment Co. LLC (incorporated by reference to Exhibit 99.1 to</w:t>
        </w:r>
      </w:hyperlink>
      <w:r>
        <w:rPr>
          <w:rFonts w:ascii="Arial" w:cs="Arial" w:eastAsia="Arial" w:hAnsi="Arial"/>
          <w:sz w:val="17"/>
          <w:szCs w:val="17"/>
          <w:u w:val="single" w:color="auto"/>
          <w:color w:val="0000FF"/>
        </w:rPr>
        <w:t xml:space="preserve"> </w:t>
      </w:r>
      <w:hyperlink r:id="rId181">
        <w:r>
          <w:rPr>
            <w:rFonts w:ascii="Arial" w:cs="Arial" w:eastAsia="Arial" w:hAnsi="Arial"/>
            <w:sz w:val="17"/>
            <w:szCs w:val="17"/>
            <w:u w:val="single" w:color="auto"/>
            <w:color w:val="0000FF"/>
          </w:rPr>
          <w:t xml:space="preserve">Zymeworks BC Inc.’s </w:t>
        </w:r>
      </w:hyperlink>
      <w:hyperlink r:id="rId180">
        <w:r>
          <w:rPr>
            <w:rFonts w:ascii="Arial" w:cs="Arial" w:eastAsia="Arial" w:hAnsi="Arial"/>
            <w:sz w:val="17"/>
            <w:szCs w:val="17"/>
            <w:u w:val="single" w:color="auto"/>
            <w:color w:val="0000FF"/>
          </w:rPr>
          <w:t>Quarterly Report on Form 10-Q filed with the SEC on May 7, 2020).</w:t>
        </w:r>
      </w:hyperlink>
    </w:p>
    <w:p>
      <w:pPr>
        <w:spacing w:after="0" w:line="28" w:lineRule="exact"/>
        <w:rPr>
          <w:rFonts w:ascii="Arial" w:cs="Arial" w:eastAsia="Arial" w:hAnsi="Arial"/>
          <w:sz w:val="17"/>
          <w:szCs w:val="17"/>
          <w:u w:val="single" w:color="auto"/>
          <w:color w:val="0000FF"/>
        </w:rPr>
      </w:pPr>
    </w:p>
    <w:p>
      <w:pPr>
        <w:jc w:val="both"/>
        <w:ind w:left="1140" w:right="639" w:hanging="820"/>
        <w:spacing w:after="0" w:line="256"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182">
        <w:r>
          <w:rPr>
            <w:rFonts w:ascii="Arial" w:cs="Arial" w:eastAsia="Arial" w:hAnsi="Arial"/>
            <w:sz w:val="18"/>
            <w:szCs w:val="18"/>
            <w:u w:val="single" w:color="auto"/>
            <w:color w:val="0000FF"/>
          </w:rPr>
          <w:t>Third Amendment to Collaboration Agreement, dated June 22, 2020, by and between Zymeworks BC Inc., Celgene</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Corporation and Celgene Alpine Investment Co. LLC. (incorporated by reference to Exhibit 10.2 to Zymeworks BC</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 xml:space="preserve">Inc.’s </w:t>
        </w:r>
      </w:hyperlink>
      <w:hyperlink r:id="rId182">
        <w:r>
          <w:rPr>
            <w:rFonts w:ascii="Arial" w:cs="Arial" w:eastAsia="Arial" w:hAnsi="Arial"/>
            <w:sz w:val="18"/>
            <w:szCs w:val="18"/>
            <w:u w:val="single" w:color="auto"/>
            <w:color w:val="0000FF"/>
          </w:rPr>
          <w:t>Quarterly Report on Form 10-Q filed with the SEC on August 5, 2020).</w:t>
        </w:r>
      </w:hyperlink>
    </w:p>
    <w:p>
      <w:pPr>
        <w:spacing w:after="0" w:line="67" w:lineRule="exact"/>
        <w:rPr>
          <w:rFonts w:ascii="Arial" w:cs="Arial" w:eastAsia="Arial" w:hAnsi="Arial"/>
          <w:sz w:val="18"/>
          <w:szCs w:val="18"/>
          <w:u w:val="single" w:color="auto"/>
          <w:color w:val="0000FF"/>
        </w:rPr>
      </w:pPr>
    </w:p>
    <w:p>
      <w:pPr>
        <w:ind w:left="1140" w:right="399" w:hanging="820"/>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10.9*</w:t>
      </w:r>
      <w:r>
        <w:rPr>
          <w:sz w:val="20"/>
          <w:szCs w:val="20"/>
          <w:color w:val="auto"/>
        </w:rPr>
        <w:tab/>
      </w:r>
      <w:hyperlink r:id="rId183">
        <w:r>
          <w:rPr>
            <w:rFonts w:ascii="Arial" w:cs="Arial" w:eastAsia="Arial" w:hAnsi="Arial"/>
            <w:sz w:val="16"/>
            <w:szCs w:val="16"/>
            <w:u w:val="single" w:color="auto"/>
            <w:color w:val="0000FF"/>
          </w:rPr>
          <w:t>Letter Agreement, effective April 20, 2021, by and between Zymeworks BC Inc. and Celgene Corporation and Celgene</w:t>
        </w:r>
      </w:hyperlink>
      <w:r>
        <w:rPr>
          <w:rFonts w:ascii="Arial" w:cs="Arial" w:eastAsia="Arial" w:hAnsi="Arial"/>
          <w:sz w:val="16"/>
          <w:szCs w:val="16"/>
          <w:u w:val="single" w:color="auto"/>
          <w:color w:val="0000FF"/>
        </w:rPr>
        <w:t xml:space="preserve"> </w:t>
      </w:r>
      <w:hyperlink r:id="rId183">
        <w:r>
          <w:rPr>
            <w:rFonts w:ascii="Arial" w:cs="Arial" w:eastAsia="Arial" w:hAnsi="Arial"/>
            <w:sz w:val="16"/>
            <w:szCs w:val="16"/>
            <w:u w:val="single" w:color="auto"/>
            <w:color w:val="0000FF"/>
          </w:rPr>
          <w:t>Alpine Investment Co. LLC. (incorporated by reference to Exhibit 99.4 to Zymeworks BC Inc.’s Quarterly Report on</w:t>
        </w:r>
      </w:hyperlink>
    </w:p>
    <w:p>
      <w:pPr>
        <w:ind w:left="1140"/>
        <w:spacing w:after="0"/>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Form 10-Q filed with the SEC on August 4, 2021).</w:t>
        </w:r>
      </w:hyperlink>
    </w:p>
    <w:p>
      <w:pPr>
        <w:spacing w:after="0" w:line="61" w:lineRule="exact"/>
        <w:rPr>
          <w:sz w:val="20"/>
          <w:szCs w:val="20"/>
          <w:color w:val="auto"/>
        </w:rPr>
      </w:pPr>
    </w:p>
    <w:p>
      <w:pPr>
        <w:ind w:left="1140" w:right="49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10.10*</w:t>
      </w:r>
      <w:r>
        <w:rPr>
          <w:sz w:val="20"/>
          <w:szCs w:val="20"/>
          <w:color w:val="auto"/>
        </w:rPr>
        <w:tab/>
      </w:r>
      <w:hyperlink r:id="rId184">
        <w:r>
          <w:rPr>
            <w:rFonts w:ascii="Arial" w:cs="Arial" w:eastAsia="Arial" w:hAnsi="Arial"/>
            <w:sz w:val="16"/>
            <w:szCs w:val="16"/>
            <w:u w:val="single" w:color="auto"/>
            <w:color w:val="0000FF"/>
          </w:rPr>
          <w:t>Fourth Amendment to Collaboration Agreement, dated August 4, 2021, by and between Zymeworks BC Inc., Celgene</w:t>
        </w:r>
      </w:hyperlink>
      <w:r>
        <w:rPr>
          <w:rFonts w:ascii="Arial" w:cs="Arial" w:eastAsia="Arial" w:hAnsi="Arial"/>
          <w:sz w:val="16"/>
          <w:szCs w:val="16"/>
          <w:u w:val="single" w:color="auto"/>
          <w:color w:val="0000FF"/>
        </w:rPr>
        <w:t xml:space="preserve"> </w:t>
      </w:r>
      <w:hyperlink r:id="rId181">
        <w:r>
          <w:rPr>
            <w:rFonts w:ascii="Arial" w:cs="Arial" w:eastAsia="Arial" w:hAnsi="Arial"/>
            <w:sz w:val="16"/>
            <w:szCs w:val="16"/>
            <w:u w:val="single" w:color="auto"/>
            <w:color w:val="0000FF"/>
          </w:rPr>
          <w:t>Corporation and Celgene Alpine Investment Co. LLC (incorporated by reference to Exhibit 99.1 to Zymeworks BC</w:t>
        </w:r>
      </w:hyperlink>
    </w:p>
    <w:p>
      <w:pPr>
        <w:ind w:left="1140"/>
        <w:spacing w:after="0"/>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 xml:space="preserve">Inc.’s </w:t>
        </w:r>
      </w:hyperlink>
      <w:hyperlink r:id="rId184">
        <w:r>
          <w:rPr>
            <w:rFonts w:ascii="Arial" w:cs="Arial" w:eastAsia="Arial" w:hAnsi="Arial"/>
            <w:sz w:val="18"/>
            <w:szCs w:val="18"/>
            <w:u w:val="single" w:color="auto"/>
            <w:color w:val="0000FF"/>
          </w:rPr>
          <w:t>Quarterly Report on Form 10-Q filed with the SEC on November 3, 2021).</w:t>
        </w:r>
      </w:hyperlink>
    </w:p>
    <w:p>
      <w:pPr>
        <w:spacing w:after="0" w:line="61" w:lineRule="exact"/>
        <w:rPr>
          <w:sz w:val="20"/>
          <w:szCs w:val="20"/>
          <w:color w:val="auto"/>
        </w:rPr>
      </w:pPr>
    </w:p>
    <w:p>
      <w:pPr>
        <w:ind w:left="1140" w:right="759" w:hanging="862"/>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185">
        <w:r>
          <w:rPr>
            <w:rFonts w:ascii="Arial" w:cs="Arial" w:eastAsia="Arial" w:hAnsi="Arial"/>
            <w:sz w:val="16"/>
            <w:szCs w:val="16"/>
            <w:u w:val="single" w:color="auto"/>
            <w:color w:val="0000FF"/>
          </w:rPr>
          <w:t>Collaboration and License Agreement, effective as of December 1, 2015, by and between Zymeworks BC Inc. and</w:t>
        </w:r>
      </w:hyperlink>
      <w:r>
        <w:rPr>
          <w:rFonts w:ascii="Arial" w:cs="Arial" w:eastAsia="Arial" w:hAnsi="Arial"/>
          <w:sz w:val="16"/>
          <w:szCs w:val="16"/>
          <w:u w:val="single" w:color="auto"/>
          <w:color w:val="0000FF"/>
        </w:rPr>
        <w:t xml:space="preserve"> </w:t>
      </w:r>
      <w:hyperlink r:id="rId185">
        <w:r>
          <w:rPr>
            <w:rFonts w:ascii="Arial" w:cs="Arial" w:eastAsia="Arial" w:hAnsi="Arial"/>
            <w:sz w:val="16"/>
            <w:szCs w:val="16"/>
            <w:u w:val="single" w:color="auto"/>
            <w:color w:val="0000FF"/>
          </w:rPr>
          <w:t>GlaxoSmithKline Intellectual Property Development Limited (incorporated by reference to Exhibit 10.23 to</w:t>
        </w:r>
      </w:hyperlink>
    </w:p>
    <w:p>
      <w:pPr>
        <w:ind w:left="1140"/>
        <w:spacing w:after="0"/>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 xml:space="preserve">Zymeworks BC Inc.’s </w:t>
        </w:r>
      </w:hyperlink>
      <w:hyperlink r:id="rId185">
        <w:r>
          <w:rPr>
            <w:rFonts w:ascii="Arial" w:cs="Arial" w:eastAsia="Arial" w:hAnsi="Arial"/>
            <w:sz w:val="18"/>
            <w:szCs w:val="18"/>
            <w:u w:val="single" w:color="auto"/>
            <w:color w:val="0000FF"/>
          </w:rPr>
          <w:t>Registration Statement on Form F-1 filed with the SEC on April 3, 2017).</w:t>
        </w:r>
      </w:hyperlink>
    </w:p>
    <w:p>
      <w:pPr>
        <w:spacing w:after="0" w:line="61" w:lineRule="exact"/>
        <w:rPr>
          <w:sz w:val="20"/>
          <w:szCs w:val="20"/>
          <w:color w:val="auto"/>
        </w:rPr>
      </w:pPr>
    </w:p>
    <w:p>
      <w:pPr>
        <w:ind w:left="1140" w:right="61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r:id="rId186">
        <w:r>
          <w:rPr>
            <w:rFonts w:ascii="Arial" w:cs="Arial" w:eastAsia="Arial" w:hAnsi="Arial"/>
            <w:sz w:val="16"/>
            <w:szCs w:val="16"/>
            <w:u w:val="single" w:color="auto"/>
            <w:color w:val="0000FF"/>
          </w:rPr>
          <w:t>Side Letter Agreement effective as of January 11, 2019, by and between Zymeworks BC Inc. and GlaxoSmithKline</w:t>
        </w:r>
      </w:hyperlink>
      <w:r>
        <w:rPr>
          <w:rFonts w:ascii="Arial" w:cs="Arial" w:eastAsia="Arial" w:hAnsi="Arial"/>
          <w:sz w:val="16"/>
          <w:szCs w:val="16"/>
          <w:u w:val="single" w:color="auto"/>
          <w:color w:val="0000FF"/>
        </w:rPr>
        <w:t xml:space="preserve"> </w:t>
      </w:r>
      <w:hyperlink r:id="rId186">
        <w:r>
          <w:rPr>
            <w:rFonts w:ascii="Arial" w:cs="Arial" w:eastAsia="Arial" w:hAnsi="Arial"/>
            <w:sz w:val="16"/>
            <w:szCs w:val="16"/>
            <w:u w:val="single" w:color="auto"/>
            <w:color w:val="0000FF"/>
          </w:rPr>
          <w:t>Intellectual Property Development Limited (incorporated by reference to Exhibit 99.2 to Zymeworks BC Inc.’s 2018</w:t>
        </w:r>
      </w:hyperlink>
    </w:p>
    <w:p>
      <w:pPr>
        <w:ind w:left="1140"/>
        <w:spacing w:after="0"/>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Annual Report on Form 10-K filed with the SEC on March 6, 2019).</w:t>
        </w:r>
      </w:hyperlink>
    </w:p>
    <w:p>
      <w:pPr>
        <w:spacing w:after="0" w:line="61" w:lineRule="exact"/>
        <w:rPr>
          <w:sz w:val="20"/>
          <w:szCs w:val="20"/>
          <w:color w:val="auto"/>
        </w:rPr>
      </w:pPr>
    </w:p>
    <w:p>
      <w:pPr>
        <w:jc w:val="both"/>
        <w:ind w:left="1140" w:right="419" w:hanging="865"/>
        <w:spacing w:after="0" w:line="278" w:lineRule="auto"/>
        <w:tabs>
          <w:tab w:leader="none" w:pos="1120" w:val="left"/>
        </w:tabs>
        <w:rPr>
          <w:rFonts w:ascii="Arial" w:cs="Arial" w:eastAsia="Arial" w:hAnsi="Arial"/>
          <w:sz w:val="17"/>
          <w:szCs w:val="17"/>
          <w:u w:val="single" w:color="auto"/>
          <w:color w:val="0000FF"/>
        </w:rPr>
      </w:pPr>
      <w:r>
        <w:rPr>
          <w:rFonts w:ascii="Arial" w:cs="Arial" w:eastAsia="Arial" w:hAnsi="Arial"/>
          <w:sz w:val="18"/>
          <w:szCs w:val="18"/>
          <w:color w:val="auto"/>
        </w:rPr>
        <w:t>10.13*</w:t>
      </w:r>
      <w:r>
        <w:rPr>
          <w:sz w:val="20"/>
          <w:szCs w:val="20"/>
          <w:color w:val="auto"/>
        </w:rPr>
        <w:tab/>
      </w:r>
      <w:hyperlink r:id="rId181">
        <w:r>
          <w:rPr>
            <w:rFonts w:ascii="Arial" w:cs="Arial" w:eastAsia="Arial" w:hAnsi="Arial"/>
            <w:sz w:val="17"/>
            <w:szCs w:val="17"/>
            <w:u w:val="single" w:color="auto"/>
            <w:color w:val="0000FF"/>
          </w:rPr>
          <w:t>First Amendment to Collaboration and License Agreement, effective as of April 30, 2019, by and between Zymeworks</w:t>
        </w:r>
      </w:hyperlink>
      <w:r>
        <w:rPr>
          <w:rFonts w:ascii="Arial" w:cs="Arial" w:eastAsia="Arial" w:hAnsi="Arial"/>
          <w:sz w:val="17"/>
          <w:szCs w:val="17"/>
          <w:u w:val="single" w:color="auto"/>
          <w:color w:val="0000FF"/>
        </w:rPr>
        <w:t xml:space="preserve"> </w:t>
      </w:r>
      <w:hyperlink r:id="rId181">
        <w:r>
          <w:rPr>
            <w:rFonts w:ascii="Arial" w:cs="Arial" w:eastAsia="Arial" w:hAnsi="Arial"/>
            <w:sz w:val="17"/>
            <w:szCs w:val="17"/>
            <w:u w:val="single" w:color="auto"/>
            <w:color w:val="0000FF"/>
          </w:rPr>
          <w:t xml:space="preserve">BC Inc. </w:t>
        </w:r>
      </w:hyperlink>
      <w:hyperlink r:id="rId187">
        <w:r>
          <w:rPr>
            <w:rFonts w:ascii="Arial" w:cs="Arial" w:eastAsia="Arial" w:hAnsi="Arial"/>
            <w:sz w:val="17"/>
            <w:szCs w:val="17"/>
            <w:u w:val="single" w:color="auto"/>
            <w:color w:val="0000FF"/>
          </w:rPr>
          <w:t>and GlaxoSmithKline Intellectual Property Development Limited (incorporated by reference to Exhibit 99.4 to</w:t>
        </w:r>
      </w:hyperlink>
      <w:r>
        <w:rPr>
          <w:rFonts w:ascii="Arial" w:cs="Arial" w:eastAsia="Arial" w:hAnsi="Arial"/>
          <w:sz w:val="17"/>
          <w:szCs w:val="17"/>
          <w:u w:val="single" w:color="auto"/>
          <w:color w:val="0000FF"/>
        </w:rPr>
        <w:t xml:space="preserve"> </w:t>
      </w:r>
      <w:hyperlink r:id="rId181">
        <w:r>
          <w:rPr>
            <w:rFonts w:ascii="Arial" w:cs="Arial" w:eastAsia="Arial" w:hAnsi="Arial"/>
            <w:sz w:val="17"/>
            <w:szCs w:val="17"/>
            <w:u w:val="single" w:color="auto"/>
            <w:color w:val="0000FF"/>
          </w:rPr>
          <w:t xml:space="preserve">Zymeworks BC Inc.’s </w:t>
        </w:r>
      </w:hyperlink>
      <w:hyperlink r:id="rId187">
        <w:r>
          <w:rPr>
            <w:rFonts w:ascii="Arial" w:cs="Arial" w:eastAsia="Arial" w:hAnsi="Arial"/>
            <w:sz w:val="17"/>
            <w:szCs w:val="17"/>
            <w:u w:val="single" w:color="auto"/>
            <w:color w:val="0000FF"/>
          </w:rPr>
          <w:t>Annual Report on Form 10-K filed with the SEC on March 2, 2020).</w:t>
        </w:r>
      </w:hyperlink>
    </w:p>
    <w:p>
      <w:pPr>
        <w:spacing w:after="0" w:line="50" w:lineRule="exact"/>
        <w:rPr>
          <w:rFonts w:ascii="Arial" w:cs="Arial" w:eastAsia="Arial" w:hAnsi="Arial"/>
          <w:sz w:val="17"/>
          <w:szCs w:val="17"/>
          <w:u w:val="single" w:color="auto"/>
          <w:color w:val="0000FF"/>
        </w:rPr>
      </w:pPr>
    </w:p>
    <w:p>
      <w:pPr>
        <w:jc w:val="both"/>
        <w:ind w:left="1140" w:right="399" w:hanging="865"/>
        <w:spacing w:after="0" w:line="256"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88">
        <w:r>
          <w:rPr>
            <w:rFonts w:ascii="Arial" w:cs="Arial" w:eastAsia="Arial" w:hAnsi="Arial"/>
            <w:sz w:val="18"/>
            <w:szCs w:val="18"/>
            <w:u w:val="single" w:color="auto"/>
            <w:color w:val="0000FF"/>
          </w:rPr>
          <w:t>Side Letter Agreement effective as of September 30, 2019, by and between Zymeworks BC Inc. and GlaxoSmithKline</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Intellectual Property Development Limited. (incorporated by reference to Exhibit 99.5 to Zymeworks BC Inc.’s Annual</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Report on Form 10-K filed with the SEC on March 2, 2020).</w:t>
        </w:r>
      </w:hyperlink>
    </w:p>
    <w:p>
      <w:pPr>
        <w:spacing w:after="0" w:line="67" w:lineRule="exact"/>
        <w:rPr>
          <w:rFonts w:ascii="Arial" w:cs="Arial" w:eastAsia="Arial" w:hAnsi="Arial"/>
          <w:sz w:val="18"/>
          <w:szCs w:val="18"/>
          <w:u w:val="single" w:color="auto"/>
          <w:color w:val="0000FF"/>
        </w:rPr>
      </w:pPr>
    </w:p>
    <w:p>
      <w:pPr>
        <w:ind w:left="1140" w:right="399" w:hanging="865"/>
        <w:spacing w:after="0" w:line="256"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89">
        <w:r>
          <w:rPr>
            <w:rFonts w:ascii="Arial" w:cs="Arial" w:eastAsia="Arial" w:hAnsi="Arial"/>
            <w:sz w:val="18"/>
            <w:szCs w:val="18"/>
            <w:u w:val="single" w:color="auto"/>
            <w:color w:val="0000FF"/>
          </w:rPr>
          <w:t>Side Letter Agreement effective as of February 20, 2020, by and between Zymeworks BC Inc. and GlaxoSmithKline</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Intellectual Property Development Limited. (incorporated by reference to Exhibit 99.6 to Zymeworks BC Inc.’s Annual</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Report on Form 10-K filed with the SEC on March 2, 2020).</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50" w:lineRule="exact"/>
        <w:rPr>
          <w:rFonts w:ascii="Arial" w:cs="Arial" w:eastAsia="Arial" w:hAnsi="Arial"/>
          <w:sz w:val="18"/>
          <w:szCs w:val="18"/>
          <w:u w:val="single" w:color="auto"/>
          <w:color w:val="0000FF"/>
        </w:rPr>
      </w:pPr>
    </w:p>
    <w:p>
      <w:pPr>
        <w:ind w:left="5480"/>
        <w:spacing w:after="0"/>
        <w:rPr>
          <w:sz w:val="20"/>
          <w:szCs w:val="20"/>
          <w:color w:val="auto"/>
        </w:rPr>
      </w:pPr>
      <w:r>
        <w:rPr>
          <w:rFonts w:ascii="Arial" w:cs="Arial" w:eastAsia="Arial" w:hAnsi="Arial"/>
          <w:sz w:val="18"/>
          <w:szCs w:val="18"/>
          <w:color w:val="auto"/>
        </w:rPr>
        <w:t>141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
        <w:spacing w:after="0"/>
        <w:tabs>
          <w:tab w:leader="none" w:pos="50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62236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43" w:lineRule="exact"/>
        <w:rPr>
          <w:sz w:val="20"/>
          <w:szCs w:val="20"/>
          <w:color w:val="auto"/>
        </w:rPr>
      </w:pPr>
    </w:p>
    <w:p>
      <w:pPr>
        <w:ind w:left="1140" w:right="639" w:hanging="865"/>
        <w:spacing w:after="0" w:line="294"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r:id="rId192">
        <w:r>
          <w:rPr>
            <w:rFonts w:ascii="Arial" w:cs="Arial" w:eastAsia="Arial" w:hAnsi="Arial"/>
            <w:sz w:val="16"/>
            <w:szCs w:val="16"/>
            <w:u w:val="single" w:color="auto"/>
            <w:color w:val="0000FF"/>
          </w:rPr>
          <w:t>Fifth Amendment to Collaboration and License Agreement, effective as of March 30, 2020, by and between</w:t>
        </w:r>
      </w:hyperlink>
      <w:r>
        <w:rPr>
          <w:rFonts w:ascii="Arial" w:cs="Arial" w:eastAsia="Arial" w:hAnsi="Arial"/>
          <w:sz w:val="16"/>
          <w:szCs w:val="16"/>
          <w:u w:val="single" w:color="auto"/>
          <w:color w:val="0000FF"/>
        </w:rPr>
        <w:t xml:space="preserve"> </w:t>
      </w:r>
      <w:hyperlink r:id="rId192">
        <w:r>
          <w:rPr>
            <w:rFonts w:ascii="Arial" w:cs="Arial" w:eastAsia="Arial" w:hAnsi="Arial"/>
            <w:sz w:val="16"/>
            <w:szCs w:val="16"/>
            <w:u w:val="single" w:color="auto"/>
            <w:color w:val="0000FF"/>
          </w:rPr>
          <w:t>Zymeworks BC Inc. and GlaxoSmithKline Intellectual Property Development Limited (incorporated by reference to</w:t>
        </w:r>
      </w:hyperlink>
      <w:r>
        <w:rPr>
          <w:rFonts w:ascii="Arial" w:cs="Arial" w:eastAsia="Arial" w:hAnsi="Arial"/>
          <w:sz w:val="16"/>
          <w:szCs w:val="16"/>
          <w:u w:val="single" w:color="auto"/>
          <w:color w:val="0000FF"/>
        </w:rPr>
        <w:t xml:space="preserve"> </w:t>
      </w:r>
      <w:hyperlink r:id="rId192">
        <w:r>
          <w:rPr>
            <w:rFonts w:ascii="Arial" w:cs="Arial" w:eastAsia="Arial" w:hAnsi="Arial"/>
            <w:sz w:val="16"/>
            <w:szCs w:val="16"/>
            <w:u w:val="single" w:color="auto"/>
            <w:color w:val="0000FF"/>
          </w:rPr>
          <w:t xml:space="preserve">Exhibit 99.11 to </w:t>
        </w:r>
      </w:hyperlink>
      <w:hyperlink r:id="rId181">
        <w:r>
          <w:rPr>
            <w:rFonts w:ascii="Arial" w:cs="Arial" w:eastAsia="Arial" w:hAnsi="Arial"/>
            <w:sz w:val="16"/>
            <w:szCs w:val="16"/>
            <w:u w:val="single" w:color="auto"/>
            <w:color w:val="0000FF"/>
          </w:rPr>
          <w:t xml:space="preserve">Zymeworks BC Inc.’s </w:t>
        </w:r>
      </w:hyperlink>
      <w:hyperlink r:id="rId192">
        <w:r>
          <w:rPr>
            <w:rFonts w:ascii="Arial" w:cs="Arial" w:eastAsia="Arial" w:hAnsi="Arial"/>
            <w:sz w:val="16"/>
            <w:szCs w:val="16"/>
            <w:u w:val="single" w:color="auto"/>
            <w:color w:val="0000FF"/>
          </w:rPr>
          <w:t>Annual Report on Form 10-K filed with the SEC on February 24, 2021).</w:t>
        </w:r>
      </w:hyperlink>
    </w:p>
    <w:p>
      <w:pPr>
        <w:spacing w:after="0" w:line="39" w:lineRule="exact"/>
        <w:rPr>
          <w:rFonts w:ascii="Arial" w:cs="Arial" w:eastAsia="Arial" w:hAnsi="Arial"/>
          <w:sz w:val="16"/>
          <w:szCs w:val="16"/>
          <w:u w:val="single" w:color="auto"/>
          <w:color w:val="0000FF"/>
        </w:rPr>
      </w:pPr>
    </w:p>
    <w:p>
      <w:pPr>
        <w:ind w:left="1140" w:right="47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r:id="rId181">
        <w:r>
          <w:rPr>
            <w:rFonts w:ascii="Arial" w:cs="Arial" w:eastAsia="Arial" w:hAnsi="Arial"/>
            <w:sz w:val="16"/>
            <w:szCs w:val="16"/>
            <w:u w:val="single" w:color="auto"/>
            <w:color w:val="0000FF"/>
          </w:rPr>
          <w:t>Platform Technology Transfer and License Agreement, effective as of April 21, 2016, by and between Zymeworks BC</w:t>
        </w:r>
      </w:hyperlink>
      <w:r>
        <w:rPr>
          <w:rFonts w:ascii="Arial" w:cs="Arial" w:eastAsia="Arial" w:hAnsi="Arial"/>
          <w:sz w:val="16"/>
          <w:szCs w:val="16"/>
          <w:u w:val="single" w:color="auto"/>
          <w:color w:val="0000FF"/>
        </w:rPr>
        <w:t xml:space="preserve"> </w:t>
      </w:r>
      <w:hyperlink r:id="rId181">
        <w:r>
          <w:rPr>
            <w:rFonts w:ascii="Arial" w:cs="Arial" w:eastAsia="Arial" w:hAnsi="Arial"/>
            <w:sz w:val="16"/>
            <w:szCs w:val="16"/>
            <w:u w:val="single" w:color="auto"/>
            <w:color w:val="0000FF"/>
          </w:rPr>
          <w:t xml:space="preserve">Inc. </w:t>
        </w:r>
      </w:hyperlink>
      <w:hyperlink r:id="rId193">
        <w:r>
          <w:rPr>
            <w:rFonts w:ascii="Arial" w:cs="Arial" w:eastAsia="Arial" w:hAnsi="Arial"/>
            <w:sz w:val="16"/>
            <w:szCs w:val="16"/>
            <w:u w:val="single" w:color="auto"/>
            <w:color w:val="0000FF"/>
          </w:rPr>
          <w:t>and GlaxoSmithKline Intellectual Property Development Limited (incorporated by reference to Exhibit 10.24 to</w:t>
        </w:r>
      </w:hyperlink>
    </w:p>
    <w:p>
      <w:pPr>
        <w:jc w:val="center"/>
        <w:ind w:right="939"/>
        <w:spacing w:after="0"/>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 xml:space="preserve">Zymeworks BC Inc.’s </w:t>
        </w:r>
      </w:hyperlink>
      <w:hyperlink r:id="rId193">
        <w:r>
          <w:rPr>
            <w:rFonts w:ascii="Arial" w:cs="Arial" w:eastAsia="Arial" w:hAnsi="Arial"/>
            <w:sz w:val="18"/>
            <w:szCs w:val="18"/>
            <w:u w:val="single" w:color="auto"/>
            <w:color w:val="0000FF"/>
          </w:rPr>
          <w:t>Registration Statement on Form F-1 filed with the SEC on April 3, 2017).</w:t>
        </w:r>
      </w:hyperlink>
    </w:p>
    <w:p>
      <w:pPr>
        <w:spacing w:after="0" w:line="61" w:lineRule="exact"/>
        <w:rPr>
          <w:sz w:val="20"/>
          <w:szCs w:val="20"/>
          <w:color w:val="auto"/>
        </w:rPr>
      </w:pPr>
    </w:p>
    <w:p>
      <w:pPr>
        <w:ind w:left="1140" w:right="91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r:id="rId194">
        <w:r>
          <w:rPr>
            <w:rFonts w:ascii="Arial" w:cs="Arial" w:eastAsia="Arial" w:hAnsi="Arial"/>
            <w:sz w:val="16"/>
            <w:szCs w:val="16"/>
            <w:u w:val="single" w:color="auto"/>
            <w:color w:val="0000FF"/>
          </w:rPr>
          <w:t>First Amendment to Platform Technology Transfer and License Agreement between Zymeworks BC Inc. and</w:t>
        </w:r>
      </w:hyperlink>
      <w:r>
        <w:rPr>
          <w:rFonts w:ascii="Arial" w:cs="Arial" w:eastAsia="Arial" w:hAnsi="Arial"/>
          <w:sz w:val="16"/>
          <w:szCs w:val="16"/>
          <w:u w:val="single" w:color="auto"/>
          <w:color w:val="0000FF"/>
        </w:rPr>
        <w:t xml:space="preserve"> </w:t>
      </w:r>
      <w:hyperlink r:id="rId194">
        <w:r>
          <w:rPr>
            <w:rFonts w:ascii="Arial" w:cs="Arial" w:eastAsia="Arial" w:hAnsi="Arial"/>
            <w:sz w:val="16"/>
            <w:szCs w:val="16"/>
            <w:u w:val="single" w:color="auto"/>
            <w:color w:val="0000FF"/>
          </w:rPr>
          <w:t>GlaxoSmithKline Intellectual Property Development Limited, dated May 15, 2019 (incorporated by reference to</w:t>
        </w:r>
      </w:hyperlink>
    </w:p>
    <w:p>
      <w:pPr>
        <w:ind w:left="1140"/>
        <w:spacing w:after="0"/>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 xml:space="preserve">Exhibit 99.1 to </w:t>
        </w:r>
      </w:hyperlink>
      <w:hyperlink r:id="rId181">
        <w:r>
          <w:rPr>
            <w:rFonts w:ascii="Arial" w:cs="Arial" w:eastAsia="Arial" w:hAnsi="Arial"/>
            <w:sz w:val="18"/>
            <w:szCs w:val="18"/>
            <w:u w:val="single" w:color="auto"/>
            <w:color w:val="0000FF"/>
          </w:rPr>
          <w:t xml:space="preserve">Zymeworks BC Inc.’s </w:t>
        </w:r>
      </w:hyperlink>
      <w:hyperlink r:id="rId194">
        <w:r>
          <w:rPr>
            <w:rFonts w:ascii="Arial" w:cs="Arial" w:eastAsia="Arial" w:hAnsi="Arial"/>
            <w:sz w:val="18"/>
            <w:szCs w:val="18"/>
            <w:u w:val="single" w:color="auto"/>
            <w:color w:val="0000FF"/>
          </w:rPr>
          <w:t>Current Report on Form 8-K filed with the SEC on May 17, 2019).</w:t>
        </w:r>
      </w:hyperlink>
    </w:p>
    <w:p>
      <w:pPr>
        <w:spacing w:after="0" w:line="61" w:lineRule="exact"/>
        <w:rPr>
          <w:rFonts w:ascii="Arial" w:cs="Arial" w:eastAsia="Arial" w:hAnsi="Arial"/>
          <w:sz w:val="18"/>
          <w:szCs w:val="18"/>
          <w:u w:val="single" w:color="auto"/>
          <w:color w:val="0000FF"/>
        </w:rPr>
      </w:pPr>
    </w:p>
    <w:p>
      <w:pPr>
        <w:ind w:left="1140" w:right="37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hyperlink r:id="rId195">
        <w:r>
          <w:rPr>
            <w:rFonts w:ascii="Arial" w:cs="Arial" w:eastAsia="Arial" w:hAnsi="Arial"/>
            <w:sz w:val="16"/>
            <w:szCs w:val="16"/>
            <w:u w:val="single" w:color="auto"/>
            <w:color w:val="0000FF"/>
          </w:rPr>
          <w:t>Letter Agreement, effective June 4, 2021, by and between Zymeworks BC Inc. and GlaxoSmithKline Intellectual</w:t>
        </w:r>
      </w:hyperlink>
      <w:r>
        <w:rPr>
          <w:rFonts w:ascii="Arial" w:cs="Arial" w:eastAsia="Arial" w:hAnsi="Arial"/>
          <w:sz w:val="16"/>
          <w:szCs w:val="16"/>
          <w:u w:val="single" w:color="auto"/>
          <w:color w:val="0000FF"/>
        </w:rPr>
        <w:t xml:space="preserve"> </w:t>
      </w:r>
      <w:hyperlink r:id="rId195">
        <w:r>
          <w:rPr>
            <w:rFonts w:ascii="Arial" w:cs="Arial" w:eastAsia="Arial" w:hAnsi="Arial"/>
            <w:sz w:val="16"/>
            <w:szCs w:val="16"/>
            <w:u w:val="single" w:color="auto"/>
            <w:color w:val="0000FF"/>
          </w:rPr>
          <w:t>Property Development Limited (incorporated by reference to Exhibit 99.7 to Zymeworks BC Inc.’s Quarterly Report on</w:t>
        </w:r>
      </w:hyperlink>
    </w:p>
    <w:p>
      <w:pPr>
        <w:ind w:left="1140"/>
        <w:spacing w:after="0"/>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Form 10-Q filed with the SEC on August 4, 2021).</w:t>
        </w:r>
      </w:hyperlink>
    </w:p>
    <w:p>
      <w:pPr>
        <w:spacing w:after="0" w:line="61" w:lineRule="exact"/>
        <w:rPr>
          <w:sz w:val="20"/>
          <w:szCs w:val="20"/>
          <w:color w:val="auto"/>
        </w:rPr>
      </w:pPr>
    </w:p>
    <w:p>
      <w:pPr>
        <w:ind w:left="1140" w:right="47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10.20†</w:t>
      </w:r>
      <w:r>
        <w:rPr>
          <w:sz w:val="20"/>
          <w:szCs w:val="20"/>
          <w:color w:val="auto"/>
        </w:rPr>
        <w:tab/>
      </w:r>
      <w:hyperlink r:id="rId196">
        <w:r>
          <w:rPr>
            <w:rFonts w:ascii="Arial" w:cs="Arial" w:eastAsia="Arial" w:hAnsi="Arial"/>
            <w:sz w:val="16"/>
            <w:szCs w:val="16"/>
            <w:u w:val="single" w:color="auto"/>
            <w:color w:val="0000FF"/>
          </w:rPr>
          <w:t xml:space="preserve">Collaboration and Cross License Agreement, effective as of September 26, 2016, by and between </w:t>
        </w:r>
      </w:hyperlink>
      <w:hyperlink r:id="rId181">
        <w:r>
          <w:rPr>
            <w:rFonts w:ascii="Arial" w:cs="Arial" w:eastAsia="Arial" w:hAnsi="Arial"/>
            <w:sz w:val="16"/>
            <w:szCs w:val="16"/>
            <w:u w:val="single" w:color="auto"/>
            <w:color w:val="0000FF"/>
          </w:rPr>
          <w:t>Zymeworks BC Inc.</w:t>
        </w:r>
      </w:hyperlink>
      <w:r>
        <w:rPr>
          <w:rFonts w:ascii="Arial" w:cs="Arial" w:eastAsia="Arial" w:hAnsi="Arial"/>
          <w:sz w:val="16"/>
          <w:szCs w:val="16"/>
          <w:u w:val="single" w:color="auto"/>
          <w:color w:val="0000FF"/>
        </w:rPr>
        <w:t xml:space="preserve"> </w:t>
      </w:r>
      <w:hyperlink r:id="rId196">
        <w:r>
          <w:rPr>
            <w:rFonts w:ascii="Arial" w:cs="Arial" w:eastAsia="Arial" w:hAnsi="Arial"/>
            <w:sz w:val="16"/>
            <w:szCs w:val="16"/>
            <w:u w:val="single" w:color="auto"/>
            <w:color w:val="0000FF"/>
          </w:rPr>
          <w:t>and Daiichi Sankyo Co., Ltd (incorporated by reference to Exhibit 10.25 to Zymeworks BC Inc.’s Registration</w:t>
        </w:r>
      </w:hyperlink>
    </w:p>
    <w:p>
      <w:pPr>
        <w:ind w:left="1140"/>
        <w:spacing w:after="0"/>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Statement on Form F-1 filed with the SEC on April 3, 2017).</w:t>
        </w:r>
      </w:hyperlink>
    </w:p>
    <w:p>
      <w:pPr>
        <w:spacing w:after="0" w:line="61" w:lineRule="exact"/>
        <w:rPr>
          <w:rFonts w:ascii="Arial" w:cs="Arial" w:eastAsia="Arial" w:hAnsi="Arial"/>
          <w:sz w:val="16"/>
          <w:szCs w:val="16"/>
          <w:u w:val="single" w:color="auto"/>
          <w:color w:val="0000FF"/>
        </w:rPr>
      </w:pPr>
    </w:p>
    <w:p>
      <w:pPr>
        <w:ind w:left="1140" w:right="51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10.21†</w:t>
      </w:r>
      <w:r>
        <w:rPr>
          <w:sz w:val="20"/>
          <w:szCs w:val="20"/>
          <w:color w:val="auto"/>
        </w:rPr>
        <w:tab/>
      </w:r>
      <w:hyperlink r:id="rId197">
        <w:r>
          <w:rPr>
            <w:rFonts w:ascii="Arial" w:cs="Arial" w:eastAsia="Arial" w:hAnsi="Arial"/>
            <w:sz w:val="16"/>
            <w:szCs w:val="16"/>
            <w:u w:val="single" w:color="auto"/>
            <w:color w:val="0000FF"/>
          </w:rPr>
          <w:t>Side Letter Agreement effective as of September 25, 2018, by and between Zymeworks BC Inc. and Daiichi Sankyo</w:t>
        </w:r>
      </w:hyperlink>
      <w:r>
        <w:rPr>
          <w:rFonts w:ascii="Arial" w:cs="Arial" w:eastAsia="Arial" w:hAnsi="Arial"/>
          <w:sz w:val="16"/>
          <w:szCs w:val="16"/>
          <w:u w:val="single" w:color="auto"/>
          <w:color w:val="0000FF"/>
        </w:rPr>
        <w:t xml:space="preserve"> </w:t>
      </w:r>
      <w:hyperlink r:id="rId197">
        <w:r>
          <w:rPr>
            <w:rFonts w:ascii="Arial" w:cs="Arial" w:eastAsia="Arial" w:hAnsi="Arial"/>
            <w:sz w:val="16"/>
            <w:szCs w:val="16"/>
            <w:u w:val="single" w:color="auto"/>
            <w:color w:val="0000FF"/>
          </w:rPr>
          <w:t>Co., Ltd. (incorporated by reference to Exhibit 99.1 to Zymeworks BC Inc.’s 2018 Annual Report on Form 10-K filed</w:t>
        </w:r>
      </w:hyperlink>
    </w:p>
    <w:p>
      <w:pPr>
        <w:ind w:left="1140"/>
        <w:spacing w:after="0"/>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with the SEC on March 6, 2019).</w:t>
        </w:r>
      </w:hyperlink>
    </w:p>
    <w:p>
      <w:pPr>
        <w:spacing w:after="0" w:line="61" w:lineRule="exact"/>
        <w:rPr>
          <w:sz w:val="20"/>
          <w:szCs w:val="20"/>
          <w:color w:val="auto"/>
        </w:rPr>
      </w:pPr>
    </w:p>
    <w:p>
      <w:pPr>
        <w:ind w:left="1140" w:right="55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10.22*</w:t>
      </w:r>
      <w:r>
        <w:rPr>
          <w:sz w:val="20"/>
          <w:szCs w:val="20"/>
          <w:color w:val="auto"/>
        </w:rPr>
        <w:tab/>
      </w:r>
      <w:hyperlink r:id="rId198">
        <w:r>
          <w:rPr>
            <w:rFonts w:ascii="Arial" w:cs="Arial" w:eastAsia="Arial" w:hAnsi="Arial"/>
            <w:sz w:val="16"/>
            <w:szCs w:val="16"/>
            <w:u w:val="single" w:color="auto"/>
            <w:color w:val="0000FF"/>
          </w:rPr>
          <w:t>Second Amendment to Collaboration and Cross License Agreement, effective July 2, 2021, by and between</w:t>
        </w:r>
      </w:hyperlink>
      <w:r>
        <w:rPr>
          <w:rFonts w:ascii="Arial" w:cs="Arial" w:eastAsia="Arial" w:hAnsi="Arial"/>
          <w:sz w:val="16"/>
          <w:szCs w:val="16"/>
          <w:u w:val="single" w:color="auto"/>
          <w:color w:val="0000FF"/>
        </w:rPr>
        <w:t xml:space="preserve"> </w:t>
      </w:r>
      <w:hyperlink r:id="rId198">
        <w:r>
          <w:rPr>
            <w:rFonts w:ascii="Arial" w:cs="Arial" w:eastAsia="Arial" w:hAnsi="Arial"/>
            <w:sz w:val="16"/>
            <w:szCs w:val="16"/>
            <w:u w:val="single" w:color="auto"/>
            <w:color w:val="0000FF"/>
          </w:rPr>
          <w:t>Zymeworks BC Inc. and Daiichi Sankyo Co., Ltd (incorporated by reference to Exhibit 99.8 to Zymeworks BC Inc.’s</w:t>
        </w:r>
      </w:hyperlink>
    </w:p>
    <w:p>
      <w:pPr>
        <w:ind w:left="1140"/>
        <w:spacing w:after="0"/>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Quarterly Report on Form 10-Q filed with the SEC on August 4, 2021).</w:t>
        </w:r>
      </w:hyperlink>
    </w:p>
    <w:p>
      <w:pPr>
        <w:spacing w:after="0" w:line="61" w:lineRule="exact"/>
        <w:rPr>
          <w:sz w:val="20"/>
          <w:szCs w:val="20"/>
          <w:color w:val="auto"/>
        </w:rPr>
      </w:pPr>
    </w:p>
    <w:p>
      <w:pPr>
        <w:ind w:left="1140" w:right="43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10.23*</w:t>
      </w:r>
      <w:r>
        <w:rPr>
          <w:sz w:val="20"/>
          <w:szCs w:val="20"/>
          <w:color w:val="auto"/>
        </w:rPr>
        <w:tab/>
      </w:r>
      <w:hyperlink r:id="rId199">
        <w:r>
          <w:rPr>
            <w:rFonts w:ascii="Arial" w:cs="Arial" w:eastAsia="Arial" w:hAnsi="Arial"/>
            <w:sz w:val="16"/>
            <w:szCs w:val="16"/>
            <w:u w:val="single" w:color="auto"/>
            <w:color w:val="0000FF"/>
          </w:rPr>
          <w:t>Third Amendment to Collaboration and Cross License Agreement, effective June 6, 2022, by and between Zymeworks</w:t>
        </w:r>
      </w:hyperlink>
      <w:r>
        <w:rPr>
          <w:rFonts w:ascii="Arial" w:cs="Arial" w:eastAsia="Arial" w:hAnsi="Arial"/>
          <w:sz w:val="16"/>
          <w:szCs w:val="16"/>
          <w:u w:val="single" w:color="auto"/>
          <w:color w:val="0000FF"/>
        </w:rPr>
        <w:t xml:space="preserve"> </w:t>
      </w:r>
      <w:hyperlink r:id="rId199">
        <w:r>
          <w:rPr>
            <w:rFonts w:ascii="Arial" w:cs="Arial" w:eastAsia="Arial" w:hAnsi="Arial"/>
            <w:sz w:val="16"/>
            <w:szCs w:val="16"/>
            <w:u w:val="single" w:color="auto"/>
            <w:color w:val="0000FF"/>
          </w:rPr>
          <w:t>BC Inc. and Daiichi Sankyo Co., Ltd (incorporated by reference to Exhibit 10.3 to Zymeworks BC Inc.’s Quarterly</w:t>
        </w:r>
      </w:hyperlink>
    </w:p>
    <w:p>
      <w:pPr>
        <w:ind w:left="1140"/>
        <w:spacing w:after="0"/>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Report on Form 10-Q filed with the SEC on August 4, 2022).</w:t>
        </w:r>
      </w:hyperlink>
    </w:p>
    <w:p>
      <w:pPr>
        <w:spacing w:after="0" w:line="61" w:lineRule="exact"/>
        <w:rPr>
          <w:sz w:val="20"/>
          <w:szCs w:val="20"/>
          <w:color w:val="auto"/>
        </w:rPr>
      </w:pPr>
    </w:p>
    <w:p>
      <w:pPr>
        <w:ind w:left="1140" w:right="63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10.24†</w:t>
      </w:r>
      <w:r>
        <w:rPr>
          <w:sz w:val="20"/>
          <w:szCs w:val="20"/>
          <w:color w:val="auto"/>
        </w:rPr>
        <w:tab/>
      </w:r>
      <w:hyperlink r:id="rId200">
        <w:r>
          <w:rPr>
            <w:rFonts w:ascii="Arial" w:cs="Arial" w:eastAsia="Arial" w:hAnsi="Arial"/>
            <w:sz w:val="16"/>
            <w:szCs w:val="16"/>
            <w:u w:val="single" w:color="auto"/>
            <w:color w:val="0000FF"/>
          </w:rPr>
          <w:t>Collaboration and License Agreement, effective as of November 13, 2017, by and between Zymeworks BC Inc. and</w:t>
        </w:r>
      </w:hyperlink>
      <w:r>
        <w:rPr>
          <w:rFonts w:ascii="Arial" w:cs="Arial" w:eastAsia="Arial" w:hAnsi="Arial"/>
          <w:sz w:val="16"/>
          <w:szCs w:val="16"/>
          <w:u w:val="single" w:color="auto"/>
          <w:color w:val="0000FF"/>
        </w:rPr>
        <w:t xml:space="preserve"> </w:t>
      </w:r>
      <w:hyperlink r:id="rId200">
        <w:r>
          <w:rPr>
            <w:rFonts w:ascii="Arial" w:cs="Arial" w:eastAsia="Arial" w:hAnsi="Arial"/>
            <w:sz w:val="16"/>
            <w:szCs w:val="16"/>
            <w:u w:val="single" w:color="auto"/>
            <w:color w:val="0000FF"/>
          </w:rPr>
          <w:t>Janssen Biotech, Inc., (incorporated by reference to Exhibit 99.1 to a Report of Foreign Private Issuer on Form 6-K</w:t>
        </w:r>
      </w:hyperlink>
    </w:p>
    <w:p>
      <w:pPr>
        <w:ind w:left="1140"/>
        <w:spacing w:after="0"/>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furnished to the SEC on November 24, 2017 and deemed filed under the Exchange Act).</w:t>
        </w:r>
      </w:hyperlink>
    </w:p>
    <w:p>
      <w:pPr>
        <w:spacing w:after="0" w:line="61" w:lineRule="exact"/>
        <w:rPr>
          <w:sz w:val="20"/>
          <w:szCs w:val="20"/>
          <w:color w:val="auto"/>
        </w:rPr>
      </w:pPr>
    </w:p>
    <w:p>
      <w:pPr>
        <w:ind w:left="1140" w:right="37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10.25†</w:t>
      </w:r>
      <w:r>
        <w:rPr>
          <w:sz w:val="20"/>
          <w:szCs w:val="20"/>
          <w:color w:val="auto"/>
        </w:rPr>
        <w:tab/>
      </w:r>
      <w:hyperlink r:id="rId201">
        <w:r>
          <w:rPr>
            <w:rFonts w:ascii="Arial" w:cs="Arial" w:eastAsia="Arial" w:hAnsi="Arial"/>
            <w:sz w:val="16"/>
            <w:szCs w:val="16"/>
            <w:u w:val="single" w:color="auto"/>
            <w:color w:val="0000FF"/>
          </w:rPr>
          <w:t>First Amendment to the Collaboration and License Agreement, effective as of January 14, 2019, by and between</w:t>
        </w:r>
      </w:hyperlink>
      <w:r>
        <w:rPr>
          <w:rFonts w:ascii="Arial" w:cs="Arial" w:eastAsia="Arial" w:hAnsi="Arial"/>
          <w:sz w:val="16"/>
          <w:szCs w:val="16"/>
          <w:u w:val="single" w:color="auto"/>
          <w:color w:val="0000FF"/>
        </w:rPr>
        <w:t xml:space="preserve"> </w:t>
      </w:r>
      <w:hyperlink r:id="rId201">
        <w:r>
          <w:rPr>
            <w:rFonts w:ascii="Arial" w:cs="Arial" w:eastAsia="Arial" w:hAnsi="Arial"/>
            <w:sz w:val="16"/>
            <w:szCs w:val="16"/>
            <w:u w:val="single" w:color="auto"/>
            <w:color w:val="0000FF"/>
          </w:rPr>
          <w:t>Zymeworks BC Inc. and Janssen Biotech, Inc. (incorporated by reference to Exhibit 99.3 to Zymeworks BC Inc.’s 2018</w:t>
        </w:r>
      </w:hyperlink>
    </w:p>
    <w:p>
      <w:pPr>
        <w:ind w:left="1140"/>
        <w:spacing w:after="0"/>
        <w:rPr>
          <w:rFonts w:ascii="Arial" w:cs="Arial" w:eastAsia="Arial" w:hAnsi="Arial"/>
          <w:sz w:val="18"/>
          <w:szCs w:val="18"/>
          <w:u w:val="single" w:color="auto"/>
          <w:color w:val="0000FF"/>
        </w:rPr>
      </w:pPr>
      <w:hyperlink r:id="rId201">
        <w:r>
          <w:rPr>
            <w:rFonts w:ascii="Arial" w:cs="Arial" w:eastAsia="Arial" w:hAnsi="Arial"/>
            <w:sz w:val="18"/>
            <w:szCs w:val="18"/>
            <w:u w:val="single" w:color="auto"/>
            <w:color w:val="0000FF"/>
          </w:rPr>
          <w:t>Annual Report on Form 10-K filed with the SEC on March 6, 2019).</w:t>
        </w:r>
      </w:hyperlink>
    </w:p>
    <w:p>
      <w:pPr>
        <w:spacing w:after="0" w:line="61" w:lineRule="exact"/>
        <w:rPr>
          <w:sz w:val="20"/>
          <w:szCs w:val="20"/>
          <w:color w:val="auto"/>
        </w:rPr>
      </w:pPr>
    </w:p>
    <w:p>
      <w:pPr>
        <w:jc w:val="right"/>
        <w:ind w:left="260" w:right="439"/>
        <w:spacing w:after="0" w:line="24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10.26†    </w:t>
      </w:r>
      <w:hyperlink r:id="rId202">
        <w:r>
          <w:rPr>
            <w:rFonts w:ascii="Arial" w:cs="Arial" w:eastAsia="Arial" w:hAnsi="Arial"/>
            <w:sz w:val="16"/>
            <w:szCs w:val="16"/>
            <w:u w:val="single" w:color="auto"/>
            <w:color w:val="0000FF"/>
          </w:rPr>
          <w:t>License Agreement, effective as of May 14, 2018, by and between Zymeworks BC Inc. and Daiichi Sankyo Company,</w:t>
        </w:r>
      </w:hyperlink>
      <w:r>
        <w:rPr>
          <w:rFonts w:ascii="Arial" w:cs="Arial" w:eastAsia="Arial" w:hAnsi="Arial"/>
          <w:sz w:val="16"/>
          <w:szCs w:val="16"/>
          <w:color w:val="auto"/>
        </w:rPr>
        <w:t xml:space="preserve"> </w:t>
      </w:r>
      <w:hyperlink r:id="rId202">
        <w:r>
          <w:rPr>
            <w:rFonts w:ascii="Arial" w:cs="Arial" w:eastAsia="Arial" w:hAnsi="Arial"/>
            <w:sz w:val="16"/>
            <w:szCs w:val="16"/>
            <w:u w:val="single" w:color="auto"/>
            <w:color w:val="0000FF"/>
          </w:rPr>
          <w:t>Limited (incorporated by reference to Exhibit 99.1 to Zymeworks BC Inc.’s Current Report on Form 8-K filed with the</w:t>
        </w:r>
      </w:hyperlink>
    </w:p>
    <w:p>
      <w:pPr>
        <w:ind w:left="1140"/>
        <w:spacing w:after="0"/>
        <w:rPr>
          <w:rFonts w:ascii="Arial" w:cs="Arial" w:eastAsia="Arial" w:hAnsi="Arial"/>
          <w:sz w:val="18"/>
          <w:szCs w:val="18"/>
          <w:u w:val="single" w:color="auto"/>
          <w:color w:val="0000FF"/>
        </w:rPr>
      </w:pPr>
      <w:hyperlink r:id="rId202">
        <w:r>
          <w:rPr>
            <w:rFonts w:ascii="Arial" w:cs="Arial" w:eastAsia="Arial" w:hAnsi="Arial"/>
            <w:sz w:val="18"/>
            <w:szCs w:val="18"/>
            <w:u w:val="single" w:color="auto"/>
            <w:color w:val="0000FF"/>
          </w:rPr>
          <w:t>SEC on May 18, 2018).</w:t>
        </w:r>
      </w:hyperlink>
    </w:p>
    <w:p>
      <w:pPr>
        <w:spacing w:after="0" w:line="61" w:lineRule="exact"/>
        <w:rPr>
          <w:sz w:val="20"/>
          <w:szCs w:val="20"/>
          <w:color w:val="auto"/>
        </w:rPr>
      </w:pPr>
    </w:p>
    <w:p>
      <w:pPr>
        <w:ind w:left="1140" w:right="39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10.27†</w:t>
      </w:r>
      <w:r>
        <w:rPr>
          <w:sz w:val="20"/>
          <w:szCs w:val="20"/>
          <w:color w:val="auto"/>
        </w:rPr>
        <w:tab/>
      </w:r>
      <w:hyperlink r:id="rId203">
        <w:r>
          <w:rPr>
            <w:rFonts w:ascii="Arial" w:cs="Arial" w:eastAsia="Arial" w:hAnsi="Arial"/>
            <w:sz w:val="16"/>
            <w:szCs w:val="16"/>
            <w:u w:val="single" w:color="auto"/>
            <w:color w:val="0000FF"/>
          </w:rPr>
          <w:t>Research and License Agreement, effective as of October 23, 2018, by and between Zymeworks BC Inc. and LEO</w:t>
        </w:r>
      </w:hyperlink>
      <w:r>
        <w:rPr>
          <w:rFonts w:ascii="Arial" w:cs="Arial" w:eastAsia="Arial" w:hAnsi="Arial"/>
          <w:sz w:val="16"/>
          <w:szCs w:val="16"/>
          <w:u w:val="single" w:color="auto"/>
          <w:color w:val="0000FF"/>
        </w:rPr>
        <w:t xml:space="preserve"> </w:t>
      </w:r>
      <w:hyperlink r:id="rId203">
        <w:r>
          <w:rPr>
            <w:rFonts w:ascii="Arial" w:cs="Arial" w:eastAsia="Arial" w:hAnsi="Arial"/>
            <w:sz w:val="16"/>
            <w:szCs w:val="16"/>
            <w:u w:val="single" w:color="auto"/>
            <w:color w:val="0000FF"/>
          </w:rPr>
          <w:t>Pharma A/S (incorporated by reference to Exhibit 99.1 to Zymeworks BC Inc.’s Current Report on Form 8-K filed with</w:t>
        </w:r>
      </w:hyperlink>
    </w:p>
    <w:p>
      <w:pPr>
        <w:ind w:left="1140"/>
        <w:spacing w:after="0"/>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the SEC on October 26, 2018).</w:t>
        </w:r>
      </w:hyperlink>
    </w:p>
    <w:p>
      <w:pPr>
        <w:spacing w:after="0" w:line="61" w:lineRule="exact"/>
        <w:rPr>
          <w:sz w:val="20"/>
          <w:szCs w:val="20"/>
          <w:color w:val="auto"/>
        </w:rPr>
      </w:pPr>
    </w:p>
    <w:p>
      <w:pPr>
        <w:jc w:val="right"/>
        <w:ind w:left="260" w:right="639"/>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10.28†    </w:t>
      </w:r>
      <w:hyperlink r:id="rId204">
        <w:r>
          <w:rPr>
            <w:rFonts w:ascii="Arial" w:cs="Arial" w:eastAsia="Arial" w:hAnsi="Arial"/>
            <w:sz w:val="17"/>
            <w:szCs w:val="17"/>
            <w:u w:val="single" w:color="auto"/>
            <w:color w:val="0000FF"/>
          </w:rPr>
          <w:t>License and Collaboration Agreement, effective as of November 26, 2018, by and between Zymeworks BC Inc. and</w:t>
        </w:r>
      </w:hyperlink>
      <w:r>
        <w:rPr>
          <w:rFonts w:ascii="Arial" w:cs="Arial" w:eastAsia="Arial" w:hAnsi="Arial"/>
          <w:sz w:val="17"/>
          <w:szCs w:val="17"/>
          <w:color w:val="auto"/>
        </w:rPr>
        <w:t xml:space="preserve"> </w:t>
      </w:r>
      <w:hyperlink r:id="rId204">
        <w:r>
          <w:rPr>
            <w:rFonts w:ascii="Arial" w:cs="Arial" w:eastAsia="Arial" w:hAnsi="Arial"/>
            <w:sz w:val="17"/>
            <w:szCs w:val="17"/>
            <w:u w:val="single" w:color="auto"/>
            <w:color w:val="0000FF"/>
          </w:rPr>
          <w:t>BeiGene Ltd. (incorporated by reference to Exhibit 99.1 to Zymeworks BC Inc.’s Current Report on Form 8-K filed</w:t>
        </w:r>
      </w:hyperlink>
    </w:p>
    <w:p>
      <w:pPr>
        <w:spacing w:after="0" w:line="1" w:lineRule="exact"/>
        <w:rPr>
          <w:sz w:val="20"/>
          <w:szCs w:val="20"/>
          <w:color w:val="auto"/>
        </w:rPr>
      </w:pPr>
    </w:p>
    <w:p>
      <w:pPr>
        <w:ind w:left="1140"/>
        <w:spacing w:after="0"/>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with the SEC on December 6, 2018).</w:t>
        </w:r>
      </w:hyperlink>
    </w:p>
    <w:p>
      <w:pPr>
        <w:spacing w:after="0" w:line="61" w:lineRule="exact"/>
        <w:rPr>
          <w:sz w:val="20"/>
          <w:szCs w:val="20"/>
          <w:color w:val="auto"/>
        </w:rPr>
      </w:pPr>
    </w:p>
    <w:p>
      <w:pPr>
        <w:ind w:left="1140" w:right="37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r:id="rId205">
        <w:r>
          <w:rPr>
            <w:rFonts w:ascii="Arial" w:cs="Arial" w:eastAsia="Arial" w:hAnsi="Arial"/>
            <w:sz w:val="16"/>
            <w:szCs w:val="16"/>
            <w:u w:val="single" w:color="auto"/>
            <w:color w:val="0000FF"/>
          </w:rPr>
          <w:t>First Amendment to Collaboration Agreement, effective March 29, 2021, by and between Zymeworks BC Inc. and</w:t>
        </w:r>
      </w:hyperlink>
      <w:r>
        <w:rPr>
          <w:rFonts w:ascii="Arial" w:cs="Arial" w:eastAsia="Arial" w:hAnsi="Arial"/>
          <w:sz w:val="16"/>
          <w:szCs w:val="16"/>
          <w:u w:val="single" w:color="auto"/>
          <w:color w:val="0000FF"/>
        </w:rPr>
        <w:t xml:space="preserve"> </w:t>
      </w:r>
      <w:hyperlink r:id="rId205">
        <w:r>
          <w:rPr>
            <w:rFonts w:ascii="Arial" w:cs="Arial" w:eastAsia="Arial" w:hAnsi="Arial"/>
            <w:sz w:val="16"/>
            <w:szCs w:val="16"/>
            <w:u w:val="single" w:color="auto"/>
            <w:color w:val="0000FF"/>
          </w:rPr>
          <w:t>BeiGene, Ltd. (incorporated by reference to Exhibit 99.2 to Zymeworks BC Inc.’s Quarterly Report on Form 10-Q filed</w:t>
        </w:r>
      </w:hyperlink>
    </w:p>
    <w:p>
      <w:pPr>
        <w:ind w:left="1140"/>
        <w:spacing w:after="0"/>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with the SEC on May 5, 2021).</w:t>
        </w:r>
      </w:hyperlink>
    </w:p>
    <w:p>
      <w:pPr>
        <w:spacing w:after="0" w:line="61" w:lineRule="exact"/>
        <w:rPr>
          <w:sz w:val="20"/>
          <w:szCs w:val="20"/>
          <w:color w:val="auto"/>
        </w:rPr>
      </w:pPr>
    </w:p>
    <w:p>
      <w:pPr>
        <w:ind w:left="1140" w:right="47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10.30*</w:t>
      </w:r>
      <w:r>
        <w:rPr>
          <w:sz w:val="20"/>
          <w:szCs w:val="20"/>
          <w:color w:val="auto"/>
        </w:rPr>
        <w:tab/>
      </w:r>
      <w:hyperlink r:id="rId206">
        <w:r>
          <w:rPr>
            <w:rFonts w:ascii="Arial" w:cs="Arial" w:eastAsia="Arial" w:hAnsi="Arial"/>
            <w:sz w:val="16"/>
            <w:szCs w:val="16"/>
            <w:u w:val="single" w:color="auto"/>
            <w:color w:val="0000FF"/>
          </w:rPr>
          <w:t>Letter Agreement, effective October 7, 2020, by and between Zymeworks BC Inc. and BeiGene, Ltd. (incorporated by</w:t>
        </w:r>
      </w:hyperlink>
      <w:r>
        <w:rPr>
          <w:rFonts w:ascii="Arial" w:cs="Arial" w:eastAsia="Arial" w:hAnsi="Arial"/>
          <w:sz w:val="16"/>
          <w:szCs w:val="16"/>
          <w:u w:val="single" w:color="auto"/>
          <w:color w:val="0000FF"/>
        </w:rPr>
        <w:t xml:space="preserve"> </w:t>
      </w:r>
      <w:hyperlink r:id="rId206">
        <w:r>
          <w:rPr>
            <w:rFonts w:ascii="Arial" w:cs="Arial" w:eastAsia="Arial" w:hAnsi="Arial"/>
            <w:sz w:val="16"/>
            <w:szCs w:val="16"/>
            <w:u w:val="single" w:color="auto"/>
            <w:color w:val="0000FF"/>
          </w:rPr>
          <w:t>reference to Exhibit 99.1 to Zymeworks BC Inc.’s Quarterly Report on Form 10-Q filed with the SEC on August 4,</w:t>
        </w:r>
      </w:hyperlink>
    </w:p>
    <w:p>
      <w:pPr>
        <w:ind w:left="1140"/>
        <w:spacing w:after="0"/>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2021).</w:t>
        </w:r>
      </w:hyperlink>
    </w:p>
    <w:p>
      <w:pPr>
        <w:spacing w:after="0" w:line="61" w:lineRule="exact"/>
        <w:rPr>
          <w:sz w:val="20"/>
          <w:szCs w:val="20"/>
          <w:color w:val="auto"/>
        </w:rPr>
      </w:pPr>
    </w:p>
    <w:p>
      <w:pPr>
        <w:ind w:left="1140" w:right="43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10.31*</w:t>
      </w:r>
      <w:r>
        <w:rPr>
          <w:sz w:val="20"/>
          <w:szCs w:val="20"/>
          <w:color w:val="auto"/>
        </w:rPr>
        <w:tab/>
      </w:r>
      <w:hyperlink r:id="rId181">
        <w:r>
          <w:rPr>
            <w:rFonts w:ascii="Arial" w:cs="Arial" w:eastAsia="Arial" w:hAnsi="Arial"/>
            <w:sz w:val="16"/>
            <w:szCs w:val="16"/>
            <w:u w:val="single" w:color="auto"/>
            <w:color w:val="0000FF"/>
          </w:rPr>
          <w:t>Second Amendment to License and Collaboration Agreement, dated August 10, 2021, by and between Zymeworks BC</w:t>
        </w:r>
      </w:hyperlink>
      <w:r>
        <w:rPr>
          <w:rFonts w:ascii="Arial" w:cs="Arial" w:eastAsia="Arial" w:hAnsi="Arial"/>
          <w:sz w:val="16"/>
          <w:szCs w:val="16"/>
          <w:u w:val="single" w:color="auto"/>
          <w:color w:val="0000FF"/>
        </w:rPr>
        <w:t xml:space="preserve"> </w:t>
      </w:r>
      <w:hyperlink r:id="rId207">
        <w:r>
          <w:rPr>
            <w:rFonts w:ascii="Arial" w:cs="Arial" w:eastAsia="Arial" w:hAnsi="Arial"/>
            <w:sz w:val="16"/>
            <w:szCs w:val="16"/>
            <w:u w:val="single" w:color="auto"/>
            <w:color w:val="0000FF"/>
          </w:rPr>
          <w:t>Inc. and BeiGene Ltd. (incorporated by reference to Exhibit 99.2 to Zymeworks BC Inc.’s Quarterly Report on Form</w:t>
        </w:r>
      </w:hyperlink>
    </w:p>
    <w:p>
      <w:pPr>
        <w:ind w:left="1140"/>
        <w:spacing w:after="0"/>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10-Q filed with the SEC on November 3, 2021).</w:t>
        </w:r>
      </w:hyperlink>
    </w:p>
    <w:p>
      <w:pPr>
        <w:spacing w:after="0" w:line="61" w:lineRule="exact"/>
        <w:rPr>
          <w:sz w:val="20"/>
          <w:szCs w:val="20"/>
          <w:color w:val="auto"/>
        </w:rPr>
      </w:pPr>
    </w:p>
    <w:p>
      <w:pPr>
        <w:jc w:val="right"/>
        <w:ind w:left="260" w:right="639"/>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10.32†    </w:t>
      </w:r>
      <w:hyperlink r:id="rId208">
        <w:r>
          <w:rPr>
            <w:rFonts w:ascii="Arial" w:cs="Arial" w:eastAsia="Arial" w:hAnsi="Arial"/>
            <w:sz w:val="17"/>
            <w:szCs w:val="17"/>
            <w:u w:val="single" w:color="auto"/>
            <w:color w:val="0000FF"/>
          </w:rPr>
          <w:t>License and Collaboration Agreement, effective as of November 26, 2018, by and between Zymeworks BC Inc. and</w:t>
        </w:r>
      </w:hyperlink>
      <w:r>
        <w:rPr>
          <w:rFonts w:ascii="Arial" w:cs="Arial" w:eastAsia="Arial" w:hAnsi="Arial"/>
          <w:sz w:val="17"/>
          <w:szCs w:val="17"/>
          <w:color w:val="auto"/>
        </w:rPr>
        <w:t xml:space="preserve"> </w:t>
      </w:r>
      <w:hyperlink r:id="rId208">
        <w:r>
          <w:rPr>
            <w:rFonts w:ascii="Arial" w:cs="Arial" w:eastAsia="Arial" w:hAnsi="Arial"/>
            <w:sz w:val="17"/>
            <w:szCs w:val="17"/>
            <w:u w:val="single" w:color="auto"/>
            <w:color w:val="0000FF"/>
          </w:rPr>
          <w:t>BeiGene Ltd. (incorporated by reference to Exhibit 99.2 to Zymeworks BC Inc.’s Current Report on Form 8-K filed</w:t>
        </w:r>
      </w:hyperlink>
    </w:p>
    <w:p>
      <w:pPr>
        <w:spacing w:after="0" w:line="1" w:lineRule="exact"/>
        <w:rPr>
          <w:sz w:val="20"/>
          <w:szCs w:val="20"/>
          <w:color w:val="auto"/>
        </w:rPr>
      </w:pPr>
    </w:p>
    <w:p>
      <w:pPr>
        <w:ind w:left="1140"/>
        <w:spacing w:after="0"/>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with the SEC on December 6, 2018).</w:t>
        </w:r>
      </w:hyperlink>
    </w:p>
    <w:p>
      <w:pPr>
        <w:sectPr>
          <w:pgSz w:w="11900" w:h="16838" w:orient="portrait"/>
          <w:cols w:equalWidth="0" w:num="1">
            <w:col w:w="10139"/>
          </w:cols>
          <w:pgMar w:left="320" w:top="22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6"/>
          <w:szCs w:val="16"/>
          <w:b w:val="1"/>
          <w:bCs w:val="1"/>
          <w:u w:val="single" w:color="auto"/>
          <w:color w:val="0000FF"/>
        </w:rPr>
        <w:t>Table of Contents</w:t>
      </w:r>
    </w:p>
    <w:p>
      <w:pPr>
        <w:sectPr>
          <w:pgSz w:w="11900" w:h="16838" w:orient="portrait"/>
          <w:cols w:equalWidth="0" w:num="1">
            <w:col w:w="10139"/>
          </w:cols>
          <w:pgMar w:left="320" w:top="22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160"/>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6426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0">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10.33*</w:t>
      </w:r>
    </w:p>
    <w:p>
      <w:pPr>
        <w:spacing w:after="0" w:line="200" w:lineRule="exact"/>
        <w:rPr>
          <w:sz w:val="20"/>
          <w:szCs w:val="20"/>
          <w:color w:val="auto"/>
        </w:rPr>
      </w:pPr>
    </w:p>
    <w:p>
      <w:pPr>
        <w:spacing w:after="0" w:line="3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10.34*</w:t>
      </w:r>
    </w:p>
    <w:p>
      <w:pPr>
        <w:spacing w:after="0" w:line="200" w:lineRule="exact"/>
        <w:rPr>
          <w:sz w:val="20"/>
          <w:szCs w:val="20"/>
          <w:color w:val="auto"/>
        </w:rPr>
      </w:pPr>
    </w:p>
    <w:p>
      <w:pPr>
        <w:spacing w:after="0" w:line="3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10.35*</w:t>
      </w:r>
    </w:p>
    <w:p>
      <w:pPr>
        <w:spacing w:after="0" w:line="200" w:lineRule="exact"/>
        <w:rPr>
          <w:sz w:val="20"/>
          <w:szCs w:val="20"/>
          <w:color w:val="auto"/>
        </w:rPr>
      </w:pPr>
    </w:p>
    <w:p>
      <w:pPr>
        <w:spacing w:after="0" w:line="3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32385</wp:posOffset>
            </wp:positionV>
            <wp:extent cx="5520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1">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57" w:lineRule="exact"/>
        <w:rPr>
          <w:sz w:val="20"/>
          <w:szCs w:val="20"/>
          <w:color w:val="auto"/>
        </w:rPr>
      </w:pPr>
    </w:p>
    <w:p>
      <w:pPr>
        <w:jc w:val="both"/>
        <w:ind w:right="399"/>
        <w:spacing w:after="0" w:line="256" w:lineRule="auto"/>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First Amendment to Collaboration Agreement, dated May 25, 2020, by and between Zymeworks BC Inc. and BeiGene,</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Ltd. (incorporated by reference to Exhibit 10.1 to Zymeworks BC Inc.’s Quarterly Report on Form 10-Q filed with the</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SEC on August 5, 2020).</w:t>
        </w:r>
      </w:hyperlink>
    </w:p>
    <w:p>
      <w:pPr>
        <w:spacing w:after="0" w:line="67" w:lineRule="exact"/>
        <w:rPr>
          <w:rFonts w:ascii="Arial" w:cs="Arial" w:eastAsia="Arial" w:hAnsi="Arial"/>
          <w:sz w:val="18"/>
          <w:szCs w:val="18"/>
          <w:u w:val="single" w:color="auto"/>
          <w:color w:val="0000FF"/>
        </w:rPr>
      </w:pPr>
    </w:p>
    <w:p>
      <w:pPr>
        <w:jc w:val="both"/>
        <w:ind w:right="479"/>
        <w:spacing w:after="0" w:line="256" w:lineRule="auto"/>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Second Amendment to License and Collaboration Agreement, effective June 2, 2021, by and between Zymeworks BC</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Inc. and BeiGene, Ltd. (incorporated by reference to Exhibit 99.6 to Zymeworks BC Inc.’s Quarterly Report on Form</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10-Q filed with the SEC on August 4, 2021).</w:t>
        </w:r>
      </w:hyperlink>
    </w:p>
    <w:p>
      <w:pPr>
        <w:spacing w:after="0" w:line="67" w:lineRule="exact"/>
        <w:rPr>
          <w:rFonts w:ascii="Arial" w:cs="Arial" w:eastAsia="Arial" w:hAnsi="Arial"/>
          <w:sz w:val="18"/>
          <w:szCs w:val="18"/>
          <w:u w:val="single" w:color="auto"/>
          <w:color w:val="0000FF"/>
        </w:rPr>
      </w:pPr>
    </w:p>
    <w:p>
      <w:pPr>
        <w:ind w:right="479"/>
        <w:spacing w:after="0" w:line="256" w:lineRule="auto"/>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Letter Agreement, effective October 7, 2020, by and between Zymeworks BC Inc. and BeiGene, Ltd. (incorporated by</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reference to Exhibit 99.2 to Zymeworks BC Inc.’s Quarterly Report on Form 10-Q filed with the SEC on August 4,</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2021).</w:t>
        </w:r>
      </w:hyperlink>
    </w:p>
    <w:p>
      <w:pPr>
        <w:spacing w:after="0" w:line="53" w:lineRule="exact"/>
        <w:rPr>
          <w:rFonts w:ascii="Arial" w:cs="Arial" w:eastAsia="Arial" w:hAnsi="Arial"/>
          <w:sz w:val="18"/>
          <w:szCs w:val="18"/>
          <w:u w:val="single" w:color="auto"/>
          <w:color w:val="0000FF"/>
        </w:rPr>
      </w:pPr>
    </w:p>
    <w:p>
      <w:pPr>
        <w:ind w:right="659"/>
        <w:spacing w:after="0" w:line="248" w:lineRule="auto"/>
        <w:rPr>
          <w:rFonts w:ascii="Arial" w:cs="Arial" w:eastAsia="Arial" w:hAnsi="Arial"/>
          <w:sz w:val="16"/>
          <w:szCs w:val="16"/>
          <w:u w:val="single" w:color="auto"/>
          <w:color w:val="0000FF"/>
        </w:rPr>
      </w:pPr>
      <w:hyperlink r:id="rId215">
        <w:r>
          <w:rPr>
            <w:rFonts w:ascii="Arial" w:cs="Arial" w:eastAsia="Arial" w:hAnsi="Arial"/>
            <w:sz w:val="16"/>
            <w:szCs w:val="16"/>
            <w:u w:val="single" w:color="auto"/>
            <w:color w:val="0000FF"/>
          </w:rPr>
          <w:t>Research and License Agreement, effective as of November 26, 2018, by and between Zymeworks BC Inc. and</w:t>
        </w:r>
      </w:hyperlink>
      <w:r>
        <w:rPr>
          <w:rFonts w:ascii="Arial" w:cs="Arial" w:eastAsia="Arial" w:hAnsi="Arial"/>
          <w:sz w:val="16"/>
          <w:szCs w:val="16"/>
          <w:u w:val="single" w:color="auto"/>
          <w:color w:val="0000FF"/>
        </w:rPr>
        <w:t xml:space="preserve"> </w:t>
      </w:r>
      <w:hyperlink r:id="rId215">
        <w:r>
          <w:rPr>
            <w:rFonts w:ascii="Arial" w:cs="Arial" w:eastAsia="Arial" w:hAnsi="Arial"/>
            <w:sz w:val="16"/>
            <w:szCs w:val="16"/>
            <w:u w:val="single" w:color="auto"/>
            <w:color w:val="0000FF"/>
          </w:rPr>
          <w:t>BeiGene Ltd. (incorporated by reference to Exhibit 99.3 to Zymeworks BC Inc.’s Current Report on Form 8-K filed</w:t>
        </w:r>
      </w:hyperlink>
    </w:p>
    <w:p>
      <w:pPr>
        <w:spacing w:after="0"/>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with the SEC on December 6, 2018).</w:t>
        </w:r>
      </w:hyperlink>
    </w:p>
    <w:p>
      <w:pPr>
        <w:spacing w:after="0" w:line="61" w:lineRule="exact"/>
        <w:rPr>
          <w:sz w:val="20"/>
          <w:szCs w:val="20"/>
          <w:color w:val="auto"/>
        </w:rPr>
      </w:pPr>
    </w:p>
    <w:p>
      <w:pPr>
        <w:sectPr>
          <w:pgSz w:w="11900" w:h="16838" w:orient="portrait"/>
          <w:cols w:equalWidth="0" w:num="2">
            <w:col w:w="860" w:space="280"/>
            <w:col w:w="8999"/>
          </w:cols>
          <w:pgMar w:left="320" w:top="229" w:right="1440" w:bottom="1440" w:gutter="0" w:footer="0" w:header="0"/>
          <w:type w:val="continuous"/>
        </w:sectPr>
      </w:pPr>
    </w:p>
    <w:p>
      <w:pPr>
        <w:ind w:left="1140" w:right="479" w:hanging="865"/>
        <w:spacing w:after="0" w:line="256"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216">
        <w:r>
          <w:rPr>
            <w:rFonts w:ascii="Arial" w:cs="Arial" w:eastAsia="Arial" w:hAnsi="Arial"/>
            <w:sz w:val="18"/>
            <w:szCs w:val="18"/>
            <w:u w:val="single" w:color="auto"/>
            <w:color w:val="0000FF"/>
          </w:rPr>
          <w:t>Letter Agreement, effective October 7, 2020, by and between Zymeworks BC Inc. and BeiGene, Ltd. (incorporated by</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reference to Exhibit 99.3 to Zymeworks BC Inc.’s Quarterly Report on Form 10-Q filed with the SEC on August 4,</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2021).</w:t>
        </w:r>
      </w:hyperlink>
    </w:p>
    <w:p>
      <w:pPr>
        <w:spacing w:after="0" w:line="67" w:lineRule="exact"/>
        <w:rPr>
          <w:rFonts w:ascii="Arial" w:cs="Arial" w:eastAsia="Arial" w:hAnsi="Arial"/>
          <w:sz w:val="18"/>
          <w:szCs w:val="18"/>
          <w:u w:val="single" w:color="auto"/>
          <w:color w:val="0000FF"/>
        </w:rPr>
      </w:pPr>
    </w:p>
    <w:p>
      <w:pPr>
        <w:ind w:left="1140" w:right="479" w:hanging="820"/>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10.38</w:t>
      </w:r>
      <w:r>
        <w:rPr>
          <w:sz w:val="20"/>
          <w:szCs w:val="20"/>
          <w:color w:val="auto"/>
        </w:rPr>
        <w:tab/>
      </w:r>
      <w:hyperlink r:id="rId217">
        <w:r>
          <w:rPr>
            <w:rFonts w:ascii="Arial" w:cs="Arial" w:eastAsia="Arial" w:hAnsi="Arial"/>
            <w:sz w:val="16"/>
            <w:szCs w:val="16"/>
            <w:u w:val="single" w:color="auto"/>
            <w:color w:val="0000FF"/>
          </w:rPr>
          <w:t xml:space="preserve">Indenture of Lease dated as of January 25, 2019, by and between 5th &amp; Main Partnership and </w:t>
        </w:r>
      </w:hyperlink>
      <w:hyperlink r:id="rId181">
        <w:r>
          <w:rPr>
            <w:rFonts w:ascii="Arial" w:cs="Arial" w:eastAsia="Arial" w:hAnsi="Arial"/>
            <w:sz w:val="16"/>
            <w:szCs w:val="16"/>
            <w:u w:val="single" w:color="auto"/>
            <w:color w:val="0000FF"/>
          </w:rPr>
          <w:t>Zymeworks BC Inc.</w:t>
        </w:r>
      </w:hyperlink>
      <w:r>
        <w:rPr>
          <w:rFonts w:ascii="Arial" w:cs="Arial" w:eastAsia="Arial" w:hAnsi="Arial"/>
          <w:sz w:val="16"/>
          <w:szCs w:val="16"/>
          <w:u w:val="single" w:color="auto"/>
          <w:color w:val="0000FF"/>
        </w:rPr>
        <w:t xml:space="preserve"> </w:t>
      </w:r>
      <w:hyperlink r:id="rId217">
        <w:r>
          <w:rPr>
            <w:rFonts w:ascii="Arial" w:cs="Arial" w:eastAsia="Arial" w:hAnsi="Arial"/>
            <w:sz w:val="16"/>
            <w:szCs w:val="16"/>
            <w:u w:val="single" w:color="auto"/>
            <w:color w:val="0000FF"/>
          </w:rPr>
          <w:t>(incorporated by reference to Exhibit 10.29 to Zymeworks BC Inc.’s 2018 Annual Report on Form 10-K filed with the</w:t>
        </w:r>
      </w:hyperlink>
    </w:p>
    <w:p>
      <w:pPr>
        <w:ind w:left="1140"/>
        <w:spacing w:after="0"/>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SEC on March 6, 2019).</w:t>
        </w:r>
      </w:hyperlink>
    </w:p>
    <w:p>
      <w:pPr>
        <w:sectPr>
          <w:pgSz w:w="11900" w:h="16838" w:orient="portrait"/>
          <w:cols w:equalWidth="0" w:num="1">
            <w:col w:w="10139"/>
          </w:cols>
          <w:pgMar w:left="320" w:top="229" w:right="1440" w:bottom="1440" w:gutter="0" w:footer="0" w:header="0"/>
          <w:type w:val="continuous"/>
        </w:sectPr>
      </w:pPr>
    </w:p>
    <w:p>
      <w:pPr>
        <w:spacing w:after="0" w:line="61" w:lineRule="exact"/>
        <w:rPr>
          <w:rFonts w:ascii="Arial" w:cs="Arial" w:eastAsia="Arial" w:hAnsi="Arial"/>
          <w:sz w:val="16"/>
          <w:szCs w:val="16"/>
          <w:u w:val="single" w:color="auto"/>
          <w:color w:val="0000FF"/>
        </w:rPr>
      </w:pPr>
    </w:p>
    <w:p>
      <w:pPr>
        <w:ind w:left="320"/>
        <w:spacing w:after="0"/>
        <w:rPr>
          <w:sz w:val="20"/>
          <w:szCs w:val="20"/>
          <w:color w:val="auto"/>
        </w:rPr>
      </w:pPr>
      <w:r>
        <w:rPr>
          <w:rFonts w:ascii="Arial" w:cs="Arial" w:eastAsia="Arial" w:hAnsi="Arial"/>
          <w:sz w:val="17"/>
          <w:szCs w:val="17"/>
          <w:color w:val="auto"/>
        </w:rPr>
        <w:t>10.39</w:t>
      </w:r>
    </w:p>
    <w:p>
      <w:pPr>
        <w:spacing w:after="0" w:line="200" w:lineRule="exact"/>
        <w:rPr>
          <w:rFonts w:ascii="Arial" w:cs="Arial" w:eastAsia="Arial" w:hAnsi="Arial"/>
          <w:sz w:val="16"/>
          <w:szCs w:val="16"/>
          <w:u w:val="single" w:color="auto"/>
          <w:color w:val="0000FF"/>
        </w:rPr>
      </w:pPr>
    </w:p>
    <w:p>
      <w:pPr>
        <w:spacing w:after="0" w:line="334" w:lineRule="exact"/>
        <w:rPr>
          <w:rFonts w:ascii="Arial" w:cs="Arial" w:eastAsia="Arial" w:hAnsi="Arial"/>
          <w:sz w:val="16"/>
          <w:szCs w:val="16"/>
          <w:u w:val="single" w:color="auto"/>
          <w:color w:val="0000FF"/>
        </w:rPr>
      </w:pPr>
    </w:p>
    <w:p>
      <w:pPr>
        <w:ind w:left="320"/>
        <w:spacing w:after="0"/>
        <w:rPr>
          <w:sz w:val="20"/>
          <w:szCs w:val="20"/>
          <w:color w:val="auto"/>
        </w:rPr>
      </w:pPr>
      <w:r>
        <w:rPr>
          <w:rFonts w:ascii="Arial" w:cs="Arial" w:eastAsia="Arial" w:hAnsi="Arial"/>
          <w:sz w:val="17"/>
          <w:szCs w:val="17"/>
          <w:color w:val="auto"/>
        </w:rPr>
        <w:t>10.40</w:t>
      </w:r>
    </w:p>
    <w:p>
      <w:pPr>
        <w:spacing w:after="0" w:line="200" w:lineRule="exact"/>
        <w:rPr>
          <w:rFonts w:ascii="Arial" w:cs="Arial" w:eastAsia="Arial" w:hAnsi="Arial"/>
          <w:sz w:val="16"/>
          <w:szCs w:val="16"/>
          <w:u w:val="single" w:color="auto"/>
          <w:color w:val="0000FF"/>
        </w:rPr>
      </w:pPr>
    </w:p>
    <w:p>
      <w:pPr>
        <w:spacing w:after="0" w:line="334" w:lineRule="exact"/>
        <w:rPr>
          <w:rFonts w:ascii="Arial" w:cs="Arial" w:eastAsia="Arial" w:hAnsi="Arial"/>
          <w:sz w:val="16"/>
          <w:szCs w:val="16"/>
          <w:u w:val="single" w:color="auto"/>
          <w:color w:val="0000FF"/>
        </w:rPr>
      </w:pPr>
    </w:p>
    <w:p>
      <w:pPr>
        <w:ind w:left="320"/>
        <w:spacing w:after="0"/>
        <w:rPr>
          <w:sz w:val="20"/>
          <w:szCs w:val="20"/>
          <w:color w:val="auto"/>
        </w:rPr>
      </w:pPr>
      <w:r>
        <w:rPr>
          <w:rFonts w:ascii="Arial" w:cs="Arial" w:eastAsia="Arial" w:hAnsi="Arial"/>
          <w:sz w:val="17"/>
          <w:szCs w:val="17"/>
          <w:color w:val="auto"/>
        </w:rPr>
        <w:t>10.41</w:t>
      </w:r>
    </w:p>
    <w:p>
      <w:pPr>
        <w:spacing w:after="0" w:line="200" w:lineRule="exact"/>
        <w:rPr>
          <w:rFonts w:ascii="Arial" w:cs="Arial" w:eastAsia="Arial" w:hAnsi="Arial"/>
          <w:sz w:val="16"/>
          <w:szCs w:val="16"/>
          <w:u w:val="single" w:color="auto"/>
          <w:color w:val="0000FF"/>
        </w:rPr>
      </w:pPr>
    </w:p>
    <w:p>
      <w:pPr>
        <w:spacing w:after="0" w:line="334" w:lineRule="exact"/>
        <w:rPr>
          <w:rFonts w:ascii="Arial" w:cs="Arial" w:eastAsia="Arial" w:hAnsi="Arial"/>
          <w:sz w:val="16"/>
          <w:szCs w:val="16"/>
          <w:u w:val="single" w:color="auto"/>
          <w:color w:val="0000FF"/>
        </w:rPr>
      </w:pPr>
    </w:p>
    <w:p>
      <w:pPr>
        <w:ind w:left="320"/>
        <w:spacing w:after="0"/>
        <w:rPr>
          <w:sz w:val="20"/>
          <w:szCs w:val="20"/>
          <w:color w:val="auto"/>
        </w:rPr>
      </w:pPr>
      <w:r>
        <w:rPr>
          <w:rFonts w:ascii="Arial" w:cs="Arial" w:eastAsia="Arial" w:hAnsi="Arial"/>
          <w:sz w:val="17"/>
          <w:szCs w:val="17"/>
          <w:color w:val="auto"/>
        </w:rPr>
        <w:t>10.42</w:t>
      </w:r>
    </w:p>
    <w:p>
      <w:pPr>
        <w:spacing w:after="0" w:line="200" w:lineRule="exact"/>
        <w:rPr>
          <w:rFonts w:ascii="Arial" w:cs="Arial" w:eastAsia="Arial" w:hAnsi="Arial"/>
          <w:sz w:val="16"/>
          <w:szCs w:val="16"/>
          <w:u w:val="single" w:color="auto"/>
          <w:color w:val="0000FF"/>
        </w:rPr>
      </w:pPr>
    </w:p>
    <w:p>
      <w:pPr>
        <w:spacing w:after="0" w:line="334" w:lineRule="exact"/>
        <w:rPr>
          <w:rFonts w:ascii="Arial" w:cs="Arial" w:eastAsia="Arial" w:hAnsi="Arial"/>
          <w:sz w:val="16"/>
          <w:szCs w:val="16"/>
          <w:u w:val="single" w:color="auto"/>
          <w:color w:val="0000FF"/>
        </w:rPr>
      </w:pPr>
    </w:p>
    <w:p>
      <w:pPr>
        <w:ind w:left="320"/>
        <w:spacing w:after="0"/>
        <w:rPr>
          <w:sz w:val="20"/>
          <w:szCs w:val="20"/>
          <w:color w:val="auto"/>
        </w:rPr>
      </w:pPr>
      <w:r>
        <w:rPr>
          <w:rFonts w:ascii="Arial" w:cs="Arial" w:eastAsia="Arial" w:hAnsi="Arial"/>
          <w:sz w:val="17"/>
          <w:szCs w:val="17"/>
          <w:color w:val="auto"/>
        </w:rPr>
        <w:t>10.43</w:t>
      </w:r>
    </w:p>
    <w:p>
      <w:pPr>
        <w:spacing w:after="0" w:line="200" w:lineRule="exact"/>
        <w:rPr>
          <w:rFonts w:ascii="Arial" w:cs="Arial" w:eastAsia="Arial" w:hAnsi="Arial"/>
          <w:sz w:val="16"/>
          <w:szCs w:val="16"/>
          <w:u w:val="single" w:color="auto"/>
          <w:color w:val="0000FF"/>
        </w:rPr>
      </w:pPr>
    </w:p>
    <w:p>
      <w:pPr>
        <w:spacing w:after="0" w:line="334" w:lineRule="exact"/>
        <w:rPr>
          <w:rFonts w:ascii="Arial" w:cs="Arial" w:eastAsia="Arial" w:hAnsi="Arial"/>
          <w:sz w:val="16"/>
          <w:szCs w:val="16"/>
          <w:u w:val="single" w:color="auto"/>
          <w:color w:val="0000FF"/>
        </w:rPr>
      </w:pPr>
    </w:p>
    <w:p>
      <w:pPr>
        <w:ind w:left="260"/>
        <w:spacing w:after="0"/>
        <w:rPr>
          <w:sz w:val="20"/>
          <w:szCs w:val="20"/>
          <w:color w:val="auto"/>
        </w:rPr>
      </w:pPr>
      <w:r>
        <w:rPr>
          <w:rFonts w:ascii="Arial" w:cs="Arial" w:eastAsia="Arial" w:hAnsi="Arial"/>
          <w:sz w:val="16"/>
          <w:szCs w:val="16"/>
          <w:color w:val="auto"/>
        </w:rPr>
        <w:t>10.44†</w:t>
      </w:r>
    </w:p>
    <w:p>
      <w:pPr>
        <w:spacing w:after="0" w:line="200" w:lineRule="exact"/>
        <w:rPr>
          <w:rFonts w:ascii="Arial" w:cs="Arial" w:eastAsia="Arial" w:hAnsi="Arial"/>
          <w:sz w:val="16"/>
          <w:szCs w:val="16"/>
          <w:u w:val="single" w:color="auto"/>
          <w:color w:val="0000FF"/>
        </w:rPr>
      </w:pPr>
    </w:p>
    <w:p>
      <w:pPr>
        <w:spacing w:after="0" w:line="345" w:lineRule="exact"/>
        <w:rPr>
          <w:rFonts w:ascii="Arial" w:cs="Arial" w:eastAsia="Arial" w:hAnsi="Arial"/>
          <w:sz w:val="16"/>
          <w:szCs w:val="16"/>
          <w:u w:val="single" w:color="auto"/>
          <w:color w:val="0000FF"/>
        </w:rPr>
      </w:pPr>
    </w:p>
    <w:p>
      <w:pPr>
        <w:ind w:left="260"/>
        <w:spacing w:after="0"/>
        <w:rPr>
          <w:sz w:val="20"/>
          <w:szCs w:val="20"/>
          <w:color w:val="auto"/>
        </w:rPr>
      </w:pPr>
      <w:r>
        <w:rPr>
          <w:rFonts w:ascii="Arial" w:cs="Arial" w:eastAsia="Arial" w:hAnsi="Arial"/>
          <w:sz w:val="16"/>
          <w:szCs w:val="16"/>
          <w:color w:val="auto"/>
        </w:rPr>
        <w:t>10.45#</w:t>
      </w:r>
    </w:p>
    <w:p>
      <w:pPr>
        <w:spacing w:after="0" w:line="200" w:lineRule="exact"/>
        <w:rPr>
          <w:rFonts w:ascii="Arial" w:cs="Arial" w:eastAsia="Arial" w:hAnsi="Arial"/>
          <w:sz w:val="16"/>
          <w:szCs w:val="16"/>
          <w:u w:val="single" w:color="auto"/>
          <w:color w:val="0000FF"/>
        </w:rPr>
      </w:pPr>
    </w:p>
    <w:p>
      <w:pPr>
        <w:spacing w:after="0" w:line="264" w:lineRule="exact"/>
        <w:rPr>
          <w:rFonts w:ascii="Arial" w:cs="Arial" w:eastAsia="Arial" w:hAnsi="Arial"/>
          <w:sz w:val="16"/>
          <w:szCs w:val="16"/>
          <w:u w:val="single" w:color="auto"/>
          <w:color w:val="0000FF"/>
        </w:rPr>
      </w:pPr>
    </w:p>
    <w:p>
      <w:pPr>
        <w:ind w:left="260"/>
        <w:spacing w:after="0"/>
        <w:rPr>
          <w:sz w:val="20"/>
          <w:szCs w:val="20"/>
          <w:color w:val="auto"/>
        </w:rPr>
      </w:pPr>
      <w:r>
        <w:rPr>
          <w:rFonts w:ascii="Arial" w:cs="Arial" w:eastAsia="Arial" w:hAnsi="Arial"/>
          <w:sz w:val="16"/>
          <w:szCs w:val="16"/>
          <w:color w:val="auto"/>
        </w:rPr>
        <w:t>10.46#</w:t>
      </w:r>
    </w:p>
    <w:p>
      <w:pPr>
        <w:spacing w:after="0" w:line="200" w:lineRule="exact"/>
        <w:rPr>
          <w:rFonts w:ascii="Arial" w:cs="Arial" w:eastAsia="Arial" w:hAnsi="Arial"/>
          <w:sz w:val="16"/>
          <w:szCs w:val="16"/>
          <w:u w:val="single" w:color="auto"/>
          <w:color w:val="0000FF"/>
        </w:rPr>
      </w:pPr>
    </w:p>
    <w:p>
      <w:pPr>
        <w:spacing w:after="0" w:line="264" w:lineRule="exact"/>
        <w:rPr>
          <w:rFonts w:ascii="Arial" w:cs="Arial" w:eastAsia="Arial" w:hAnsi="Arial"/>
          <w:sz w:val="16"/>
          <w:szCs w:val="16"/>
          <w:u w:val="single" w:color="auto"/>
          <w:color w:val="0000FF"/>
        </w:rPr>
      </w:pPr>
    </w:p>
    <w:p>
      <w:pPr>
        <w:ind w:left="260"/>
        <w:spacing w:after="0"/>
        <w:rPr>
          <w:sz w:val="20"/>
          <w:szCs w:val="20"/>
          <w:color w:val="auto"/>
        </w:rPr>
      </w:pPr>
      <w:r>
        <w:rPr>
          <w:rFonts w:ascii="Arial" w:cs="Arial" w:eastAsia="Arial" w:hAnsi="Arial"/>
          <w:sz w:val="17"/>
          <w:szCs w:val="17"/>
          <w:color w:val="auto"/>
        </w:rPr>
        <w:t>10.47*</w:t>
      </w:r>
    </w:p>
    <w:p>
      <w:pPr>
        <w:spacing w:after="0" w:line="277" w:lineRule="exact"/>
        <w:rPr>
          <w:rFonts w:ascii="Arial" w:cs="Arial" w:eastAsia="Arial" w:hAnsi="Arial"/>
          <w:sz w:val="16"/>
          <w:szCs w:val="16"/>
          <w:u w:val="single" w:color="auto"/>
          <w:color w:val="0000FF"/>
        </w:rPr>
      </w:pPr>
    </w:p>
    <w:p>
      <w:pPr>
        <w:ind w:left="260"/>
        <w:spacing w:after="0"/>
        <w:rPr>
          <w:sz w:val="20"/>
          <w:szCs w:val="20"/>
          <w:color w:val="auto"/>
        </w:rPr>
      </w:pPr>
      <w:r>
        <w:rPr>
          <w:rFonts w:ascii="Arial" w:cs="Arial" w:eastAsia="Arial" w:hAnsi="Arial"/>
          <w:sz w:val="17"/>
          <w:szCs w:val="17"/>
          <w:color w:val="auto"/>
        </w:rPr>
        <w:t>10.48*</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54" w:lineRule="exact"/>
        <w:rPr>
          <w:rFonts w:ascii="Arial" w:cs="Arial" w:eastAsia="Arial" w:hAnsi="Arial"/>
          <w:sz w:val="16"/>
          <w:szCs w:val="16"/>
          <w:u w:val="single" w:color="auto"/>
          <w:color w:val="0000FF"/>
        </w:rPr>
      </w:pPr>
    </w:p>
    <w:p>
      <w:pPr>
        <w:ind w:right="359"/>
        <w:spacing w:after="0" w:line="256" w:lineRule="auto"/>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Notice and Acknowledgement of Exercise of Expansion Option under Lease, dated as of June 27, 2019, by and between</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5th &amp; Main Partnership and Zymeworks BC Inc. (incorporated by reference to Exhibit 99.2 to Zymeworks BC Inc.’s</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Quarterly Report on Form 10-Q filed with the SEC on May 7, 2020).</w:t>
        </w:r>
      </w:hyperlink>
    </w:p>
    <w:p>
      <w:pPr>
        <w:spacing w:after="0" w:line="67" w:lineRule="exact"/>
        <w:rPr>
          <w:rFonts w:ascii="Arial" w:cs="Arial" w:eastAsia="Arial" w:hAnsi="Arial"/>
          <w:sz w:val="18"/>
          <w:szCs w:val="18"/>
          <w:u w:val="single" w:color="auto"/>
          <w:color w:val="0000FF"/>
        </w:rPr>
      </w:pPr>
    </w:p>
    <w:p>
      <w:pPr>
        <w:jc w:val="both"/>
        <w:ind w:right="359"/>
        <w:spacing w:after="0" w:line="256" w:lineRule="auto"/>
        <w:rPr>
          <w:rFonts w:ascii="Arial" w:cs="Arial" w:eastAsia="Arial" w:hAnsi="Arial"/>
          <w:sz w:val="18"/>
          <w:szCs w:val="18"/>
          <w:u w:val="single" w:color="auto"/>
          <w:color w:val="0000FF"/>
        </w:rPr>
      </w:pPr>
      <w:hyperlink r:id="rId219">
        <w:r>
          <w:rPr>
            <w:rFonts w:ascii="Arial" w:cs="Arial" w:eastAsia="Arial" w:hAnsi="Arial"/>
            <w:sz w:val="18"/>
            <w:szCs w:val="18"/>
            <w:u w:val="single" w:color="auto"/>
            <w:color w:val="0000FF"/>
          </w:rPr>
          <w:t>Lease Expansion and Modification Agreement, dated as of April 16, 2020, by and between 5th &amp; Main Partnership and</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Zymeworks BC Inc.(incorporated by reference to Exhibit 99.3 to Zymeworks BC Inc.’s Quarterly Report on Form 10-Q</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filed with the SEC on May 7, 2020).</w:t>
        </w:r>
      </w:hyperlink>
    </w:p>
    <w:p>
      <w:pPr>
        <w:spacing w:after="0" w:line="67" w:lineRule="exact"/>
        <w:rPr>
          <w:rFonts w:ascii="Arial" w:cs="Arial" w:eastAsia="Arial" w:hAnsi="Arial"/>
          <w:sz w:val="18"/>
          <w:szCs w:val="18"/>
          <w:u w:val="single" w:color="auto"/>
          <w:color w:val="0000FF"/>
        </w:rPr>
      </w:pPr>
    </w:p>
    <w:p>
      <w:pPr>
        <w:jc w:val="both"/>
        <w:ind w:right="539"/>
        <w:spacing w:after="0" w:line="256" w:lineRule="auto"/>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Third Lease Modification Agreement, dated February 17, 2021, by and between Zymeworks BC Inc. and 5th &amp; Main</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Partnership (incorporated by reference to Exhibit 99.1 to Zymeworks BC Inc.’s Quarterly Report on Form 10-Q filed</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with the SEC on May 5, 2021).</w:t>
        </w:r>
      </w:hyperlink>
    </w:p>
    <w:p>
      <w:pPr>
        <w:spacing w:after="0" w:line="67" w:lineRule="exact"/>
        <w:rPr>
          <w:rFonts w:ascii="Arial" w:cs="Arial" w:eastAsia="Arial" w:hAnsi="Arial"/>
          <w:sz w:val="18"/>
          <w:szCs w:val="18"/>
          <w:u w:val="single" w:color="auto"/>
          <w:color w:val="0000FF"/>
        </w:rPr>
      </w:pPr>
    </w:p>
    <w:p>
      <w:pPr>
        <w:ind w:right="579"/>
        <w:spacing w:after="0" w:line="256" w:lineRule="auto"/>
        <w:rPr>
          <w:rFonts w:ascii="Arial" w:cs="Arial" w:eastAsia="Arial" w:hAnsi="Arial"/>
          <w:sz w:val="18"/>
          <w:szCs w:val="18"/>
          <w:color w:val="0000FF"/>
        </w:rPr>
      </w:pPr>
      <w:hyperlink r:id="rId221">
        <w:r>
          <w:rPr>
            <w:rFonts w:ascii="Arial" w:cs="Arial" w:eastAsia="Arial" w:hAnsi="Arial"/>
            <w:sz w:val="18"/>
            <w:szCs w:val="18"/>
            <w:u w:val="single" w:color="auto"/>
            <w:color w:val="0000FF"/>
          </w:rPr>
          <w:t>Fourth Lease Modification Agreement, dated May 7, 2021, by and between Zymeworks BC Inc. and 5th and Main</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Partnership (incorporated by reference to Exhibit 99.5 to Zymeworks BC Inc.’s Quarterly Report on Form 10-Q filed</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with the SEC on August 4, 2021)</w:t>
        </w:r>
        <w:r>
          <w:rPr>
            <w:rFonts w:ascii="Arial" w:cs="Arial" w:eastAsia="Arial" w:hAnsi="Arial"/>
            <w:sz w:val="18"/>
            <w:szCs w:val="18"/>
            <w:color w:val="000000"/>
          </w:rPr>
          <w:t>.</w:t>
        </w:r>
      </w:hyperlink>
    </w:p>
    <w:p>
      <w:pPr>
        <w:spacing w:after="0" w:line="67" w:lineRule="exact"/>
        <w:rPr>
          <w:rFonts w:ascii="Arial" w:cs="Arial" w:eastAsia="Arial" w:hAnsi="Arial"/>
          <w:sz w:val="18"/>
          <w:szCs w:val="18"/>
          <w:u w:val="single" w:color="auto"/>
          <w:color w:val="0000FF"/>
        </w:rPr>
      </w:pPr>
    </w:p>
    <w:p>
      <w:pPr>
        <w:ind w:right="439"/>
        <w:spacing w:after="0" w:line="256" w:lineRule="auto"/>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Lease Amending Agreement, dated April 1, 2022, by and between Zymeworks BC Inc. and 130 E 4th Partnership</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(incorporated by reference to Exhibit 10.1 to Zymeworks BC Inc.’s Quarterly Report on Form 10-Q filed with the SEC</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on August 4, 2022).</w:t>
        </w:r>
      </w:hyperlink>
    </w:p>
    <w:p>
      <w:pPr>
        <w:spacing w:after="0" w:line="67" w:lineRule="exact"/>
        <w:rPr>
          <w:rFonts w:ascii="Arial" w:cs="Arial" w:eastAsia="Arial" w:hAnsi="Arial"/>
          <w:sz w:val="18"/>
          <w:szCs w:val="18"/>
          <w:u w:val="single" w:color="auto"/>
          <w:color w:val="0000FF"/>
        </w:rPr>
      </w:pPr>
    </w:p>
    <w:p>
      <w:pPr>
        <w:ind w:right="759"/>
        <w:spacing w:after="0" w:line="278" w:lineRule="auto"/>
        <w:rPr>
          <w:rFonts w:ascii="Arial" w:cs="Arial" w:eastAsia="Arial" w:hAnsi="Arial"/>
          <w:sz w:val="17"/>
          <w:szCs w:val="17"/>
          <w:u w:val="single" w:color="auto"/>
          <w:color w:val="0000FF"/>
        </w:rPr>
      </w:pPr>
      <w:hyperlink r:id="rId223">
        <w:r>
          <w:rPr>
            <w:rFonts w:ascii="Arial" w:cs="Arial" w:eastAsia="Arial" w:hAnsi="Arial"/>
            <w:sz w:val="17"/>
            <w:szCs w:val="17"/>
            <w:u w:val="single" w:color="auto"/>
            <w:color w:val="0000FF"/>
          </w:rPr>
          <w:t>Notice of Assignment of Lease, dated January 1, 2022 from 5th &amp; Main Partnership, 2000 Main Holdings Inc. and</w:t>
        </w:r>
      </w:hyperlink>
      <w:r>
        <w:rPr>
          <w:rFonts w:ascii="Arial" w:cs="Arial" w:eastAsia="Arial" w:hAnsi="Arial"/>
          <w:sz w:val="17"/>
          <w:szCs w:val="17"/>
          <w:u w:val="single" w:color="auto"/>
          <w:color w:val="0000FF"/>
        </w:rPr>
        <w:t xml:space="preserve"> </w:t>
      </w:r>
      <w:hyperlink r:id="rId223">
        <w:r>
          <w:rPr>
            <w:rFonts w:ascii="Arial" w:cs="Arial" w:eastAsia="Arial" w:hAnsi="Arial"/>
            <w:sz w:val="17"/>
            <w:szCs w:val="17"/>
            <w:u w:val="single" w:color="auto"/>
            <w:color w:val="0000FF"/>
          </w:rPr>
          <w:t>Mount Pixel Projects Limited Partnership to Zymeworks BC Inc. (incorporated by reference to Exhibit 10.2 to</w:t>
        </w:r>
      </w:hyperlink>
      <w:r>
        <w:rPr>
          <w:rFonts w:ascii="Arial" w:cs="Arial" w:eastAsia="Arial" w:hAnsi="Arial"/>
          <w:sz w:val="17"/>
          <w:szCs w:val="17"/>
          <w:u w:val="single" w:color="auto"/>
          <w:color w:val="0000FF"/>
        </w:rPr>
        <w:t xml:space="preserve"> </w:t>
      </w:r>
      <w:hyperlink r:id="rId223">
        <w:r>
          <w:rPr>
            <w:rFonts w:ascii="Arial" w:cs="Arial" w:eastAsia="Arial" w:hAnsi="Arial"/>
            <w:sz w:val="17"/>
            <w:szCs w:val="17"/>
            <w:u w:val="single" w:color="auto"/>
            <w:color w:val="0000FF"/>
          </w:rPr>
          <w:t>Zymeworks BC Inc.’s Quarterly Report on Form 10-Q filed with the SEC on August 4, 2022).</w:t>
        </w:r>
      </w:hyperlink>
    </w:p>
    <w:p>
      <w:pPr>
        <w:spacing w:after="0" w:line="36" w:lineRule="exact"/>
        <w:rPr>
          <w:rFonts w:ascii="Arial" w:cs="Arial" w:eastAsia="Arial" w:hAnsi="Arial"/>
          <w:sz w:val="17"/>
          <w:szCs w:val="17"/>
          <w:u w:val="single" w:color="auto"/>
          <w:color w:val="0000FF"/>
        </w:rPr>
      </w:pPr>
    </w:p>
    <w:p>
      <w:pPr>
        <w:ind w:right="479"/>
        <w:spacing w:after="0" w:line="248" w:lineRule="auto"/>
        <w:rPr>
          <w:rFonts w:ascii="Arial" w:cs="Arial" w:eastAsia="Arial" w:hAnsi="Arial"/>
          <w:sz w:val="16"/>
          <w:szCs w:val="16"/>
          <w:u w:val="single" w:color="auto"/>
          <w:color w:val="0000FF"/>
        </w:rPr>
      </w:pPr>
      <w:hyperlink r:id="rId224">
        <w:r>
          <w:rPr>
            <w:rFonts w:ascii="Arial" w:cs="Arial" w:eastAsia="Arial" w:hAnsi="Arial"/>
            <w:sz w:val="16"/>
            <w:szCs w:val="16"/>
            <w:u w:val="single" w:color="auto"/>
            <w:color w:val="0000FF"/>
          </w:rPr>
          <w:t>Employment Agreement effective September 17, 2018, by and between Zymeworks Biopharmaceuticals Inc. and</w:t>
        </w:r>
      </w:hyperlink>
      <w:r>
        <w:rPr>
          <w:rFonts w:ascii="Arial" w:cs="Arial" w:eastAsia="Arial" w:hAnsi="Arial"/>
          <w:sz w:val="16"/>
          <w:szCs w:val="16"/>
          <w:u w:val="single" w:color="auto"/>
          <w:color w:val="0000FF"/>
        </w:rPr>
        <w:t xml:space="preserve"> </w:t>
      </w:r>
      <w:hyperlink r:id="rId224">
        <w:r>
          <w:rPr>
            <w:rFonts w:ascii="Arial" w:cs="Arial" w:eastAsia="Arial" w:hAnsi="Arial"/>
            <w:sz w:val="16"/>
            <w:szCs w:val="16"/>
            <w:u w:val="single" w:color="auto"/>
            <w:color w:val="0000FF"/>
          </w:rPr>
          <w:t>Anthony Polverino (incorporated by reference to Exhibit 10.30 to Zymeworks BC Inc.’s 2018 Annual Report on Form</w:t>
        </w:r>
      </w:hyperlink>
    </w:p>
    <w:p>
      <w:pPr>
        <w:spacing w:after="0"/>
        <w:rPr>
          <w:rFonts w:ascii="Arial" w:cs="Arial" w:eastAsia="Arial" w:hAnsi="Arial"/>
          <w:sz w:val="18"/>
          <w:szCs w:val="18"/>
          <w:u w:val="single" w:color="auto"/>
          <w:color w:val="0000FF"/>
        </w:rPr>
      </w:pPr>
      <w:hyperlink r:id="rId224">
        <w:r>
          <w:rPr>
            <w:rFonts w:ascii="Arial" w:cs="Arial" w:eastAsia="Arial" w:hAnsi="Arial"/>
            <w:sz w:val="18"/>
            <w:szCs w:val="18"/>
            <w:u w:val="single" w:color="auto"/>
            <w:color w:val="0000FF"/>
          </w:rPr>
          <w:t>10-K filed with the SEC on March 6, 2019).</w:t>
        </w:r>
      </w:hyperlink>
    </w:p>
    <w:p>
      <w:pPr>
        <w:spacing w:after="0" w:line="61" w:lineRule="exact"/>
        <w:rPr>
          <w:sz w:val="20"/>
          <w:szCs w:val="20"/>
          <w:color w:val="auto"/>
        </w:rPr>
      </w:pPr>
    </w:p>
    <w:p>
      <w:pPr>
        <w:ind w:right="399"/>
        <w:spacing w:after="0" w:line="248" w:lineRule="auto"/>
        <w:rPr>
          <w:rFonts w:ascii="Arial" w:cs="Arial" w:eastAsia="Arial" w:hAnsi="Arial"/>
          <w:sz w:val="16"/>
          <w:szCs w:val="16"/>
          <w:u w:val="single" w:color="auto"/>
          <w:color w:val="0000FF"/>
        </w:rPr>
      </w:pPr>
      <w:hyperlink r:id="rId225">
        <w:r>
          <w:rPr>
            <w:rFonts w:ascii="Arial" w:cs="Arial" w:eastAsia="Arial" w:hAnsi="Arial"/>
            <w:sz w:val="16"/>
            <w:szCs w:val="16"/>
            <w:u w:val="single" w:color="auto"/>
            <w:color w:val="0000FF"/>
          </w:rPr>
          <w:t>Separation Agreement and Release by and between Zymeworks Biopharmaceuticals Inc. and Anthony Polverino, dated</w:t>
        </w:r>
      </w:hyperlink>
      <w:r>
        <w:rPr>
          <w:rFonts w:ascii="Arial" w:cs="Arial" w:eastAsia="Arial" w:hAnsi="Arial"/>
          <w:sz w:val="16"/>
          <w:szCs w:val="16"/>
          <w:u w:val="single" w:color="auto"/>
          <w:color w:val="0000FF"/>
        </w:rPr>
        <w:t xml:space="preserve"> </w:t>
      </w:r>
      <w:hyperlink r:id="rId225">
        <w:r>
          <w:rPr>
            <w:rFonts w:ascii="Arial" w:cs="Arial" w:eastAsia="Arial" w:hAnsi="Arial"/>
            <w:sz w:val="16"/>
            <w:szCs w:val="16"/>
            <w:u w:val="single" w:color="auto"/>
            <w:color w:val="0000FF"/>
          </w:rPr>
          <w:t>March 14, 2022 (incorporated by reference to Exhibit 10.69 to Zymeworks BC Inc.’s Amendment No. 1 to Annual</w:t>
        </w:r>
      </w:hyperlink>
    </w:p>
    <w:p>
      <w:pPr>
        <w:spacing w:after="0"/>
        <w:rPr>
          <w:rFonts w:ascii="Arial" w:cs="Arial" w:eastAsia="Arial" w:hAnsi="Arial"/>
          <w:sz w:val="18"/>
          <w:szCs w:val="18"/>
          <w:u w:val="single" w:color="auto"/>
          <w:color w:val="0000FF"/>
        </w:rPr>
      </w:pPr>
      <w:hyperlink r:id="rId225">
        <w:r>
          <w:rPr>
            <w:rFonts w:ascii="Arial" w:cs="Arial" w:eastAsia="Arial" w:hAnsi="Arial"/>
            <w:sz w:val="18"/>
            <w:szCs w:val="18"/>
            <w:u w:val="single" w:color="auto"/>
            <w:color w:val="0000FF"/>
          </w:rPr>
          <w:t>Report on Form 10-K filed with the SEC on May 2, 2022).</w:t>
        </w:r>
      </w:hyperlink>
    </w:p>
    <w:p>
      <w:pPr>
        <w:spacing w:after="0" w:line="61" w:lineRule="exact"/>
        <w:rPr>
          <w:sz w:val="20"/>
          <w:szCs w:val="20"/>
          <w:color w:val="auto"/>
        </w:rPr>
      </w:pPr>
    </w:p>
    <w:p>
      <w:pPr>
        <w:jc w:val="both"/>
        <w:ind w:right="539"/>
        <w:spacing w:after="0" w:line="289" w:lineRule="auto"/>
        <w:rPr>
          <w:rFonts w:ascii="Arial" w:cs="Arial" w:eastAsia="Arial" w:hAnsi="Arial"/>
          <w:sz w:val="16"/>
          <w:szCs w:val="16"/>
          <w:u w:val="single" w:color="auto"/>
          <w:color w:val="0000FF"/>
        </w:rPr>
      </w:pPr>
      <w:hyperlink r:id="rId226">
        <w:r>
          <w:rPr>
            <w:rFonts w:ascii="Arial" w:cs="Arial" w:eastAsia="Arial" w:hAnsi="Arial"/>
            <w:sz w:val="16"/>
            <w:szCs w:val="16"/>
            <w:u w:val="single" w:color="auto"/>
            <w:color w:val="0000FF"/>
          </w:rPr>
          <w:t>License Agreement between Zymeworks BC Inc. and Iconic Therapeutics, Inc., dated May 13, 2019 (incorporated by</w:t>
        </w:r>
      </w:hyperlink>
      <w:r>
        <w:rPr>
          <w:rFonts w:ascii="Arial" w:cs="Arial" w:eastAsia="Arial" w:hAnsi="Arial"/>
          <w:sz w:val="16"/>
          <w:szCs w:val="16"/>
          <w:u w:val="single" w:color="auto"/>
          <w:color w:val="0000FF"/>
        </w:rPr>
        <w:t xml:space="preserve"> </w:t>
      </w:r>
      <w:hyperlink r:id="rId226">
        <w:r>
          <w:rPr>
            <w:rFonts w:ascii="Arial" w:cs="Arial" w:eastAsia="Arial" w:hAnsi="Arial"/>
            <w:sz w:val="16"/>
            <w:szCs w:val="16"/>
            <w:u w:val="single" w:color="auto"/>
            <w:color w:val="0000FF"/>
          </w:rPr>
          <w:t xml:space="preserve">reference to Exhibit 99.1 to </w:t>
        </w:r>
      </w:hyperlink>
      <w:hyperlink r:id="rId181">
        <w:r>
          <w:rPr>
            <w:rFonts w:ascii="Arial" w:cs="Arial" w:eastAsia="Arial" w:hAnsi="Arial"/>
            <w:sz w:val="16"/>
            <w:szCs w:val="16"/>
            <w:u w:val="single" w:color="auto"/>
            <w:color w:val="0000FF"/>
          </w:rPr>
          <w:t xml:space="preserve">Zymeworks BC Inc.’s </w:t>
        </w:r>
      </w:hyperlink>
      <w:hyperlink r:id="rId226">
        <w:r>
          <w:rPr>
            <w:rFonts w:ascii="Arial" w:cs="Arial" w:eastAsia="Arial" w:hAnsi="Arial"/>
            <w:sz w:val="16"/>
            <w:szCs w:val="16"/>
            <w:u w:val="single" w:color="auto"/>
            <w:color w:val="0000FF"/>
          </w:rPr>
          <w:t>Current Report on Form 8-K filed with the SEC on May 15, 2019).</w:t>
        </w:r>
      </w:hyperlink>
    </w:p>
    <w:p>
      <w:pPr>
        <w:spacing w:after="0" w:line="29" w:lineRule="exact"/>
        <w:rPr>
          <w:rFonts w:ascii="Arial" w:cs="Arial" w:eastAsia="Arial" w:hAnsi="Arial"/>
          <w:sz w:val="16"/>
          <w:szCs w:val="16"/>
          <w:u w:val="single" w:color="auto"/>
          <w:color w:val="0000FF"/>
        </w:rPr>
      </w:pPr>
    </w:p>
    <w:p>
      <w:pPr>
        <w:ind w:right="559"/>
        <w:spacing w:after="0" w:line="248" w:lineRule="auto"/>
        <w:rPr>
          <w:rFonts w:ascii="Arial" w:cs="Arial" w:eastAsia="Arial" w:hAnsi="Arial"/>
          <w:sz w:val="16"/>
          <w:szCs w:val="16"/>
          <w:u w:val="single" w:color="auto"/>
          <w:color w:val="0000FF"/>
        </w:rPr>
      </w:pPr>
      <w:hyperlink r:id="rId227">
        <w:r>
          <w:rPr>
            <w:rFonts w:ascii="Arial" w:cs="Arial" w:eastAsia="Arial" w:hAnsi="Arial"/>
            <w:sz w:val="16"/>
            <w:szCs w:val="16"/>
            <w:u w:val="single" w:color="auto"/>
            <w:color w:val="0000FF"/>
          </w:rPr>
          <w:t>Amendment No. 1 to License Agreement effective as of February 26, 2020, by and between Zymeworks BC Inc. and</w:t>
        </w:r>
      </w:hyperlink>
      <w:r>
        <w:rPr>
          <w:rFonts w:ascii="Arial" w:cs="Arial" w:eastAsia="Arial" w:hAnsi="Arial"/>
          <w:sz w:val="16"/>
          <w:szCs w:val="16"/>
          <w:u w:val="single" w:color="auto"/>
          <w:color w:val="0000FF"/>
        </w:rPr>
        <w:t xml:space="preserve"> </w:t>
      </w:r>
      <w:hyperlink r:id="rId227">
        <w:r>
          <w:rPr>
            <w:rFonts w:ascii="Arial" w:cs="Arial" w:eastAsia="Arial" w:hAnsi="Arial"/>
            <w:sz w:val="16"/>
            <w:szCs w:val="16"/>
            <w:u w:val="single" w:color="auto"/>
            <w:color w:val="0000FF"/>
          </w:rPr>
          <w:t>Iconic Therapeutics, Inc. (incorporated by reference to Exhibit 99.7 to Zymeworks BC Inc.’s Annual Report on Form</w:t>
        </w:r>
      </w:hyperlink>
    </w:p>
    <w:p>
      <w:pPr>
        <w:spacing w:after="0"/>
        <w:rPr>
          <w:rFonts w:ascii="Arial" w:cs="Arial" w:eastAsia="Arial" w:hAnsi="Arial"/>
          <w:sz w:val="18"/>
          <w:szCs w:val="18"/>
          <w:u w:val="single" w:color="auto"/>
          <w:color w:val="0000FF"/>
        </w:rPr>
      </w:pPr>
      <w:hyperlink r:id="rId227">
        <w:r>
          <w:rPr>
            <w:rFonts w:ascii="Arial" w:cs="Arial" w:eastAsia="Arial" w:hAnsi="Arial"/>
            <w:sz w:val="18"/>
            <w:szCs w:val="18"/>
            <w:u w:val="single" w:color="auto"/>
            <w:color w:val="0000FF"/>
          </w:rPr>
          <w:t>10-K filed with the SEC on March 2, 2020).</w:t>
        </w:r>
      </w:hyperlink>
    </w:p>
    <w:p>
      <w:pPr>
        <w:spacing w:after="0" w:line="61" w:lineRule="exact"/>
        <w:rPr>
          <w:sz w:val="20"/>
          <w:szCs w:val="20"/>
          <w:color w:val="auto"/>
        </w:rPr>
      </w:pPr>
    </w:p>
    <w:p>
      <w:pPr>
        <w:sectPr>
          <w:pgSz w:w="11900" w:h="16838" w:orient="portrait"/>
          <w:cols w:equalWidth="0" w:num="2">
            <w:col w:w="760" w:space="380"/>
            <w:col w:w="8999"/>
          </w:cols>
          <w:pgMar w:left="320" w:top="229" w:right="1440" w:bottom="1440" w:gutter="0" w:footer="0" w:header="0"/>
          <w:type w:val="continuous"/>
        </w:sectPr>
      </w:pPr>
    </w:p>
    <w:p>
      <w:pPr>
        <w:jc w:val="both"/>
        <w:ind w:left="1140" w:right="479" w:hanging="820"/>
        <w:spacing w:after="0" w:line="256"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10.49</w:t>
      </w:r>
      <w:r>
        <w:rPr>
          <w:sz w:val="20"/>
          <w:szCs w:val="20"/>
          <w:color w:val="auto"/>
        </w:rPr>
        <w:tab/>
      </w:r>
      <w:hyperlink r:id="rId228">
        <w:r>
          <w:rPr>
            <w:rFonts w:ascii="Arial" w:cs="Arial" w:eastAsia="Arial" w:hAnsi="Arial"/>
            <w:sz w:val="18"/>
            <w:szCs w:val="18"/>
            <w:u w:val="single" w:color="auto"/>
            <w:color w:val="0000FF"/>
          </w:rPr>
          <w:t>Amendment No. 2 to License Agreement effective as of December 10, 2020, by and between Zymeworks BC Inc. and</w:t>
        </w:r>
      </w:hyperlink>
      <w:r>
        <w:rPr>
          <w:rFonts w:ascii="Arial" w:cs="Arial" w:eastAsia="Arial" w:hAnsi="Arial"/>
          <w:sz w:val="18"/>
          <w:szCs w:val="18"/>
          <w:u w:val="single" w:color="auto"/>
          <w:color w:val="0000FF"/>
        </w:rPr>
        <w:t xml:space="preserve"> </w:t>
      </w:r>
      <w:hyperlink r:id="rId228">
        <w:r>
          <w:rPr>
            <w:rFonts w:ascii="Arial" w:cs="Arial" w:eastAsia="Arial" w:hAnsi="Arial"/>
            <w:sz w:val="18"/>
            <w:szCs w:val="18"/>
            <w:u w:val="single" w:color="auto"/>
            <w:color w:val="0000FF"/>
          </w:rPr>
          <w:t>Iconic Therapeutics, Inc. (incorporated by reference to Exhibit 99.12 to Zymeworks BC Inc.’s Annual Report on Form</w:t>
        </w:r>
      </w:hyperlink>
      <w:r>
        <w:rPr>
          <w:rFonts w:ascii="Arial" w:cs="Arial" w:eastAsia="Arial" w:hAnsi="Arial"/>
          <w:sz w:val="18"/>
          <w:szCs w:val="18"/>
          <w:u w:val="single" w:color="auto"/>
          <w:color w:val="0000FF"/>
        </w:rPr>
        <w:t xml:space="preserve"> </w:t>
      </w:r>
      <w:hyperlink r:id="rId228">
        <w:r>
          <w:rPr>
            <w:rFonts w:ascii="Arial" w:cs="Arial" w:eastAsia="Arial" w:hAnsi="Arial"/>
            <w:sz w:val="18"/>
            <w:szCs w:val="18"/>
            <w:u w:val="single" w:color="auto"/>
            <w:color w:val="0000FF"/>
          </w:rPr>
          <w:t>10-K filed with the SEC on February 24, 2021).</w:t>
        </w:r>
      </w:hyperlink>
    </w:p>
    <w:p>
      <w:pPr>
        <w:sectPr>
          <w:pgSz w:w="11900" w:h="16838" w:orient="portrait"/>
          <w:cols w:equalWidth="0" w:num="1">
            <w:col w:w="10139"/>
          </w:cols>
          <w:pgMar w:left="320" w:top="229" w:right="1440"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96" w:lineRule="exact"/>
        <w:rPr>
          <w:rFonts w:ascii="Arial" w:cs="Arial" w:eastAsia="Arial" w:hAnsi="Arial"/>
          <w:sz w:val="18"/>
          <w:szCs w:val="18"/>
          <w:u w:val="single" w:color="auto"/>
          <w:color w:val="0000FF"/>
        </w:rPr>
      </w:pPr>
    </w:p>
    <w:p>
      <w:pPr>
        <w:ind w:left="5480"/>
        <w:spacing w:after="0"/>
        <w:rPr>
          <w:sz w:val="20"/>
          <w:szCs w:val="20"/>
          <w:color w:val="auto"/>
        </w:rPr>
      </w:pPr>
      <w:r>
        <w:rPr>
          <w:rFonts w:ascii="Arial" w:cs="Arial" w:eastAsia="Arial" w:hAnsi="Arial"/>
          <w:sz w:val="16"/>
          <w:szCs w:val="16"/>
          <w:color w:val="auto"/>
        </w:rPr>
        <w:t>143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
        <w:spacing w:after="0"/>
        <w:tabs>
          <w:tab w:leader="none" w:pos="50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62236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0">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84" w:lineRule="exact"/>
        <w:rPr>
          <w:sz w:val="20"/>
          <w:szCs w:val="20"/>
          <w:color w:val="auto"/>
        </w:rPr>
      </w:pPr>
    </w:p>
    <w:p>
      <w:pPr>
        <w:ind w:left="1140" w:right="399" w:hanging="865"/>
        <w:spacing w:after="0" w:line="256"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10.50#</w:t>
      </w:r>
      <w:r>
        <w:rPr>
          <w:sz w:val="20"/>
          <w:szCs w:val="20"/>
          <w:color w:val="auto"/>
        </w:rPr>
        <w:tab/>
      </w:r>
      <w:hyperlink r:id="rId231">
        <w:r>
          <w:rPr>
            <w:rFonts w:ascii="Arial" w:cs="Arial" w:eastAsia="Arial" w:hAnsi="Arial"/>
            <w:sz w:val="18"/>
            <w:szCs w:val="18"/>
            <w:u w:val="single" w:color="auto"/>
            <w:color w:val="0000FF"/>
          </w:rPr>
          <w:t>Employment Agreement effective October 14, 2019, by and between Zymeworks Biopharmaceuticals Inc. and Kathryn</w:t>
        </w:r>
      </w:hyperlink>
      <w:r>
        <w:rPr>
          <w:rFonts w:ascii="Arial" w:cs="Arial" w:eastAsia="Arial" w:hAnsi="Arial"/>
          <w:sz w:val="18"/>
          <w:szCs w:val="18"/>
          <w:u w:val="single" w:color="auto"/>
          <w:color w:val="0000FF"/>
        </w:rPr>
        <w:t xml:space="preserve"> </w:t>
      </w:r>
      <w:hyperlink r:id="rId231">
        <w:r>
          <w:rPr>
            <w:rFonts w:ascii="Arial" w:cs="Arial" w:eastAsia="Arial" w:hAnsi="Arial"/>
            <w:sz w:val="18"/>
            <w:szCs w:val="18"/>
            <w:u w:val="single" w:color="auto"/>
            <w:color w:val="0000FF"/>
          </w:rPr>
          <w:t>O’Driscoll (incorporated by reference to Exhibit 10.33 to Zymeworks BC Inc.’s Annual Report on Form 10-K filed</w:t>
        </w:r>
      </w:hyperlink>
      <w:r>
        <w:rPr>
          <w:rFonts w:ascii="Arial" w:cs="Arial" w:eastAsia="Arial" w:hAnsi="Arial"/>
          <w:sz w:val="18"/>
          <w:szCs w:val="18"/>
          <w:u w:val="single" w:color="auto"/>
          <w:color w:val="0000FF"/>
        </w:rPr>
        <w:t xml:space="preserve"> </w:t>
      </w:r>
      <w:hyperlink r:id="rId231">
        <w:r>
          <w:rPr>
            <w:rFonts w:ascii="Arial" w:cs="Arial" w:eastAsia="Arial" w:hAnsi="Arial"/>
            <w:sz w:val="18"/>
            <w:szCs w:val="18"/>
            <w:u w:val="single" w:color="auto"/>
            <w:color w:val="0000FF"/>
          </w:rPr>
          <w:t>with the SEC on March 2, 2020).</w:t>
        </w:r>
      </w:hyperlink>
    </w:p>
    <w:p>
      <w:pPr>
        <w:spacing w:after="0" w:line="67" w:lineRule="exact"/>
        <w:rPr>
          <w:rFonts w:ascii="Arial" w:cs="Arial" w:eastAsia="Arial" w:hAnsi="Arial"/>
          <w:sz w:val="18"/>
          <w:szCs w:val="18"/>
          <w:u w:val="single" w:color="auto"/>
          <w:color w:val="0000FF"/>
        </w:rPr>
      </w:pPr>
    </w:p>
    <w:p>
      <w:pPr>
        <w:ind w:left="1140" w:right="379" w:hanging="865"/>
        <w:spacing w:after="0" w:line="256"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10.51#</w:t>
      </w:r>
      <w:r>
        <w:rPr>
          <w:sz w:val="20"/>
          <w:szCs w:val="20"/>
          <w:color w:val="auto"/>
        </w:rPr>
        <w:tab/>
      </w:r>
      <w:hyperlink r:id="rId232">
        <w:r>
          <w:rPr>
            <w:rFonts w:ascii="Arial" w:cs="Arial" w:eastAsia="Arial" w:hAnsi="Arial"/>
            <w:sz w:val="18"/>
            <w:szCs w:val="18"/>
            <w:u w:val="single" w:color="auto"/>
            <w:color w:val="0000FF"/>
          </w:rPr>
          <w:t>Separation Agreement and Release by and between Zymeworks Biopharmaceuticals Inc. and Kathryn O’Driscoll, dated</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March 4, 2022 (incorporated by reference to Exhibit 10.70 to Zymeworks BC Inc.’s Amendment No. 1 to Annual</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Report on Form 10-K/A filed with the SEC on May 2, 2022).</w:t>
        </w:r>
      </w:hyperlink>
    </w:p>
    <w:p>
      <w:pPr>
        <w:spacing w:after="0" w:line="67" w:lineRule="exact"/>
        <w:rPr>
          <w:rFonts w:ascii="Arial" w:cs="Arial" w:eastAsia="Arial" w:hAnsi="Arial"/>
          <w:sz w:val="18"/>
          <w:szCs w:val="18"/>
          <w:u w:val="single" w:color="auto"/>
          <w:color w:val="0000FF"/>
        </w:rPr>
      </w:pPr>
    </w:p>
    <w:p>
      <w:pPr>
        <w:ind w:left="1140" w:right="399" w:hanging="820"/>
        <w:spacing w:after="0" w:line="24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10.52</w:t>
      </w:r>
      <w:r>
        <w:rPr>
          <w:sz w:val="20"/>
          <w:szCs w:val="20"/>
          <w:color w:val="auto"/>
        </w:rPr>
        <w:tab/>
      </w:r>
      <w:hyperlink r:id="rId233">
        <w:r>
          <w:rPr>
            <w:rFonts w:ascii="Arial" w:cs="Arial" w:eastAsia="Arial" w:hAnsi="Arial"/>
            <w:sz w:val="18"/>
            <w:szCs w:val="18"/>
            <w:u w:val="single" w:color="auto"/>
            <w:color w:val="0000FF"/>
          </w:rPr>
          <w:t>Open Market Sale AgreementSM. dated October 21, 2022, by and between the Company and Jefferies LLC</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(incorporated by reference to Exhibit 1.1 to the Company’s Current Report on Form 8-K filed with the SEC on October</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21, 2022).</w:t>
        </w:r>
      </w:hyperlink>
    </w:p>
    <w:p>
      <w:pPr>
        <w:spacing w:after="0" w:line="74" w:lineRule="exact"/>
        <w:rPr>
          <w:rFonts w:ascii="Arial" w:cs="Arial" w:eastAsia="Arial" w:hAnsi="Arial"/>
          <w:sz w:val="18"/>
          <w:szCs w:val="18"/>
          <w:u w:val="single" w:color="auto"/>
          <w:color w:val="0000FF"/>
        </w:rPr>
      </w:pPr>
    </w:p>
    <w:p>
      <w:pPr>
        <w:ind w:left="1140" w:right="57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10.53#</w:t>
      </w:r>
      <w:r>
        <w:rPr>
          <w:sz w:val="20"/>
          <w:szCs w:val="20"/>
          <w:color w:val="auto"/>
        </w:rPr>
        <w:tab/>
      </w:r>
      <w:hyperlink r:id="rId234">
        <w:r>
          <w:rPr>
            <w:rFonts w:ascii="Arial" w:cs="Arial" w:eastAsia="Arial" w:hAnsi="Arial"/>
            <w:sz w:val="16"/>
            <w:szCs w:val="16"/>
            <w:u w:val="single" w:color="auto"/>
            <w:color w:val="0000FF"/>
          </w:rPr>
          <w:t>Employment Agreement, effective April 1, 2020, by and between Zymeworks Biopharmaceuticals Inc. and James</w:t>
        </w:r>
      </w:hyperlink>
      <w:r>
        <w:rPr>
          <w:rFonts w:ascii="Arial" w:cs="Arial" w:eastAsia="Arial" w:hAnsi="Arial"/>
          <w:sz w:val="16"/>
          <w:szCs w:val="16"/>
          <w:u w:val="single" w:color="auto"/>
          <w:color w:val="0000FF"/>
        </w:rPr>
        <w:t xml:space="preserve"> </w:t>
      </w:r>
      <w:hyperlink r:id="rId234">
        <w:r>
          <w:rPr>
            <w:rFonts w:ascii="Arial" w:cs="Arial" w:eastAsia="Arial" w:hAnsi="Arial"/>
            <w:sz w:val="16"/>
            <w:szCs w:val="16"/>
            <w:u w:val="single" w:color="auto"/>
            <w:color w:val="0000FF"/>
          </w:rPr>
          <w:t>Priour (incorporated by reference to Exhibit 10.1 to Zymeworks BC Inc.’s Quarterly Report on Form 10-Q filed with</w:t>
        </w:r>
      </w:hyperlink>
    </w:p>
    <w:p>
      <w:pPr>
        <w:ind w:left="1140"/>
        <w:spacing w:after="0"/>
        <w:rPr>
          <w:rFonts w:ascii="Arial" w:cs="Arial" w:eastAsia="Arial" w:hAnsi="Arial"/>
          <w:sz w:val="18"/>
          <w:szCs w:val="18"/>
          <w:u w:val="single" w:color="auto"/>
          <w:color w:val="0000FF"/>
        </w:rPr>
      </w:pPr>
      <w:hyperlink r:id="rId234">
        <w:r>
          <w:rPr>
            <w:rFonts w:ascii="Arial" w:cs="Arial" w:eastAsia="Arial" w:hAnsi="Arial"/>
            <w:sz w:val="18"/>
            <w:szCs w:val="18"/>
            <w:u w:val="single" w:color="auto"/>
            <w:color w:val="0000FF"/>
          </w:rPr>
          <w:t>the SEC on May 5, 2021).</w:t>
        </w:r>
      </w:hyperlink>
    </w:p>
    <w:p>
      <w:pPr>
        <w:spacing w:after="0" w:line="61" w:lineRule="exact"/>
        <w:rPr>
          <w:sz w:val="20"/>
          <w:szCs w:val="20"/>
          <w:color w:val="auto"/>
        </w:rPr>
      </w:pPr>
    </w:p>
    <w:p>
      <w:pPr>
        <w:ind w:left="1140" w:right="639" w:hanging="865"/>
        <w:spacing w:after="0" w:line="235"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10.54#</w:t>
      </w:r>
      <w:r>
        <w:rPr>
          <w:sz w:val="20"/>
          <w:szCs w:val="20"/>
          <w:color w:val="auto"/>
        </w:rPr>
        <w:tab/>
      </w:r>
      <w:hyperlink r:id="rId235">
        <w:r>
          <w:rPr>
            <w:rFonts w:ascii="Arial" w:cs="Arial" w:eastAsia="Arial" w:hAnsi="Arial"/>
            <w:sz w:val="18"/>
            <w:szCs w:val="18"/>
            <w:u w:val="single" w:color="auto"/>
            <w:color w:val="0000FF"/>
          </w:rPr>
          <w:t xml:space="preserve">Letter, dated March 3, 2021, from </w:t>
        </w:r>
      </w:hyperlink>
      <w:hyperlink r:id="rId236">
        <w:r>
          <w:rPr>
            <w:rFonts w:ascii="Arial" w:cs="Arial" w:eastAsia="Arial" w:hAnsi="Arial"/>
            <w:sz w:val="18"/>
            <w:szCs w:val="18"/>
            <w:u w:val="single" w:color="auto"/>
            <w:color w:val="0000FF"/>
          </w:rPr>
          <w:t xml:space="preserve">Zymeworks BC Inc. </w:t>
        </w:r>
      </w:hyperlink>
      <w:hyperlink r:id="rId235">
        <w:r>
          <w:rPr>
            <w:rFonts w:ascii="Arial" w:cs="Arial" w:eastAsia="Arial" w:hAnsi="Arial"/>
            <w:sz w:val="18"/>
            <w:szCs w:val="18"/>
            <w:u w:val="single" w:color="auto"/>
            <w:color w:val="0000FF"/>
          </w:rPr>
          <w:t>to James Priour (incorporated by reference to Exhibit 10.2 to</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 xml:space="preserve">Zymeworks BC Inc.’s </w:t>
        </w:r>
      </w:hyperlink>
      <w:hyperlink r:id="rId235">
        <w:r>
          <w:rPr>
            <w:rFonts w:ascii="Arial" w:cs="Arial" w:eastAsia="Arial" w:hAnsi="Arial"/>
            <w:sz w:val="18"/>
            <w:szCs w:val="18"/>
            <w:u w:val="single" w:color="auto"/>
            <w:color w:val="0000FF"/>
          </w:rPr>
          <w:t>Quarterly Report on Form 10-Q filed with the SEC on May 5, 2021).</w:t>
        </w:r>
      </w:hyperlink>
    </w:p>
    <w:p>
      <w:pPr>
        <w:spacing w:after="0" w:line="67" w:lineRule="exact"/>
        <w:rPr>
          <w:rFonts w:ascii="Arial" w:cs="Arial" w:eastAsia="Arial" w:hAnsi="Arial"/>
          <w:sz w:val="18"/>
          <w:szCs w:val="18"/>
          <w:u w:val="single" w:color="auto"/>
          <w:color w:val="0000FF"/>
        </w:rPr>
      </w:pPr>
    </w:p>
    <w:p>
      <w:pPr>
        <w:ind w:left="1140" w:right="61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10.55#</w:t>
      </w:r>
      <w:r>
        <w:rPr>
          <w:sz w:val="20"/>
          <w:szCs w:val="20"/>
          <w:color w:val="auto"/>
        </w:rPr>
        <w:tab/>
      </w:r>
      <w:hyperlink r:id="rId237">
        <w:r>
          <w:rPr>
            <w:rFonts w:ascii="Arial" w:cs="Arial" w:eastAsia="Arial" w:hAnsi="Arial"/>
            <w:sz w:val="16"/>
            <w:szCs w:val="16"/>
            <w:u w:val="single" w:color="auto"/>
            <w:color w:val="0000FF"/>
          </w:rPr>
          <w:t>Separation and Release Agreement by and between Zymeworks Biopharmaceuticals Inc. and James Priour, dated</w:t>
        </w:r>
      </w:hyperlink>
      <w:r>
        <w:rPr>
          <w:rFonts w:ascii="Arial" w:cs="Arial" w:eastAsia="Arial" w:hAnsi="Arial"/>
          <w:sz w:val="16"/>
          <w:szCs w:val="16"/>
          <w:u w:val="single" w:color="auto"/>
          <w:color w:val="0000FF"/>
        </w:rPr>
        <w:t xml:space="preserve"> </w:t>
      </w:r>
      <w:hyperlink r:id="rId237">
        <w:r>
          <w:rPr>
            <w:rFonts w:ascii="Arial" w:cs="Arial" w:eastAsia="Arial" w:hAnsi="Arial"/>
            <w:sz w:val="16"/>
            <w:szCs w:val="16"/>
            <w:u w:val="single" w:color="auto"/>
            <w:color w:val="0000FF"/>
          </w:rPr>
          <w:t>February 4, 2022 (incorporated by reference to Exhibit 10.63 to Zymeworks BC Inc.’s Annual Report on Form 10-K</w:t>
        </w:r>
      </w:hyperlink>
    </w:p>
    <w:p>
      <w:pPr>
        <w:ind w:left="1140"/>
        <w:spacing w:after="0"/>
        <w:rPr>
          <w:rFonts w:ascii="Arial" w:cs="Arial" w:eastAsia="Arial" w:hAnsi="Arial"/>
          <w:sz w:val="18"/>
          <w:szCs w:val="18"/>
          <w:u w:val="single" w:color="auto"/>
          <w:color w:val="0000FF"/>
        </w:rPr>
      </w:pPr>
      <w:hyperlink r:id="rId237">
        <w:r>
          <w:rPr>
            <w:rFonts w:ascii="Arial" w:cs="Arial" w:eastAsia="Arial" w:hAnsi="Arial"/>
            <w:sz w:val="18"/>
            <w:szCs w:val="18"/>
            <w:u w:val="single" w:color="auto"/>
            <w:color w:val="0000FF"/>
          </w:rPr>
          <w:t>filed with the SEC on February 24, 2022).</w:t>
        </w:r>
      </w:hyperlink>
    </w:p>
    <w:p>
      <w:pPr>
        <w:spacing w:after="0" w:line="61" w:lineRule="exact"/>
        <w:rPr>
          <w:sz w:val="20"/>
          <w:szCs w:val="20"/>
          <w:color w:val="auto"/>
        </w:rPr>
      </w:pPr>
    </w:p>
    <w:p>
      <w:pPr>
        <w:ind w:left="1140" w:right="659" w:hanging="865"/>
        <w:spacing w:after="0" w:line="248" w:lineRule="auto"/>
        <w:tabs>
          <w:tab w:leader="none" w:pos="1120" w:val="left"/>
        </w:tabs>
        <w:rPr>
          <w:rFonts w:ascii="Arial" w:cs="Arial" w:eastAsia="Arial" w:hAnsi="Arial"/>
          <w:sz w:val="16"/>
          <w:szCs w:val="16"/>
          <w:color w:val="0000FF"/>
        </w:rPr>
      </w:pPr>
      <w:r>
        <w:rPr>
          <w:rFonts w:ascii="Arial" w:cs="Arial" w:eastAsia="Arial" w:hAnsi="Arial"/>
          <w:sz w:val="18"/>
          <w:szCs w:val="18"/>
          <w:color w:val="auto"/>
        </w:rPr>
        <w:t>10.56#</w:t>
      </w:r>
      <w:r>
        <w:rPr>
          <w:sz w:val="20"/>
          <w:szCs w:val="20"/>
          <w:color w:val="auto"/>
        </w:rPr>
        <w:tab/>
      </w:r>
      <w:hyperlink r:id="rId238">
        <w:r>
          <w:rPr>
            <w:rFonts w:ascii="Arial" w:cs="Arial" w:eastAsia="Arial" w:hAnsi="Arial"/>
            <w:sz w:val="16"/>
            <w:szCs w:val="16"/>
            <w:u w:val="single" w:color="auto"/>
            <w:color w:val="0000FF"/>
          </w:rPr>
          <w:t>Employment Agreement, effective April 29, 2019, by and between Zymeworks Biopharmaceuticals Inc. and Neil</w:t>
        </w:r>
      </w:hyperlink>
      <w:r>
        <w:rPr>
          <w:rFonts w:ascii="Arial" w:cs="Arial" w:eastAsia="Arial" w:hAnsi="Arial"/>
          <w:sz w:val="16"/>
          <w:szCs w:val="16"/>
          <w:u w:val="single" w:color="auto"/>
          <w:color w:val="0000FF"/>
        </w:rPr>
        <w:t xml:space="preserve"> </w:t>
      </w:r>
      <w:hyperlink r:id="rId238">
        <w:r>
          <w:rPr>
            <w:rFonts w:ascii="Arial" w:cs="Arial" w:eastAsia="Arial" w:hAnsi="Arial"/>
            <w:sz w:val="16"/>
            <w:szCs w:val="16"/>
            <w:u w:val="single" w:color="auto"/>
            <w:color w:val="0000FF"/>
          </w:rPr>
          <w:t>Josephson (incorporated by reference to Exhibit 10.1 to Zymeworks BC Inc</w:t>
        </w:r>
        <w:r>
          <w:rPr>
            <w:rFonts w:ascii="Arial" w:cs="Arial" w:eastAsia="Arial" w:hAnsi="Arial"/>
            <w:sz w:val="16"/>
            <w:szCs w:val="16"/>
            <w:color w:val="000000"/>
          </w:rPr>
          <w:t>.</w:t>
        </w:r>
        <w:r>
          <w:rPr>
            <w:rFonts w:ascii="Arial" w:cs="Arial" w:eastAsia="Arial" w:hAnsi="Arial"/>
            <w:sz w:val="16"/>
            <w:szCs w:val="16"/>
            <w:u w:val="single" w:color="auto"/>
            <w:color w:val="0000FF"/>
          </w:rPr>
          <w:t>’s Quarterly Report on Form 10-Q filed</w:t>
        </w:r>
      </w:hyperlink>
    </w:p>
    <w:p>
      <w:pPr>
        <w:ind w:left="1140"/>
        <w:spacing w:after="0"/>
        <w:rPr>
          <w:rFonts w:ascii="Arial" w:cs="Arial" w:eastAsia="Arial" w:hAnsi="Arial"/>
          <w:sz w:val="18"/>
          <w:szCs w:val="18"/>
          <w:u w:val="single" w:color="auto"/>
          <w:color w:val="0000FF"/>
        </w:rPr>
      </w:pPr>
      <w:hyperlink r:id="rId238">
        <w:r>
          <w:rPr>
            <w:rFonts w:ascii="Arial" w:cs="Arial" w:eastAsia="Arial" w:hAnsi="Arial"/>
            <w:sz w:val="18"/>
            <w:szCs w:val="18"/>
            <w:u w:val="single" w:color="auto"/>
            <w:color w:val="0000FF"/>
          </w:rPr>
          <w:t>with the SEC on August 4, 2021).</w:t>
        </w:r>
      </w:hyperlink>
    </w:p>
    <w:p>
      <w:pPr>
        <w:spacing w:after="0" w:line="61" w:lineRule="exact"/>
        <w:rPr>
          <w:sz w:val="20"/>
          <w:szCs w:val="20"/>
          <w:color w:val="auto"/>
        </w:rPr>
      </w:pPr>
    </w:p>
    <w:p>
      <w:pPr>
        <w:ind w:left="1140" w:right="519" w:hanging="865"/>
        <w:spacing w:after="0" w:line="258" w:lineRule="auto"/>
        <w:tabs>
          <w:tab w:leader="none" w:pos="1120" w:val="left"/>
        </w:tabs>
        <w:rPr>
          <w:rFonts w:ascii="Arial" w:cs="Arial" w:eastAsia="Arial" w:hAnsi="Arial"/>
          <w:sz w:val="17"/>
          <w:szCs w:val="17"/>
          <w:color w:val="0000FF"/>
        </w:rPr>
      </w:pPr>
      <w:r>
        <w:rPr>
          <w:rFonts w:ascii="Arial" w:cs="Arial" w:eastAsia="Arial" w:hAnsi="Arial"/>
          <w:sz w:val="18"/>
          <w:szCs w:val="18"/>
          <w:color w:val="auto"/>
        </w:rPr>
        <w:t>10.57#</w:t>
      </w:r>
      <w:r>
        <w:rPr>
          <w:sz w:val="20"/>
          <w:szCs w:val="20"/>
          <w:color w:val="auto"/>
        </w:rPr>
        <w:tab/>
      </w:r>
      <w:hyperlink r:id="rId239">
        <w:r>
          <w:rPr>
            <w:rFonts w:ascii="Arial" w:cs="Arial" w:eastAsia="Arial" w:hAnsi="Arial"/>
            <w:sz w:val="17"/>
            <w:szCs w:val="17"/>
            <w:u w:val="single" w:color="auto"/>
            <w:color w:val="0000FF"/>
          </w:rPr>
          <w:t>Letter, dated May 16, 2021, from Zymeworks BC Inc. to Neil Josephson (incorporated by reference to Exhibit 10.2 to</w:t>
        </w:r>
      </w:hyperlink>
      <w:r>
        <w:rPr>
          <w:rFonts w:ascii="Arial" w:cs="Arial" w:eastAsia="Arial" w:hAnsi="Arial"/>
          <w:sz w:val="17"/>
          <w:szCs w:val="17"/>
          <w:u w:val="single" w:color="auto"/>
          <w:color w:val="0000FF"/>
        </w:rPr>
        <w:t xml:space="preserve"> </w:t>
      </w:r>
      <w:hyperlink r:id="rId236">
        <w:r>
          <w:rPr>
            <w:rFonts w:ascii="Arial" w:cs="Arial" w:eastAsia="Arial" w:hAnsi="Arial"/>
            <w:sz w:val="17"/>
            <w:szCs w:val="17"/>
            <w:u w:val="single" w:color="auto"/>
            <w:color w:val="0000FF"/>
          </w:rPr>
          <w:t>Zymeworks BC Inc</w:t>
        </w:r>
      </w:hyperlink>
      <w:r>
        <w:rPr>
          <w:rFonts w:ascii="Arial" w:cs="Arial" w:eastAsia="Arial" w:hAnsi="Arial"/>
          <w:sz w:val="17"/>
          <w:szCs w:val="17"/>
          <w:color w:val="000000"/>
        </w:rPr>
        <w:t>.</w:t>
      </w:r>
      <w:hyperlink r:id="rId239">
        <w:r>
          <w:rPr>
            <w:rFonts w:ascii="Arial" w:cs="Arial" w:eastAsia="Arial" w:hAnsi="Arial"/>
            <w:sz w:val="17"/>
            <w:szCs w:val="17"/>
            <w:u w:val="single" w:color="auto"/>
            <w:color w:val="0000FF"/>
          </w:rPr>
          <w:t>’s Quarterly Report on Form 10-Q filed with the SEC on August 4, 2021)</w:t>
        </w:r>
      </w:hyperlink>
      <w:r>
        <w:rPr>
          <w:rFonts w:ascii="Arial" w:cs="Arial" w:eastAsia="Arial" w:hAnsi="Arial"/>
          <w:sz w:val="17"/>
          <w:szCs w:val="17"/>
          <w:color w:val="000000"/>
        </w:rPr>
        <w:t>.</w:t>
      </w:r>
    </w:p>
    <w:p>
      <w:pPr>
        <w:spacing w:after="0" w:line="37" w:lineRule="exact"/>
        <w:rPr>
          <w:rFonts w:ascii="Arial" w:cs="Arial" w:eastAsia="Arial" w:hAnsi="Arial"/>
          <w:sz w:val="17"/>
          <w:szCs w:val="17"/>
          <w:u w:val="single" w:color="auto"/>
          <w:color w:val="0000FF"/>
        </w:rPr>
      </w:pPr>
    </w:p>
    <w:p>
      <w:pPr>
        <w:jc w:val="center"/>
        <w:ind w:right="459"/>
        <w:spacing w:after="0"/>
        <w:tabs>
          <w:tab w:leader="none" w:pos="360" w:val="left"/>
        </w:tabs>
        <w:rPr>
          <w:rFonts w:ascii="Arial" w:cs="Arial" w:eastAsia="Arial" w:hAnsi="Arial"/>
          <w:sz w:val="16"/>
          <w:szCs w:val="16"/>
          <w:u w:val="single" w:color="auto"/>
          <w:color w:val="0000FF"/>
        </w:rPr>
      </w:pPr>
      <w:r>
        <w:rPr>
          <w:rFonts w:ascii="Arial" w:cs="Arial" w:eastAsia="Arial" w:hAnsi="Arial"/>
          <w:sz w:val="18"/>
          <w:szCs w:val="18"/>
          <w:color w:val="auto"/>
        </w:rPr>
        <w:t>10.58#</w:t>
      </w:r>
      <w:r>
        <w:rPr>
          <w:sz w:val="20"/>
          <w:szCs w:val="20"/>
          <w:color w:val="auto"/>
        </w:rPr>
        <w:tab/>
      </w:r>
      <w:hyperlink r:id="rId240">
        <w:r>
          <w:rPr>
            <w:rFonts w:ascii="Arial" w:cs="Arial" w:eastAsia="Arial" w:hAnsi="Arial"/>
            <w:sz w:val="16"/>
            <w:szCs w:val="16"/>
            <w:u w:val="single" w:color="auto"/>
            <w:color w:val="0000FF"/>
          </w:rPr>
          <w:t>Letter, dated November 9, 2021, from Zymeworks BC Inc. to Neil Josephson (incorporated by reference to Exhibit</w:t>
        </w:r>
      </w:hyperlink>
    </w:p>
    <w:p>
      <w:pPr>
        <w:jc w:val="center"/>
        <w:ind w:right="419"/>
        <w:spacing w:after="0"/>
        <w:rPr>
          <w:rFonts w:ascii="Arial" w:cs="Arial" w:eastAsia="Arial" w:hAnsi="Arial"/>
          <w:sz w:val="18"/>
          <w:szCs w:val="18"/>
          <w:u w:val="single" w:color="auto"/>
          <w:color w:val="0000FF"/>
        </w:rPr>
      </w:pPr>
      <w:hyperlink r:id="rId240">
        <w:r>
          <w:rPr>
            <w:rFonts w:ascii="Arial" w:cs="Arial" w:eastAsia="Arial" w:hAnsi="Arial"/>
            <w:sz w:val="18"/>
            <w:szCs w:val="18"/>
            <w:u w:val="single" w:color="auto"/>
            <w:color w:val="0000FF"/>
          </w:rPr>
          <w:t>10.66 to Zymeworks BC Inc.'s Annual Report on Form 10-K filed with the SEC on February 24, 2022).</w:t>
        </w:r>
      </w:hyperlink>
    </w:p>
    <w:p>
      <w:pPr>
        <w:spacing w:after="0" w:line="74" w:lineRule="exact"/>
        <w:rPr>
          <w:rFonts w:ascii="Arial" w:cs="Arial" w:eastAsia="Arial" w:hAnsi="Arial"/>
          <w:sz w:val="17"/>
          <w:szCs w:val="17"/>
          <w:u w:val="single" w:color="auto"/>
          <w:color w:val="0000FF"/>
        </w:rPr>
      </w:pPr>
    </w:p>
    <w:p>
      <w:pPr>
        <w:ind w:left="1140" w:right="679" w:hanging="865"/>
        <w:spacing w:after="0" w:line="235" w:lineRule="auto"/>
        <w:tabs>
          <w:tab w:leader="none" w:pos="1120" w:val="left"/>
        </w:tabs>
        <w:rPr>
          <w:sz w:val="20"/>
          <w:szCs w:val="20"/>
          <w:color w:val="auto"/>
        </w:rPr>
      </w:pPr>
      <w:r>
        <w:rPr>
          <w:rFonts w:ascii="Arial" w:cs="Arial" w:eastAsia="Arial" w:hAnsi="Arial"/>
          <w:sz w:val="18"/>
          <w:szCs w:val="18"/>
          <w:color w:val="auto"/>
        </w:rPr>
        <w:t>10.59#</w:t>
      </w:r>
      <w:r>
        <w:rPr>
          <w:sz w:val="20"/>
          <w:szCs w:val="20"/>
          <w:color w:val="auto"/>
        </w:rPr>
        <w:tab/>
      </w:r>
      <w:r>
        <w:rPr>
          <w:rFonts w:ascii="Arial" w:cs="Arial" w:eastAsia="Arial" w:hAnsi="Arial"/>
          <w:sz w:val="18"/>
          <w:szCs w:val="18"/>
          <w:u w:val="single" w:color="auto"/>
          <w:color w:val="0000FF"/>
        </w:rPr>
        <w:t>Separa</w:t>
      </w:r>
      <w:r>
        <w:rPr>
          <w:rFonts w:ascii="Arial" w:cs="Arial" w:eastAsia="Arial" w:hAnsi="Arial"/>
          <w:sz w:val="18"/>
          <w:szCs w:val="18"/>
          <w:color w:val="0000FF"/>
        </w:rPr>
        <w:t>ti</w:t>
      </w:r>
      <w:r>
        <w:rPr>
          <w:rFonts w:ascii="Arial" w:cs="Arial" w:eastAsia="Arial" w:hAnsi="Arial"/>
          <w:sz w:val="18"/>
          <w:szCs w:val="18"/>
          <w:u w:val="single" w:color="auto"/>
          <w:color w:val="0000FF"/>
        </w:rPr>
        <w:t>on and Release Agreement by and between Zymeworks Biopharmaceuticals Inc. and Neil Josephson, dated March</w:t>
      </w:r>
      <w:r>
        <w:rPr>
          <w:rFonts w:ascii="Arial" w:cs="Arial" w:eastAsia="Arial" w:hAnsi="Arial"/>
          <w:sz w:val="18"/>
          <w:szCs w:val="18"/>
          <w:color w:val="0000FF"/>
        </w:rPr>
        <w:t xml:space="preserve"> </w:t>
      </w:r>
      <w:r>
        <w:rPr>
          <w:rFonts w:ascii="Arial" w:cs="Arial" w:eastAsia="Arial" w:hAnsi="Arial"/>
          <w:sz w:val="18"/>
          <w:szCs w:val="18"/>
          <w:color w:val="0000FF"/>
          <w:highlight w:val="white"/>
        </w:rPr>
        <w:t>3,</w:t>
      </w:r>
      <w:r>
        <w:rPr>
          <w:rFonts w:ascii="Arial" w:cs="Arial" w:eastAsia="Arial" w:hAnsi="Arial"/>
          <w:sz w:val="18"/>
          <w:szCs w:val="18"/>
          <w:color w:val="0000FF"/>
        </w:rPr>
        <w:t xml:space="preserve"> 2023.</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1045845</wp:posOffset>
            </wp:positionH>
            <wp:positionV relativeFrom="paragraph">
              <wp:posOffset>-24765</wp:posOffset>
            </wp:positionV>
            <wp:extent cx="3714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1">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spacing w:after="0" w:line="47" w:lineRule="exact"/>
        <w:rPr>
          <w:rFonts w:ascii="Arial" w:cs="Arial" w:eastAsia="Arial" w:hAnsi="Arial"/>
          <w:sz w:val="17"/>
          <w:szCs w:val="17"/>
          <w:u w:val="single" w:color="auto"/>
          <w:color w:val="0000FF"/>
        </w:rPr>
      </w:pPr>
    </w:p>
    <w:p>
      <w:pPr>
        <w:ind w:left="1140" w:right="43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10.60#</w:t>
      </w:r>
      <w:r>
        <w:rPr>
          <w:sz w:val="20"/>
          <w:szCs w:val="20"/>
          <w:color w:val="auto"/>
        </w:rPr>
        <w:tab/>
      </w:r>
      <w:hyperlink r:id="rId242">
        <w:r>
          <w:rPr>
            <w:rFonts w:ascii="Arial" w:cs="Arial" w:eastAsia="Arial" w:hAnsi="Arial"/>
            <w:sz w:val="16"/>
            <w:szCs w:val="16"/>
            <w:u w:val="single" w:color="auto"/>
            <w:color w:val="0000FF"/>
          </w:rPr>
          <w:t>Employment Agreement by and between Zymeworks BC Inc</w:t>
        </w:r>
        <w:r>
          <w:rPr>
            <w:rFonts w:ascii="Arial" w:cs="Arial" w:eastAsia="Arial" w:hAnsi="Arial"/>
            <w:sz w:val="16"/>
            <w:szCs w:val="16"/>
            <w:color w:val="000000"/>
          </w:rPr>
          <w:t>.</w:t>
        </w:r>
        <w:r>
          <w:rPr>
            <w:rFonts w:ascii="Arial" w:cs="Arial" w:eastAsia="Arial" w:hAnsi="Arial"/>
            <w:sz w:val="16"/>
            <w:szCs w:val="16"/>
            <w:u w:val="single" w:color="auto"/>
            <w:color w:val="0000FF"/>
          </w:rPr>
          <w:t xml:space="preserve"> </w:t>
        </w:r>
        <w:r>
          <w:rPr>
            <w:rFonts w:ascii="Arial" w:cs="Arial" w:eastAsia="Arial" w:hAnsi="Arial"/>
            <w:sz w:val="16"/>
            <w:szCs w:val="16"/>
            <w:color w:val="0000FF"/>
          </w:rPr>
          <w:t>and Kenneth Galbraith, dated January 5, 2022</w:t>
        </w:r>
      </w:hyperlink>
      <w:r>
        <w:rPr>
          <w:rFonts w:ascii="Arial" w:cs="Arial" w:eastAsia="Arial" w:hAnsi="Arial"/>
          <w:sz w:val="16"/>
          <w:szCs w:val="16"/>
          <w:u w:val="single" w:color="auto"/>
          <w:color w:val="0000FF"/>
        </w:rPr>
        <w:t xml:space="preserve"> </w:t>
      </w:r>
      <w:hyperlink r:id="rId242">
        <w:r>
          <w:rPr>
            <w:rFonts w:ascii="Arial" w:cs="Arial" w:eastAsia="Arial" w:hAnsi="Arial"/>
            <w:sz w:val="16"/>
            <w:szCs w:val="16"/>
            <w:u w:val="single" w:color="auto"/>
            <w:color w:val="0000FF"/>
          </w:rPr>
          <w:t>(incorporated by reference to Exhibit 10.1 to Zymeworks BC Inc.’s Current Report on Form 8-K filed with the SEC 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-120015</wp:posOffset>
            </wp:positionV>
            <wp:extent cx="21291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3">
                      <a:extLst>
                        <a:ext uri="{28A0092B-C50C-407E-A947-70E740481C1C}"/>
                      </a:extLst>
                    </a:blip>
                    <a:srcRect/>
                    <a:stretch>
                      <a:fillRect/>
                    </a:stretch>
                  </pic:blipFill>
                  <pic:spPr bwMode="auto">
                    <a:xfrm>
                      <a:off x="0" y="0"/>
                      <a:ext cx="2129155" cy="8255"/>
                    </a:xfrm>
                    <a:prstGeom prst="rect">
                      <a:avLst/>
                    </a:prstGeom>
                    <a:noFill/>
                  </pic:spPr>
                </pic:pic>
              </a:graphicData>
            </a:graphic>
          </wp:anchor>
        </w:drawing>
      </w:r>
    </w:p>
    <w:p>
      <w:pPr>
        <w:ind w:left="1140"/>
        <w:spacing w:after="0"/>
        <w:rPr>
          <w:rFonts w:ascii="Arial" w:cs="Arial" w:eastAsia="Arial" w:hAnsi="Arial"/>
          <w:sz w:val="18"/>
          <w:szCs w:val="18"/>
          <w:u w:val="single" w:color="auto"/>
          <w:color w:val="0000FF"/>
        </w:rPr>
      </w:pPr>
      <w:hyperlink r:id="rId242">
        <w:r>
          <w:rPr>
            <w:rFonts w:ascii="Arial" w:cs="Arial" w:eastAsia="Arial" w:hAnsi="Arial"/>
            <w:sz w:val="18"/>
            <w:szCs w:val="18"/>
            <w:u w:val="single" w:color="auto"/>
            <w:color w:val="0000FF"/>
          </w:rPr>
          <w:t>January 5, 2022).</w:t>
        </w:r>
      </w:hyperlink>
    </w:p>
    <w:p>
      <w:pPr>
        <w:spacing w:after="0" w:line="61" w:lineRule="exact"/>
        <w:rPr>
          <w:sz w:val="20"/>
          <w:szCs w:val="20"/>
          <w:color w:val="auto"/>
        </w:rPr>
      </w:pPr>
    </w:p>
    <w:p>
      <w:pPr>
        <w:ind w:left="1140" w:right="63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10.61#</w:t>
      </w:r>
      <w:r>
        <w:rPr>
          <w:sz w:val="20"/>
          <w:szCs w:val="20"/>
          <w:color w:val="auto"/>
        </w:rPr>
        <w:tab/>
      </w:r>
      <w:hyperlink r:id="rId244">
        <w:r>
          <w:rPr>
            <w:rFonts w:ascii="Arial" w:cs="Arial" w:eastAsia="Arial" w:hAnsi="Arial"/>
            <w:sz w:val="16"/>
            <w:szCs w:val="16"/>
            <w:u w:val="single" w:color="auto"/>
            <w:color w:val="0000FF"/>
          </w:rPr>
          <w:t>Amendment to Employment Agreement, dated as of December 30, 2022, by and among Kenneth Galbraith,</w:t>
        </w:r>
      </w:hyperlink>
      <w:r>
        <w:rPr>
          <w:rFonts w:ascii="Arial" w:cs="Arial" w:eastAsia="Arial" w:hAnsi="Arial"/>
          <w:sz w:val="16"/>
          <w:szCs w:val="16"/>
          <w:u w:val="single" w:color="auto"/>
          <w:color w:val="0000FF"/>
        </w:rPr>
        <w:t xml:space="preserve"> </w:t>
      </w:r>
      <w:hyperlink r:id="rId244">
        <w:r>
          <w:rPr>
            <w:rFonts w:ascii="Arial" w:cs="Arial" w:eastAsia="Arial" w:hAnsi="Arial"/>
            <w:sz w:val="16"/>
            <w:szCs w:val="16"/>
            <w:u w:val="single" w:color="auto"/>
            <w:color w:val="0000FF"/>
          </w:rPr>
          <w:t>Zymeworks BC Inc. and Zymeworks Management Inc. (incorporated by reference to Exhibit 10.1 to the Company’s</w:t>
        </w:r>
      </w:hyperlink>
    </w:p>
    <w:p>
      <w:pPr>
        <w:ind w:left="1140"/>
        <w:spacing w:after="0"/>
        <w:rPr>
          <w:rFonts w:ascii="Arial" w:cs="Arial" w:eastAsia="Arial" w:hAnsi="Arial"/>
          <w:sz w:val="18"/>
          <w:szCs w:val="18"/>
          <w:u w:val="single" w:color="auto"/>
          <w:color w:val="0000FF"/>
        </w:rPr>
      </w:pPr>
      <w:hyperlink r:id="rId244">
        <w:r>
          <w:rPr>
            <w:rFonts w:ascii="Arial" w:cs="Arial" w:eastAsia="Arial" w:hAnsi="Arial"/>
            <w:sz w:val="18"/>
            <w:szCs w:val="18"/>
            <w:u w:val="single" w:color="auto"/>
            <w:color w:val="0000FF"/>
          </w:rPr>
          <w:t>Current Report on Form 8-K filed with the SEC on December 30, 2022).</w:t>
        </w:r>
      </w:hyperlink>
    </w:p>
    <w:p>
      <w:pPr>
        <w:spacing w:after="0" w:line="61" w:lineRule="exact"/>
        <w:rPr>
          <w:sz w:val="20"/>
          <w:szCs w:val="20"/>
          <w:color w:val="auto"/>
        </w:rPr>
      </w:pPr>
    </w:p>
    <w:p>
      <w:pPr>
        <w:jc w:val="right"/>
        <w:ind w:left="260" w:right="679"/>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10.62#    </w:t>
      </w:r>
      <w:hyperlink r:id="rId245">
        <w:r>
          <w:rPr>
            <w:rFonts w:ascii="Arial" w:cs="Arial" w:eastAsia="Arial" w:hAnsi="Arial"/>
            <w:sz w:val="17"/>
            <w:szCs w:val="17"/>
            <w:u w:val="single" w:color="auto"/>
            <w:color w:val="0000FF"/>
          </w:rPr>
          <w:t>Amended and Restated Employment Agreement by and between Zymeworks BC Inc. and Christopher Astle, dated</w:t>
        </w:r>
      </w:hyperlink>
      <w:r>
        <w:rPr>
          <w:rFonts w:ascii="Arial" w:cs="Arial" w:eastAsia="Arial" w:hAnsi="Arial"/>
          <w:sz w:val="17"/>
          <w:szCs w:val="17"/>
          <w:color w:val="auto"/>
        </w:rPr>
        <w:t xml:space="preserve"> </w:t>
      </w:r>
      <w:hyperlink r:id="rId245">
        <w:r>
          <w:rPr>
            <w:rFonts w:ascii="Arial" w:cs="Arial" w:eastAsia="Arial" w:hAnsi="Arial"/>
            <w:sz w:val="17"/>
            <w:szCs w:val="17"/>
            <w:u w:val="single" w:color="auto"/>
            <w:color w:val="0000FF"/>
          </w:rPr>
          <w:t>February 24, 2022 (incorporated by reference to Exhibit 10.1 to Zymeworks BC Inc.’s Current Report on Form 8-K</w:t>
        </w:r>
      </w:hyperlink>
    </w:p>
    <w:p>
      <w:pPr>
        <w:spacing w:after="0" w:line="1" w:lineRule="exact"/>
        <w:rPr>
          <w:sz w:val="20"/>
          <w:szCs w:val="20"/>
          <w:color w:val="auto"/>
        </w:rPr>
      </w:pPr>
    </w:p>
    <w:p>
      <w:pPr>
        <w:ind w:left="1140"/>
        <w:spacing w:after="0"/>
        <w:rPr>
          <w:rFonts w:ascii="Arial" w:cs="Arial" w:eastAsia="Arial" w:hAnsi="Arial"/>
          <w:sz w:val="18"/>
          <w:szCs w:val="18"/>
          <w:u w:val="single" w:color="auto"/>
          <w:color w:val="0000FF"/>
        </w:rPr>
      </w:pPr>
      <w:hyperlink r:id="rId245">
        <w:r>
          <w:rPr>
            <w:rFonts w:ascii="Arial" w:cs="Arial" w:eastAsia="Arial" w:hAnsi="Arial"/>
            <w:sz w:val="18"/>
            <w:szCs w:val="18"/>
            <w:u w:val="single" w:color="auto"/>
            <w:color w:val="0000FF"/>
          </w:rPr>
          <w:t>filed with the SEC on February 25, 2022).</w:t>
        </w:r>
      </w:hyperlink>
    </w:p>
    <w:p>
      <w:pPr>
        <w:spacing w:after="0" w:line="61" w:lineRule="exact"/>
        <w:rPr>
          <w:sz w:val="20"/>
          <w:szCs w:val="20"/>
          <w:color w:val="auto"/>
        </w:rPr>
      </w:pPr>
    </w:p>
    <w:p>
      <w:pPr>
        <w:jc w:val="right"/>
        <w:ind w:left="260" w:right="399"/>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10.63#    </w:t>
      </w:r>
      <w:hyperlink r:id="rId246">
        <w:r>
          <w:rPr>
            <w:rFonts w:ascii="Arial" w:cs="Arial" w:eastAsia="Arial" w:hAnsi="Arial"/>
            <w:sz w:val="17"/>
            <w:szCs w:val="17"/>
            <w:u w:val="single" w:color="auto"/>
            <w:color w:val="0000FF"/>
          </w:rPr>
          <w:t>Amendment to Amended and Restated Employment Agreement by and between Christopher Astle and Zymeworks BC</w:t>
        </w:r>
      </w:hyperlink>
      <w:r>
        <w:rPr>
          <w:rFonts w:ascii="Arial" w:cs="Arial" w:eastAsia="Arial" w:hAnsi="Arial"/>
          <w:sz w:val="17"/>
          <w:szCs w:val="17"/>
          <w:color w:val="auto"/>
        </w:rPr>
        <w:t xml:space="preserve"> </w:t>
      </w:r>
      <w:hyperlink r:id="rId246">
        <w:r>
          <w:rPr>
            <w:rFonts w:ascii="Arial" w:cs="Arial" w:eastAsia="Arial" w:hAnsi="Arial"/>
            <w:sz w:val="17"/>
            <w:szCs w:val="17"/>
            <w:u w:val="single" w:color="auto"/>
            <w:color w:val="0000FF"/>
          </w:rPr>
          <w:t>Inc., dated November 17, 2022 (incorporated by reference to Exhibit 10.1 to the Company’s Current Report on Form 8-</w:t>
        </w:r>
      </w:hyperlink>
    </w:p>
    <w:p>
      <w:pPr>
        <w:spacing w:after="0" w:line="1" w:lineRule="exact"/>
        <w:rPr>
          <w:sz w:val="20"/>
          <w:szCs w:val="20"/>
          <w:color w:val="auto"/>
        </w:rPr>
      </w:pPr>
    </w:p>
    <w:p>
      <w:pPr>
        <w:ind w:left="1140"/>
        <w:spacing w:after="0"/>
        <w:rPr>
          <w:rFonts w:ascii="Arial" w:cs="Arial" w:eastAsia="Arial" w:hAnsi="Arial"/>
          <w:sz w:val="18"/>
          <w:szCs w:val="18"/>
          <w:u w:val="single" w:color="auto"/>
          <w:color w:val="0000FF"/>
        </w:rPr>
      </w:pPr>
      <w:hyperlink r:id="rId246">
        <w:r>
          <w:rPr>
            <w:rFonts w:ascii="Arial" w:cs="Arial" w:eastAsia="Arial" w:hAnsi="Arial"/>
            <w:sz w:val="18"/>
            <w:szCs w:val="18"/>
            <w:u w:val="single" w:color="auto"/>
            <w:color w:val="0000FF"/>
          </w:rPr>
          <w:t>K filed with the SEC on November 18, 2022).</w:t>
        </w:r>
      </w:hyperlink>
    </w:p>
    <w:p>
      <w:pPr>
        <w:spacing w:after="0" w:line="61" w:lineRule="exact"/>
        <w:rPr>
          <w:sz w:val="20"/>
          <w:szCs w:val="20"/>
          <w:color w:val="auto"/>
        </w:rPr>
      </w:pPr>
    </w:p>
    <w:p>
      <w:pPr>
        <w:ind w:left="260"/>
        <w:spacing w:after="0"/>
        <w:tabs>
          <w:tab w:leader="none" w:pos="1120" w:val="left"/>
        </w:tabs>
        <w:rPr>
          <w:sz w:val="20"/>
          <w:szCs w:val="20"/>
          <w:color w:val="auto"/>
        </w:rPr>
      </w:pPr>
      <w:r>
        <w:rPr>
          <w:rFonts w:ascii="Arial" w:cs="Arial" w:eastAsia="Arial" w:hAnsi="Arial"/>
          <w:sz w:val="18"/>
          <w:szCs w:val="18"/>
          <w:color w:val="auto"/>
        </w:rPr>
        <w:t>10.64#</w:t>
      </w:r>
      <w:r>
        <w:rPr>
          <w:sz w:val="20"/>
          <w:szCs w:val="20"/>
          <w:color w:val="auto"/>
        </w:rPr>
        <w:tab/>
      </w:r>
      <w:r>
        <w:rPr>
          <w:rFonts w:ascii="Arial" w:cs="Arial" w:eastAsia="Arial" w:hAnsi="Arial"/>
          <w:sz w:val="16"/>
          <w:szCs w:val="16"/>
          <w:u w:val="single" w:color="auto"/>
          <w:color w:val="0000FF"/>
        </w:rPr>
        <w:t>Executive Incentive Compensation Plan.</w:t>
      </w:r>
    </w:p>
    <w:p>
      <w:pPr>
        <w:spacing w:after="0" w:line="77" w:lineRule="exact"/>
        <w:rPr>
          <w:sz w:val="20"/>
          <w:szCs w:val="20"/>
          <w:color w:val="auto"/>
        </w:rPr>
      </w:pPr>
    </w:p>
    <w:p>
      <w:pPr>
        <w:ind w:left="1140" w:right="939" w:hanging="865"/>
        <w:spacing w:after="0" w:line="235"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10.65#</w:t>
      </w:r>
      <w:r>
        <w:rPr>
          <w:sz w:val="20"/>
          <w:szCs w:val="20"/>
          <w:color w:val="auto"/>
        </w:rPr>
        <w:tab/>
      </w:r>
      <w:hyperlink r:id="rId247">
        <w:r>
          <w:rPr>
            <w:rFonts w:ascii="Arial" w:cs="Arial" w:eastAsia="Arial" w:hAnsi="Arial"/>
            <w:sz w:val="18"/>
            <w:szCs w:val="18"/>
            <w:u w:val="single" w:color="auto"/>
            <w:color w:val="0000FF"/>
          </w:rPr>
          <w:t>Form of Indemnification Agreement (incorporated by reference to Exhibit 10.73 to the Amendment No. 1 to the</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Company’s Registration Statement on Form S-4 filed with the SEC on August 19, 2022).</w:t>
        </w:r>
      </w:hyperlink>
    </w:p>
    <w:p>
      <w:pPr>
        <w:spacing w:after="0" w:line="67" w:lineRule="exact"/>
        <w:rPr>
          <w:sz w:val="20"/>
          <w:szCs w:val="20"/>
          <w:color w:val="auto"/>
        </w:rPr>
      </w:pPr>
    </w:p>
    <w:p>
      <w:pPr>
        <w:ind w:left="1140" w:right="359" w:hanging="938"/>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10.66#,+</w:t>
      </w:r>
      <w:r>
        <w:rPr>
          <w:sz w:val="20"/>
          <w:szCs w:val="20"/>
          <w:color w:val="auto"/>
        </w:rPr>
        <w:tab/>
      </w:r>
      <w:hyperlink r:id="rId248">
        <w:r>
          <w:rPr>
            <w:rFonts w:ascii="Arial" w:cs="Arial" w:eastAsia="Arial" w:hAnsi="Arial"/>
            <w:sz w:val="16"/>
            <w:szCs w:val="16"/>
            <w:u w:val="single" w:color="auto"/>
            <w:color w:val="0000FF"/>
          </w:rPr>
          <w:t>Employment Agreement by and between Zymeworks BC Inc., Zymeworks Biopharmaceuticals Inc. and Paul Moore,</w:t>
        </w:r>
      </w:hyperlink>
      <w:r>
        <w:rPr>
          <w:rFonts w:ascii="Arial" w:cs="Arial" w:eastAsia="Arial" w:hAnsi="Arial"/>
          <w:sz w:val="16"/>
          <w:szCs w:val="16"/>
          <w:u w:val="single" w:color="auto"/>
          <w:color w:val="0000FF"/>
        </w:rPr>
        <w:t xml:space="preserve"> </w:t>
      </w:r>
      <w:hyperlink r:id="rId248">
        <w:r>
          <w:rPr>
            <w:rFonts w:ascii="Arial" w:cs="Arial" w:eastAsia="Arial" w:hAnsi="Arial"/>
            <w:sz w:val="16"/>
            <w:szCs w:val="16"/>
            <w:u w:val="single" w:color="auto"/>
            <w:color w:val="0000FF"/>
          </w:rPr>
          <w:t>dated July 18, 2022 (incorporated by reference to Exhibit 10.4 to Zymeworks BC Inc.’s Quarterly Report on Form 10-Q</w:t>
        </w:r>
      </w:hyperlink>
    </w:p>
    <w:p>
      <w:pPr>
        <w:ind w:left="1140"/>
        <w:spacing w:after="0"/>
        <w:rPr>
          <w:rFonts w:ascii="Arial" w:cs="Arial" w:eastAsia="Arial" w:hAnsi="Arial"/>
          <w:sz w:val="18"/>
          <w:szCs w:val="18"/>
          <w:u w:val="single" w:color="auto"/>
          <w:color w:val="0000FF"/>
        </w:rPr>
      </w:pPr>
      <w:hyperlink r:id="rId248">
        <w:r>
          <w:rPr>
            <w:rFonts w:ascii="Arial" w:cs="Arial" w:eastAsia="Arial" w:hAnsi="Arial"/>
            <w:sz w:val="18"/>
            <w:szCs w:val="18"/>
            <w:u w:val="single" w:color="auto"/>
            <w:color w:val="0000FF"/>
          </w:rPr>
          <w:t>filed with the SEC on August 4, 2022).</w:t>
        </w:r>
      </w:hyperlink>
    </w:p>
    <w:p>
      <w:pPr>
        <w:spacing w:after="0" w:line="61" w:lineRule="exact"/>
        <w:rPr>
          <w:sz w:val="20"/>
          <w:szCs w:val="20"/>
          <w:color w:val="auto"/>
        </w:rPr>
      </w:pPr>
    </w:p>
    <w:p>
      <w:pPr>
        <w:ind w:left="1140" w:right="519" w:hanging="820"/>
        <w:spacing w:after="0" w:line="235"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10.67</w:t>
      </w:r>
      <w:r>
        <w:rPr>
          <w:sz w:val="20"/>
          <w:szCs w:val="20"/>
          <w:color w:val="auto"/>
        </w:rPr>
        <w:tab/>
      </w:r>
      <w:hyperlink r:id="rId249">
        <w:r>
          <w:rPr>
            <w:rFonts w:ascii="Arial" w:cs="Arial" w:eastAsia="Arial" w:hAnsi="Arial"/>
            <w:sz w:val="18"/>
            <w:szCs w:val="18"/>
            <w:u w:val="single" w:color="auto"/>
            <w:color w:val="0000FF"/>
          </w:rPr>
          <w:t>Notice of Articles of ExchangeCo (incorporated by reference to Exhibit 10.79 to Amendment No. 1 to the Company’s</w:t>
        </w:r>
      </w:hyperlink>
      <w:r>
        <w:rPr>
          <w:rFonts w:ascii="Arial" w:cs="Arial" w:eastAsia="Arial" w:hAnsi="Arial"/>
          <w:sz w:val="18"/>
          <w:szCs w:val="18"/>
          <w:u w:val="single" w:color="auto"/>
          <w:color w:val="0000FF"/>
        </w:rPr>
        <w:t xml:space="preserve"> </w:t>
      </w:r>
      <w:hyperlink r:id="rId249">
        <w:r>
          <w:rPr>
            <w:rFonts w:ascii="Arial" w:cs="Arial" w:eastAsia="Arial" w:hAnsi="Arial"/>
            <w:sz w:val="18"/>
            <w:szCs w:val="18"/>
            <w:u w:val="single" w:color="auto"/>
            <w:color w:val="0000FF"/>
          </w:rPr>
          <w:t>Registration Statement on Form S-4 filed with the SEC on August 19, 2022).</w:t>
        </w:r>
      </w:hyperlink>
    </w:p>
    <w:p>
      <w:pPr>
        <w:spacing w:after="0" w:line="67" w:lineRule="exact"/>
        <w:rPr>
          <w:sz w:val="20"/>
          <w:szCs w:val="20"/>
          <w:color w:val="auto"/>
        </w:rPr>
      </w:pPr>
    </w:p>
    <w:p>
      <w:pPr>
        <w:ind w:left="1140" w:right="1239" w:hanging="820"/>
        <w:spacing w:after="0" w:line="235"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10.68</w:t>
      </w:r>
      <w:r>
        <w:rPr>
          <w:sz w:val="20"/>
          <w:szCs w:val="20"/>
          <w:color w:val="auto"/>
        </w:rPr>
        <w:tab/>
      </w:r>
      <w:hyperlink r:id="rId250">
        <w:r>
          <w:rPr>
            <w:rFonts w:ascii="Arial" w:cs="Arial" w:eastAsia="Arial" w:hAnsi="Arial"/>
            <w:sz w:val="18"/>
            <w:szCs w:val="18"/>
            <w:u w:val="single" w:color="auto"/>
            <w:color w:val="0000FF"/>
          </w:rPr>
          <w:t>Articles of ExchangeCo (incorporated by reference to Exhibit 10.80 to Amendment No. 1 to the Company’s</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Registration Statement on Form S-4 filed with the SEC on August 19, 2022).</w:t>
        </w:r>
      </w:hyperlink>
    </w:p>
    <w:p>
      <w:pPr>
        <w:spacing w:after="0" w:line="67" w:lineRule="exact"/>
        <w:rPr>
          <w:sz w:val="20"/>
          <w:szCs w:val="20"/>
          <w:color w:val="auto"/>
        </w:rPr>
      </w:pPr>
    </w:p>
    <w:p>
      <w:pPr>
        <w:ind w:left="1140" w:right="639"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10.69#</w:t>
      </w:r>
      <w:r>
        <w:rPr>
          <w:sz w:val="20"/>
          <w:szCs w:val="20"/>
          <w:color w:val="auto"/>
        </w:rPr>
        <w:tab/>
      </w:r>
      <w:hyperlink r:id="rId251">
        <w:r>
          <w:rPr>
            <w:rFonts w:ascii="Arial" w:cs="Arial" w:eastAsia="Arial" w:hAnsi="Arial"/>
            <w:sz w:val="16"/>
            <w:szCs w:val="16"/>
            <w:u w:val="single" w:color="auto"/>
            <w:color w:val="0000FF"/>
          </w:rPr>
          <w:t>Inducement Stock Option and Equity Compensation Plan of the Company (and forms of agreements thereunder)</w:t>
        </w:r>
      </w:hyperlink>
      <w:r>
        <w:rPr>
          <w:rFonts w:ascii="Arial" w:cs="Arial" w:eastAsia="Arial" w:hAnsi="Arial"/>
          <w:sz w:val="16"/>
          <w:szCs w:val="16"/>
          <w:u w:val="single" w:color="auto"/>
          <w:color w:val="0000FF"/>
        </w:rPr>
        <w:t xml:space="preserve"> </w:t>
      </w:r>
      <w:hyperlink r:id="rId251">
        <w:r>
          <w:rPr>
            <w:rFonts w:ascii="Arial" w:cs="Arial" w:eastAsia="Arial" w:hAnsi="Arial"/>
            <w:sz w:val="16"/>
            <w:szCs w:val="16"/>
            <w:u w:val="single" w:color="auto"/>
            <w:color w:val="0000FF"/>
          </w:rPr>
          <w:t>(incorporated by reference to Exhibit 10.2 to the Company’s Current Report on Form 8-K12B filed with the SEC on</w:t>
        </w:r>
      </w:hyperlink>
    </w:p>
    <w:p>
      <w:pPr>
        <w:ind w:left="1140"/>
        <w:spacing w:after="0"/>
        <w:rPr>
          <w:rFonts w:ascii="Arial" w:cs="Arial" w:eastAsia="Arial" w:hAnsi="Arial"/>
          <w:sz w:val="18"/>
          <w:szCs w:val="18"/>
          <w:u w:val="single" w:color="auto"/>
          <w:color w:val="0000FF"/>
        </w:rPr>
      </w:pPr>
      <w:hyperlink r:id="rId251">
        <w:r>
          <w:rPr>
            <w:rFonts w:ascii="Arial" w:cs="Arial" w:eastAsia="Arial" w:hAnsi="Arial"/>
            <w:sz w:val="18"/>
            <w:szCs w:val="18"/>
            <w:u w:val="single" w:color="auto"/>
            <w:color w:val="0000FF"/>
          </w:rPr>
          <w:t>October 13, 2022).</w:t>
        </w:r>
      </w:hyperlink>
    </w:p>
    <w:p>
      <w:pPr>
        <w:sectPr>
          <w:pgSz w:w="11900" w:h="16838" w:orient="portrait"/>
          <w:cols w:equalWidth="0" w:num="1">
            <w:col w:w="10139"/>
          </w:cols>
          <w:pgMar w:left="320" w:top="22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
        <w:spacing w:after="0"/>
        <w:tabs>
          <w:tab w:leader="none" w:pos="50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62236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3">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43" w:lineRule="exact"/>
        <w:rPr>
          <w:sz w:val="20"/>
          <w:szCs w:val="20"/>
          <w:color w:val="auto"/>
        </w:rPr>
      </w:pPr>
    </w:p>
    <w:p>
      <w:pPr>
        <w:ind w:left="1140" w:right="1480" w:hanging="865"/>
        <w:spacing w:after="0" w:line="248"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10.70#</w:t>
      </w:r>
      <w:r>
        <w:rPr>
          <w:sz w:val="20"/>
          <w:szCs w:val="20"/>
          <w:color w:val="auto"/>
        </w:rPr>
        <w:tab/>
      </w:r>
      <w:hyperlink r:id="rId254">
        <w:r>
          <w:rPr>
            <w:rFonts w:ascii="Arial" w:cs="Arial" w:eastAsia="Arial" w:hAnsi="Arial"/>
            <w:sz w:val="16"/>
            <w:szCs w:val="16"/>
            <w:u w:val="single" w:color="auto"/>
            <w:color w:val="0000FF"/>
          </w:rPr>
          <w:t>Amended and Restated Stock Option and Equity Compensation Plan of the Company (and forms of agreements</w:t>
        </w:r>
      </w:hyperlink>
      <w:r>
        <w:rPr>
          <w:rFonts w:ascii="Arial" w:cs="Arial" w:eastAsia="Arial" w:hAnsi="Arial"/>
          <w:sz w:val="16"/>
          <w:szCs w:val="16"/>
          <w:u w:val="single" w:color="auto"/>
          <w:color w:val="0000FF"/>
        </w:rPr>
        <w:t xml:space="preserve"> </w:t>
      </w:r>
      <w:hyperlink r:id="rId254">
        <w:r>
          <w:rPr>
            <w:rFonts w:ascii="Arial" w:cs="Arial" w:eastAsia="Arial" w:hAnsi="Arial"/>
            <w:sz w:val="16"/>
            <w:szCs w:val="16"/>
            <w:u w:val="single" w:color="auto"/>
            <w:color w:val="0000FF"/>
          </w:rPr>
          <w:t>thereunder) (incorporated by reference to Exhibit 10.3 to the Company’s Current Report on Form 8-K12B filed with the</w:t>
        </w:r>
      </w:hyperlink>
    </w:p>
    <w:p>
      <w:pPr>
        <w:ind w:left="1140"/>
        <w:spacing w:after="0"/>
        <w:rPr>
          <w:rFonts w:ascii="Arial" w:cs="Arial" w:eastAsia="Arial" w:hAnsi="Arial"/>
          <w:sz w:val="18"/>
          <w:szCs w:val="18"/>
          <w:u w:val="single" w:color="auto"/>
          <w:color w:val="0000FF"/>
        </w:rPr>
      </w:pPr>
      <w:hyperlink r:id="rId254">
        <w:r>
          <w:rPr>
            <w:rFonts w:ascii="Arial" w:cs="Arial" w:eastAsia="Arial" w:hAnsi="Arial"/>
            <w:sz w:val="18"/>
            <w:szCs w:val="18"/>
            <w:u w:val="single" w:color="auto"/>
            <w:color w:val="0000FF"/>
          </w:rPr>
          <w:t>SEC on October 13, 2022).</w:t>
        </w:r>
      </w:hyperlink>
    </w:p>
    <w:p>
      <w:pPr>
        <w:spacing w:after="0" w:line="61" w:lineRule="exact"/>
        <w:rPr>
          <w:sz w:val="20"/>
          <w:szCs w:val="20"/>
          <w:color w:val="auto"/>
        </w:rPr>
      </w:pPr>
    </w:p>
    <w:p>
      <w:pPr>
        <w:jc w:val="right"/>
        <w:ind w:left="260" w:right="1740"/>
        <w:spacing w:after="0" w:line="24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10.71#    </w:t>
      </w:r>
      <w:hyperlink r:id="rId255">
        <w:r>
          <w:rPr>
            <w:rFonts w:ascii="Arial" w:cs="Arial" w:eastAsia="Arial" w:hAnsi="Arial"/>
            <w:sz w:val="16"/>
            <w:szCs w:val="16"/>
            <w:u w:val="single" w:color="auto"/>
            <w:color w:val="0000FF"/>
          </w:rPr>
          <w:t>Second Amended and Restated Employee Stock Option Plan of the Company (and forms of agreements thereunder)</w:t>
        </w:r>
      </w:hyperlink>
      <w:r>
        <w:rPr>
          <w:rFonts w:ascii="Arial" w:cs="Arial" w:eastAsia="Arial" w:hAnsi="Arial"/>
          <w:sz w:val="16"/>
          <w:szCs w:val="16"/>
          <w:color w:val="auto"/>
        </w:rPr>
        <w:t xml:space="preserve"> </w:t>
      </w:r>
      <w:hyperlink r:id="rId255">
        <w:r>
          <w:rPr>
            <w:rFonts w:ascii="Arial" w:cs="Arial" w:eastAsia="Arial" w:hAnsi="Arial"/>
            <w:sz w:val="16"/>
            <w:szCs w:val="16"/>
            <w:u w:val="single" w:color="auto"/>
            <w:color w:val="0000FF"/>
          </w:rPr>
          <w:t>(incorporated by reference to Exhibit 10.4 to the Company’s Current Report on Form 8-K12B filed with the SEC on</w:t>
        </w:r>
      </w:hyperlink>
    </w:p>
    <w:p>
      <w:pPr>
        <w:ind w:left="1140"/>
        <w:spacing w:after="0"/>
        <w:rPr>
          <w:rFonts w:ascii="Arial" w:cs="Arial" w:eastAsia="Arial" w:hAnsi="Arial"/>
          <w:sz w:val="18"/>
          <w:szCs w:val="18"/>
          <w:u w:val="single" w:color="auto"/>
          <w:color w:val="0000FF"/>
        </w:rPr>
      </w:pPr>
      <w:hyperlink r:id="rId255">
        <w:r>
          <w:rPr>
            <w:rFonts w:ascii="Arial" w:cs="Arial" w:eastAsia="Arial" w:hAnsi="Arial"/>
            <w:sz w:val="18"/>
            <w:szCs w:val="18"/>
            <w:u w:val="single" w:color="auto"/>
            <w:color w:val="0000FF"/>
          </w:rPr>
          <w:t>October 13, 2022).</w:t>
        </w:r>
      </w:hyperlink>
    </w:p>
    <w:p>
      <w:pPr>
        <w:spacing w:after="0" w:line="61" w:lineRule="exact"/>
        <w:rPr>
          <w:sz w:val="20"/>
          <w:szCs w:val="20"/>
          <w:color w:val="auto"/>
        </w:rPr>
      </w:pPr>
    </w:p>
    <w:p>
      <w:pPr>
        <w:ind w:left="1140" w:right="1680" w:hanging="865"/>
        <w:spacing w:after="0" w:line="235"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10.72#</w:t>
      </w:r>
      <w:r>
        <w:rPr>
          <w:sz w:val="20"/>
          <w:szCs w:val="20"/>
          <w:color w:val="auto"/>
        </w:rPr>
        <w:tab/>
      </w:r>
      <w:hyperlink r:id="rId256">
        <w:r>
          <w:rPr>
            <w:rFonts w:ascii="Arial" w:cs="Arial" w:eastAsia="Arial" w:hAnsi="Arial"/>
            <w:sz w:val="18"/>
            <w:szCs w:val="18"/>
            <w:u w:val="single" w:color="auto"/>
            <w:color w:val="0000FF"/>
          </w:rPr>
          <w:t>Amended and Restated Employee Stock Purchase Plan of the Company (incorporated by reference to Exhibit 10.5 to</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the Company’s Current Report on Form 8-K12B filed with the SEC on October 13, 2022).</w:t>
        </w:r>
      </w:hyperlink>
    </w:p>
    <w:p>
      <w:pPr>
        <w:spacing w:after="0" w:line="67" w:lineRule="exact"/>
        <w:rPr>
          <w:sz w:val="20"/>
          <w:szCs w:val="20"/>
          <w:color w:val="auto"/>
        </w:rPr>
      </w:pPr>
    </w:p>
    <w:p>
      <w:pPr>
        <w:jc w:val="right"/>
        <w:ind w:left="320" w:right="1660"/>
        <w:spacing w:after="0" w:line="289"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10.73     </w:t>
      </w:r>
      <w:hyperlink r:id="rId257">
        <w:r>
          <w:rPr>
            <w:rFonts w:ascii="Arial" w:cs="Arial" w:eastAsia="Arial" w:hAnsi="Arial"/>
            <w:sz w:val="16"/>
            <w:szCs w:val="16"/>
            <w:u w:val="single" w:color="auto"/>
            <w:color w:val="0000FF"/>
          </w:rPr>
          <w:t>Sales Agreement, dated November 9, 2022, by and between the Company and Cantor Fitzgerald &amp; Co. (incorporated</w:t>
        </w:r>
      </w:hyperlink>
      <w:r>
        <w:rPr>
          <w:rFonts w:ascii="Arial" w:cs="Arial" w:eastAsia="Arial" w:hAnsi="Arial"/>
          <w:sz w:val="16"/>
          <w:szCs w:val="16"/>
          <w:color w:val="auto"/>
        </w:rPr>
        <w:t xml:space="preserve"> </w:t>
      </w:r>
      <w:hyperlink r:id="rId257">
        <w:r>
          <w:rPr>
            <w:rFonts w:ascii="Arial" w:cs="Arial" w:eastAsia="Arial" w:hAnsi="Arial"/>
            <w:sz w:val="16"/>
            <w:szCs w:val="16"/>
            <w:u w:val="single" w:color="auto"/>
            <w:color w:val="0000FF"/>
          </w:rPr>
          <w:t>by reference to Exhibit 1.1 to the Company’s Current Report on Form 8-K filed with the SEC on November 9, 2022).</w:t>
        </w:r>
      </w:hyperlink>
    </w:p>
    <w:p>
      <w:pPr>
        <w:spacing w:after="0" w:line="29" w:lineRule="exact"/>
        <w:rPr>
          <w:sz w:val="20"/>
          <w:szCs w:val="20"/>
          <w:color w:val="auto"/>
        </w:rPr>
      </w:pPr>
    </w:p>
    <w:p>
      <w:pPr>
        <w:ind w:left="1140" w:right="2200" w:hanging="865"/>
        <w:spacing w:after="0" w:line="235" w:lineRule="auto"/>
        <w:tabs>
          <w:tab w:leader="none" w:pos="1120" w:val="left"/>
        </w:tabs>
        <w:rPr>
          <w:sz w:val="20"/>
          <w:szCs w:val="20"/>
          <w:color w:val="auto"/>
        </w:rPr>
      </w:pPr>
      <w:r>
        <w:rPr>
          <w:rFonts w:ascii="Arial" w:cs="Arial" w:eastAsia="Arial" w:hAnsi="Arial"/>
          <w:sz w:val="18"/>
          <w:szCs w:val="18"/>
          <w:color w:val="auto"/>
        </w:rPr>
        <w:t>10.74*</w:t>
      </w:r>
      <w:r>
        <w:rPr>
          <w:sz w:val="20"/>
          <w:szCs w:val="20"/>
          <w:color w:val="auto"/>
        </w:rPr>
        <w:tab/>
      </w:r>
      <w:r>
        <w:rPr>
          <w:rFonts w:ascii="Arial" w:cs="Arial" w:eastAsia="Arial" w:hAnsi="Arial"/>
          <w:sz w:val="18"/>
          <w:szCs w:val="18"/>
          <w:u w:val="single" w:color="auto"/>
          <w:color w:val="0000FF"/>
        </w:rPr>
        <w:t>License and Collaboration Agreement, dated October 18, 2022, by and between Zymeworks BC Inc. and Jazz Pharmaceuticals Ireland Limited.</w:t>
      </w:r>
    </w:p>
    <w:p>
      <w:pPr>
        <w:spacing w:after="0" w:line="67" w:lineRule="exact"/>
        <w:rPr>
          <w:sz w:val="20"/>
          <w:szCs w:val="20"/>
          <w:color w:val="auto"/>
        </w:rPr>
      </w:pPr>
    </w:p>
    <w:p>
      <w:pPr>
        <w:ind w:left="360"/>
        <w:spacing w:after="0"/>
        <w:tabs>
          <w:tab w:leader="none" w:pos="1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0000FF"/>
        </w:rPr>
        <w:t>Subsidiaries of the Company.</w:t>
      </w:r>
    </w:p>
    <w:p>
      <w:pPr>
        <w:spacing w:after="0" w:line="77" w:lineRule="exact"/>
        <w:rPr>
          <w:sz w:val="20"/>
          <w:szCs w:val="20"/>
          <w:color w:val="auto"/>
        </w:rPr>
      </w:pPr>
    </w:p>
    <w:p>
      <w:pPr>
        <w:ind w:left="360"/>
        <w:spacing w:after="0"/>
        <w:tabs>
          <w:tab w:leader="none" w:pos="11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FF"/>
        </w:rPr>
        <w:t>Consent of KPMG LLP, an Independent Registered Public Accounting Firm.</w:t>
      </w:r>
    </w:p>
    <w:p>
      <w:pPr>
        <w:spacing w:after="0" w:line="61" w:lineRule="exact"/>
        <w:rPr>
          <w:sz w:val="20"/>
          <w:szCs w:val="20"/>
          <w:color w:val="auto"/>
        </w:rPr>
      </w:pPr>
    </w:p>
    <w:p>
      <w:pPr>
        <w:ind w:left="360"/>
        <w:spacing w:after="0"/>
        <w:tabs>
          <w:tab w:leader="none" w:pos="11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FF"/>
        </w:rPr>
        <w:t>Certification of Chief Executive Officer pursuant to Rule 13a-14(a) or 15d-14(a) of the Securities Exchange Act of</w:t>
      </w:r>
    </w:p>
    <w:p>
      <w:pPr>
        <w:ind w:left="1140"/>
        <w:spacing w:after="0"/>
        <w:rPr>
          <w:sz w:val="20"/>
          <w:szCs w:val="20"/>
          <w:color w:val="auto"/>
        </w:rPr>
      </w:pPr>
      <w:r>
        <w:rPr>
          <w:rFonts w:ascii="Arial" w:cs="Arial" w:eastAsia="Arial" w:hAnsi="Arial"/>
          <w:sz w:val="18"/>
          <w:szCs w:val="18"/>
          <w:u w:val="single" w:color="auto"/>
          <w:color w:val="0000FF"/>
        </w:rPr>
        <w:t>1934.</w:t>
      </w:r>
    </w:p>
    <w:p>
      <w:pPr>
        <w:spacing w:after="0" w:line="59" w:lineRule="exact"/>
        <w:rPr>
          <w:sz w:val="20"/>
          <w:szCs w:val="20"/>
          <w:color w:val="auto"/>
        </w:rPr>
      </w:pPr>
    </w:p>
    <w:p>
      <w:pPr>
        <w:ind w:left="360"/>
        <w:spacing w:after="0"/>
        <w:tabs>
          <w:tab w:leader="none" w:pos="11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FF"/>
        </w:rPr>
        <w:t>Certification of Chief Financial Officer pursuant to Rule 13a-14(a) or 15d-14(a) of the Securities Exchange Act of</w:t>
      </w:r>
    </w:p>
    <w:p>
      <w:pPr>
        <w:ind w:left="1140"/>
        <w:spacing w:after="0"/>
        <w:rPr>
          <w:sz w:val="20"/>
          <w:szCs w:val="20"/>
          <w:color w:val="auto"/>
        </w:rPr>
      </w:pPr>
      <w:r>
        <w:rPr>
          <w:rFonts w:ascii="Arial" w:cs="Arial" w:eastAsia="Arial" w:hAnsi="Arial"/>
          <w:sz w:val="18"/>
          <w:szCs w:val="18"/>
          <w:u w:val="single" w:color="auto"/>
          <w:color w:val="0000FF"/>
        </w:rPr>
        <w:t>1934.</w:t>
      </w:r>
    </w:p>
    <w:p>
      <w:pPr>
        <w:spacing w:after="0" w:line="74" w:lineRule="exact"/>
        <w:rPr>
          <w:sz w:val="20"/>
          <w:szCs w:val="20"/>
          <w:color w:val="auto"/>
        </w:rPr>
      </w:pPr>
    </w:p>
    <w:p>
      <w:pPr>
        <w:ind w:left="1140" w:right="1580" w:hanging="775"/>
        <w:spacing w:after="0" w:line="235" w:lineRule="auto"/>
        <w:tabs>
          <w:tab w:leader="none" w:pos="11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Certification of the Chief Executive Officer pursuant to 18 U.S.C. Section 1350, as adopted pursuant to Section 906 of the Sarbanes-Oxley Act of 2002.</w:t>
      </w:r>
    </w:p>
    <w:p>
      <w:pPr>
        <w:spacing w:after="0" w:line="67" w:lineRule="exact"/>
        <w:rPr>
          <w:sz w:val="20"/>
          <w:szCs w:val="20"/>
          <w:color w:val="auto"/>
        </w:rPr>
      </w:pPr>
    </w:p>
    <w:p>
      <w:pPr>
        <w:ind w:left="1140" w:right="1620" w:hanging="775"/>
        <w:spacing w:after="0" w:line="235" w:lineRule="auto"/>
        <w:tabs>
          <w:tab w:leader="none" w:pos="11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FF"/>
        </w:rPr>
        <w:t>Certification of the Chief Financial Officer pursuant to 18 U.S.C. Section 1350, as adopted pursuant to Section 906 of the Sarbanes-Oxley Act of 2002.</w:t>
      </w:r>
    </w:p>
    <w:p>
      <w:pPr>
        <w:spacing w:after="0" w:line="67" w:lineRule="exact"/>
        <w:rPr>
          <w:sz w:val="20"/>
          <w:szCs w:val="20"/>
          <w:color w:val="auto"/>
        </w:rPr>
      </w:pPr>
    </w:p>
    <w:p>
      <w:pPr>
        <w:ind w:left="1140" w:right="1480" w:hanging="761"/>
        <w:spacing w:after="0" w:line="248" w:lineRule="auto"/>
        <w:tabs>
          <w:tab w:leader="none" w:pos="11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following materials from the Company’s Annual Report on Form 10-K for the year ended December 31, 2022, formatted in Inline XBRL (Inline eXtensible Business Reporting Language): (i) Consolidated Balance Sheets as at December 31, 2022 and 2021, (ii) Consolidated Statements of Income (Loss) and Comprehensive Income (Loss) for the years ended December 31, 2022, 2021 and 2020, (iii) Consolidated Statements of Changes in Stockholders’ Equity for the years ended December 31, 2022, 2021 and 2020, (iv) Consolidated Statements of Cash Flows for the years ended December 31, 2022, 2021 and 2020 and (vi) Notes to Consolidated Financial Statements.</w:t>
      </w:r>
    </w:p>
    <w:p>
      <w:pPr>
        <w:spacing w:after="0" w:line="47" w:lineRule="exact"/>
        <w:rPr>
          <w:sz w:val="20"/>
          <w:szCs w:val="20"/>
          <w:color w:val="auto"/>
        </w:rPr>
      </w:pPr>
    </w:p>
    <w:p>
      <w:pPr>
        <w:ind w:left="380"/>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ind w:left="280" w:right="220" w:hanging="323"/>
        <w:spacing w:after="0" w:line="250" w:lineRule="auto"/>
        <w:tabs>
          <w:tab w:leader="none" w:pos="260" w:val="left"/>
        </w:tabs>
        <w:rPr>
          <w:sz w:val="20"/>
          <w:szCs w:val="20"/>
          <w:color w:val="auto"/>
        </w:rPr>
      </w:pPr>
      <w:r>
        <w:rPr>
          <w:rFonts w:ascii="Arial" w:cs="Arial" w:eastAsia="Arial" w:hAnsi="Arial"/>
          <w:sz w:val="18"/>
          <w:szCs w:val="18"/>
          <w:color w:val="auto"/>
        </w:rPr>
        <w:t>†</w:t>
        <w:tab/>
        <w:t>The Company has omitted portions of the referenced exhibit pursuant to a request for confidential treatment under Rule 24b-2 promulgated under the Securities Exchange Act.</w:t>
      </w:r>
    </w:p>
    <w:p>
      <w:pPr>
        <w:spacing w:after="0" w:line="1" w:lineRule="exact"/>
        <w:rPr>
          <w:sz w:val="20"/>
          <w:szCs w:val="20"/>
          <w:color w:val="auto"/>
        </w:rPr>
      </w:pPr>
    </w:p>
    <w:p>
      <w:pPr>
        <w:ind w:left="340" w:right="540" w:hanging="332"/>
        <w:spacing w:after="0" w:line="281" w:lineRule="auto"/>
        <w:tabs>
          <w:tab w:leader="none" w:pos="286" w:val="left"/>
        </w:tabs>
        <w:numPr>
          <w:ilvl w:val="0"/>
          <w:numId w:val="67"/>
        </w:numPr>
        <w:rPr>
          <w:rFonts w:ascii="Arial" w:cs="Arial" w:eastAsia="Arial" w:hAnsi="Arial"/>
          <w:sz w:val="16"/>
          <w:szCs w:val="16"/>
          <w:color w:val="auto"/>
        </w:rPr>
      </w:pPr>
      <w:r>
        <w:rPr>
          <w:rFonts w:ascii="Arial" w:cs="Arial" w:eastAsia="Arial" w:hAnsi="Arial"/>
          <w:sz w:val="16"/>
          <w:szCs w:val="16"/>
          <w:color w:val="auto"/>
        </w:rPr>
        <w:t>Certain portions of this exhibit (indicated by “[…***…]”) have been omitted in accordance with Item 601(b)(10) of Regulation S-K because the omitted information is not material and the Company customarily and actually treats such omitted information as private or confidential.</w:t>
      </w:r>
    </w:p>
    <w:p>
      <w:pPr>
        <w:spacing w:after="0" w:line="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w:t>
      </w:r>
    </w:p>
    <w:p>
      <w:pPr>
        <w:spacing w:after="0" w:line="9" w:lineRule="exact"/>
        <w:rPr>
          <w:sz w:val="20"/>
          <w:szCs w:val="20"/>
          <w:color w:val="auto"/>
        </w:rPr>
      </w:pPr>
    </w:p>
    <w:p>
      <w:pPr>
        <w:ind w:left="340" w:hanging="332"/>
        <w:spacing w:after="0" w:line="260" w:lineRule="auto"/>
        <w:tabs>
          <w:tab w:leader="none" w:pos="297" w:val="left"/>
        </w:tabs>
        <w:numPr>
          <w:ilvl w:val="0"/>
          <w:numId w:val="68"/>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pursuant to Item 601(a)(5) of Regulation S-K, but a copy will be furnished supplementally to the SEC upon request.</w:t>
      </w:r>
    </w:p>
    <w:p>
      <w:pPr>
        <w:spacing w:after="0" w:line="28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7, 2023</w:t>
      </w:r>
    </w:p>
    <w:p>
      <w:pPr>
        <w:spacing w:after="0" w:line="46"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ZYMEWORKS INC.</w:t>
      </w:r>
    </w:p>
    <w:p>
      <w:pPr>
        <w:spacing w:after="0" w:line="81" w:lineRule="exact"/>
        <w:rPr>
          <w:sz w:val="20"/>
          <w:szCs w:val="20"/>
          <w:color w:val="auto"/>
        </w:rPr>
      </w:pPr>
    </w:p>
    <w:p>
      <w:pPr>
        <w:ind w:left="6580"/>
        <w:spacing w:after="0"/>
        <w:tabs>
          <w:tab w:leader="none" w:pos="7020" w:val="left"/>
        </w:tabs>
        <w:rPr>
          <w:sz w:val="20"/>
          <w:szCs w:val="20"/>
          <w:color w:val="auto"/>
        </w:rPr>
      </w:pPr>
      <w:r>
        <w:rPr>
          <w:rFonts w:ascii="Arial" w:cs="Arial" w:eastAsia="Arial" w:hAnsi="Arial"/>
          <w:sz w:val="18"/>
          <w:szCs w:val="18"/>
          <w:color w:val="auto"/>
        </w:rPr>
        <w:t>By:</w:t>
        <w:tab/>
        <w:t>/s/ Kenneth Galbraith</w:t>
      </w:r>
    </w:p>
    <w:p>
      <w:pPr>
        <w:spacing w:after="0" w:line="23" w:lineRule="exact"/>
        <w:rPr>
          <w:sz w:val="20"/>
          <w:szCs w:val="20"/>
          <w:color w:val="auto"/>
        </w:rPr>
      </w:pPr>
    </w:p>
    <w:tbl>
      <w:tblPr>
        <w:tblLayout w:type="fixed"/>
        <w:tblInd w:w="7020" w:type="dxa"/>
        <w:tblCellMar>
          <w:top w:w="0" w:type="dxa"/>
          <w:left w:w="0" w:type="dxa"/>
          <w:bottom w:w="0" w:type="dxa"/>
          <w:right w:w="0" w:type="dxa"/>
        </w:tblCellMar>
      </w:tblPr>
      <w:tr>
        <w:trPr>
          <w:trHeight w:val="222"/>
        </w:trPr>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Kenneth Galbraith</w:t>
            </w:r>
          </w:p>
        </w:tc>
      </w:tr>
      <w:tr>
        <w:trPr>
          <w:trHeight w:val="176"/>
        </w:trPr>
        <w:tc>
          <w:tcPr>
            <w:tcW w:w="620" w:type="dxa"/>
            <w:vAlign w:val="bottom"/>
          </w:tcPr>
          <w:p>
            <w:pPr>
              <w:ind w:left="20"/>
              <w:spacing w:after="0" w:line="176" w:lineRule="exact"/>
              <w:rPr>
                <w:sz w:val="20"/>
                <w:szCs w:val="20"/>
                <w:color w:val="auto"/>
              </w:rPr>
            </w:pPr>
            <w:r>
              <w:rPr>
                <w:rFonts w:ascii="Arial" w:cs="Arial" w:eastAsia="Arial" w:hAnsi="Arial"/>
                <w:sz w:val="18"/>
                <w:szCs w:val="18"/>
                <w:color w:val="auto"/>
              </w:rPr>
              <w:t>Title:</w:t>
            </w:r>
          </w:p>
        </w:tc>
        <w:tc>
          <w:tcPr>
            <w:tcW w:w="3600" w:type="dxa"/>
            <w:vAlign w:val="bottom"/>
          </w:tcPr>
          <w:p>
            <w:pPr>
              <w:ind w:left="120"/>
              <w:spacing w:after="0" w:line="176" w:lineRule="exact"/>
              <w:rPr>
                <w:sz w:val="20"/>
                <w:szCs w:val="20"/>
                <w:color w:val="auto"/>
              </w:rPr>
            </w:pPr>
            <w:r>
              <w:rPr>
                <w:rFonts w:ascii="Arial" w:cs="Arial" w:eastAsia="Arial" w:hAnsi="Arial"/>
                <w:sz w:val="18"/>
                <w:szCs w:val="18"/>
                <w:color w:val="auto"/>
              </w:rPr>
              <w:t>Chair of the Board of Directors and Chief</w:t>
            </w:r>
          </w:p>
        </w:tc>
      </w:tr>
      <w:tr>
        <w:trPr>
          <w:trHeight w:val="230"/>
        </w:trPr>
        <w:tc>
          <w:tcPr>
            <w:tcW w:w="6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w w:val="95"/>
              </w:rPr>
              <w:t>Executive Officer (Principal Executive Officer)</w:t>
            </w:r>
          </w:p>
        </w:tc>
      </w:tr>
    </w:tbl>
    <w:p>
      <w:pPr>
        <w:spacing w:after="0" w:line="20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Kenneth Galbraith, Christopher Astle and Neil Klompas,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1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00" w:type="dxa"/>
            <w:vAlign w:val="bottom"/>
          </w:tcPr>
          <w:p>
            <w:pPr>
              <w:spacing w:after="0"/>
              <w:rPr>
                <w:sz w:val="16"/>
                <w:szCs w:val="16"/>
                <w:color w:val="auto"/>
              </w:rPr>
            </w:pPr>
          </w:p>
        </w:tc>
        <w:tc>
          <w:tcPr>
            <w:tcW w:w="5380" w:type="dxa"/>
            <w:vAlign w:val="bottom"/>
            <w:gridSpan w:val="2"/>
          </w:tcPr>
          <w:p>
            <w:pPr>
              <w:ind w:left="2500"/>
              <w:spacing w:after="0"/>
              <w:rPr>
                <w:sz w:val="20"/>
                <w:szCs w:val="20"/>
                <w:color w:val="auto"/>
              </w:rPr>
            </w:pPr>
            <w:r>
              <w:rPr>
                <w:rFonts w:ascii="Arial" w:cs="Arial" w:eastAsia="Arial" w:hAnsi="Arial"/>
                <w:sz w:val="14"/>
                <w:szCs w:val="14"/>
                <w:b w:val="1"/>
                <w:bCs w:val="1"/>
                <w:color w:val="auto"/>
              </w:rPr>
              <w:t>Title</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9"/>
        </w:trPr>
        <w:tc>
          <w:tcPr>
            <w:tcW w:w="3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/s/ Kenneth Galbraith</w:t>
            </w:r>
          </w:p>
        </w:tc>
        <w:tc>
          <w:tcPr>
            <w:tcW w:w="10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w w:val="97"/>
              </w:rPr>
              <w:t>Chair of the Board of Directors and Chief Executive Officer (Principal</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2023</w:t>
            </w:r>
          </w:p>
        </w:tc>
        <w:tc>
          <w:tcPr>
            <w:tcW w:w="0" w:type="dxa"/>
            <w:vAlign w:val="bottom"/>
          </w:tcPr>
          <w:p>
            <w:pPr>
              <w:spacing w:after="0"/>
              <w:rPr>
                <w:sz w:val="1"/>
                <w:szCs w:val="1"/>
                <w:color w:val="auto"/>
              </w:rPr>
            </w:pPr>
          </w:p>
        </w:tc>
      </w:tr>
      <w:tr>
        <w:trPr>
          <w:trHeight w:val="41"/>
        </w:trPr>
        <w:tc>
          <w:tcPr>
            <w:tcW w:w="37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380" w:type="dxa"/>
            <w:vAlign w:val="bottom"/>
            <w:gridSpan w:val="2"/>
            <w:vMerge w:val="restart"/>
          </w:tcPr>
          <w:p>
            <w:pPr>
              <w:ind w:left="20"/>
              <w:spacing w:after="0"/>
              <w:rPr>
                <w:sz w:val="20"/>
                <w:szCs w:val="20"/>
                <w:color w:val="auto"/>
              </w:rPr>
            </w:pPr>
            <w:r>
              <w:rPr>
                <w:rFonts w:ascii="Arial" w:cs="Arial" w:eastAsia="Arial" w:hAnsi="Arial"/>
                <w:sz w:val="18"/>
                <w:szCs w:val="18"/>
                <w:color w:val="auto"/>
              </w:rPr>
              <w:t>Executive Officer)</w:t>
            </w: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2"/>
              </w:rPr>
              <w:t>Kenneth Galbraith</w:t>
            </w:r>
          </w:p>
        </w:tc>
        <w:tc>
          <w:tcPr>
            <w:tcW w:w="100" w:type="dxa"/>
            <w:vAlign w:val="bottom"/>
            <w:vMerge w:val="continue"/>
          </w:tcPr>
          <w:p>
            <w:pPr>
              <w:spacing w:after="0"/>
              <w:rPr>
                <w:sz w:val="14"/>
                <w:szCs w:val="14"/>
                <w:color w:val="auto"/>
              </w:rPr>
            </w:pPr>
          </w:p>
        </w:tc>
        <w:tc>
          <w:tcPr>
            <w:tcW w:w="538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3780" w:type="dxa"/>
            <w:vAlign w:val="bottom"/>
          </w:tcPr>
          <w:p>
            <w:pPr>
              <w:jc w:val="center"/>
              <w:spacing w:after="0"/>
              <w:rPr>
                <w:sz w:val="20"/>
                <w:szCs w:val="20"/>
                <w:color w:val="auto"/>
              </w:rPr>
            </w:pPr>
            <w:r>
              <w:rPr>
                <w:rFonts w:ascii="Arial" w:cs="Arial" w:eastAsia="Arial" w:hAnsi="Arial"/>
                <w:sz w:val="18"/>
                <w:szCs w:val="18"/>
                <w:color w:val="auto"/>
                <w:w w:val="92"/>
              </w:rPr>
              <w:t>/s/ Christopher Astle</w:t>
            </w:r>
          </w:p>
        </w:tc>
        <w:tc>
          <w:tcPr>
            <w:tcW w:w="10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w w:val="97"/>
              </w:rPr>
              <w:t>Senior Vice President and Chief Financial Officer (Principal Financial</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2023</w:t>
            </w:r>
          </w:p>
        </w:tc>
        <w:tc>
          <w:tcPr>
            <w:tcW w:w="0" w:type="dxa"/>
            <w:vAlign w:val="bottom"/>
          </w:tcPr>
          <w:p>
            <w:pPr>
              <w:spacing w:after="0"/>
              <w:rPr>
                <w:sz w:val="1"/>
                <w:szCs w:val="1"/>
                <w:color w:val="auto"/>
              </w:rPr>
            </w:pPr>
          </w:p>
        </w:tc>
      </w:tr>
      <w:tr>
        <w:trPr>
          <w:trHeight w:val="41"/>
        </w:trPr>
        <w:tc>
          <w:tcPr>
            <w:tcW w:w="37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380" w:type="dxa"/>
            <w:vAlign w:val="bottom"/>
            <w:gridSpan w:val="2"/>
            <w:vMerge w:val="restart"/>
          </w:tcPr>
          <w:p>
            <w:pPr>
              <w:ind w:left="20"/>
              <w:spacing w:after="0"/>
              <w:rPr>
                <w:sz w:val="20"/>
                <w:szCs w:val="20"/>
                <w:color w:val="auto"/>
              </w:rPr>
            </w:pPr>
            <w:r>
              <w:rPr>
                <w:rFonts w:ascii="Arial" w:cs="Arial" w:eastAsia="Arial" w:hAnsi="Arial"/>
                <w:sz w:val="18"/>
                <w:szCs w:val="18"/>
                <w:color w:val="auto"/>
              </w:rPr>
              <w:t>Officer and Principal Accounting Officer)</w:t>
            </w: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1"/>
              </w:rPr>
              <w:t>Christopher Astle</w:t>
            </w:r>
          </w:p>
        </w:tc>
        <w:tc>
          <w:tcPr>
            <w:tcW w:w="100" w:type="dxa"/>
            <w:vAlign w:val="bottom"/>
            <w:vMerge w:val="continue"/>
          </w:tcPr>
          <w:p>
            <w:pPr>
              <w:spacing w:after="0"/>
              <w:rPr>
                <w:sz w:val="14"/>
                <w:szCs w:val="14"/>
                <w:color w:val="auto"/>
              </w:rPr>
            </w:pPr>
          </w:p>
        </w:tc>
        <w:tc>
          <w:tcPr>
            <w:tcW w:w="538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3780" w:type="dxa"/>
            <w:vAlign w:val="bottom"/>
          </w:tcPr>
          <w:p>
            <w:pPr>
              <w:jc w:val="center"/>
              <w:spacing w:after="0"/>
              <w:rPr>
                <w:sz w:val="20"/>
                <w:szCs w:val="20"/>
                <w:color w:val="auto"/>
              </w:rPr>
            </w:pPr>
            <w:r>
              <w:rPr>
                <w:rFonts w:ascii="Arial" w:cs="Arial" w:eastAsia="Arial" w:hAnsi="Arial"/>
                <w:sz w:val="18"/>
                <w:szCs w:val="18"/>
                <w:color w:val="auto"/>
                <w:w w:val="93"/>
              </w:rPr>
              <w:t>/s/ Troy M. Cox</w:t>
            </w:r>
          </w:p>
        </w:tc>
        <w:tc>
          <w:tcPr>
            <w:tcW w:w="10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5"/>
              </w:rPr>
              <w:t>Troy M. Cox</w:t>
            </w: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780" w:type="dxa"/>
            <w:vAlign w:val="bottom"/>
          </w:tcPr>
          <w:p>
            <w:pPr>
              <w:jc w:val="center"/>
              <w:spacing w:after="0"/>
              <w:rPr>
                <w:sz w:val="20"/>
                <w:szCs w:val="20"/>
                <w:color w:val="auto"/>
              </w:rPr>
            </w:pPr>
            <w:r>
              <w:rPr>
                <w:rFonts w:ascii="Arial" w:cs="Arial" w:eastAsia="Arial" w:hAnsi="Arial"/>
                <w:sz w:val="18"/>
                <w:szCs w:val="18"/>
                <w:color w:val="auto"/>
                <w:w w:val="93"/>
              </w:rPr>
              <w:t>/s/ Kenneth Hillan</w:t>
            </w:r>
          </w:p>
        </w:tc>
        <w:tc>
          <w:tcPr>
            <w:tcW w:w="10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Kenneth Hillan</w:t>
            </w: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780" w:type="dxa"/>
            <w:vAlign w:val="bottom"/>
          </w:tcPr>
          <w:p>
            <w:pPr>
              <w:jc w:val="center"/>
              <w:spacing w:after="0"/>
              <w:rPr>
                <w:sz w:val="20"/>
                <w:szCs w:val="20"/>
                <w:color w:val="auto"/>
              </w:rPr>
            </w:pPr>
            <w:r>
              <w:rPr>
                <w:rFonts w:ascii="Arial" w:cs="Arial" w:eastAsia="Arial" w:hAnsi="Arial"/>
                <w:sz w:val="18"/>
                <w:szCs w:val="18"/>
                <w:color w:val="auto"/>
                <w:w w:val="90"/>
              </w:rPr>
              <w:t>/s/ Susan Mahony</w:t>
            </w:r>
          </w:p>
        </w:tc>
        <w:tc>
          <w:tcPr>
            <w:tcW w:w="10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8"/>
              </w:rPr>
              <w:t>Susan Mahony</w:t>
            </w: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780" w:type="dxa"/>
            <w:vAlign w:val="bottom"/>
          </w:tcPr>
          <w:p>
            <w:pPr>
              <w:jc w:val="center"/>
              <w:spacing w:after="0"/>
              <w:rPr>
                <w:sz w:val="20"/>
                <w:szCs w:val="20"/>
                <w:color w:val="auto"/>
              </w:rPr>
            </w:pPr>
            <w:r>
              <w:rPr>
                <w:rFonts w:ascii="Arial" w:cs="Arial" w:eastAsia="Arial" w:hAnsi="Arial"/>
                <w:sz w:val="18"/>
                <w:szCs w:val="18"/>
                <w:color w:val="auto"/>
                <w:w w:val="95"/>
              </w:rPr>
              <w:t>/s/ Kelvin Neu</w:t>
            </w:r>
          </w:p>
        </w:tc>
        <w:tc>
          <w:tcPr>
            <w:tcW w:w="10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Kelvin Neu</w:t>
            </w: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780" w:type="dxa"/>
            <w:vAlign w:val="bottom"/>
          </w:tcPr>
          <w:p>
            <w:pPr>
              <w:jc w:val="center"/>
              <w:spacing w:after="0"/>
              <w:rPr>
                <w:sz w:val="20"/>
                <w:szCs w:val="20"/>
                <w:color w:val="auto"/>
              </w:rPr>
            </w:pPr>
            <w:r>
              <w:rPr>
                <w:rFonts w:ascii="Arial" w:cs="Arial" w:eastAsia="Arial" w:hAnsi="Arial"/>
                <w:sz w:val="18"/>
                <w:szCs w:val="18"/>
                <w:color w:val="auto"/>
                <w:w w:val="93"/>
              </w:rPr>
              <w:t>/s/ Hollings C. Renton</w:t>
            </w:r>
          </w:p>
        </w:tc>
        <w:tc>
          <w:tcPr>
            <w:tcW w:w="10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Hollings C. Renton</w:t>
            </w: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 Natalie Sacks</w:t>
            </w:r>
          </w:p>
        </w:tc>
        <w:tc>
          <w:tcPr>
            <w:tcW w:w="10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9"/>
              </w:rPr>
              <w:t>Natalie Sacks</w:t>
            </w: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780" w:type="dxa"/>
            <w:vAlign w:val="bottom"/>
          </w:tcPr>
          <w:p>
            <w:pPr>
              <w:jc w:val="center"/>
              <w:spacing w:after="0"/>
              <w:rPr>
                <w:sz w:val="20"/>
                <w:szCs w:val="20"/>
                <w:color w:val="auto"/>
              </w:rPr>
            </w:pPr>
            <w:r>
              <w:rPr>
                <w:rFonts w:ascii="Arial" w:cs="Arial" w:eastAsia="Arial" w:hAnsi="Arial"/>
                <w:sz w:val="18"/>
                <w:szCs w:val="18"/>
                <w:color w:val="auto"/>
                <w:w w:val="93"/>
              </w:rPr>
              <w:t>/s/ Lota Zoth</w:t>
            </w:r>
          </w:p>
        </w:tc>
        <w:tc>
          <w:tcPr>
            <w:tcW w:w="10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80" w:type="dxa"/>
            <w:vAlign w:val="bottom"/>
          </w:tcPr>
          <w:p>
            <w:pPr>
              <w:jc w:val="center"/>
              <w:spacing w:after="0"/>
              <w:rPr>
                <w:sz w:val="20"/>
                <w:szCs w:val="20"/>
                <w:color w:val="auto"/>
              </w:rPr>
            </w:pPr>
            <w:r>
              <w:rPr>
                <w:rFonts w:ascii="Arial" w:cs="Arial" w:eastAsia="Arial" w:hAnsi="Arial"/>
                <w:sz w:val="18"/>
                <w:szCs w:val="18"/>
                <w:color w:val="auto"/>
                <w:w w:val="91"/>
              </w:rPr>
              <w:t>Lota Zoth</w:t>
            </w: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229"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The following is a summary of the material terms of the capital stock of Zymeworks Inc., a Delaware corporation (the “Company”). This summary does not purport to be complete and is subject to, and qualified in its entirety by express reference to, the provisions of the Company’s amended and restated</w:t>
      </w:r>
    </w:p>
    <w:p>
      <w:pPr>
        <w:ind w:right="100"/>
        <w:spacing w:after="0" w:line="234" w:lineRule="auto"/>
        <w:rPr>
          <w:sz w:val="20"/>
          <w:szCs w:val="20"/>
          <w:color w:val="auto"/>
        </w:rPr>
      </w:pPr>
      <w:r>
        <w:rPr>
          <w:rFonts w:ascii="Arial" w:cs="Arial" w:eastAsia="Arial" w:hAnsi="Arial"/>
          <w:sz w:val="16"/>
          <w:szCs w:val="16"/>
          <w:color w:val="auto"/>
        </w:rPr>
        <w:t>certificate of incorporation (the “Certificate of Incorporation”), the Company’s amended and restated bylaws (the “Bylaws”), the Company’s Certificate of Designations of Special Voting Preferred Stock (the “Special Voting Certificate of Designations”), the Company’s Certificate of Designations of Rights, Preferences and Privileges of Series B Participating Preferred Stock (the “Series B Certificate of Designations”), each of which is included as an exhibit to</w:t>
      </w:r>
    </w:p>
    <w:p>
      <w:pPr>
        <w:spacing w:after="0" w:line="231" w:lineRule="auto"/>
        <w:rPr>
          <w:sz w:val="20"/>
          <w:szCs w:val="20"/>
          <w:color w:val="auto"/>
        </w:rPr>
      </w:pPr>
      <w:r>
        <w:rPr>
          <w:rFonts w:ascii="Arial" w:cs="Arial" w:eastAsia="Arial" w:hAnsi="Arial"/>
          <w:sz w:val="16"/>
          <w:szCs w:val="16"/>
          <w:color w:val="auto"/>
        </w:rPr>
        <w:t>the Company’s Annual Report on Form 10-K for the year ended December 31, 2022, and each of which may be amended from time to time, and the laws</w:t>
      </w:r>
    </w:p>
    <w:p>
      <w:pPr>
        <w:spacing w:after="0" w:line="229" w:lineRule="auto"/>
        <w:rPr>
          <w:sz w:val="20"/>
          <w:szCs w:val="20"/>
          <w:color w:val="auto"/>
        </w:rPr>
      </w:pPr>
      <w:r>
        <w:rPr>
          <w:rFonts w:ascii="Arial" w:cs="Arial" w:eastAsia="Arial" w:hAnsi="Arial"/>
          <w:sz w:val="16"/>
          <w:szCs w:val="16"/>
          <w:color w:val="auto"/>
        </w:rPr>
        <w:t>of the state of Delaware. You are encouraged to read the Company’s Certificate of Incorporation, Bylaws, Special Voting Certificate of Designations and</w:t>
      </w:r>
    </w:p>
    <w:p>
      <w:pPr>
        <w:spacing w:after="0"/>
        <w:rPr>
          <w:sz w:val="20"/>
          <w:szCs w:val="20"/>
          <w:color w:val="auto"/>
        </w:rPr>
      </w:pPr>
      <w:r>
        <w:rPr>
          <w:rFonts w:ascii="Arial" w:cs="Arial" w:eastAsia="Arial" w:hAnsi="Arial"/>
          <w:sz w:val="16"/>
          <w:szCs w:val="16"/>
          <w:color w:val="auto"/>
        </w:rPr>
        <w:t>Series B Certificate of Designations, and the applicable provisions of the General Corporation Law of the State of Delaware (the “DGCL”), for additional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authorized capital stock consists of 1,000,000,000 shares of capital stock, $0.00001 par value per share, of which:</w:t>
      </w:r>
    </w:p>
    <w:p>
      <w:pPr>
        <w:spacing w:after="0" w:line="185"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900,000,000 shares are designated as “Common Stock”; and</w:t>
      </w:r>
    </w:p>
    <w:p>
      <w:pPr>
        <w:spacing w:after="0" w:line="198" w:lineRule="exact"/>
        <w:rPr>
          <w:rFonts w:ascii="Arial" w:cs="Arial" w:eastAsia="Arial" w:hAnsi="Arial"/>
          <w:sz w:val="18"/>
          <w:szCs w:val="18"/>
          <w:color w:val="auto"/>
        </w:rPr>
      </w:pPr>
    </w:p>
    <w:p>
      <w:pPr>
        <w:ind w:left="660" w:right="180" w:hanging="328"/>
        <w:spacing w:after="0" w:line="235"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100,000,000 shares are designated as preferred stock, of which one share is designated as “Special Voting Preferred Stock” and 1,000,000 shares are designated as “Series B Participating Preferred Stock”.</w:t>
      </w:r>
    </w:p>
    <w:p>
      <w:pPr>
        <w:spacing w:after="0" w:line="16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As of March 3, 2023, there are 64,041,287 shares of Common Stock outstanding, held by approximately 56 stockholders of record, and there is one share of Special Voting Preferred Stock outstanding, held by one stockholder of record.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98" w:lineRule="exact"/>
        <w:rPr>
          <w:sz w:val="20"/>
          <w:szCs w:val="20"/>
          <w:color w:val="auto"/>
        </w:rPr>
      </w:pPr>
    </w:p>
    <w:p>
      <w:pPr>
        <w:ind w:right="340"/>
        <w:spacing w:after="0" w:line="22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Common Stock are entitled to receive dividends out of funds legally available if the board of directors of the Company (the “Board”), in its discretion, determines to issue dividends and then only at the times and in the amounts that the Board may determine.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not entitled to preemptive rights, and is not subject to conversion, redemption or sinking fund provisions.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98"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Holders of Common Stock are entitled to one vote for each share held as of the applicable record date on all matters submitted to a vote of the Company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Company stockholders do not have the ability to cumulate votes for the election of directors. As a result, the holders of a plurality of the voting power</w:t>
      </w:r>
    </w:p>
    <w:p>
      <w:pPr>
        <w:spacing w:after="0" w:line="21" w:lineRule="exact"/>
        <w:rPr>
          <w:sz w:val="20"/>
          <w:szCs w:val="20"/>
          <w:color w:val="auto"/>
        </w:rPr>
      </w:pPr>
    </w:p>
    <w:p>
      <w:pPr>
        <w:jc w:val="both"/>
        <w:ind w:right="140"/>
        <w:spacing w:after="0" w:line="234" w:lineRule="auto"/>
        <w:rPr>
          <w:sz w:val="20"/>
          <w:szCs w:val="20"/>
          <w:color w:val="auto"/>
        </w:rPr>
      </w:pPr>
      <w:r>
        <w:rPr>
          <w:rFonts w:ascii="Arial" w:cs="Arial" w:eastAsia="Arial" w:hAnsi="Arial"/>
          <w:sz w:val="16"/>
          <w:szCs w:val="16"/>
          <w:color w:val="auto"/>
        </w:rPr>
        <w:t>of the shares present in person or represented by proxy at the meeting and entitled to vote on the election of directors can elect all of the directors standing for election, if they should so choose. With respect to matters other than the election of directors, at any meeting of the Company stockholders at which a quorum is present or represented, the affirmative vote of a majority of the voting power of the shares cast for or against a proposal shall be the act of the</w:t>
      </w:r>
    </w:p>
    <w:p>
      <w:pPr>
        <w:spacing w:after="0" w:line="2" w:lineRule="exact"/>
        <w:rPr>
          <w:sz w:val="20"/>
          <w:szCs w:val="20"/>
          <w:color w:val="auto"/>
        </w:rPr>
      </w:pPr>
    </w:p>
    <w:p>
      <w:pPr>
        <w:jc w:val="both"/>
        <w:ind w:right="100"/>
        <w:spacing w:after="0" w:line="218" w:lineRule="auto"/>
        <w:rPr>
          <w:sz w:val="20"/>
          <w:szCs w:val="20"/>
          <w:color w:val="auto"/>
        </w:rPr>
      </w:pPr>
      <w:r>
        <w:rPr>
          <w:rFonts w:ascii="Arial" w:cs="Arial" w:eastAsia="Arial" w:hAnsi="Arial"/>
          <w:sz w:val="18"/>
          <w:szCs w:val="18"/>
          <w:color w:val="auto"/>
        </w:rPr>
        <w:t>stockholders and broker non-votes and abstentions will be considered for purposes of establishing a quorum, but will not be considered as votes cast for or against a proposal, except as otherwise provided by law, the Company’s governing documents or the rules of the stock exchange on which the Company’s securities are listed. The holders of 33 1/3% of the voting power of the capital stock issued and</w:t>
      </w:r>
    </w:p>
    <w:p>
      <w:pPr>
        <w:sectPr>
          <w:pgSz w:w="11900" w:h="16838" w:orient="portrait"/>
          <w:cols w:equalWidth="0" w:num="1">
            <w:col w:w="11240"/>
          </w:cols>
          <w:pgMar w:left="320" w:top="108" w:right="33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outstanding and entitled to vote as of the applicable record date, present in person or represented by proxy, shall constitute a quorum for the transaction of business at all meetings of the stockholders.</w:t>
      </w:r>
    </w:p>
    <w:p>
      <w:pPr>
        <w:spacing w:after="0" w:line="156"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The Certificate of Incorporation and the Bylaws provide that members of the Board will be elected to one of three staggered three-year terms. Only the directors serving one term will be elected at each annual meeting of its stockholders, with the directors serving under the remaining two terms continuing</w:t>
      </w:r>
    </w:p>
    <w:p>
      <w:pPr>
        <w:spacing w:after="0"/>
        <w:rPr>
          <w:sz w:val="20"/>
          <w:szCs w:val="20"/>
          <w:color w:val="auto"/>
        </w:rPr>
      </w:pPr>
      <w:r>
        <w:rPr>
          <w:rFonts w:ascii="Arial" w:cs="Arial" w:eastAsia="Arial" w:hAnsi="Arial"/>
          <w:sz w:val="18"/>
          <w:szCs w:val="18"/>
          <w:color w:val="auto"/>
        </w:rPr>
        <w:t>for the remainder of their respective three-year terms.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If the Company becomes subject to a liquidation, dissolution or winding-up, the assets legally available for distribution to the Company’s stockholders</w:t>
      </w:r>
    </w:p>
    <w:p>
      <w:pPr>
        <w:spacing w:after="0" w:line="10" w:lineRule="exact"/>
        <w:rPr>
          <w:sz w:val="20"/>
          <w:szCs w:val="20"/>
          <w:color w:val="auto"/>
        </w:rPr>
      </w:pPr>
    </w:p>
    <w:p>
      <w:pPr>
        <w:ind w:right="60"/>
        <w:spacing w:after="0" w:line="218" w:lineRule="auto"/>
        <w:rPr>
          <w:sz w:val="20"/>
          <w:szCs w:val="20"/>
          <w:color w:val="auto"/>
        </w:rPr>
      </w:pPr>
      <w:r>
        <w:rPr>
          <w:rFonts w:ascii="Arial" w:cs="Arial" w:eastAsia="Arial" w:hAnsi="Arial"/>
          <w:sz w:val="18"/>
          <w:szCs w:val="18"/>
          <w:color w:val="auto"/>
        </w:rPr>
        <w:t>would be distributable ratably among the holders of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All outstanding shares of Common Stock are fully paid and non-assessable.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02"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Board has the authority, subject to limitations prescribed by Delaware law, to issue shares of authorized but unissued preferred stock in one or more series, and to fix the designations, powers, preferences and rights, and the qualifications, limitations or restrictions thereof, in each case without further vote or action by the Company’s stockholders. These powers, rights, preferences and rights could include dividend rights, dividend rate, conversion rights,</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preferred stock could adversely affect the voting power of holders of Common Stock and the likelihood that such holders will receive dividend payments and</w:t>
      </w:r>
    </w:p>
    <w:p>
      <w:pPr>
        <w:spacing w:after="0" w:line="2" w:lineRule="exact"/>
        <w:rPr>
          <w:sz w:val="20"/>
          <w:szCs w:val="20"/>
          <w:color w:val="auto"/>
        </w:rPr>
      </w:pPr>
    </w:p>
    <w:p>
      <w:pPr>
        <w:ind w:right="160"/>
        <w:spacing w:after="0" w:line="218" w:lineRule="auto"/>
        <w:rPr>
          <w:sz w:val="20"/>
          <w:szCs w:val="20"/>
          <w:color w:val="auto"/>
        </w:rPr>
      </w:pPr>
      <w:r>
        <w:rPr>
          <w:rFonts w:ascii="Arial" w:cs="Arial" w:eastAsia="Arial" w:hAnsi="Arial"/>
          <w:sz w:val="18"/>
          <w:szCs w:val="18"/>
          <w:color w:val="auto"/>
        </w:rPr>
        <w:t>payments upon liquidation. In addition, the issuance of preferred stock could have the effect of delaying, deferring or preventing a change in control or other corporate action. Except for the single share of Special Voting Preferred Stock described below, as of the closing of the Redomicile Transactions (as defined below), there are no outstanding shares of preferred stock.</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Special Voting Preferred Stock</w:t>
      </w:r>
    </w:p>
    <w:p>
      <w:pPr>
        <w:spacing w:after="0" w:line="18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On October 13, 2022, the Company (formerly known as Zymeworks Delaware Inc.) became the ultimate parent company of Zymeworks Inc., a corporation existing under the laws of the Province of British Columbia and renamed as Zymeworks BC Inc. (“Zymeworks Canada”), pursuant to a statutory plan of</w:t>
      </w:r>
    </w:p>
    <w:p>
      <w:pPr>
        <w:jc w:val="both"/>
        <w:ind w:right="160"/>
        <w:spacing w:after="0" w:line="234" w:lineRule="auto"/>
        <w:rPr>
          <w:sz w:val="20"/>
          <w:szCs w:val="20"/>
          <w:color w:val="auto"/>
        </w:rPr>
      </w:pPr>
      <w:r>
        <w:rPr>
          <w:rFonts w:ascii="Arial" w:cs="Arial" w:eastAsia="Arial" w:hAnsi="Arial"/>
          <w:sz w:val="16"/>
          <w:szCs w:val="16"/>
          <w:color w:val="auto"/>
        </w:rPr>
        <w:t>arrangement under the Business Corporations Act (British Columbia) as part of a series of transactions, including the corporate redomicile of Zymeworks Canada (the “Redomicile Transactions”). Pursuant to the Redomicile Transactions, certain eligible shareholders of Zymeworks Canada, at their election, were issued exchangeable shares (the “Exchangeable Shares”) in the capital of Zymeworks ExchangeCo Ltd., a company existing under the laws of the</w:t>
      </w:r>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Province of British Columbia and an indirect wholly owned subsidiary of the Company (“ExchangeCo”), on a one-for-one basis in exchange for some or all of their common shares of Zymeworks Canada, together with certain contractual rights attached to such Exchangeable Shares. The Company has agreed to issue shares of Common Stock as consideration when, among other things, the holder of Exchangeable Shares calls for its Exchangeable Shares to be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retracted in accordance with their terms.</w:t>
      </w:r>
    </w:p>
    <w:p>
      <w:pPr>
        <w:spacing w:after="0" w:line="169" w:lineRule="exact"/>
        <w:rPr>
          <w:sz w:val="20"/>
          <w:szCs w:val="20"/>
          <w:color w:val="auto"/>
        </w:rPr>
      </w:pPr>
    </w:p>
    <w:p>
      <w:pPr>
        <w:jc w:val="both"/>
        <w:ind w:right="40"/>
        <w:spacing w:after="0" w:line="248" w:lineRule="auto"/>
        <w:rPr>
          <w:sz w:val="20"/>
          <w:szCs w:val="20"/>
          <w:color w:val="auto"/>
        </w:rPr>
      </w:pPr>
      <w:r>
        <w:rPr>
          <w:rFonts w:ascii="Arial" w:cs="Arial" w:eastAsia="Arial" w:hAnsi="Arial"/>
          <w:sz w:val="16"/>
          <w:szCs w:val="16"/>
          <w:color w:val="auto"/>
        </w:rPr>
        <w:t>On October 13, 2022, one share of Special Voting Preferred Stock was issued to Computershare Trust Company of Canada (the “Share Trustee”), as trustee for and on behalf of the holders of the Exchangeable Shares (other than the Company and any affiliated entities of the Company). The holder of the Special</w:t>
      </w:r>
    </w:p>
    <w:p>
      <w:pPr>
        <w:jc w:val="both"/>
        <w:ind w:right="40"/>
        <w:spacing w:after="0" w:line="234" w:lineRule="auto"/>
        <w:rPr>
          <w:sz w:val="20"/>
          <w:szCs w:val="20"/>
          <w:color w:val="auto"/>
        </w:rPr>
      </w:pPr>
      <w:r>
        <w:rPr>
          <w:rFonts w:ascii="Arial" w:cs="Arial" w:eastAsia="Arial" w:hAnsi="Arial"/>
          <w:sz w:val="16"/>
          <w:szCs w:val="16"/>
          <w:color w:val="auto"/>
        </w:rPr>
        <w:t>Voting Preferred Stock will vote together with the holders of the Common Stock, as a single class (except as otherwise required under applicable law), with respect to all meetings of stockholders of the Company at which the holders of the Common Stock are entitled to vote. The Special Voting Preferred Stock entitles the holder of record to that number of votes equal to the number of Exchangeable Shares outstanding at such time (other than those owned by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 or any affiliated entity of the Company) multiplied by the Exchangeable Share Exchange Ratio (which ratio is initially one),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respect of each beneficial owner of the Special Voting Preferred Stock, rounded down to the nearest whole vote (and for which the Share Trustee has received voting instructions from such holders of Exchangeable Shares in accordance with the Voting and Exchange Trust Agreement, dated October 13, 2022, among the Company, Zymeworks ExchangeCo Ltd., Zymeworks CallCo ULC and the Share Trustee).</w:t>
      </w:r>
    </w:p>
    <w:p>
      <w:pPr>
        <w:spacing w:after="0" w:line="159" w:lineRule="exact"/>
        <w:rPr>
          <w:sz w:val="20"/>
          <w:szCs w:val="20"/>
          <w:color w:val="auto"/>
        </w:rPr>
      </w:pPr>
    </w:p>
    <w:p>
      <w:pPr>
        <w:jc w:val="both"/>
        <w:ind w:right="300"/>
        <w:spacing w:after="0" w:line="248" w:lineRule="auto"/>
        <w:rPr>
          <w:sz w:val="20"/>
          <w:szCs w:val="20"/>
          <w:color w:val="auto"/>
        </w:rPr>
      </w:pPr>
      <w:r>
        <w:rPr>
          <w:rFonts w:ascii="Arial" w:cs="Arial" w:eastAsia="Arial" w:hAnsi="Arial"/>
          <w:sz w:val="16"/>
          <w:szCs w:val="16"/>
          <w:color w:val="auto"/>
        </w:rPr>
        <w:t>The holder of the Special Voting Preferred Stock is not entitled to receive any dividends declared and paid by the Company and, upon any liquidation, dissolution or winding up of the Company, whether voluntary or involuntary, shall rank senior to the Common Stock, and junior to all other or series of</w:t>
      </w:r>
    </w:p>
    <w:p>
      <w:pPr>
        <w:spacing w:after="0"/>
        <w:rPr>
          <w:sz w:val="20"/>
          <w:szCs w:val="20"/>
          <w:color w:val="auto"/>
        </w:rPr>
      </w:pPr>
      <w:r>
        <w:rPr>
          <w:rFonts w:ascii="Arial" w:cs="Arial" w:eastAsia="Arial" w:hAnsi="Arial"/>
          <w:sz w:val="18"/>
          <w:szCs w:val="18"/>
          <w:color w:val="auto"/>
        </w:rPr>
        <w:t>preferred stock of the Company, and is entitled to receive, prior to the holders of the Common Stock, an amount equal to US$1.00.</w:t>
      </w:r>
    </w:p>
    <w:p>
      <w:pPr>
        <w:spacing w:after="0" w:line="16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At such time as the share of Special Voting Preferred Stock has no votes attached to it, the Special Voting Preferred Stock shall be automatically cancelled for no consideration.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Rights Plan</w:t>
      </w:r>
    </w:p>
    <w:p>
      <w:pPr>
        <w:spacing w:after="0" w:line="189" w:lineRule="exact"/>
        <w:rPr>
          <w:sz w:val="20"/>
          <w:szCs w:val="20"/>
          <w:color w:val="auto"/>
        </w:rPr>
      </w:pPr>
    </w:p>
    <w:p>
      <w:pPr>
        <w:ind w:right="380"/>
        <w:spacing w:after="0" w:line="248" w:lineRule="auto"/>
        <w:rPr>
          <w:sz w:val="20"/>
          <w:szCs w:val="20"/>
          <w:color w:val="auto"/>
        </w:rPr>
      </w:pPr>
      <w:r>
        <w:rPr>
          <w:rFonts w:ascii="Arial" w:cs="Arial" w:eastAsia="Arial" w:hAnsi="Arial"/>
          <w:sz w:val="16"/>
          <w:szCs w:val="16"/>
          <w:color w:val="auto"/>
        </w:rPr>
        <w:t>On October 12, 2022, the Company and Computershare Trust Company, N.A., as rights agent, entered into the Preferred Stock Rights Agreement (the “Rights Agreement”). Under the Rights Agreement, in connection with the consummation of the Redomicile Transactions, the Board authorized and</w:t>
      </w:r>
    </w:p>
    <w:p>
      <w:pPr>
        <w:jc w:val="both"/>
        <w:ind w:right="300"/>
        <w:spacing w:after="0" w:line="234" w:lineRule="auto"/>
        <w:rPr>
          <w:sz w:val="20"/>
          <w:szCs w:val="20"/>
          <w:color w:val="auto"/>
        </w:rPr>
      </w:pPr>
      <w:r>
        <w:rPr>
          <w:rFonts w:ascii="Arial" w:cs="Arial" w:eastAsia="Arial" w:hAnsi="Arial"/>
          <w:sz w:val="16"/>
          <w:szCs w:val="16"/>
          <w:color w:val="auto"/>
        </w:rPr>
        <w:t>declared a dividend distribution of one right (each, a “Right”) for each share of Common Stock outstanding at 12:01 a.m. (Pacific time) on October 13, 2022 (the “Record Date”) and for each share of Common Stock that becomes outstanding, including any shares of Common Stock issued in connection with the Redomicile Transactions and as consideration for the Exchangeable Shares, as applicable, between the Record Date and the earlier of the</w:t>
      </w:r>
    </w:p>
    <w:p>
      <w:pPr>
        <w:spacing w:after="0" w:line="2" w:lineRule="exact"/>
        <w:rPr>
          <w:sz w:val="20"/>
          <w:szCs w:val="20"/>
          <w:color w:val="auto"/>
        </w:rPr>
      </w:pPr>
    </w:p>
    <w:p>
      <w:pPr>
        <w:jc w:val="both"/>
        <w:ind w:right="140"/>
        <w:spacing w:after="0" w:line="234" w:lineRule="auto"/>
        <w:rPr>
          <w:sz w:val="20"/>
          <w:szCs w:val="20"/>
          <w:color w:val="auto"/>
        </w:rPr>
      </w:pPr>
      <w:r>
        <w:rPr>
          <w:rFonts w:ascii="Arial" w:cs="Arial" w:eastAsia="Arial" w:hAnsi="Arial"/>
          <w:sz w:val="16"/>
          <w:szCs w:val="16"/>
          <w:color w:val="auto"/>
        </w:rPr>
        <w:t>Distribution Date (as described below) and the expiration of the Rights. Each Right entitles the registered holder to purchase from the Company one one-thousandth of a share of Series B Participating Preferred Stock, par value $0.00001 per share, of the Company (“Series B Preferred Stock”) at an exercise price of $74.00 per one one-thousandth of a share of Series B Preferred Stock (the “Exercise Price”), subject to adjustment. The complete terms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Rights are set forth in the Rights Agreement.</w:t>
      </w:r>
    </w:p>
    <w:p>
      <w:pPr>
        <w:spacing w:after="0" w:line="16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Board adopted the Rights Agreement to protect stockholders from coercive or otherwise unfair takeover tactics. In general terms, it works by imposing a significant penalty upon any person or group that acquires 10 percent or more (or 20 percent or more in the case of certain institutional investors who</w:t>
      </w:r>
    </w:p>
    <w:p>
      <w:pPr>
        <w:ind w:right="220"/>
        <w:spacing w:after="0" w:line="234" w:lineRule="auto"/>
        <w:rPr>
          <w:sz w:val="20"/>
          <w:szCs w:val="20"/>
          <w:color w:val="auto"/>
        </w:rPr>
      </w:pPr>
      <w:r>
        <w:rPr>
          <w:rFonts w:ascii="Arial" w:cs="Arial" w:eastAsia="Arial" w:hAnsi="Arial"/>
          <w:sz w:val="16"/>
          <w:szCs w:val="16"/>
          <w:color w:val="auto"/>
        </w:rPr>
        <w:t>report their holdings on Schedule 13G) of the shares of Common Stock without the approval of the Board. As a result, the overall effect of the Rights Agreement and the issuance of the Rights may be to render more difficult or discourage a merger, amalgamation, arrangement, take-over bid, tender or exchange offer or other business combination involving the Company that is not approved by the Board. However, neither the Rights Agreement nor the</w:t>
      </w:r>
    </w:p>
    <w:p>
      <w:pPr>
        <w:spacing w:after="0" w:line="2"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Rights should interfere with any merger, amalgamation, arrangement, take-over bid, tender or exchange offer or other business combination approved by the Board.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terms of the Rights Agreement. This summary does not purport to be complete and is subject to, and qualified in its</w:t>
      </w:r>
    </w:p>
    <w:p>
      <w:pPr>
        <w:spacing w:after="0" w:line="2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entirety by express reference to, the full text of the Rights Agreement, which is included as an exhibit to the Company’s Annual Report on Form 10-K for the year ended December 31, 2022 to which this description is an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440" w:right="37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Distribution and Transfer of Rights; Rights Certificates: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The Board has declared a dividend of one Right for each outstanding share of Common Stock. Prior to the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Distribution Date referred to below:</w:t>
      </w:r>
    </w:p>
    <w:p>
      <w:pPr>
        <w:spacing w:after="0" w:line="60" w:lineRule="exact"/>
        <w:rPr>
          <w:sz w:val="20"/>
          <w:szCs w:val="20"/>
          <w:color w:val="auto"/>
        </w:rPr>
      </w:pPr>
    </w:p>
    <w:p>
      <w:pPr>
        <w:sectPr>
          <w:pgSz w:w="11900" w:h="16838" w:orient="portrait"/>
          <w:cols w:equalWidth="0" w:num="2">
            <w:col w:w="2580" w:space="580"/>
            <w:col w:w="7920"/>
          </w:cols>
          <w:pgMar w:left="400" w:top="1440" w:right="419" w:bottom="1440" w:gutter="0" w:footer="0" w:header="0"/>
        </w:sectPr>
      </w:pPr>
    </w:p>
    <w:p>
      <w:pPr>
        <w:ind w:left="3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Rights will be evidenced by and trade with the certificates for the Common Stock (or, with</w:t>
      </w:r>
    </w:p>
    <w:p>
      <w:pPr>
        <w:spacing w:after="0" w:line="46" w:lineRule="exact"/>
        <w:rPr>
          <w:sz w:val="20"/>
          <w:szCs w:val="20"/>
          <w:color w:val="auto"/>
        </w:rPr>
      </w:pPr>
    </w:p>
    <w:p>
      <w:pPr>
        <w:sectPr>
          <w:pgSz w:w="11900" w:h="16838" w:orient="portrait"/>
          <w:cols w:equalWidth="0" w:num="2">
            <w:col w:w="3540" w:space="260"/>
            <w:col w:w="7280"/>
          </w:cols>
          <w:pgMar w:left="400" w:top="1440" w:right="419" w:bottom="1440" w:gutter="0" w:footer="0" w:header="0"/>
          <w:type w:val="continuous"/>
        </w:sectPr>
      </w:pPr>
    </w:p>
    <w:p>
      <w:pPr>
        <w:ind w:left="3800" w:right="420"/>
        <w:spacing w:after="0" w:line="211" w:lineRule="auto"/>
        <w:rPr>
          <w:sz w:val="20"/>
          <w:szCs w:val="20"/>
          <w:color w:val="auto"/>
        </w:rPr>
      </w:pPr>
      <w:r>
        <w:rPr>
          <w:rFonts w:ascii="Arial" w:cs="Arial" w:eastAsia="Arial" w:hAnsi="Arial"/>
          <w:sz w:val="18"/>
          <w:szCs w:val="18"/>
          <w:color w:val="auto"/>
        </w:rPr>
        <w:t>respect to any uncertificated Common Stock registered in book entry form, by notation in book entry), and no separate rights certificates will be distributed;</w:t>
      </w:r>
    </w:p>
    <w:p>
      <w:pPr>
        <w:sectPr>
          <w:pgSz w:w="11900" w:h="16838" w:orient="portrait"/>
          <w:cols w:equalWidth="0" w:num="1">
            <w:col w:w="11080"/>
          </w:cols>
          <w:pgMar w:left="400" w:top="1440" w:right="419" w:bottom="1440" w:gutter="0" w:footer="0" w:header="0"/>
          <w:type w:val="continuous"/>
        </w:sectPr>
      </w:pPr>
    </w:p>
    <w:p>
      <w:pPr>
        <w:spacing w:after="0" w:line="54"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hanging="4"/>
        <w:spacing w:after="0" w:line="264" w:lineRule="auto"/>
        <w:rPr>
          <w:sz w:val="20"/>
          <w:szCs w:val="20"/>
          <w:color w:val="auto"/>
        </w:rPr>
      </w:pPr>
      <w:r>
        <w:rPr>
          <w:rFonts w:ascii="Arial" w:cs="Arial" w:eastAsia="Arial" w:hAnsi="Arial"/>
          <w:sz w:val="16"/>
          <w:szCs w:val="16"/>
          <w:color w:val="auto"/>
        </w:rPr>
        <w:t>new Common Stock certificates issued after the Record Date will contain a legend incorporating the Rights Agreement by reference (for uncertificated Common Stock registered in book entry form, this</w:t>
      </w:r>
    </w:p>
    <w:p>
      <w:pPr>
        <w:spacing w:after="0" w:line="1" w:lineRule="exact"/>
        <w:rPr>
          <w:sz w:val="20"/>
          <w:szCs w:val="20"/>
          <w:color w:val="auto"/>
        </w:rPr>
      </w:pPr>
    </w:p>
    <w:p>
      <w:pPr>
        <w:sectPr>
          <w:pgSz w:w="11900" w:h="16838" w:orient="portrait"/>
          <w:cols w:equalWidth="0" w:num="2">
            <w:col w:w="3540" w:space="260"/>
            <w:col w:w="7280"/>
          </w:cols>
          <w:pgMar w:left="400" w:top="1440" w:right="419" w:bottom="1440" w:gutter="0" w:footer="0" w:header="0"/>
          <w:type w:val="continuous"/>
        </w:sectPr>
      </w:pPr>
    </w:p>
    <w:p>
      <w:pPr>
        <w:ind w:left="3800"/>
        <w:spacing w:after="0"/>
        <w:rPr>
          <w:sz w:val="20"/>
          <w:szCs w:val="20"/>
          <w:color w:val="auto"/>
        </w:rPr>
      </w:pPr>
      <w:r>
        <w:rPr>
          <w:rFonts w:ascii="Arial" w:cs="Arial" w:eastAsia="Arial" w:hAnsi="Arial"/>
          <w:sz w:val="16"/>
          <w:szCs w:val="16"/>
          <w:color w:val="auto"/>
        </w:rPr>
        <w:t>legend will be contained in a notation in book entry); and</w:t>
      </w:r>
    </w:p>
    <w:p>
      <w:pPr>
        <w:sectPr>
          <w:pgSz w:w="11900" w:h="16838" w:orient="portrait"/>
          <w:cols w:equalWidth="0" w:num="1">
            <w:col w:w="11080"/>
          </w:cols>
          <w:pgMar w:left="400" w:top="1440" w:right="419" w:bottom="1440" w:gutter="0" w:footer="0" w:header="0"/>
          <w:type w:val="continuous"/>
        </w:sectPr>
      </w:pPr>
    </w:p>
    <w:p>
      <w:pPr>
        <w:spacing w:after="0" w:line="58"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140" w:hanging="4"/>
        <w:spacing w:after="0" w:line="264" w:lineRule="auto"/>
        <w:rPr>
          <w:sz w:val="20"/>
          <w:szCs w:val="20"/>
          <w:color w:val="auto"/>
        </w:rPr>
      </w:pPr>
      <w:r>
        <w:rPr>
          <w:rFonts w:ascii="Arial" w:cs="Arial" w:eastAsia="Arial" w:hAnsi="Arial"/>
          <w:sz w:val="16"/>
          <w:szCs w:val="16"/>
          <w:color w:val="auto"/>
        </w:rPr>
        <w:t>the surrender for transfer of any certificates for Common Stock (or the surrender for transfer of any uncertificated Common Stock registered in book entry form) will also constitute the transfer of the</w:t>
      </w:r>
    </w:p>
    <w:p>
      <w:pPr>
        <w:spacing w:after="0" w:line="1" w:lineRule="exact"/>
        <w:rPr>
          <w:sz w:val="20"/>
          <w:szCs w:val="20"/>
          <w:color w:val="auto"/>
        </w:rPr>
      </w:pPr>
    </w:p>
    <w:p>
      <w:pPr>
        <w:sectPr>
          <w:pgSz w:w="11900" w:h="16838" w:orient="portrait"/>
          <w:cols w:equalWidth="0" w:num="2">
            <w:col w:w="3540" w:space="260"/>
            <w:col w:w="7280"/>
          </w:cols>
          <w:pgMar w:left="400" w:top="1440" w:right="419" w:bottom="1440" w:gutter="0" w:footer="0" w:header="0"/>
          <w:type w:val="continuous"/>
        </w:sectPr>
      </w:pPr>
    </w:p>
    <w:p>
      <w:pPr>
        <w:ind w:left="3800"/>
        <w:spacing w:after="0" w:line="220" w:lineRule="auto"/>
        <w:rPr>
          <w:sz w:val="20"/>
          <w:szCs w:val="20"/>
          <w:color w:val="auto"/>
        </w:rPr>
      </w:pPr>
      <w:r>
        <w:rPr>
          <w:rFonts w:ascii="Arial" w:cs="Arial" w:eastAsia="Arial" w:hAnsi="Arial"/>
          <w:sz w:val="18"/>
          <w:szCs w:val="18"/>
          <w:color w:val="auto"/>
        </w:rPr>
        <w:t>Rights associated with such Common Stock.</w:t>
      </w:r>
    </w:p>
    <w:p>
      <w:pPr>
        <w:spacing w:after="0" w:line="80"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Rights will accompany any new shares of Common Stock that are issued after the Record Date and prior to</w:t>
      </w:r>
    </w:p>
    <w:p>
      <w:pPr>
        <w:spacing w:after="0" w:line="21" w:lineRule="exact"/>
        <w:rPr>
          <w:sz w:val="20"/>
          <w:szCs w:val="20"/>
          <w:color w:val="auto"/>
        </w:rPr>
      </w:pPr>
    </w:p>
    <w:p>
      <w:pPr>
        <w:ind w:left="3160" w:right="60"/>
        <w:spacing w:after="0" w:line="226" w:lineRule="auto"/>
        <w:rPr>
          <w:sz w:val="20"/>
          <w:szCs w:val="20"/>
          <w:color w:val="auto"/>
        </w:rPr>
      </w:pPr>
      <w:r>
        <w:rPr>
          <w:rFonts w:ascii="Arial" w:cs="Arial" w:eastAsia="Arial" w:hAnsi="Arial"/>
          <w:sz w:val="18"/>
          <w:szCs w:val="18"/>
          <w:color w:val="auto"/>
        </w:rPr>
        <w:t>the Distribution Date referred to below, including any shares of Common Stock issued in connection with the Redomicile Transactions or related Exchangeable Shares.</w:t>
      </w:r>
    </w:p>
    <w:p>
      <w:pPr>
        <w:sectPr>
          <w:pgSz w:w="11900" w:h="16838" w:orient="portrait"/>
          <w:cols w:equalWidth="0" w:num="1">
            <w:col w:w="11080"/>
          </w:cols>
          <w:pgMar w:left="400" w:top="1440" w:right="41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Distribution Date: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Subject to the terms of the Rights Agreement, generally speaking the Rights will separate from the Common Stock and become exercisable following (1) the 10th business day (or such later date as may be determined by the Board) after the public announcement that a person or group of affiliated or associated persons (such</w:t>
      </w:r>
    </w:p>
    <w:p>
      <w:pPr>
        <w:spacing w:after="0" w:line="2" w:lineRule="exact"/>
        <w:rPr>
          <w:sz w:val="20"/>
          <w:szCs w:val="20"/>
          <w:color w:val="auto"/>
        </w:rPr>
      </w:pPr>
    </w:p>
    <w:p>
      <w:pPr>
        <w:sectPr>
          <w:pgSz w:w="11900" w:h="16838" w:orient="portrait"/>
          <w:cols w:equalWidth="0" w:num="2">
            <w:col w:w="2440" w:space="720"/>
            <w:col w:w="7920"/>
          </w:cols>
          <w:pgMar w:left="400" w:top="1440" w:right="419" w:bottom="1440" w:gutter="0" w:footer="0" w:header="0"/>
          <w:type w:val="continuous"/>
        </w:sectPr>
      </w:pPr>
    </w:p>
    <w:p>
      <w:pPr>
        <w:ind w:left="3160"/>
        <w:spacing w:after="0" w:line="225" w:lineRule="auto"/>
        <w:rPr>
          <w:sz w:val="20"/>
          <w:szCs w:val="20"/>
          <w:color w:val="auto"/>
        </w:rPr>
      </w:pPr>
      <w:r>
        <w:rPr>
          <w:rFonts w:ascii="Arial" w:cs="Arial" w:eastAsia="Arial" w:hAnsi="Arial"/>
          <w:sz w:val="16"/>
          <w:szCs w:val="16"/>
          <w:color w:val="auto"/>
        </w:rPr>
        <w:t>person or group, an “Acquiring Person”) has acquired beneficial ownership of 10 percent or more (or 20 percent or more in the case of certain institutional investors who report their holdings on Schedule 13G) of the Common Stock or (2) the 10th business day (or such later date as may be determined by the Board) after a person or group announces a tender or exchange offer that would result in ownership by a person or group of</w:t>
      </w:r>
    </w:p>
    <w:p>
      <w:pPr>
        <w:ind w:left="3160" w:right="100"/>
        <w:spacing w:after="0" w:line="234" w:lineRule="auto"/>
        <w:rPr>
          <w:sz w:val="20"/>
          <w:szCs w:val="20"/>
          <w:color w:val="auto"/>
        </w:rPr>
      </w:pPr>
      <w:r>
        <w:rPr>
          <w:rFonts w:ascii="Arial" w:cs="Arial" w:eastAsia="Arial" w:hAnsi="Arial"/>
          <w:sz w:val="16"/>
          <w:szCs w:val="16"/>
          <w:color w:val="auto"/>
        </w:rPr>
        <w:t>10 percent or more (or 20 percent or more in the case of certain institutional investors who report their holdings on Schedule 13G) of the Common Stock. For purposes of the Rights Agreement, beneficial ownership is defined to include the ownership of derivative securities. All share calculations will be made in</w:t>
      </w:r>
    </w:p>
    <w:p>
      <w:pPr>
        <w:spacing w:after="0" w:line="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accordance with the terms of the Rights Agreement.</w:t>
      </w:r>
    </w:p>
    <w:p>
      <w:pPr>
        <w:spacing w:after="0" w:line="61" w:lineRule="exact"/>
        <w:rPr>
          <w:sz w:val="20"/>
          <w:szCs w:val="20"/>
          <w:color w:val="auto"/>
        </w:rPr>
      </w:pPr>
    </w:p>
    <w:p>
      <w:pPr>
        <w:ind w:left="3160" w:right="160"/>
        <w:spacing w:after="0" w:line="235" w:lineRule="auto"/>
        <w:rPr>
          <w:sz w:val="20"/>
          <w:szCs w:val="20"/>
          <w:color w:val="auto"/>
        </w:rPr>
      </w:pPr>
      <w:r>
        <w:rPr>
          <w:rFonts w:ascii="Arial" w:cs="Arial" w:eastAsia="Arial" w:hAnsi="Arial"/>
          <w:sz w:val="18"/>
          <w:szCs w:val="18"/>
          <w:color w:val="auto"/>
        </w:rPr>
        <w:t>The date on which the Rights separate from the Common Stock and become exercisable is referred to as the “Distribution Date.”</w:t>
      </w:r>
    </w:p>
    <w:p>
      <w:pPr>
        <w:spacing w:after="0" w:line="67" w:lineRule="exact"/>
        <w:rPr>
          <w:sz w:val="20"/>
          <w:szCs w:val="20"/>
          <w:color w:val="auto"/>
        </w:rPr>
      </w:pPr>
    </w:p>
    <w:p>
      <w:pPr>
        <w:ind w:left="3160" w:right="220"/>
        <w:spacing w:after="0" w:line="237" w:lineRule="auto"/>
        <w:rPr>
          <w:sz w:val="20"/>
          <w:szCs w:val="20"/>
          <w:color w:val="auto"/>
        </w:rPr>
      </w:pPr>
      <w:r>
        <w:rPr>
          <w:rFonts w:ascii="Arial" w:cs="Arial" w:eastAsia="Arial" w:hAnsi="Arial"/>
          <w:sz w:val="17"/>
          <w:szCs w:val="17"/>
          <w:color w:val="auto"/>
        </w:rPr>
        <w:t>After the Distribution Date, the Company will send Rights certificates to the Company’s stockholders as of the close of business on the Distribution Date and the Rights will become transferable apart from the Common Stock. Thereafter, such Rights certificates alone will represent the Rights.</w:t>
      </w:r>
    </w:p>
    <w:p>
      <w:pPr>
        <w:sectPr>
          <w:pgSz w:w="11900" w:h="16838" w:orient="portrait"/>
          <w:cols w:equalWidth="0" w:num="1">
            <w:col w:w="11080"/>
          </w:cols>
          <w:pgMar w:left="400" w:top="144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80"/>
          </w:cols>
          <w:pgMar w:left="400" w:top="1440" w:right="419" w:bottom="1440" w:gutter="0" w:footer="0" w:header="0"/>
          <w:type w:val="continuous"/>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Preferred Stock Purchasable Upon Exercise of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280"/>
        <w:spacing w:after="0" w:line="252" w:lineRule="auto"/>
        <w:rPr>
          <w:sz w:val="20"/>
          <w:szCs w:val="20"/>
          <w:color w:val="auto"/>
        </w:rPr>
      </w:pPr>
      <w:r>
        <w:rPr>
          <w:rFonts w:ascii="Arial" w:cs="Arial" w:eastAsia="Arial" w:hAnsi="Arial"/>
          <w:sz w:val="16"/>
          <w:szCs w:val="16"/>
          <w:color w:val="auto"/>
        </w:rPr>
        <w:t>After the Distribution Date, each Right will entitle the holder to purchase, for the Exercise Price, one one-thousandth of a share of Series B Preferred Stock having economic and other terms similar to that of one share of Common Stock. This portion of a share of Series B Preferred Stock is intended to give the</w:t>
      </w:r>
    </w:p>
    <w:p>
      <w:pPr>
        <w:spacing w:after="0" w:line="2" w:lineRule="exact"/>
        <w:rPr>
          <w:sz w:val="20"/>
          <w:szCs w:val="20"/>
          <w:color w:val="auto"/>
        </w:rPr>
      </w:pPr>
    </w:p>
    <w:p>
      <w:pPr>
        <w:sectPr>
          <w:pgSz w:w="11900" w:h="16838" w:orient="portrait"/>
          <w:cols w:equalWidth="0" w:num="2">
            <w:col w:w="2480" w:space="680"/>
            <w:col w:w="7900"/>
          </w:cols>
          <w:pgMar w:left="400" w:top="1440" w:right="439" w:bottom="1440" w:gutter="0" w:footer="0" w:header="0"/>
        </w:sectPr>
      </w:pPr>
    </w:p>
    <w:p>
      <w:pPr>
        <w:ind w:left="3160" w:right="160"/>
        <w:spacing w:after="0" w:line="211" w:lineRule="auto"/>
        <w:rPr>
          <w:sz w:val="20"/>
          <w:szCs w:val="20"/>
          <w:color w:val="auto"/>
        </w:rPr>
      </w:pPr>
      <w:r>
        <w:rPr>
          <w:rFonts w:ascii="Arial" w:cs="Arial" w:eastAsia="Arial" w:hAnsi="Arial"/>
          <w:sz w:val="18"/>
          <w:szCs w:val="18"/>
          <w:color w:val="auto"/>
        </w:rPr>
        <w:t>stockholder approximately the same dividend, voting and liquidation rights as would one share of Common Stock, and should approximate the value of one share of Common Stock.</w:t>
      </w:r>
    </w:p>
    <w:p>
      <w:pPr>
        <w:spacing w:after="0" w:line="5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More specifically, each one one-thousandth of a share of Series B Preferred Stock, if issued, will:</w:t>
      </w:r>
    </w:p>
    <w:p>
      <w:pPr>
        <w:sectPr>
          <w:pgSz w:w="11900" w:h="16838" w:orient="portrait"/>
          <w:cols w:equalWidth="0" w:num="1">
            <w:col w:w="11060"/>
          </w:cols>
          <w:pgMar w:left="400" w:top="1440" w:right="439" w:bottom="1440" w:gutter="0" w:footer="0" w:header="0"/>
          <w:type w:val="continuous"/>
        </w:sectPr>
      </w:pPr>
    </w:p>
    <w:p>
      <w:pPr>
        <w:spacing w:after="0" w:line="7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not be redeemable;</w:t>
      </w:r>
    </w:p>
    <w:p>
      <w:pPr>
        <w:spacing w:after="0" w:line="112" w:lineRule="exact"/>
        <w:rPr>
          <w:sz w:val="20"/>
          <w:szCs w:val="20"/>
          <w:color w:val="auto"/>
        </w:rPr>
      </w:pPr>
    </w:p>
    <w:p>
      <w:pPr>
        <w:sectPr>
          <w:pgSz w:w="11900" w:h="16838" w:orient="portrait"/>
          <w:cols w:equalWidth="0" w:num="2">
            <w:col w:w="3600" w:space="240"/>
            <w:col w:w="7220"/>
          </w:cols>
          <w:pgMar w:left="400" w:top="1440" w:right="439" w:bottom="1440" w:gutter="0" w:footer="0" w:header="0"/>
          <w:type w:val="continuous"/>
        </w:sectPr>
      </w:pPr>
    </w:p>
    <w:p>
      <w:pPr>
        <w:ind w:left="35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hanging="4"/>
        <w:spacing w:after="0" w:line="224" w:lineRule="auto"/>
        <w:rPr>
          <w:sz w:val="20"/>
          <w:szCs w:val="20"/>
          <w:color w:val="auto"/>
        </w:rPr>
      </w:pPr>
      <w:r>
        <w:rPr>
          <w:rFonts w:ascii="Arial" w:cs="Arial" w:eastAsia="Arial" w:hAnsi="Arial"/>
          <w:sz w:val="18"/>
          <w:szCs w:val="18"/>
          <w:color w:val="auto"/>
        </w:rPr>
        <w:t>entitle holders to quarterly dividend payments of $0.001 per one one-thousandth of a share of Series B Preferred Stock, or an amount equal to the dividend paid on one share of Common Stock, whichever is greater;</w:t>
      </w:r>
    </w:p>
    <w:p>
      <w:pPr>
        <w:spacing w:after="0" w:line="68" w:lineRule="exact"/>
        <w:rPr>
          <w:sz w:val="20"/>
          <w:szCs w:val="20"/>
          <w:color w:val="auto"/>
        </w:rPr>
      </w:pPr>
    </w:p>
    <w:p>
      <w:pPr>
        <w:sectPr>
          <w:pgSz w:w="11900" w:h="16838" w:orient="portrait"/>
          <w:cols w:equalWidth="0" w:num="2">
            <w:col w:w="3600" w:space="260"/>
            <w:col w:w="7200"/>
          </w:cols>
          <w:pgMar w:left="400" w:top="1440" w:right="439" w:bottom="1440" w:gutter="0" w:footer="0" w:header="0"/>
          <w:type w:val="continuous"/>
        </w:sectPr>
      </w:pPr>
    </w:p>
    <w:p>
      <w:pPr>
        <w:ind w:left="35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00" w:hanging="4"/>
        <w:spacing w:after="0" w:line="224" w:lineRule="auto"/>
        <w:rPr>
          <w:sz w:val="20"/>
          <w:szCs w:val="20"/>
          <w:color w:val="auto"/>
        </w:rPr>
      </w:pPr>
      <w:r>
        <w:rPr>
          <w:rFonts w:ascii="Arial" w:cs="Arial" w:eastAsia="Arial" w:hAnsi="Arial"/>
          <w:sz w:val="18"/>
          <w:szCs w:val="18"/>
          <w:color w:val="auto"/>
        </w:rPr>
        <w:t>entitle holders upon liquidation either to receive $1 per one one-thousandth of a share of Series B Preferred Stock or an amount equal to the payment made on one share of Common Stock, whichever is greater;</w:t>
      </w:r>
    </w:p>
    <w:p>
      <w:pPr>
        <w:spacing w:after="0" w:line="68" w:lineRule="exact"/>
        <w:rPr>
          <w:sz w:val="20"/>
          <w:szCs w:val="20"/>
          <w:color w:val="auto"/>
        </w:rPr>
      </w:pPr>
    </w:p>
    <w:p>
      <w:pPr>
        <w:sectPr>
          <w:pgSz w:w="11900" w:h="16838" w:orient="portrait"/>
          <w:cols w:equalWidth="0" w:num="2">
            <w:col w:w="3600" w:space="260"/>
            <w:col w:w="7200"/>
          </w:cols>
          <w:pgMar w:left="400" w:top="1440" w:right="439" w:bottom="1440" w:gutter="0" w:footer="0" w:header="0"/>
          <w:type w:val="continuous"/>
        </w:sectPr>
      </w:pPr>
    </w:p>
    <w:p>
      <w:pPr>
        <w:ind w:left="35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have the same voting power as one share of Common Stock; and</w:t>
      </w:r>
    </w:p>
    <w:p>
      <w:pPr>
        <w:spacing w:after="0" w:line="99" w:lineRule="exact"/>
        <w:rPr>
          <w:sz w:val="20"/>
          <w:szCs w:val="20"/>
          <w:color w:val="auto"/>
        </w:rPr>
      </w:pPr>
    </w:p>
    <w:p>
      <w:pPr>
        <w:sectPr>
          <w:pgSz w:w="11900" w:h="16838" w:orient="portrait"/>
          <w:cols w:equalWidth="0" w:num="2">
            <w:col w:w="3600" w:space="240"/>
            <w:col w:w="7220"/>
          </w:cols>
          <w:pgMar w:left="400" w:top="1440" w:right="439" w:bottom="1440" w:gutter="0" w:footer="0" w:header="0"/>
          <w:type w:val="continuous"/>
        </w:sectPr>
      </w:pPr>
    </w:p>
    <w:p>
      <w:pPr>
        <w:ind w:left="35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ind w:right="100" w:hanging="4"/>
        <w:spacing w:after="0" w:line="264" w:lineRule="auto"/>
        <w:rPr>
          <w:sz w:val="20"/>
          <w:szCs w:val="20"/>
          <w:color w:val="auto"/>
        </w:rPr>
      </w:pPr>
      <w:r>
        <w:rPr>
          <w:rFonts w:ascii="Arial" w:cs="Arial" w:eastAsia="Arial" w:hAnsi="Arial"/>
          <w:sz w:val="16"/>
          <w:szCs w:val="16"/>
          <w:color w:val="auto"/>
        </w:rPr>
        <w:t>entitle holders to a payment per one one-thousandth of a share of Series B Preferred Stock equal to the payment made on one share of Common Stock if the Common Stock is exchanged via merger,</w:t>
      </w:r>
    </w:p>
    <w:p>
      <w:pPr>
        <w:spacing w:after="0" w:line="1" w:lineRule="exact"/>
        <w:rPr>
          <w:sz w:val="20"/>
          <w:szCs w:val="20"/>
          <w:color w:val="auto"/>
        </w:rPr>
      </w:pPr>
    </w:p>
    <w:p>
      <w:pPr>
        <w:sectPr>
          <w:pgSz w:w="11900" w:h="16838" w:orient="portrait"/>
          <w:cols w:equalWidth="0" w:num="2">
            <w:col w:w="3600" w:space="260"/>
            <w:col w:w="7200"/>
          </w:cols>
          <w:pgMar w:left="400" w:top="1440" w:right="439" w:bottom="1440" w:gutter="0" w:footer="0" w:header="0"/>
          <w:type w:val="continuous"/>
        </w:sectPr>
      </w:pPr>
    </w:p>
    <w:p>
      <w:pPr>
        <w:ind w:left="3860"/>
        <w:spacing w:after="0"/>
        <w:rPr>
          <w:sz w:val="20"/>
          <w:szCs w:val="20"/>
          <w:color w:val="auto"/>
        </w:rPr>
      </w:pPr>
      <w:r>
        <w:rPr>
          <w:rFonts w:ascii="Arial" w:cs="Arial" w:eastAsia="Arial" w:hAnsi="Arial"/>
          <w:sz w:val="16"/>
          <w:szCs w:val="16"/>
          <w:color w:val="auto"/>
        </w:rPr>
        <w:t>consolidation, amalgamation, arrangement or a similar transaction.</w:t>
      </w:r>
    </w:p>
    <w:p>
      <w:pPr>
        <w:sectPr>
          <w:pgSz w:w="11900" w:h="16838" w:orient="portrait"/>
          <w:cols w:equalWidth="0" w:num="1">
            <w:col w:w="11060"/>
          </w:cols>
          <w:pgMar w:left="400" w:top="1440" w:right="4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Flip-In Trigger:</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 xml:space="preserve">If an Acquiring Person obtains beneficial ownership of 10 percent or more (or 20 percent or more in the case of certain institutional investors who report their holdings on Schedule 13G) of the Common Stock, </w:t>
      </w:r>
      <w:r>
        <w:rPr>
          <w:rFonts w:ascii="Arial" w:cs="Arial" w:eastAsia="Arial" w:hAnsi="Arial"/>
          <w:sz w:val="16"/>
          <w:szCs w:val="16"/>
          <w:i w:val="1"/>
          <w:iCs w:val="1"/>
          <w:color w:val="auto"/>
        </w:rPr>
        <w:t>then</w:t>
      </w:r>
      <w:r>
        <w:rPr>
          <w:rFonts w:ascii="Arial" w:cs="Arial" w:eastAsia="Arial" w:hAnsi="Arial"/>
          <w:sz w:val="16"/>
          <w:szCs w:val="16"/>
          <w:color w:val="auto"/>
        </w:rPr>
        <w:t xml:space="preserve"> each Right will entitle the holder thereof to purchase, for the Exercise Price, a number of shares of Common Stock</w:t>
      </w:r>
    </w:p>
    <w:p>
      <w:pPr>
        <w:spacing w:after="0" w:line="2" w:lineRule="exact"/>
        <w:rPr>
          <w:sz w:val="20"/>
          <w:szCs w:val="20"/>
          <w:color w:val="auto"/>
        </w:rPr>
      </w:pPr>
    </w:p>
    <w:p>
      <w:pPr>
        <w:sectPr>
          <w:pgSz w:w="11900" w:h="16838" w:orient="portrait"/>
          <w:cols w:equalWidth="0" w:num="2">
            <w:col w:w="2440" w:space="720"/>
            <w:col w:w="7900"/>
          </w:cols>
          <w:pgMar w:left="400" w:top="1440" w:right="439" w:bottom="1440" w:gutter="0" w:footer="0" w:header="0"/>
          <w:type w:val="continuous"/>
        </w:sectPr>
      </w:pPr>
    </w:p>
    <w:p>
      <w:pPr>
        <w:ind w:left="3160" w:right="40"/>
        <w:spacing w:after="0" w:line="207" w:lineRule="auto"/>
        <w:rPr>
          <w:sz w:val="20"/>
          <w:szCs w:val="20"/>
          <w:color w:val="auto"/>
        </w:rPr>
      </w:pPr>
      <w:r>
        <w:rPr>
          <w:rFonts w:ascii="Arial" w:cs="Arial" w:eastAsia="Arial" w:hAnsi="Arial"/>
          <w:sz w:val="18"/>
          <w:szCs w:val="18"/>
          <w:color w:val="auto"/>
        </w:rPr>
        <w:t>(or,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w:t>
      </w:r>
    </w:p>
    <w:p>
      <w:pPr>
        <w:spacing w:after="0" w:line="68" w:lineRule="exact"/>
        <w:rPr>
          <w:sz w:val="20"/>
          <w:szCs w:val="20"/>
          <w:color w:val="auto"/>
        </w:rPr>
      </w:pPr>
    </w:p>
    <w:p>
      <w:pPr>
        <w:jc w:val="both"/>
        <w:ind w:left="3160" w:right="20"/>
        <w:spacing w:after="0" w:line="224" w:lineRule="auto"/>
        <w:rPr>
          <w:sz w:val="20"/>
          <w:szCs w:val="20"/>
          <w:color w:val="auto"/>
        </w:rPr>
      </w:pPr>
      <w:r>
        <w:rPr>
          <w:rFonts w:ascii="Arial" w:cs="Arial" w:eastAsia="Arial" w:hAnsi="Arial"/>
          <w:sz w:val="18"/>
          <w:szCs w:val="18"/>
          <w:color w:val="auto"/>
        </w:rPr>
        <w:t>Following the occurrence of an event set forth in the preceding paragraph, all Rights that are or, under certain circumstances specified in the Rights Agreement, were beneficially owned by an Acquiring Person or certain of its transferees will be void.</w:t>
      </w:r>
    </w:p>
    <w:p>
      <w:pPr>
        <w:sectPr>
          <w:pgSz w:w="11900" w:h="16838" w:orient="portrait"/>
          <w:cols w:equalWidth="0" w:num="1">
            <w:col w:w="11060"/>
          </w:cols>
          <w:pgMar w:left="400" w:top="1440" w:right="43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Flip-Over Trigger:</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If, after an Acquiring Person obtains 10 percent or more (or 20 percent or more in the case of certain institutional investors who report their holdings on Schedule 13G) of the Common Stock, (1) the Company merges into, amalgamates with or is otherwise combined with another entity, (2) an acquiring entity merges</w:t>
      </w:r>
    </w:p>
    <w:p>
      <w:pPr>
        <w:spacing w:after="0" w:line="2" w:lineRule="exact"/>
        <w:rPr>
          <w:sz w:val="20"/>
          <w:szCs w:val="20"/>
          <w:color w:val="auto"/>
        </w:rPr>
      </w:pPr>
    </w:p>
    <w:p>
      <w:pPr>
        <w:sectPr>
          <w:pgSz w:w="11900" w:h="16838" w:orient="portrait"/>
          <w:cols w:equalWidth="0" w:num="2">
            <w:col w:w="2440" w:space="720"/>
            <w:col w:w="7900"/>
          </w:cols>
          <w:pgMar w:left="400" w:top="1440" w:right="439" w:bottom="1440" w:gutter="0" w:footer="0" w:header="0"/>
          <w:type w:val="continuous"/>
        </w:sectPr>
      </w:pPr>
    </w:p>
    <w:p>
      <w:pPr>
        <w:ind w:left="3160" w:right="20"/>
        <w:spacing w:after="0" w:line="225" w:lineRule="auto"/>
        <w:rPr>
          <w:sz w:val="20"/>
          <w:szCs w:val="20"/>
          <w:color w:val="auto"/>
        </w:rPr>
      </w:pPr>
      <w:r>
        <w:rPr>
          <w:rFonts w:ascii="Arial" w:cs="Arial" w:eastAsia="Arial" w:hAnsi="Arial"/>
          <w:sz w:val="16"/>
          <w:szCs w:val="16"/>
          <w:color w:val="auto"/>
        </w:rPr>
        <w:t xml:space="preserve">into, amalgamates with or is otherwise combined with the Company or (3) the Company sells or transfers more than 50 percent of its assets, cash flow or earning power, </w:t>
      </w:r>
      <w:r>
        <w:rPr>
          <w:rFonts w:ascii="Arial" w:cs="Arial" w:eastAsia="Arial" w:hAnsi="Arial"/>
          <w:sz w:val="16"/>
          <w:szCs w:val="16"/>
          <w:i w:val="1"/>
          <w:iCs w:val="1"/>
          <w:color w:val="auto"/>
        </w:rPr>
        <w:t>then</w:t>
      </w:r>
      <w:r>
        <w:rPr>
          <w:rFonts w:ascii="Arial" w:cs="Arial" w:eastAsia="Arial" w:hAnsi="Arial"/>
          <w:sz w:val="16"/>
          <w:szCs w:val="16"/>
          <w:color w:val="auto"/>
        </w:rPr>
        <w:t xml:space="preserve"> each Right (except for Rights that have previously been voided as set forth above) will entitle the holder thereof to purchase, for the Exercise Price, a number of shares of common stock of the person engaging in the transaction having a then-current market</w:t>
      </w:r>
    </w:p>
    <w:p>
      <w:pPr>
        <w:ind w:left="3160"/>
        <w:spacing w:after="0"/>
        <w:rPr>
          <w:sz w:val="20"/>
          <w:szCs w:val="20"/>
          <w:color w:val="auto"/>
        </w:rPr>
      </w:pPr>
      <w:r>
        <w:rPr>
          <w:rFonts w:ascii="Arial" w:cs="Arial" w:eastAsia="Arial" w:hAnsi="Arial"/>
          <w:sz w:val="18"/>
          <w:szCs w:val="18"/>
          <w:color w:val="auto"/>
        </w:rPr>
        <w:t>value of twice the Exercise Price.</w:t>
      </w:r>
    </w:p>
    <w:p>
      <w:pPr>
        <w:sectPr>
          <w:pgSz w:w="11900" w:h="16838" w:orient="portrait"/>
          <w:cols w:equalWidth="0" w:num="1">
            <w:col w:w="11060"/>
          </w:cols>
          <w:pgMar w:left="400" w:top="144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60"/>
          </w:cols>
          <w:pgMar w:left="400" w:top="1440" w:right="439" w:bottom="1440" w:gutter="0" w:footer="0" w:header="0"/>
          <w:type w:val="continuous"/>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Redemption of the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The Rights will be redeemable at the Company’s option for $0.001 per Right (payable in cash, Common Stock or other consideration deemed appropriate by the Board) at any time on or prior to the 10th business day (or such later date as may be determined by the Board) after the public announcement that an Acquiring</w:t>
      </w:r>
    </w:p>
    <w:p>
      <w:pPr>
        <w:spacing w:after="0" w:line="2" w:lineRule="exact"/>
        <w:rPr>
          <w:sz w:val="20"/>
          <w:szCs w:val="20"/>
          <w:color w:val="auto"/>
        </w:rPr>
      </w:pPr>
    </w:p>
    <w:p>
      <w:pPr>
        <w:sectPr>
          <w:pgSz w:w="11900" w:h="16838" w:orient="portrait"/>
          <w:cols w:equalWidth="0" w:num="2">
            <w:col w:w="2440" w:space="720"/>
            <w:col w:w="7940"/>
          </w:cols>
          <w:pgMar w:left="400" w:top="1440" w:right="399" w:bottom="1440" w:gutter="0" w:footer="0" w:header="0"/>
        </w:sectPr>
      </w:pPr>
    </w:p>
    <w:p>
      <w:pPr>
        <w:jc w:val="both"/>
        <w:ind w:left="3160" w:right="80"/>
        <w:spacing w:after="0" w:line="225" w:lineRule="auto"/>
        <w:rPr>
          <w:sz w:val="20"/>
          <w:szCs w:val="20"/>
          <w:color w:val="auto"/>
        </w:rPr>
      </w:pPr>
      <w:r>
        <w:rPr>
          <w:rFonts w:ascii="Arial" w:cs="Arial" w:eastAsia="Arial" w:hAnsi="Arial"/>
          <w:sz w:val="16"/>
          <w:szCs w:val="16"/>
          <w:color w:val="auto"/>
        </w:rPr>
        <w:t>Person has acquired beneficial ownership of 10 percent or more (or 20 percent or more in the case of certain institutional investors who report their holdings on Schedule 13G) of the Common Stock. Immediately upon the action of the Board ordering redemption, the Rights will terminate and the only right of the holders of the Rights will be to receive the $0.001 redemption price. The redemption price will be adjusted if the Company</w:t>
      </w:r>
    </w:p>
    <w:p>
      <w:pPr>
        <w:ind w:left="3160"/>
        <w:spacing w:after="0"/>
        <w:rPr>
          <w:sz w:val="20"/>
          <w:szCs w:val="20"/>
          <w:color w:val="auto"/>
        </w:rPr>
      </w:pPr>
      <w:r>
        <w:rPr>
          <w:rFonts w:ascii="Arial" w:cs="Arial" w:eastAsia="Arial" w:hAnsi="Arial"/>
          <w:sz w:val="18"/>
          <w:szCs w:val="18"/>
          <w:color w:val="auto"/>
        </w:rPr>
        <w:t>undertakes a stock dividend or a stock split.</w:t>
      </w:r>
    </w:p>
    <w:p>
      <w:pPr>
        <w:sectPr>
          <w:pgSz w:w="11900" w:h="16838" w:orient="portrait"/>
          <w:cols w:equalWidth="0" w:num="1">
            <w:col w:w="11100"/>
          </w:cols>
          <w:pgMar w:left="400" w:top="1440" w:right="39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Exchange Provision:</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At any time after the date on which an Acquiring Person beneficially owns 10 percent or more (or 20 percent or more in the case of certain institutional investors who report their holdings on Schedule 13G) of the Common Stock and prior to the acquisition by the Acquiring Person of 50 percent of the Common Stock, the</w:t>
      </w:r>
    </w:p>
    <w:p>
      <w:pPr>
        <w:spacing w:after="0" w:line="2" w:lineRule="exact"/>
        <w:rPr>
          <w:sz w:val="20"/>
          <w:szCs w:val="20"/>
          <w:color w:val="auto"/>
        </w:rPr>
      </w:pPr>
    </w:p>
    <w:p>
      <w:pPr>
        <w:sectPr>
          <w:pgSz w:w="11900" w:h="16838" w:orient="portrait"/>
          <w:cols w:equalWidth="0" w:num="2">
            <w:col w:w="2440" w:space="720"/>
            <w:col w:w="7940"/>
          </w:cols>
          <w:pgMar w:left="400" w:top="1440" w:right="399" w:bottom="1440" w:gutter="0" w:footer="0" w:header="0"/>
          <w:type w:val="continuous"/>
        </w:sectPr>
      </w:pPr>
    </w:p>
    <w:p>
      <w:pPr>
        <w:ind w:left="3160" w:right="20"/>
        <w:spacing w:after="0" w:line="233" w:lineRule="auto"/>
        <w:rPr>
          <w:sz w:val="20"/>
          <w:szCs w:val="20"/>
          <w:color w:val="auto"/>
        </w:rPr>
      </w:pPr>
      <w:r>
        <w:rPr>
          <w:rFonts w:ascii="Arial" w:cs="Arial" w:eastAsia="Arial" w:hAnsi="Arial"/>
          <w:sz w:val="16"/>
          <w:szCs w:val="16"/>
          <w:color w:val="auto"/>
        </w:rPr>
        <w:t>Board may exchange the Rights (except for Rights that have previously been voided as set forth above), in whole or in part, for Common Stock at an exchange ratio of one share of Common Stock per Right (subject to adjustment). In certain circumstances, the Company may elect to exchange the Rights for cash or other securities of the Company having a value approximately equal to one share of Common Stock.</w:t>
      </w:r>
    </w:p>
    <w:p>
      <w:pPr>
        <w:sectPr>
          <w:pgSz w:w="11900" w:h="16838" w:orient="portrait"/>
          <w:cols w:equalWidth="0" w:num="1">
            <w:col w:w="11100"/>
          </w:cols>
          <w:pgMar w:left="400" w:top="1440" w:right="39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Expiration of the Rights: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The Rights expire on the earliest of (1) 5:00 p.m., New York City time, on June 8, 2023 (unless such date is extended) or (2) the redemption or exchange of the Rights as described above.</w:t>
      </w:r>
    </w:p>
    <w:p>
      <w:pPr>
        <w:spacing w:after="0" w:line="13" w:lineRule="exact"/>
        <w:rPr>
          <w:sz w:val="20"/>
          <w:szCs w:val="20"/>
          <w:color w:val="auto"/>
        </w:rPr>
      </w:pPr>
    </w:p>
    <w:p>
      <w:pPr>
        <w:sectPr>
          <w:pgSz w:w="11900" w:h="16838" w:orient="portrait"/>
          <w:cols w:equalWidth="0" w:num="2">
            <w:col w:w="2440" w:space="720"/>
            <w:col w:w="7940"/>
          </w:cols>
          <w:pgMar w:left="400" w:top="1440" w:right="399" w:bottom="1440" w:gutter="0" w:footer="0" w:header="0"/>
          <w:type w:val="continuous"/>
        </w:sectPr>
      </w:pPr>
    </w:p>
    <w:p>
      <w:pPr>
        <w:spacing w:after="0" w:line="235" w:lineRule="auto"/>
        <w:rPr>
          <w:sz w:val="20"/>
          <w:szCs w:val="20"/>
          <w:color w:val="auto"/>
        </w:rPr>
      </w:pPr>
      <w:r>
        <w:rPr>
          <w:rFonts w:ascii="Arial" w:cs="Arial" w:eastAsia="Arial" w:hAnsi="Arial"/>
          <w:sz w:val="18"/>
          <w:szCs w:val="18"/>
          <w:color w:val="auto"/>
        </w:rPr>
        <w:t>Amendment of Terms of the Rights Agreement and Rights:</w:t>
      </w:r>
    </w:p>
    <w:p>
      <w:pPr>
        <w:spacing w:after="0" w:line="20" w:lineRule="exact"/>
        <w:rPr>
          <w:sz w:val="20"/>
          <w:szCs w:val="20"/>
          <w:color w:val="auto"/>
        </w:rPr>
      </w:pPr>
      <w:r>
        <w:rPr>
          <w:sz w:val="20"/>
          <w:szCs w:val="20"/>
          <w:color w:val="auto"/>
        </w:rPr>
        <w:br w:type="column"/>
      </w:r>
    </w:p>
    <w:p>
      <w:pPr>
        <w:ind w:right="40"/>
        <w:spacing w:after="0" w:line="252" w:lineRule="auto"/>
        <w:rPr>
          <w:sz w:val="20"/>
          <w:szCs w:val="20"/>
          <w:color w:val="auto"/>
        </w:rPr>
      </w:pPr>
      <w:r>
        <w:rPr>
          <w:rFonts w:ascii="Arial" w:cs="Arial" w:eastAsia="Arial" w:hAnsi="Arial"/>
          <w:sz w:val="16"/>
          <w:szCs w:val="16"/>
          <w:color w:val="auto"/>
        </w:rPr>
        <w:t>The terms of the Rights and the Rights Agreement may be amended in any respect without the consent of the holders of the Rights on or prior to the Distribution Date. Thereafter, the terms of the Rights and the Rights Agreement may be amended without the consent of the holders of Rights in order to (1) cure any ambiguities,</w:t>
      </w:r>
    </w:p>
    <w:p>
      <w:pPr>
        <w:spacing w:after="0" w:line="2" w:lineRule="exact"/>
        <w:rPr>
          <w:sz w:val="20"/>
          <w:szCs w:val="20"/>
          <w:color w:val="auto"/>
        </w:rPr>
      </w:pPr>
    </w:p>
    <w:p>
      <w:pPr>
        <w:sectPr>
          <w:pgSz w:w="11900" w:h="16838" w:orient="portrait"/>
          <w:cols w:equalWidth="0" w:num="2">
            <w:col w:w="2560" w:space="600"/>
            <w:col w:w="7940"/>
          </w:cols>
          <w:pgMar w:left="400" w:top="1440" w:right="399" w:bottom="1440" w:gutter="0" w:footer="0" w:header="0"/>
          <w:type w:val="continuous"/>
        </w:sectPr>
      </w:pPr>
    </w:p>
    <w:p>
      <w:pPr>
        <w:ind w:left="3160" w:right="320"/>
        <w:spacing w:after="0" w:line="211" w:lineRule="auto"/>
        <w:rPr>
          <w:sz w:val="20"/>
          <w:szCs w:val="20"/>
          <w:color w:val="auto"/>
        </w:rPr>
      </w:pPr>
      <w:r>
        <w:rPr>
          <w:rFonts w:ascii="Arial" w:cs="Arial" w:eastAsia="Arial" w:hAnsi="Arial"/>
          <w:sz w:val="18"/>
          <w:szCs w:val="18"/>
          <w:color w:val="auto"/>
        </w:rPr>
        <w:t>(2) shorten or lengthen any time period pursuant to the Rights Agreement or (3) make changes that do not adversely affect the interests of holders of the Rights.</w:t>
      </w:r>
    </w:p>
    <w:p>
      <w:pPr>
        <w:sectPr>
          <w:pgSz w:w="11900" w:h="16838" w:orient="portrait"/>
          <w:cols w:equalWidth="0" w:num="1">
            <w:col w:w="11100"/>
          </w:cols>
          <w:pgMar w:left="400" w:top="1440" w:right="39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Voting Rights; Other Stockholder Rights:</w:t>
      </w:r>
    </w:p>
    <w:p>
      <w:pPr>
        <w:spacing w:after="0" w:line="20" w:lineRule="exact"/>
        <w:rPr>
          <w:sz w:val="20"/>
          <w:szCs w:val="20"/>
          <w:color w:val="auto"/>
        </w:rPr>
      </w:pPr>
      <w:r>
        <w:rPr>
          <w:sz w:val="20"/>
          <w:szCs w:val="20"/>
          <w:color w:val="auto"/>
        </w:rPr>
        <w:br w:type="column"/>
      </w:r>
    </w:p>
    <w:p>
      <w:pPr>
        <w:ind w:right="20"/>
        <w:spacing w:after="0" w:line="235" w:lineRule="auto"/>
        <w:rPr>
          <w:sz w:val="20"/>
          <w:szCs w:val="20"/>
          <w:color w:val="auto"/>
        </w:rPr>
      </w:pPr>
      <w:r>
        <w:rPr>
          <w:rFonts w:ascii="Arial" w:cs="Arial" w:eastAsia="Arial" w:hAnsi="Arial"/>
          <w:sz w:val="18"/>
          <w:szCs w:val="18"/>
          <w:color w:val="auto"/>
        </w:rPr>
        <w:t>The Rights will not have any voting rights. Until a Right is exercised, the holder thereof, as such, will have no separate rights as a stockholder of the Company.</w:t>
      </w:r>
    </w:p>
    <w:p>
      <w:pPr>
        <w:spacing w:after="0" w:line="13" w:lineRule="exact"/>
        <w:rPr>
          <w:sz w:val="20"/>
          <w:szCs w:val="20"/>
          <w:color w:val="auto"/>
        </w:rPr>
      </w:pPr>
    </w:p>
    <w:p>
      <w:pPr>
        <w:sectPr>
          <w:pgSz w:w="11900" w:h="16838" w:orient="portrait"/>
          <w:cols w:equalWidth="0" w:num="2">
            <w:col w:w="2980" w:space="180"/>
            <w:col w:w="7940"/>
          </w:cols>
          <w:pgMar w:left="400" w:top="1440" w:right="399" w:bottom="1440" w:gutter="0" w:footer="0" w:header="0"/>
          <w:type w:val="continuous"/>
        </w:sectPr>
      </w:pPr>
    </w:p>
    <w:p>
      <w:pPr>
        <w:spacing w:after="0"/>
        <w:rPr>
          <w:sz w:val="20"/>
          <w:szCs w:val="20"/>
          <w:color w:val="auto"/>
        </w:rPr>
      </w:pPr>
      <w:r>
        <w:rPr>
          <w:rFonts w:ascii="Arial" w:cs="Arial" w:eastAsia="Arial" w:hAnsi="Arial"/>
          <w:sz w:val="17"/>
          <w:szCs w:val="17"/>
          <w:color w:val="auto"/>
        </w:rPr>
        <w:t>Anti-Dilution Provisions:</w:t>
      </w:r>
    </w:p>
    <w:p>
      <w:pPr>
        <w:spacing w:after="0" w:line="20" w:lineRule="exact"/>
        <w:rPr>
          <w:sz w:val="20"/>
          <w:szCs w:val="20"/>
          <w:color w:val="auto"/>
        </w:rPr>
      </w:pPr>
      <w:r>
        <w:rPr>
          <w:sz w:val="20"/>
          <w:szCs w:val="20"/>
          <w:color w:val="auto"/>
        </w:rPr>
        <w:br w:type="column"/>
      </w:r>
    </w:p>
    <w:p>
      <w:pPr>
        <w:ind w:right="200"/>
        <w:spacing w:after="0" w:line="224" w:lineRule="auto"/>
        <w:rPr>
          <w:sz w:val="20"/>
          <w:szCs w:val="20"/>
          <w:color w:val="auto"/>
        </w:rPr>
      </w:pPr>
      <w:r>
        <w:rPr>
          <w:rFonts w:ascii="Arial" w:cs="Arial" w:eastAsia="Arial" w:hAnsi="Arial"/>
          <w:sz w:val="18"/>
          <w:szCs w:val="18"/>
          <w:color w:val="auto"/>
        </w:rPr>
        <w:t>The Board may adjust the Exercise Price, the number of shares of Series B Preferred Stock issuable and the number of outstanding Rights to prevent dilution that may occur from a stock dividend, a stock split or a reclassification of the Series B Preferred Stock or Common Stock.</w:t>
      </w:r>
    </w:p>
    <w:p>
      <w:pPr>
        <w:spacing w:after="0" w:line="68" w:lineRule="exact"/>
        <w:rPr>
          <w:sz w:val="20"/>
          <w:szCs w:val="20"/>
          <w:color w:val="auto"/>
        </w:rPr>
      </w:pPr>
    </w:p>
    <w:p>
      <w:pPr>
        <w:sectPr>
          <w:pgSz w:w="11900" w:h="16838" w:orient="portrait"/>
          <w:cols w:equalWidth="0" w:num="2">
            <w:col w:w="2440" w:space="720"/>
            <w:col w:w="7940"/>
          </w:cols>
          <w:pgMar w:left="400" w:top="1440" w:right="399" w:bottom="1440" w:gutter="0" w:footer="0" w:header="0"/>
          <w:type w:val="continuous"/>
        </w:sectPr>
      </w:pPr>
    </w:p>
    <w:p>
      <w:pPr>
        <w:jc w:val="both"/>
        <w:ind w:left="3160" w:right="80"/>
        <w:spacing w:after="0" w:line="219" w:lineRule="auto"/>
        <w:rPr>
          <w:sz w:val="20"/>
          <w:szCs w:val="20"/>
          <w:color w:val="auto"/>
        </w:rPr>
      </w:pPr>
      <w:r>
        <w:rPr>
          <w:rFonts w:ascii="Arial" w:cs="Arial" w:eastAsia="Arial" w:hAnsi="Arial"/>
          <w:sz w:val="18"/>
          <w:szCs w:val="18"/>
          <w:color w:val="auto"/>
        </w:rPr>
        <w:t>With certain exceptions, no adjustments to the Exercise Price will be made until the cumulative adjustments amount to at least one percent of the Exercise Price. No fractional shares of Series B Preferred Stock will be issued and, in lieu thereof, an adjustment in cash will be made based on the current market price of the Series B Preferred Stock.</w:t>
      </w:r>
    </w:p>
    <w:p>
      <w:pPr>
        <w:sectPr>
          <w:pgSz w:w="11900" w:h="16838" w:orient="portrait"/>
          <w:cols w:equalWidth="0" w:num="1">
            <w:col w:w="11100"/>
          </w:cols>
          <w:pgMar w:left="400" w:top="1440" w:right="39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Taxes: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distribution of Rights should not be taxable for federal income tax purposes. However, following an event that renders the Rights exercisable or upon redemption of the Rights, stockholders may recognize taxable income.</w:t>
      </w:r>
    </w:p>
    <w:p>
      <w:pPr>
        <w:spacing w:after="0" w:line="200" w:lineRule="exact"/>
        <w:rPr>
          <w:sz w:val="20"/>
          <w:szCs w:val="20"/>
          <w:color w:val="auto"/>
        </w:rPr>
      </w:pPr>
    </w:p>
    <w:p>
      <w:pPr>
        <w:sectPr>
          <w:pgSz w:w="11900" w:h="16838" w:orient="portrait"/>
          <w:cols w:equalWidth="0" w:num="2">
            <w:col w:w="2440" w:space="720"/>
            <w:col w:w="7940"/>
          </w:cols>
          <w:pgMar w:left="400" w:top="144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100"/>
          </w:cols>
          <w:pgMar w:left="400" w:top="1440" w:right="399" w:bottom="1440" w:gutter="0" w:footer="0" w:header="0"/>
          <w:type w:val="continuous"/>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Restricted Stock Units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March 3, 2023, the Company had outstanding options to purchase an aggregate of:</w:t>
      </w:r>
    </w:p>
    <w:p>
      <w:pPr>
        <w:spacing w:after="0" w:line="185"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6,906,852 shares of Common Stock, at a weighted average exercise price of $15.03 USD per share; and</w:t>
      </w:r>
    </w:p>
    <w:p>
      <w:pPr>
        <w:spacing w:after="0" w:line="184" w:lineRule="exact"/>
        <w:rPr>
          <w:rFonts w:ascii="Arial" w:cs="Arial" w:eastAsia="Arial" w:hAnsi="Arial"/>
          <w:sz w:val="18"/>
          <w:szCs w:val="18"/>
          <w:color w:val="auto"/>
        </w:rPr>
      </w:pPr>
    </w:p>
    <w:p>
      <w:pPr>
        <w:ind w:right="3420" w:firstLine="332"/>
        <w:spacing w:after="0" w:line="459" w:lineRule="auto"/>
        <w:tabs>
          <w:tab w:leader="none" w:pos="6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1,941,540 shares of Common Stock, at a weighted average exercise price of $19.56 CAD per share. As of March 3, 2023, the Company had 1,038,922 outstanding restricted stock units.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March 3, 2023, the Company had 2,079,224 outstanding pre-funded warrants to purchase up to 2,079,224 shares of Common Stock.</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Exercisability</w:t>
      </w:r>
    </w:p>
    <w:p>
      <w:pPr>
        <w:spacing w:after="0" w:line="185"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The pre-funded warrants are exercisable at any time after their original issuance. The pre-funded warrants will be exercisable, at the option of each holder, in whole or in part by delivering to the Company a duly executed exercise notice and by payment in full in immediately available funds for the number of</w:t>
      </w:r>
    </w:p>
    <w:p>
      <w:pPr>
        <w:ind w:right="60"/>
        <w:spacing w:after="0" w:line="234" w:lineRule="auto"/>
        <w:rPr>
          <w:sz w:val="20"/>
          <w:szCs w:val="20"/>
          <w:color w:val="auto"/>
        </w:rPr>
      </w:pPr>
      <w:r>
        <w:rPr>
          <w:rFonts w:ascii="Arial" w:cs="Arial" w:eastAsia="Arial" w:hAnsi="Arial"/>
          <w:sz w:val="16"/>
          <w:szCs w:val="16"/>
          <w:color w:val="auto"/>
        </w:rPr>
        <w:t>shares of Common Stock purchased upon such exercise. As an alternative to payment in immediately available funds, the holder may, in its sole discretion, elect to exercise the warrant through a cashless exercise, in which case the holder would receive upon such exercise the net number of shares of Common Stock determined according to the formula set forth in the pre-funded warrant. No fractional Common Stock will be issued in connection with the exercise</w:t>
      </w:r>
    </w:p>
    <w:p>
      <w:pPr>
        <w:spacing w:after="0" w:line="2"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of a pre-funded warrant. In lieu of fractional shares, the Company will pay the holder an amount in cash equal to the fractional amount multiplied by the fair market value of any fractional shares.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Exercise Limitations</w:t>
      </w:r>
    </w:p>
    <w:p>
      <w:pPr>
        <w:spacing w:after="0" w:line="198" w:lineRule="exact"/>
        <w:rPr>
          <w:sz w:val="20"/>
          <w:szCs w:val="20"/>
          <w:color w:val="auto"/>
        </w:rPr>
      </w:pPr>
    </w:p>
    <w:p>
      <w:pPr>
        <w:ind w:right="220"/>
        <w:spacing w:after="0" w:line="241" w:lineRule="auto"/>
        <w:rPr>
          <w:sz w:val="20"/>
          <w:szCs w:val="20"/>
          <w:color w:val="auto"/>
        </w:rPr>
      </w:pPr>
      <w:r>
        <w:rPr>
          <w:rFonts w:ascii="Arial" w:cs="Arial" w:eastAsia="Arial" w:hAnsi="Arial"/>
          <w:sz w:val="16"/>
          <w:szCs w:val="16"/>
          <w:color w:val="auto"/>
        </w:rPr>
        <w:t>Under the terms of the pre-funded warrants, the Company may not effect the exercise of any pre-funded warrant, and a holder will not be entitled to exercise any portion of any pre-funded warrant, which, upon giving effect to such exercise, would cause (a) the aggregate number of shares of Common Stock beneficially owned by the holder (together with its affiliates) to exceed 9.99% of the number of shares of Common Stock outstanding immediately</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after giving effect to the exercise, or (b) the combined voting power of the Company securities beneficially owned by the holder (together with its affiliates) to exceed 9.99% of the combined voting power of all of the Company securities then outstanding immediately after giving effect to the exercise, as such percentage to any ownership is determined in accordance with the terms of the pre-funded warrants. However, any holder may increase or decrease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percentage to any other percentage not in excess of 19.99% upon at least 61 days’ prior notice from the holder to the Company.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Exercise Price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exercise price per whole Common Stock purchasable upon the exercise of the pre-funded warrants is $0.0001 per warrant share. The exercise price of</w:t>
      </w:r>
    </w:p>
    <w:p>
      <w:pPr>
        <w:spacing w:after="0" w:line="2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the pre-funded warrants is subject to appropriate adjustment in the event of certain share dividends and distributions, stock splits, stock combinations, reclassifications or similar events affecting the Company’s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Exchangeable Shares</w:t>
      </w:r>
    </w:p>
    <w:p>
      <w:pPr>
        <w:spacing w:after="0" w:line="202" w:lineRule="exact"/>
        <w:rPr>
          <w:sz w:val="20"/>
          <w:szCs w:val="20"/>
          <w:color w:val="auto"/>
        </w:rPr>
      </w:pPr>
    </w:p>
    <w:p>
      <w:pPr>
        <w:ind w:right="440"/>
        <w:spacing w:after="0" w:line="241" w:lineRule="auto"/>
        <w:rPr>
          <w:sz w:val="20"/>
          <w:szCs w:val="20"/>
          <w:color w:val="auto"/>
        </w:rPr>
      </w:pPr>
      <w:r>
        <w:rPr>
          <w:rFonts w:ascii="Arial" w:cs="Arial" w:eastAsia="Arial" w:hAnsi="Arial"/>
          <w:sz w:val="16"/>
          <w:szCs w:val="16"/>
          <w:color w:val="auto"/>
        </w:rPr>
        <w:t>Pursuant to the Redomicile Transactions, certain former shareholders of Zymeworks Canada were issued Exchangeable Shares in the capital of ExchangeCo., an indirect wholly owned subsidiary of the Company, together with certain contractual rights attached to the Exchangeable Shares. The Company has agreed to issue shares of Common Stock as consideration when, among other things, the holder of Exchangeable Shares calls for its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Exchangeable Shares to be retracted in accordance with their terms.</w:t>
      </w:r>
    </w:p>
    <w:p>
      <w:pPr>
        <w:spacing w:after="0" w:line="16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As of March 3, 2023, there were 658,612 Exchangeable Shares held by shareholders and exchangeable on a one-to-one basis, subject to adjustment, for up to 658,612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 of Delaware Law, the Certificate of Incorporation and the Bylaws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Law</w:t>
      </w:r>
    </w:p>
    <w:p>
      <w:pPr>
        <w:spacing w:after="0" w:line="185"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The Company will be governed by the provisions of Section 203 of the DGCL. Section 203 generally prohibits a publicly held Delaware corporation from engaging in a “business combination” with any “interested stockholder” for a period of three years after the date of the transaction in which the person</w:t>
      </w:r>
    </w:p>
    <w:p>
      <w:pPr>
        <w:spacing w:after="0"/>
        <w:rPr>
          <w:sz w:val="20"/>
          <w:szCs w:val="20"/>
          <w:color w:val="auto"/>
        </w:rPr>
      </w:pPr>
      <w:r>
        <w:rPr>
          <w:rFonts w:ascii="Arial" w:cs="Arial" w:eastAsia="Arial" w:hAnsi="Arial"/>
          <w:sz w:val="18"/>
          <w:szCs w:val="18"/>
          <w:color w:val="auto"/>
        </w:rPr>
        <w:t>became an interested stockholder, unless:</w:t>
      </w:r>
    </w:p>
    <w:p>
      <w:pPr>
        <w:spacing w:after="0" w:line="169" w:lineRule="exact"/>
        <w:rPr>
          <w:sz w:val="20"/>
          <w:szCs w:val="20"/>
          <w:color w:val="auto"/>
        </w:rPr>
      </w:pPr>
    </w:p>
    <w:p>
      <w:pPr>
        <w:ind w:left="660" w:right="120" w:hanging="328"/>
        <w:spacing w:after="0" w:line="235"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business combination or transaction which resulted in the stockholder becoming an interested stockholder was approved by the Board prior to the time that the stockholder became an interested stockholder;</w:t>
      </w:r>
    </w:p>
    <w:p>
      <w:pPr>
        <w:spacing w:after="0" w:line="175" w:lineRule="exact"/>
        <w:rPr>
          <w:rFonts w:ascii="Arial" w:cs="Arial" w:eastAsia="Arial" w:hAnsi="Arial"/>
          <w:sz w:val="18"/>
          <w:szCs w:val="18"/>
          <w:color w:val="auto"/>
        </w:rPr>
      </w:pPr>
    </w:p>
    <w:p>
      <w:pPr>
        <w:ind w:left="660" w:right="140" w:hanging="328"/>
        <w:spacing w:after="0" w:line="219"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62" w:lineRule="exact"/>
        <w:rPr>
          <w:rFonts w:ascii="Arial" w:cs="Arial" w:eastAsia="Arial" w:hAnsi="Arial"/>
          <w:sz w:val="18"/>
          <w:szCs w:val="18"/>
          <w:color w:val="auto"/>
        </w:rPr>
      </w:pPr>
    </w:p>
    <w:p>
      <w:pPr>
        <w:ind w:left="660" w:hanging="328"/>
        <w:spacing w:after="0" w:line="229"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a business combination to include:</w:t>
      </w:r>
    </w:p>
    <w:p>
      <w:pPr>
        <w:spacing w:after="0" w:line="198" w:lineRule="exact"/>
        <w:rPr>
          <w:sz w:val="20"/>
          <w:szCs w:val="20"/>
          <w:color w:val="auto"/>
        </w:rPr>
      </w:pPr>
    </w:p>
    <w:p>
      <w:pPr>
        <w:ind w:left="660" w:right="400" w:hanging="328"/>
        <w:spacing w:after="0" w:line="235"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mergers or consolidations involving the corporation, or any direct or indirect majority-owned subsidiary of the corporation, and the interested stockholder or any other entity if the merger or consolidation is caused by the interested stockholder;</w:t>
      </w:r>
    </w:p>
    <w:p>
      <w:pPr>
        <w:spacing w:after="0" w:line="161" w:lineRule="exact"/>
        <w:rPr>
          <w:rFonts w:ascii="Arial" w:cs="Arial" w:eastAsia="Arial" w:hAnsi="Arial"/>
          <w:sz w:val="18"/>
          <w:szCs w:val="18"/>
          <w:color w:val="auto"/>
        </w:rPr>
      </w:pPr>
    </w:p>
    <w:p>
      <w:pPr>
        <w:ind w:left="660" w:right="140" w:hanging="328"/>
        <w:spacing w:after="0" w:line="246"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 or any direct or indirect majority-owned subsidiary of the corporation;</w:t>
      </w:r>
    </w:p>
    <w:p>
      <w:pPr>
        <w:spacing w:after="0" w:line="156" w:lineRule="exact"/>
        <w:rPr>
          <w:rFonts w:ascii="Arial" w:cs="Arial" w:eastAsia="Arial" w:hAnsi="Arial"/>
          <w:sz w:val="18"/>
          <w:szCs w:val="18"/>
          <w:color w:val="auto"/>
        </w:rPr>
      </w:pPr>
    </w:p>
    <w:p>
      <w:pPr>
        <w:ind w:left="660" w:right="40" w:hanging="328"/>
        <w:spacing w:after="0" w:line="235"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or any direct or indirect majority-owned subsidiary of the corporation, of any stock of the corporation or such subsidiary to the interested stockholder;</w:t>
      </w:r>
    </w:p>
    <w:p>
      <w:pPr>
        <w:spacing w:after="0" w:line="175" w:lineRule="exact"/>
        <w:rPr>
          <w:rFonts w:ascii="Arial" w:cs="Arial" w:eastAsia="Arial" w:hAnsi="Arial"/>
          <w:sz w:val="18"/>
          <w:szCs w:val="18"/>
          <w:color w:val="auto"/>
        </w:rPr>
      </w:pPr>
    </w:p>
    <w:p>
      <w:pPr>
        <w:jc w:val="both"/>
        <w:ind w:left="660" w:right="180" w:hanging="328"/>
        <w:spacing w:after="0" w:line="224"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that has the effect of increasing the proportionate share of the stock or any class or series of the corporation or such subsidiary beneficially owned by the interested stockholder; and</w:t>
      </w:r>
    </w:p>
    <w:p>
      <w:pPr>
        <w:spacing w:after="0" w:line="176" w:lineRule="exact"/>
        <w:rPr>
          <w:rFonts w:ascii="Arial" w:cs="Arial" w:eastAsia="Arial" w:hAnsi="Arial"/>
          <w:sz w:val="18"/>
          <w:szCs w:val="18"/>
          <w:color w:val="auto"/>
        </w:rPr>
      </w:pPr>
    </w:p>
    <w:p>
      <w:pPr>
        <w:ind w:left="660" w:right="540" w:hanging="328"/>
        <w:spacing w:after="0" w:line="235"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In general, Section 203 of the DGCL defines an “interested stockholder” as an entity or person who, together with such person’s affiliates and associates,</w:t>
      </w:r>
    </w:p>
    <w:p>
      <w:pPr>
        <w:spacing w:after="0" w:line="21"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beneficially owns, or is an affiliate or associate of the corporation and within three years prior to the time of determination of interested stockholder status did own, 15% or more of the outstanding voting stock of the corporation. These provisions may have the effect of delaying, deferring or preventing changes in control of the Company, even though such a transaction may offer its stockholders the opportunity to sell their stock at a price above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prevailing market price.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Incorporation and Bylaws Provisions</w:t>
      </w:r>
    </w:p>
    <w:p>
      <w:pPr>
        <w:spacing w:after="0" w:line="18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Provisions of the Certificate of Incorporation and Bylaws include a number of provisions that could deter hostile takeovers or delay or prevent changes in control of the Board or management. Among other things, the Certificate of Incorporation and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permit the Board to issue shares of preferred stock, with any powers, rights, preferences and privileges as they may designate;</w:t>
      </w:r>
    </w:p>
    <w:p>
      <w:pPr>
        <w:spacing w:after="0" w:line="198" w:lineRule="exact"/>
        <w:rPr>
          <w:rFonts w:ascii="Arial" w:cs="Arial" w:eastAsia="Arial" w:hAnsi="Arial"/>
          <w:sz w:val="18"/>
          <w:szCs w:val="18"/>
          <w:color w:val="auto"/>
        </w:rPr>
      </w:pPr>
    </w:p>
    <w:p>
      <w:pPr>
        <w:ind w:left="660" w:right="80" w:hanging="328"/>
        <w:spacing w:after="0" w:line="224"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provided that the size of the Board may be increased by no more than 1/3 of the number of directors in office at the conclusion of the most recent annual meeting of stockholders prior to the next annual meeting of stockholders;</w:t>
      </w:r>
    </w:p>
    <w:p>
      <w:pPr>
        <w:spacing w:after="0" w:line="176" w:lineRule="exact"/>
        <w:rPr>
          <w:rFonts w:ascii="Arial" w:cs="Arial" w:eastAsia="Arial" w:hAnsi="Arial"/>
          <w:sz w:val="18"/>
          <w:szCs w:val="18"/>
          <w:color w:val="auto"/>
        </w:rPr>
      </w:pPr>
    </w:p>
    <w:p>
      <w:pPr>
        <w:jc w:val="both"/>
        <w:ind w:left="660" w:right="320" w:hanging="328"/>
        <w:spacing w:after="0" w:line="224"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that all vacancies and newly created directorships, may, except as otherwise required by law, the Company’s governing documents or resolution of the Board, and subject to the rights of holders of the Company’s preferred stock, be filled by the affirmative vote of a majority of directors then in office, even if less than a quorum, or by a sole remaining director;</w:t>
      </w:r>
    </w:p>
    <w:p>
      <w:pPr>
        <w:spacing w:after="0" w:line="176"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that members of the Board will serve one of three staggered three-year terms;</w:t>
      </w:r>
    </w:p>
    <w:p>
      <w:pPr>
        <w:spacing w:after="0" w:line="184" w:lineRule="exact"/>
        <w:rPr>
          <w:rFonts w:ascii="Arial" w:cs="Arial" w:eastAsia="Arial" w:hAnsi="Arial"/>
          <w:sz w:val="18"/>
          <w:szCs w:val="18"/>
          <w:color w:val="auto"/>
        </w:rPr>
      </w:pPr>
    </w:p>
    <w:p>
      <w:pPr>
        <w:ind w:left="660" w:right="560" w:hanging="328"/>
        <w:spacing w:after="0" w:line="235"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subject to the rights of holders of preferred stock, provide that a director may only be removed from the Board by the stockholders with the affirmative vote of at least 66 2/3% of the voting power of the shares cast on such proposal;</w:t>
      </w:r>
    </w:p>
    <w:p>
      <w:pPr>
        <w:spacing w:after="0" w:line="175" w:lineRule="exact"/>
        <w:rPr>
          <w:rFonts w:ascii="Arial" w:cs="Arial" w:eastAsia="Arial" w:hAnsi="Arial"/>
          <w:sz w:val="18"/>
          <w:szCs w:val="18"/>
          <w:color w:val="auto"/>
        </w:rPr>
      </w:pPr>
    </w:p>
    <w:p>
      <w:pPr>
        <w:ind w:left="660" w:right="100" w:hanging="328"/>
        <w:spacing w:after="0" w:line="235"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require that any action to be taken by the Company’s stockholders must be effected at a duly called annual or special meeting of stockholders and not be taken by written consent;</w:t>
      </w:r>
    </w:p>
    <w:p>
      <w:pPr>
        <w:spacing w:after="0" w:line="161" w:lineRule="exact"/>
        <w:rPr>
          <w:rFonts w:ascii="Arial" w:cs="Arial" w:eastAsia="Arial" w:hAnsi="Arial"/>
          <w:sz w:val="18"/>
          <w:szCs w:val="18"/>
          <w:color w:val="auto"/>
        </w:rPr>
      </w:pPr>
    </w:p>
    <w:p>
      <w:pPr>
        <w:jc w:val="both"/>
        <w:ind w:left="660" w:right="320" w:hanging="328"/>
        <w:spacing w:after="0" w:line="229"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163" w:lineRule="exact"/>
        <w:rPr>
          <w:rFonts w:ascii="Arial" w:cs="Arial" w:eastAsia="Arial" w:hAnsi="Arial"/>
          <w:sz w:val="18"/>
          <w:szCs w:val="18"/>
          <w:color w:val="auto"/>
        </w:rPr>
      </w:pPr>
    </w:p>
    <w:p>
      <w:pPr>
        <w:ind w:left="660" w:right="280" w:hanging="328"/>
        <w:spacing w:after="0" w:line="246"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do not provide for cumulative voting rights (therefore allowing the holders of a plurality of the shares of Common Stock entitled to vote in any election of directors to elect all of the directors standing for election, if they should so choose);</w:t>
      </w:r>
    </w:p>
    <w:p>
      <w:pPr>
        <w:spacing w:after="0" w:line="156" w:lineRule="exact"/>
        <w:rPr>
          <w:rFonts w:ascii="Arial" w:cs="Arial" w:eastAsia="Arial" w:hAnsi="Arial"/>
          <w:sz w:val="18"/>
          <w:szCs w:val="18"/>
          <w:color w:val="auto"/>
        </w:rPr>
      </w:pPr>
    </w:p>
    <w:p>
      <w:pPr>
        <w:ind w:left="660" w:right="80" w:hanging="328"/>
        <w:spacing w:after="0" w:line="229"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that special meetings of the Company’s stockholders may be called only by the Board, the chairperson of the Board, the Company’s chief executive officer or president or the secretary of the Company upon request from holders of no less than 20% of the Company’s outstanding voting stock, subject to the limitations and requirements set forth in the Bylaws; and</w:t>
      </w:r>
    </w:p>
    <w:p>
      <w:pPr>
        <w:spacing w:after="0" w:line="163" w:lineRule="exact"/>
        <w:rPr>
          <w:rFonts w:ascii="Arial" w:cs="Arial" w:eastAsia="Arial" w:hAnsi="Arial"/>
          <w:sz w:val="18"/>
          <w:szCs w:val="18"/>
          <w:color w:val="auto"/>
        </w:rPr>
      </w:pPr>
    </w:p>
    <w:p>
      <w:pPr>
        <w:ind w:left="660" w:right="80" w:hanging="328"/>
        <w:spacing w:after="0" w:line="235"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that stockholders are permitted to amend certain provisions of the Certificate of Incorporation and Bylaws only upon receiving at least 66 2/3% of the voting power of the then outstanding voting securities, voting together as a single class.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89" w:lineRule="exact"/>
        <w:rPr>
          <w:sz w:val="20"/>
          <w:szCs w:val="20"/>
          <w:color w:val="auto"/>
        </w:rPr>
      </w:pPr>
    </w:p>
    <w:p>
      <w:pPr>
        <w:ind w:right="640"/>
        <w:spacing w:after="0" w:line="248" w:lineRule="auto"/>
        <w:rPr>
          <w:sz w:val="20"/>
          <w:szCs w:val="20"/>
          <w:color w:val="auto"/>
        </w:rPr>
      </w:pPr>
      <w:r>
        <w:rPr>
          <w:rFonts w:ascii="Arial" w:cs="Arial" w:eastAsia="Arial" w:hAnsi="Arial"/>
          <w:sz w:val="16"/>
          <w:szCs w:val="16"/>
          <w:color w:val="auto"/>
        </w:rPr>
        <w:t>The Bylaws provide that, unless the Company consents in writing to the selection of an alternative forum, the sole and exclusive forum for (1) any derivative action or proceeding brought on the Company’s behalf, (2) any action asserting a claim of breach of a fiduciary duty owed by any of the</w:t>
      </w:r>
    </w:p>
    <w:p>
      <w:pPr>
        <w:ind w:right="140"/>
        <w:spacing w:after="0" w:line="234" w:lineRule="auto"/>
        <w:rPr>
          <w:sz w:val="20"/>
          <w:szCs w:val="20"/>
          <w:color w:val="auto"/>
        </w:rPr>
      </w:pPr>
      <w:r>
        <w:rPr>
          <w:rFonts w:ascii="Arial" w:cs="Arial" w:eastAsia="Arial" w:hAnsi="Arial"/>
          <w:sz w:val="16"/>
          <w:szCs w:val="16"/>
          <w:color w:val="auto"/>
        </w:rPr>
        <w:t>Company’s directors, stockholders, officers or other employees to the Company or its stockholders, (3) any action arising pursuant to any provision of the DGCL or the Certificate of Incorporation or Bylaws or (4) any other action asserting a claim that is governed by the internal affairs doctrine shall be the Court of Chancery of the State of Delaware (or, if the Court of Chancery does not have jurisdiction, another State court in Delaware or the federal district</w:t>
      </w:r>
    </w:p>
    <w:p>
      <w:pPr>
        <w:spacing w:after="0" w:line="2" w:lineRule="exact"/>
        <w:rPr>
          <w:sz w:val="20"/>
          <w:szCs w:val="20"/>
          <w:color w:val="auto"/>
        </w:rPr>
      </w:pPr>
    </w:p>
    <w:p>
      <w:pPr>
        <w:ind w:right="360"/>
        <w:spacing w:after="0" w:line="234" w:lineRule="auto"/>
        <w:rPr>
          <w:sz w:val="20"/>
          <w:szCs w:val="20"/>
          <w:color w:val="auto"/>
        </w:rPr>
      </w:pPr>
      <w:r>
        <w:rPr>
          <w:rFonts w:ascii="Arial" w:cs="Arial" w:eastAsia="Arial" w:hAnsi="Arial"/>
          <w:sz w:val="16"/>
          <w:szCs w:val="16"/>
          <w:color w:val="auto"/>
        </w:rPr>
        <w:t>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w:t>
      </w:r>
    </w:p>
    <w:p>
      <w:pPr>
        <w:spacing w:after="0" w:line="2"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court does not have subject matter jurisdiction. The Bylaws also provide that, unless the Company consents in writing to the selection of an alternative forum, the federal district courts of the United States is the sole and exclusive forum for resolving any complaint asserting a cause of action arising under the Securities Act against any person in connection with any offering of the Company’s securities (including without limitation and for the avoidance of</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doubt, any underwriter, auditor, expert, control person or other defendant). Any person or entity purchasing or otherwise acquiring any interest in any of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440" w:right="359" w:bottom="1440" w:gutter="0" w:footer="0" w:header="0"/>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securities shall be deemed to have notice of and consented to the foregoing bylaw provisions. This provision would not apply to any action brought to</w:t>
      </w:r>
    </w:p>
    <w:p>
      <w:pPr>
        <w:spacing w:after="0" w:line="10" w:lineRule="exact"/>
        <w:rPr>
          <w:sz w:val="20"/>
          <w:szCs w:val="20"/>
          <w:color w:val="auto"/>
        </w:rPr>
      </w:pPr>
    </w:p>
    <w:p>
      <w:pPr>
        <w:jc w:val="both"/>
        <w:ind w:right="180"/>
        <w:spacing w:after="0" w:line="218" w:lineRule="auto"/>
        <w:rPr>
          <w:sz w:val="20"/>
          <w:szCs w:val="20"/>
          <w:color w:val="auto"/>
        </w:rPr>
      </w:pPr>
      <w:r>
        <w:rPr>
          <w:rFonts w:ascii="Arial" w:cs="Arial" w:eastAsia="Arial" w:hAnsi="Arial"/>
          <w:sz w:val="18"/>
          <w:szCs w:val="18"/>
          <w:color w:val="auto"/>
        </w:rPr>
        <w:t>enforce a duty or liability created by the U.S. Exchange Act and the rules and regulations thereunder. The Company’s stockholders will not be deemed to have waived the Company’s compliance with the federal securities laws and the rules and regulations thereunder as a result of the Company’s exclusive forum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8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transfer agent and registrar for the shares of Common Stock and Exchangeable Shares is Computershare. The transfer agent and registrar’s address is 150 Royall Street, Canton, Massachusetts 02021.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listed on The Nasdaq Stock Market LLC under the symbol “ZYME”.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02"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The Certificate of Incorporation contains provisions that limit the liability of the Company’s directors and officers for monetary damages to the fullest extent permitted by the DGCL. In addition, if the DGCL is amended to provide for further limitations on the personal liability of directors of corporations, then the personal liability of the Company’s directors will be further limited to the greatest extent permitted by the DGCL.</w:t>
      </w:r>
    </w:p>
    <w:p>
      <w:pPr>
        <w:spacing w:after="0" w:line="17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Bylaws provide that the Company will indemnify its directors and officers, and may indemnify its employees, agents and any other persons, to the fullest extent permitted by the DGCL. The Bylaws also provide that it must advance expenses incurred by or on behalf of a director or officer in advance of the final disposition of any action or proceeding, subject to limited exceptions.</w:t>
      </w:r>
    </w:p>
    <w:p>
      <w:pPr>
        <w:spacing w:after="0" w:line="176" w:lineRule="exact"/>
        <w:rPr>
          <w:sz w:val="20"/>
          <w:szCs w:val="20"/>
          <w:color w:val="auto"/>
        </w:rPr>
      </w:pPr>
    </w:p>
    <w:p>
      <w:pPr>
        <w:ind w:right="200"/>
        <w:spacing w:after="0" w:line="241" w:lineRule="auto"/>
        <w:rPr>
          <w:sz w:val="20"/>
          <w:szCs w:val="20"/>
          <w:color w:val="auto"/>
        </w:rPr>
      </w:pPr>
      <w:r>
        <w:rPr>
          <w:rFonts w:ascii="Arial" w:cs="Arial" w:eastAsia="Arial" w:hAnsi="Arial"/>
          <w:sz w:val="16"/>
          <w:szCs w:val="16"/>
          <w:color w:val="auto"/>
        </w:rPr>
        <w:t>Further, the Company has entered into or will enter into indemnification agreements with each of its directors and executive officers that may be broader than the specific indemnification provisions contained in the DGCL. These indemnification agreements require the Company, among other things, to indemnify its directors and executive officers against liabilities that may arise by reason of their status or service. These indemnification agreements also</w:t>
      </w:r>
    </w:p>
    <w:p>
      <w:pPr>
        <w:spacing w:after="0" w:line="2" w:lineRule="exact"/>
        <w:rPr>
          <w:sz w:val="20"/>
          <w:szCs w:val="20"/>
          <w:color w:val="auto"/>
        </w:rPr>
      </w:pPr>
    </w:p>
    <w:p>
      <w:pPr>
        <w:ind w:right="200"/>
        <w:spacing w:after="0" w:line="218" w:lineRule="auto"/>
        <w:rPr>
          <w:sz w:val="20"/>
          <w:szCs w:val="20"/>
          <w:color w:val="auto"/>
        </w:rPr>
      </w:pPr>
      <w:r>
        <w:rPr>
          <w:rFonts w:ascii="Arial" w:cs="Arial" w:eastAsia="Arial" w:hAnsi="Arial"/>
          <w:sz w:val="18"/>
          <w:szCs w:val="18"/>
          <w:color w:val="auto"/>
        </w:rPr>
        <w:t>require the Company to advance all expenses reasonably and actually incurred by the directors and executive officers in investigating or defending any such action, suit or proceeding. The Company believes that these agreements are necessary to attract and retain qualified individuals to serve as directors and executive officers.</w:t>
      </w:r>
    </w:p>
    <w:p>
      <w:pPr>
        <w:spacing w:after="0" w:line="176"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The Company also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the Company’s directors or officers. The coverage provided by</w:t>
      </w:r>
    </w:p>
    <w:p>
      <w:pPr>
        <w:spacing w:after="0" w:line="2"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these policies may apply whether or not the Company would have the power to indemnify such person against such liability under the provisions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1440" w:right="379" w:bottom="1440" w:gutter="0" w:footer="0" w:header="0"/>
        </w:sectPr>
      </w:pPr>
    </w:p>
    <w:bookmarkStart w:id="157" w:name="page158"/>
    <w:bookmarkEnd w:id="157"/>
    <w:p>
      <w:pPr>
        <w:jc w:val="right"/>
        <w:spacing w:after="0"/>
        <w:rPr>
          <w:sz w:val="20"/>
          <w:szCs w:val="20"/>
          <w:color w:val="auto"/>
        </w:rPr>
      </w:pPr>
      <w:r>
        <w:rPr>
          <w:rFonts w:ascii="Arial" w:cs="Arial" w:eastAsia="Arial" w:hAnsi="Arial"/>
          <w:sz w:val="20"/>
          <w:szCs w:val="20"/>
          <w:b w:val="1"/>
          <w:bCs w:val="1"/>
          <w:color w:val="auto"/>
        </w:rPr>
        <w:t>Exhibit 10.59</w:t>
      </w:r>
    </w:p>
    <w:p>
      <w:pPr>
        <w:spacing w:after="0" w:line="81"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SEPARATION AGREEMENT AND RELEASE</w:t>
      </w:r>
    </w:p>
    <w:p>
      <w:pPr>
        <w:spacing w:after="0" w:line="127"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This Separation Agreement and Release (“Agreement”) is made by and between Neil Josephson (“Employee”) and Zymeworks Biopharmaceuticals Inc. (the “Company”) (collectively referred to as the “Parties” or individually referred to as a “Party”).</w:t>
      </w:r>
    </w:p>
    <w:p>
      <w:pPr>
        <w:spacing w:after="0" w:line="153"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WHEREAS, Employee was employed at-will by the Company pursuant to that certain April 29, 2019 Employment Agreement between Employee and the Company (the “Employment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Employee separated from employment with the Company effective January 3</w:t>
      </w:r>
      <w:r>
        <w:rPr>
          <w:rFonts w:ascii="Arial" w:cs="Arial" w:eastAsia="Arial" w:hAnsi="Arial"/>
          <w:sz w:val="23"/>
          <w:szCs w:val="23"/>
          <w:color w:val="auto"/>
          <w:vertAlign w:val="superscript"/>
        </w:rPr>
        <w:t>rd</w:t>
      </w:r>
      <w:r>
        <w:rPr>
          <w:rFonts w:ascii="Arial" w:cs="Arial" w:eastAsia="Arial" w:hAnsi="Arial"/>
          <w:sz w:val="18"/>
          <w:szCs w:val="18"/>
          <w:color w:val="auto"/>
        </w:rPr>
        <w:t>, 2023 (the “Separation Date”); and</w:t>
      </w:r>
    </w:p>
    <w:p>
      <w:pPr>
        <w:spacing w:after="0" w:line="181" w:lineRule="exact"/>
        <w:rPr>
          <w:sz w:val="20"/>
          <w:szCs w:val="20"/>
          <w:color w:val="auto"/>
        </w:rPr>
      </w:pPr>
    </w:p>
    <w:p>
      <w:pPr>
        <w:jc w:val="center"/>
        <w:ind w:left="340"/>
        <w:spacing w:after="0"/>
        <w:rPr>
          <w:sz w:val="20"/>
          <w:szCs w:val="20"/>
          <w:color w:val="auto"/>
        </w:rPr>
      </w:pPr>
      <w:r>
        <w:rPr>
          <w:rFonts w:ascii="Arial" w:cs="Arial" w:eastAsia="Arial" w:hAnsi="Arial"/>
          <w:sz w:val="19"/>
          <w:szCs w:val="19"/>
          <w:color w:val="auto"/>
        </w:rPr>
        <w:t>NOW, THEREFORE, in consideration of the mutual promises made herein, the Company and Employee hereby agree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COVENANTS</w:t>
      </w:r>
    </w:p>
    <w:p>
      <w:pPr>
        <w:spacing w:after="0" w:line="222" w:lineRule="exact"/>
        <w:rPr>
          <w:sz w:val="20"/>
          <w:szCs w:val="20"/>
          <w:color w:val="auto"/>
        </w:rPr>
      </w:pPr>
    </w:p>
    <w:p>
      <w:pPr>
        <w:ind w:firstLine="656"/>
        <w:spacing w:after="0" w:line="285" w:lineRule="auto"/>
        <w:tabs>
          <w:tab w:leader="none" w:pos="129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In consideration of Employee’s execution of this Agreement and Employee’s fulfillment of all of its terms and conditions, and provided that Employee does not revoke the Agreement under Section 6 below, the Company agrees as follows:</w:t>
      </w:r>
    </w:p>
    <w:p>
      <w:pPr>
        <w:spacing w:after="0" w:line="142" w:lineRule="exact"/>
        <w:rPr>
          <w:rFonts w:ascii="Arial" w:cs="Arial" w:eastAsia="Arial" w:hAnsi="Arial"/>
          <w:sz w:val="18"/>
          <w:szCs w:val="18"/>
          <w:color w:val="auto"/>
        </w:rPr>
      </w:pPr>
    </w:p>
    <w:p>
      <w:pPr>
        <w:jc w:val="both"/>
        <w:ind w:firstLine="1304"/>
        <w:spacing w:after="0" w:line="220" w:lineRule="auto"/>
        <w:tabs>
          <w:tab w:leader="none" w:pos="1933" w:val="left"/>
        </w:tabs>
        <w:numPr>
          <w:ilvl w:val="1"/>
          <w:numId w:val="74"/>
        </w:numPr>
        <w:rPr>
          <w:rFonts w:ascii="Arial" w:cs="Arial" w:eastAsia="Arial" w:hAnsi="Arial"/>
          <w:sz w:val="20"/>
          <w:szCs w:val="20"/>
          <w:color w:val="auto"/>
        </w:rPr>
      </w:pPr>
      <w:r>
        <w:rPr>
          <w:rFonts w:ascii="Arial" w:cs="Arial" w:eastAsia="Arial" w:hAnsi="Arial"/>
          <w:sz w:val="20"/>
          <w:szCs w:val="20"/>
          <w:u w:val="single" w:color="auto"/>
          <w:color w:val="auto"/>
        </w:rPr>
        <w:t>Salary Continuation</w:t>
      </w:r>
      <w:r>
        <w:rPr>
          <w:rFonts w:ascii="Arial" w:cs="Arial" w:eastAsia="Arial" w:hAnsi="Arial"/>
          <w:sz w:val="20"/>
          <w:szCs w:val="20"/>
          <w:color w:val="auto"/>
        </w:rPr>
        <w:t>. For the twelve (12) month period immediately following the Separation Date (the “Severance Period”), the Company will pay Employee the equivalent of Employee’s base salary in effect as of the Separation Date (i.e., US$40,000 per month), which will be paid, less applicable withholdings, on each of the Company’s regular payroll dates during the Severance Period, subject to the payment timing provisions in Section 9 below.</w:t>
      </w:r>
    </w:p>
    <w:p>
      <w:pPr>
        <w:spacing w:after="0" w:line="196" w:lineRule="exact"/>
        <w:rPr>
          <w:rFonts w:ascii="Arial" w:cs="Arial" w:eastAsia="Arial" w:hAnsi="Arial"/>
          <w:sz w:val="20"/>
          <w:szCs w:val="20"/>
          <w:color w:val="auto"/>
        </w:rPr>
      </w:pPr>
    </w:p>
    <w:p>
      <w:pPr>
        <w:jc w:val="both"/>
        <w:ind w:firstLine="1304"/>
        <w:spacing w:after="0" w:line="234" w:lineRule="auto"/>
        <w:tabs>
          <w:tab w:leader="none" w:pos="1944"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COBRA Reimbursement</w:t>
      </w:r>
      <w:r>
        <w:rPr>
          <w:rFonts w:ascii="Arial" w:cs="Arial" w:eastAsia="Arial" w:hAnsi="Arial"/>
          <w:sz w:val="18"/>
          <w:szCs w:val="18"/>
          <w:color w:val="auto"/>
        </w:rPr>
        <w:t>. The Company shall directly pay the premiums, or shall reimburse Employee for the payments Employee makes, for COBRA coverage for a period of up to the first twelve (12) full calendar months that occur after the Separation Date, or until Employee has secured health insurance coverage through another employer, whichever occurs first, provided Employee timely elects and pays for continuation coverage pursuant to the Consolidated Omnibus Budget Reconciliation Act of 1985, as amended (“COBRA”), within the time period prescribed pursuant to COBRA. COBRA reimbursements shall be made by the Company to Employee consistent with the Company’s normal expense reimbursement policy, provided that Employee submits documentation to the Company substantiating Employee’s payments for COBRA coverage. Notwithstanding the preceding, if the Company determines in its sole discretion that it cannot provide COBRA direct pay or reimbursement benefits without potentially violating applicable law (including, without limitation, Section 2716 of the Public Health Service Act), the Company will instead provide the Employee a taxable payment in an amount equal to the monthly COBRA premium that the Employee would be required to pay to continue the Employee’s group health coverage in effect on the date of termination of employment (which amount will be based on the premium for the first month of COBRA coverage), which payments will be made regardless of whether the Employee elects COBRA continuation coverage and will commence in the month following the month of the Separation Date and continue for the period of months indicated in this paragraph.</w:t>
      </w:r>
    </w:p>
    <w:p>
      <w:pPr>
        <w:spacing w:after="0" w:line="184" w:lineRule="exact"/>
        <w:rPr>
          <w:rFonts w:ascii="Arial" w:cs="Arial" w:eastAsia="Arial" w:hAnsi="Arial"/>
          <w:sz w:val="18"/>
          <w:szCs w:val="18"/>
          <w:color w:val="auto"/>
        </w:rPr>
      </w:pPr>
    </w:p>
    <w:p>
      <w:pPr>
        <w:jc w:val="both"/>
        <w:ind w:firstLine="1304"/>
        <w:spacing w:after="0" w:line="220" w:lineRule="auto"/>
        <w:tabs>
          <w:tab w:leader="none" w:pos="1933" w:val="left"/>
        </w:tabs>
        <w:numPr>
          <w:ilvl w:val="1"/>
          <w:numId w:val="74"/>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Employee acknowledges that without this Agreement, Employee is otherwise not entitled to the consideration listed in this Section 1. Employee acknowledges that the consideration listed in this Section 1 constitutes the severance payments and benefits described in Section 4.2 of the Employment Agreement, and that Employee shall be entitled to no further severance payments and benefits, whether under the Employment Agreement or otherwise.</w:t>
      </w:r>
    </w:p>
    <w:p>
      <w:pPr>
        <w:spacing w:after="0" w:line="196" w:lineRule="exact"/>
        <w:rPr>
          <w:rFonts w:ascii="Arial" w:cs="Arial" w:eastAsia="Arial" w:hAnsi="Arial"/>
          <w:sz w:val="20"/>
          <w:szCs w:val="20"/>
          <w:color w:val="auto"/>
        </w:rPr>
      </w:pPr>
    </w:p>
    <w:p>
      <w:pPr>
        <w:jc w:val="both"/>
        <w:ind w:firstLine="656"/>
        <w:spacing w:after="0" w:line="298" w:lineRule="auto"/>
        <w:tabs>
          <w:tab w:leader="none" w:pos="1296"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Offices and Positions</w:t>
      </w:r>
      <w:r>
        <w:rPr>
          <w:rFonts w:ascii="Arial" w:cs="Arial" w:eastAsia="Arial" w:hAnsi="Arial"/>
          <w:sz w:val="16"/>
          <w:szCs w:val="16"/>
          <w:color w:val="auto"/>
        </w:rPr>
        <w:t>. Employee acknowledges and agrees that, effective as of the Separation Date, Employee is deemed to no longer hold any positions and offices as an employee and officer of the Company and its affiliates. Employee also agrees to execute any necessary documents or other forms necessary to effectuate or document the foregoing as a matter of local, state, federal, or international law.</w:t>
      </w:r>
    </w:p>
    <w:p>
      <w:pPr>
        <w:spacing w:after="0" w:line="124" w:lineRule="exact"/>
        <w:rPr>
          <w:rFonts w:ascii="Arial" w:cs="Arial" w:eastAsia="Arial" w:hAnsi="Arial"/>
          <w:sz w:val="16"/>
          <w:szCs w:val="16"/>
          <w:color w:val="auto"/>
        </w:rPr>
      </w:pPr>
    </w:p>
    <w:p>
      <w:pPr>
        <w:ind w:right="20" w:firstLine="656"/>
        <w:spacing w:after="0" w:line="236" w:lineRule="auto"/>
        <w:tabs>
          <w:tab w:leader="none" w:pos="1296"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Release of Claims</w:t>
      </w:r>
      <w:r>
        <w:rPr>
          <w:rFonts w:ascii="Arial" w:cs="Arial" w:eastAsia="Arial" w:hAnsi="Arial"/>
          <w:sz w:val="20"/>
          <w:szCs w:val="20"/>
          <w:color w:val="auto"/>
        </w:rPr>
        <w:t>. Employee agrees that the foregoing consideration represents settlement in full of all outstanding obligations owed to Employee by the Company, each of its parent and subsidiary</w:t>
      </w:r>
    </w:p>
    <w:p>
      <w:pPr>
        <w:sectPr>
          <w:pgSz w:w="11900" w:h="16838" w:orient="portrait"/>
          <w:cols w:equalWidth="0" w:num="1">
            <w:col w:w="11240"/>
          </w:cols>
          <w:pgMar w:left="320" w:top="1399"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corporations, and its and their respective current and former officers, directors, employees, agents, investors, attorneys, shareholders,</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administrators, affiliates, benefit plans, plan administrators, insurers, trustees, divisions, predecessor and successor corporations and assigns, each in their capacities as such (collectively, the “Releasees”). Employee, on Employee’s own behalf and on behalf of Employee’s respective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heirs, family members, executors, agents, and assigns, hereby and forever releases the Releasees from, and agrees not to sue concerning, or in</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any manner to institute, prosecute, or pursue, any claim, complaint, charge, duty, obligation, or cause of action relating to any matters of any kind, whether presently known or unknown, suspected or unsuspected, that Employee may possess against any of the Releasees arising from</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any omissions, acts, facts, or damages that have occurred up until and including the date Employee signs this Agreement, including, without limitation:</w:t>
      </w:r>
    </w:p>
    <w:p>
      <w:pPr>
        <w:spacing w:after="0" w:line="156" w:lineRule="exact"/>
        <w:rPr>
          <w:sz w:val="20"/>
          <w:szCs w:val="20"/>
          <w:color w:val="auto"/>
        </w:rPr>
      </w:pPr>
    </w:p>
    <w:p>
      <w:pPr>
        <w:ind w:right="20" w:firstLine="1304"/>
        <w:spacing w:after="0" w:line="236" w:lineRule="auto"/>
        <w:tabs>
          <w:tab w:leader="none" w:pos="1815"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any and all claims relating to or arising from Employee’s employment relationship with the Company and the termination of that relationship;</w:t>
      </w:r>
    </w:p>
    <w:p>
      <w:pPr>
        <w:spacing w:after="0" w:line="168" w:lineRule="exact"/>
        <w:rPr>
          <w:rFonts w:ascii="Arial" w:cs="Arial" w:eastAsia="Arial" w:hAnsi="Arial"/>
          <w:sz w:val="20"/>
          <w:szCs w:val="20"/>
          <w:color w:val="auto"/>
        </w:rPr>
      </w:pPr>
    </w:p>
    <w:p>
      <w:pPr>
        <w:jc w:val="both"/>
        <w:ind w:firstLine="1304"/>
        <w:spacing w:after="0" w:line="223" w:lineRule="auto"/>
        <w:tabs>
          <w:tab w:leader="none" w:pos="16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68" w:lineRule="exact"/>
        <w:rPr>
          <w:rFonts w:ascii="Arial" w:cs="Arial" w:eastAsia="Arial" w:hAnsi="Arial"/>
          <w:sz w:val="20"/>
          <w:szCs w:val="20"/>
          <w:color w:val="auto"/>
        </w:rPr>
      </w:pPr>
    </w:p>
    <w:p>
      <w:pPr>
        <w:jc w:val="both"/>
        <w:ind w:firstLine="1304"/>
        <w:spacing w:after="0" w:line="226" w:lineRule="auto"/>
        <w:tabs>
          <w:tab w:leader="none" w:pos="1683" w:val="left"/>
        </w:tabs>
        <w:numPr>
          <w:ilvl w:val="0"/>
          <w:numId w:val="75"/>
        </w:numPr>
        <w:rPr>
          <w:rFonts w:ascii="Arial" w:cs="Arial" w:eastAsia="Arial" w:hAnsi="Arial"/>
          <w:sz w:val="19"/>
          <w:szCs w:val="19"/>
          <w:color w:val="auto"/>
        </w:rPr>
      </w:pPr>
      <w:r>
        <w:rPr>
          <w:rFonts w:ascii="Arial" w:cs="Arial" w:eastAsia="Arial" w:hAnsi="Arial"/>
          <w:sz w:val="19"/>
          <w:szCs w:val="19"/>
          <w:color w:val="auto"/>
        </w:rPr>
        <w:t>any and all claims under the law of any jurisdiction, including, but not limited to, wrongful discharge of employment; constructive discharge from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56" w:lineRule="exact"/>
        <w:rPr>
          <w:rFonts w:ascii="Arial" w:cs="Arial" w:eastAsia="Arial" w:hAnsi="Arial"/>
          <w:sz w:val="19"/>
          <w:szCs w:val="19"/>
          <w:color w:val="auto"/>
        </w:rPr>
      </w:pPr>
    </w:p>
    <w:p>
      <w:pPr>
        <w:jc w:val="both"/>
        <w:ind w:firstLine="1304"/>
        <w:spacing w:after="0" w:line="221" w:lineRule="auto"/>
        <w:tabs>
          <w:tab w:leader="none" w:pos="1696" w:val="left"/>
        </w:tabs>
        <w:numPr>
          <w:ilvl w:val="0"/>
          <w:numId w:val="75"/>
        </w:numPr>
        <w:rPr>
          <w:rFonts w:ascii="Arial" w:cs="Arial" w:eastAsia="Arial" w:hAnsi="Arial"/>
          <w:sz w:val="19"/>
          <w:szCs w:val="19"/>
          <w:color w:val="auto"/>
        </w:rPr>
      </w:pPr>
      <w:r>
        <w:rPr>
          <w:rFonts w:ascii="Arial" w:cs="Arial" w:eastAsia="Arial" w:hAnsi="Arial"/>
          <w:sz w:val="19"/>
          <w:szCs w:val="19"/>
          <w:color w:val="auto"/>
        </w:rPr>
        <w:t>any and all claims for violation of any federal, state, or municipal statute, including, but not limited to, the following, each as may be amended, and except as prohibited by law: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Uniformed Services Employment and Reemployment Rights Act; the Immigration Reform and Control Act; the National Labor Relations Act; the Washington Law Against Discrimination (RCW ch. 49.60); other Washington sex and age discrimination laws (e.g., RCW 49.12.200, 49.44.090); Washington laws regarding prohibited employment practices (RCW ch. 49.44); the Washington Equal Pay Opportunity Act (RCW ch. 49.58); Washington whistleblower protection laws (e.g., RCW 49.60.210, 49.12.005, and 49.12.130); the Washington Family Care Act (RCW 49.12.265 to 49.12.295); the Washington Family Leave Act (RCW ch. 49.78); the Washington Military Family Leave Act (RCW ch. 49.77); the Washington Paid Family and Medical Leave Act (RCW ch. 50A.04); the Washington Minimum Wage Act (RCW ch. 49.46); the Washington law regarding non-competition agreements (RCW ch. 49.62); Washington wage, hour, and working conditions laws, and all other provisions of the Washington Industrial Welfare Act (RCW ch. 49.12); the Washington Wage Payment Act (RCW ch. 49.48); and the Washington Wage Rebate Act (RCW ch. 49.52);</w:t>
      </w:r>
    </w:p>
    <w:p>
      <w:pPr>
        <w:spacing w:after="0" w:line="180" w:lineRule="exact"/>
        <w:rPr>
          <w:rFonts w:ascii="Arial" w:cs="Arial" w:eastAsia="Arial" w:hAnsi="Arial"/>
          <w:sz w:val="19"/>
          <w:szCs w:val="19"/>
          <w:color w:val="auto"/>
        </w:rPr>
      </w:pPr>
    </w:p>
    <w:p>
      <w:pPr>
        <w:ind w:left="1640" w:hanging="336"/>
        <w:spacing w:after="0"/>
        <w:tabs>
          <w:tab w:leader="none" w:pos="16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any and all claims for violation of the federal or any state constitution;</w:t>
      </w:r>
    </w:p>
    <w:p>
      <w:pPr>
        <w:spacing w:after="0" w:line="175" w:lineRule="exact"/>
        <w:rPr>
          <w:rFonts w:ascii="Arial" w:cs="Arial" w:eastAsia="Arial" w:hAnsi="Arial"/>
          <w:sz w:val="20"/>
          <w:szCs w:val="20"/>
          <w:color w:val="auto"/>
        </w:rPr>
      </w:pPr>
    </w:p>
    <w:p>
      <w:pPr>
        <w:ind w:left="1620" w:hanging="316"/>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211" w:lineRule="exact"/>
        <w:rPr>
          <w:rFonts w:ascii="Arial" w:cs="Arial" w:eastAsia="Arial" w:hAnsi="Arial"/>
          <w:sz w:val="18"/>
          <w:szCs w:val="18"/>
          <w:color w:val="auto"/>
        </w:rPr>
      </w:pPr>
    </w:p>
    <w:p>
      <w:pPr>
        <w:ind w:firstLine="1304"/>
        <w:spacing w:after="0" w:line="236" w:lineRule="auto"/>
        <w:tabs>
          <w:tab w:leader="none" w:pos="1771"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any claim for any loss, cost, damage, or expense arising out of any dispute over the nonwithholding or other tax treatment of any of the proceeds received by Employee as a result of this Agreement; and</w:t>
      </w:r>
    </w:p>
    <w:p>
      <w:pPr>
        <w:spacing w:after="0" w:line="155" w:lineRule="exact"/>
        <w:rPr>
          <w:rFonts w:ascii="Arial" w:cs="Arial" w:eastAsia="Arial" w:hAnsi="Arial"/>
          <w:sz w:val="20"/>
          <w:szCs w:val="20"/>
          <w:color w:val="auto"/>
        </w:rPr>
      </w:pPr>
    </w:p>
    <w:p>
      <w:pPr>
        <w:ind w:left="1660" w:hanging="356"/>
        <w:spacing w:after="0"/>
        <w:tabs>
          <w:tab w:leader="none" w:pos="16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any and all claims for attorneys’ fees and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5"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Employee agrees that the release set forth in this section shall be and remain in effect in all respects as a complete general release as to the</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matters released. This release does not extend to any obligations incurred under this Agreement. This release does not release claims that cannot be released as a matter of law, including any Protected Activity (as defined below). Any and all disputed wage claims that are released</w:t>
      </w:r>
    </w:p>
    <w:p>
      <w:pPr>
        <w:spacing w:after="0" w:line="235" w:lineRule="auto"/>
        <w:rPr>
          <w:sz w:val="20"/>
          <w:szCs w:val="20"/>
          <w:color w:val="auto"/>
        </w:rPr>
      </w:pPr>
      <w:r>
        <w:rPr>
          <w:rFonts w:ascii="Arial" w:cs="Arial" w:eastAsia="Arial" w:hAnsi="Arial"/>
          <w:sz w:val="18"/>
          <w:szCs w:val="18"/>
          <w:color w:val="auto"/>
        </w:rPr>
        <w:t>herein shall be subject to binding arbitration in accordance with Article 9 of the Employment Agreement, except as required by applicable</w:t>
      </w:r>
    </w:p>
    <w:p>
      <w:pPr>
        <w:spacing w:after="0" w:line="220" w:lineRule="auto"/>
        <w:rPr>
          <w:sz w:val="20"/>
          <w:szCs w:val="20"/>
          <w:color w:val="auto"/>
        </w:rPr>
      </w:pPr>
      <w:r>
        <w:rPr>
          <w:rFonts w:ascii="Arial" w:cs="Arial" w:eastAsia="Arial" w:hAnsi="Arial"/>
          <w:sz w:val="20"/>
          <w:szCs w:val="20"/>
          <w:color w:val="auto"/>
        </w:rPr>
        <w:t>law. This release does not extend to any right Employee may have to unemployment compensation benefits or workers’ compensation benefits.</w:t>
      </w:r>
    </w:p>
    <w:p>
      <w:pPr>
        <w:spacing w:after="0" w:line="197" w:lineRule="exact"/>
        <w:rPr>
          <w:sz w:val="20"/>
          <w:szCs w:val="20"/>
          <w:color w:val="auto"/>
        </w:rPr>
      </w:pPr>
    </w:p>
    <w:p>
      <w:pPr>
        <w:jc w:val="both"/>
        <w:ind w:firstLine="656"/>
        <w:spacing w:after="0" w:line="233" w:lineRule="auto"/>
        <w:tabs>
          <w:tab w:leader="none" w:pos="129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Acknowledgment of Waiver of Claims under ADEA</w:t>
      </w:r>
      <w:r>
        <w:rPr>
          <w:rFonts w:ascii="Arial" w:cs="Arial" w:eastAsia="Arial" w:hAnsi="Arial"/>
          <w:sz w:val="18"/>
          <w:szCs w:val="18"/>
          <w:color w:val="auto"/>
          <w:highlight w:val="white"/>
        </w:rPr>
        <w:t>. Employee understands and acknowledges that Employee is waiving</w:t>
      </w:r>
      <w:r>
        <w:rPr>
          <w:rFonts w:ascii="Arial" w:cs="Arial" w:eastAsia="Arial" w:hAnsi="Arial"/>
          <w:sz w:val="18"/>
          <w:szCs w:val="18"/>
          <w:color w:val="auto"/>
        </w:rPr>
        <w:t xml:space="preserve"> and releasing any rights Employee may have under the Age Discrimination in Employment Act of 1967 (“ADEA”), and that this waiver and release is knowing and voluntary. Employee understands and agrees that this waiver and release does not apply to any rights or claims that may arise under the ADEA after the date Employee signs this Agreement. Employee understands and acknowledges that the consideration given for this waiver and release is in addition to anything of value to which Employee was already entitled. Employee further understands </w:t>
      </w:r>
      <w:r>
        <w:rPr>
          <w:rFonts w:ascii="Arial" w:cs="Arial" w:eastAsia="Arial" w:hAnsi="Arial"/>
          <w:sz w:val="18"/>
          <w:szCs w:val="18"/>
          <w:color w:val="auto"/>
          <w:highlight w:val="white"/>
        </w:rPr>
        <w:t xml:space="preserve">and acknowledges that Employee has been advised by this writing that: (a) Employee should consult with an attorney </w:t>
      </w:r>
      <w:r>
        <w:rPr>
          <w:rFonts w:ascii="Arial" w:cs="Arial" w:eastAsia="Arial" w:hAnsi="Arial"/>
          <w:sz w:val="18"/>
          <w:szCs w:val="18"/>
          <w:u w:val="single" w:color="auto"/>
          <w:color w:val="auto"/>
          <w:highlight w:val="white"/>
        </w:rPr>
        <w:t>prior</w:t>
      </w:r>
      <w:r>
        <w:rPr>
          <w:rFonts w:ascii="Arial" w:cs="Arial" w:eastAsia="Arial" w:hAnsi="Arial"/>
          <w:sz w:val="18"/>
          <w:szCs w:val="18"/>
          <w:color w:val="auto"/>
          <w:highlight w:val="white"/>
        </w:rPr>
        <w:t xml:space="preserve"> </w:t>
      </w:r>
      <w:r>
        <w:rPr>
          <w:rFonts w:ascii="Arial" w:cs="Arial" w:eastAsia="Arial" w:hAnsi="Arial"/>
          <w:sz w:val="18"/>
          <w:szCs w:val="18"/>
          <w:color w:val="auto"/>
        </w:rPr>
        <w:t>to executing this</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Agreement; (b) Employee has twenty-one (21) days within which to consider this Agreement; (c) Employee has seven (7) days following Employee’s execution of this Agreement to revoke this Agreement; (d) this Agreement shall not be effective until after the revocation period has expired; and (e) nothing in this Agreement prevents or precludes Employee from challenging or seeking a determination in good faith of </w:t>
      </w:r>
      <w:r>
        <w:rPr>
          <w:rFonts w:ascii="Arial" w:cs="Arial" w:eastAsia="Arial" w:hAnsi="Arial"/>
          <w:sz w:val="18"/>
          <w:szCs w:val="18"/>
          <w:color w:val="auto"/>
          <w:highlight w:val="white"/>
        </w:rPr>
        <w:t xml:space="preserve">the validity of this waiver under the ADEA, nor does it impose any condition precedent, penalties, or costs for doing so, unless specifically authorized by federal law. In the event Employee signs this Agreement and returns it to the Company in less than the 21-day period identified </w:t>
      </w:r>
      <w:r>
        <w:rPr>
          <w:rFonts w:ascii="Arial" w:cs="Arial" w:eastAsia="Arial" w:hAnsi="Arial"/>
          <w:sz w:val="18"/>
          <w:szCs w:val="18"/>
          <w:color w:val="auto"/>
        </w:rPr>
        <w:t xml:space="preserve">above, Employee hereby acknowledges that Employee has knowingly and voluntarily chosen to waive the time period allotted for considering this Agreement. Employee acknowledges and understands that revocation must be accomplished by a written notification to the </w:t>
      </w:r>
      <w:r>
        <w:rPr>
          <w:rFonts w:ascii="Arial" w:cs="Arial" w:eastAsia="Arial" w:hAnsi="Arial"/>
          <w:sz w:val="18"/>
          <w:szCs w:val="18"/>
          <w:color w:val="auto"/>
          <w:highlight w:val="white"/>
        </w:rPr>
        <w:t>person executing this Agreement on the Company’s behalf that is received prior to the Effective Date.</w:t>
      </w:r>
    </w:p>
    <w:p>
      <w:pPr>
        <w:spacing w:after="0" w:line="170" w:lineRule="exact"/>
        <w:rPr>
          <w:rFonts w:ascii="Arial" w:cs="Arial" w:eastAsia="Arial" w:hAnsi="Arial"/>
          <w:sz w:val="18"/>
          <w:szCs w:val="18"/>
          <w:color w:val="auto"/>
        </w:rPr>
      </w:pPr>
    </w:p>
    <w:p>
      <w:pPr>
        <w:jc w:val="both"/>
        <w:ind w:firstLine="656"/>
        <w:spacing w:after="0" w:line="218" w:lineRule="auto"/>
        <w:tabs>
          <w:tab w:leader="none" w:pos="1296"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Unknown Claims</w:t>
      </w:r>
      <w:r>
        <w:rPr>
          <w:rFonts w:ascii="Arial" w:cs="Arial" w:eastAsia="Arial" w:hAnsi="Arial"/>
          <w:sz w:val="20"/>
          <w:szCs w:val="20"/>
          <w:color w:val="auto"/>
        </w:rPr>
        <w:t>. Employee acknowledges that Employee has been advised to consult with legal counsel and that Employee is familiar with the principle that a general release does not extend to claims that the releaser does not know or suspect to exist in Employee’s favor at the time of executing the release, which, if known by Employee, must have materially affected Employee’s settlement with the Releasees. Employee, being aware of said principle, agrees to expressly waive any rights Employee may have to that effect, as well as under any other statute or common law principles of similar effect.</w:t>
      </w:r>
    </w:p>
    <w:p>
      <w:pPr>
        <w:spacing w:after="0" w:line="157" w:lineRule="exact"/>
        <w:rPr>
          <w:rFonts w:ascii="Arial" w:cs="Arial" w:eastAsia="Arial" w:hAnsi="Arial"/>
          <w:sz w:val="20"/>
          <w:szCs w:val="20"/>
          <w:color w:val="auto"/>
        </w:rPr>
      </w:pPr>
    </w:p>
    <w:p>
      <w:pPr>
        <w:jc w:val="both"/>
        <w:ind w:firstLine="656"/>
        <w:spacing w:after="0" w:line="229" w:lineRule="auto"/>
        <w:tabs>
          <w:tab w:leader="none" w:pos="129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72" w:lineRule="exact"/>
        <w:rPr>
          <w:rFonts w:ascii="Arial" w:cs="Arial" w:eastAsia="Arial" w:hAnsi="Arial"/>
          <w:sz w:val="19"/>
          <w:szCs w:val="19"/>
          <w:color w:val="auto"/>
        </w:rPr>
      </w:pPr>
    </w:p>
    <w:p>
      <w:pPr>
        <w:jc w:val="both"/>
        <w:ind w:firstLine="656"/>
        <w:spacing w:after="0" w:line="221" w:lineRule="auto"/>
        <w:tabs>
          <w:tab w:leader="none" w:pos="129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Protected Activity Not Prohibited</w:t>
      </w:r>
      <w:r>
        <w:rPr>
          <w:rFonts w:ascii="Arial" w:cs="Arial" w:eastAsia="Arial" w:hAnsi="Arial"/>
          <w:sz w:val="19"/>
          <w:szCs w:val="19"/>
          <w:color w:val="auto"/>
        </w:rPr>
        <w:t>. Employee understands that nothing in this Agreement shall in any way limit or prohibit Employee from engaging in any Protected Activity. For purposes of this Agreement, “Protected Activity” shall mean (i) disclosing or discussing conduct, or the existence (but not the amount) of a settlement involving conduct, that Employee reasonably believes under Washington state, federal, or common law to be illegal discrimination, illegal harassment, illegal retaliation, a wage and hour violation, or sexual assault, or that is recognized as against a clear mandate of public policy (any of the foregoing, “Permitted Disclosures”); and/or (ii) filing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Employee understands that in connection with such Protected Activity, Employee is permitted to disclose documents or other information as permitted by law, and without giving notice to, or receiving authorization from, the Company. Notwithstanding the foregoing, Employee agrees to take all reasonable precautions to prevent any unauthorized use or disclosure of any Company confidential information to any parties other than the Government Agencies, unless such information relates solely to the subject matter of Permitted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-4949825</wp:posOffset>
            </wp:positionV>
            <wp:extent cx="7132320" cy="10115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9">
                      <a:extLst>
                        <a:ext uri="{28A0092B-C50C-407E-A947-70E740481C1C}"/>
                      </a:extLst>
                    </a:blip>
                    <a:srcRect/>
                    <a:stretch>
                      <a:fillRect/>
                    </a:stretch>
                  </pic:blipFill>
                  <pic:spPr bwMode="auto">
                    <a:xfrm>
                      <a:off x="0" y="0"/>
                      <a:ext cx="7132320" cy="10115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-3698240</wp:posOffset>
            </wp:positionV>
            <wp:extent cx="7132320" cy="2654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5"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in which case its permissible disclosure is not limited to the Government Agencies. Employee further understands that “Protected Activity”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does not include the disclosure of any Company attorney-client privileged communications or attorney work product. Any language in the Confidentiality Agreement regarding Employee’s right to engage in Protected Activity that conflicts with, or is contrary to, this paragraph is</w:t>
      </w:r>
    </w:p>
    <w:p>
      <w:pPr>
        <w:spacing w:after="0" w:line="236" w:lineRule="auto"/>
        <w:rPr>
          <w:sz w:val="20"/>
          <w:szCs w:val="20"/>
          <w:color w:val="auto"/>
        </w:rPr>
      </w:pPr>
      <w:r>
        <w:rPr>
          <w:rFonts w:ascii="Arial" w:cs="Arial" w:eastAsia="Arial" w:hAnsi="Arial"/>
          <w:sz w:val="18"/>
          <w:szCs w:val="18"/>
          <w:color w:val="auto"/>
        </w:rPr>
        <w:t>superseded by this Agreement. In addition, pursuant to the Defend Trade Secrets Act of 2016, Employee is notified that an individual will not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be held criminally or civilly liable under any federal or state trade secret law for the disclosure of a trade secret that (a) is made in confidence to a federal, state, or local government official (directly or indirectly) or to an attorney </w:t>
      </w:r>
      <w:r>
        <w:rPr>
          <w:rFonts w:ascii="Arial" w:cs="Arial" w:eastAsia="Arial" w:hAnsi="Arial"/>
          <w:sz w:val="18"/>
          <w:szCs w:val="18"/>
          <w:i w:val="1"/>
          <w:iCs w:val="1"/>
          <w:color w:val="auto"/>
        </w:rPr>
        <w:t>solely</w:t>
      </w:r>
      <w:r>
        <w:rPr>
          <w:rFonts w:ascii="Arial" w:cs="Arial" w:eastAsia="Arial" w:hAnsi="Arial"/>
          <w:sz w:val="18"/>
          <w:szCs w:val="18"/>
          <w:color w:val="auto"/>
        </w:rPr>
        <w:t xml:space="preserve"> for the purpose of reporting or investigating a</w:t>
      </w:r>
    </w:p>
    <w:p>
      <w:pPr>
        <w:spacing w:after="0" w:line="236" w:lineRule="auto"/>
        <w:rPr>
          <w:sz w:val="20"/>
          <w:szCs w:val="20"/>
          <w:color w:val="auto"/>
        </w:rPr>
      </w:pPr>
      <w:r>
        <w:rPr>
          <w:rFonts w:ascii="Arial" w:cs="Arial" w:eastAsia="Arial" w:hAnsi="Arial"/>
          <w:sz w:val="18"/>
          <w:szCs w:val="18"/>
          <w:color w:val="auto"/>
        </w:rPr>
        <w:t>suspected violation of law, or (b) is made in a complaint or other document filed in a lawsuit or other proceeding, if (and only if) such filing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document containing the trade secret under seal and does not disclose the trade secret, except pursuant to court order. Finally, nothing in this</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Agreement constitutes a waiver of any rights Employee may have under the Sarbanes-Oxley Act or Section 7 of the National Labor Relations Act.</w:t>
      </w:r>
    </w:p>
    <w:p>
      <w:pPr>
        <w:spacing w:after="0" w:line="170" w:lineRule="exact"/>
        <w:rPr>
          <w:sz w:val="20"/>
          <w:szCs w:val="20"/>
          <w:color w:val="auto"/>
        </w:rPr>
      </w:pPr>
    </w:p>
    <w:p>
      <w:pPr>
        <w:jc w:val="both"/>
        <w:ind w:firstLine="656"/>
        <w:spacing w:after="0" w:line="223" w:lineRule="auto"/>
        <w:tabs>
          <w:tab w:leader="none" w:pos="1296"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No Representations</w:t>
      </w:r>
      <w:r>
        <w:rPr>
          <w:rFonts w:ascii="Arial" w:cs="Arial" w:eastAsia="Arial" w:hAnsi="Arial"/>
          <w:sz w:val="20"/>
          <w:szCs w:val="20"/>
          <w:color w:val="auto"/>
        </w:rPr>
        <w:t>. Employee represents that Employee has had an opportunity to consult with an attorney, and has carefully read and understands the scope and effect of the provisions of this Agreement. Employee has not relied upon any representations or statements made by the Company that are not specifically set forth in this Agreement.</w:t>
      </w:r>
    </w:p>
    <w:p>
      <w:pPr>
        <w:spacing w:after="0" w:line="168" w:lineRule="exact"/>
        <w:rPr>
          <w:rFonts w:ascii="Arial" w:cs="Arial" w:eastAsia="Arial" w:hAnsi="Arial"/>
          <w:sz w:val="20"/>
          <w:szCs w:val="20"/>
          <w:color w:val="auto"/>
        </w:rPr>
      </w:pPr>
    </w:p>
    <w:p>
      <w:pPr>
        <w:ind w:left="1300" w:hanging="644"/>
        <w:spacing w:after="0"/>
        <w:tabs>
          <w:tab w:leader="none" w:pos="1300"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firstLine="1628"/>
        <w:spacing w:after="0" w:line="235" w:lineRule="auto"/>
        <w:tabs>
          <w:tab w:leader="none" w:pos="1933" w:val="left"/>
        </w:tabs>
        <w:numPr>
          <w:ilvl w:val="1"/>
          <w:numId w:val="77"/>
        </w:numPr>
        <w:rPr>
          <w:rFonts w:ascii="Arial" w:cs="Arial" w:eastAsia="Arial" w:hAnsi="Arial"/>
          <w:sz w:val="18"/>
          <w:szCs w:val="18"/>
          <w:color w:val="auto"/>
        </w:rPr>
      </w:pPr>
      <w:r>
        <w:rPr>
          <w:rFonts w:ascii="Arial" w:cs="Arial" w:eastAsia="Arial" w:hAnsi="Arial"/>
          <w:sz w:val="18"/>
          <w:szCs w:val="18"/>
          <w:color w:val="auto"/>
        </w:rPr>
        <w:t>It is intended that this Agreement comply with, or be exempt from, Code Section 409A and the final regulations and official guidance thereunder (“Section 409A”) and any ambiguities herein will be interpreted to so comply and/or be exempt from Section 409A. Each payment and benefit to be paid or provided under this Agreement is intended to constitute a series of separate payments for purposes of Section 1.409A-2(b)(2) of the Treasury Regulations. The Company and Employee will work together in good faith to consider either (i) amendments to this Agreement; or (ii) revisions to this Agreement with respect to the payment of any awards, which are necessary or appropriate to avoid imposition of any additional tax or income recognition prior to the actual payment to Employee under Section 409A. In no event will the Releasees have any liability or obligation to reimburse, indemnify or hold harmless Employee for any taxes or costs that may be imposed on or incurred by Employee as a result of Section 409A. The Parties acknowledge and agree that Employee has experienced a “separation from service” within the meaning of Section 409A on the Separation Date.</w:t>
      </w:r>
    </w:p>
    <w:p>
      <w:pPr>
        <w:spacing w:after="0" w:line="160" w:lineRule="exact"/>
        <w:rPr>
          <w:rFonts w:ascii="Arial" w:cs="Arial" w:eastAsia="Arial" w:hAnsi="Arial"/>
          <w:sz w:val="18"/>
          <w:szCs w:val="18"/>
          <w:color w:val="auto"/>
        </w:rPr>
      </w:pPr>
    </w:p>
    <w:p>
      <w:pPr>
        <w:jc w:val="both"/>
        <w:ind w:firstLine="1628"/>
        <w:spacing w:after="0" w:line="237" w:lineRule="auto"/>
        <w:tabs>
          <w:tab w:leader="none" w:pos="1944" w:val="left"/>
        </w:tabs>
        <w:numPr>
          <w:ilvl w:val="1"/>
          <w:numId w:val="77"/>
        </w:numPr>
        <w:rPr>
          <w:rFonts w:ascii="Arial" w:cs="Arial" w:eastAsia="Arial" w:hAnsi="Arial"/>
          <w:sz w:val="18"/>
          <w:szCs w:val="18"/>
          <w:color w:val="auto"/>
        </w:rPr>
      </w:pPr>
      <w:r>
        <w:rPr>
          <w:rFonts w:ascii="Arial" w:cs="Arial" w:eastAsia="Arial" w:hAnsi="Arial"/>
          <w:sz w:val="18"/>
          <w:szCs w:val="18"/>
          <w:color w:val="auto"/>
        </w:rPr>
        <w:t>It is intended that none of the payments under this Agreement will constitute deferred compensation under Section 409A, but rather will be exempt from Section 409A as a payment that would fall within the “short-term deferral period” as described in Section 409A or as separation pay resulting from an involuntary separation from service as described in Section 409A. No portion of the severance payments and benefits due to Employee will be paid or provided prior to the date this Agreement becomes effective. Except as required by subsection (c) below, any installment payments that would have been made to Employee during the period immediately following the Separation Date through the effective date of this Agreement but for the preceding sentence will be paid to Employee on the Company’s first regular payroll date that occurs after the effective date of this Agreement or, if later, the Company’s first regular payroll date that occurs in calendar year 2023, and the remaining payments shall be made as provided in Section 1. In no event will Employee have discretion to determine the taxable year of payment for any payments in Section 1.</w:t>
      </w:r>
    </w:p>
    <w:p>
      <w:pPr>
        <w:spacing w:after="0" w:line="158" w:lineRule="exact"/>
        <w:rPr>
          <w:rFonts w:ascii="Arial" w:cs="Arial" w:eastAsia="Arial" w:hAnsi="Arial"/>
          <w:sz w:val="18"/>
          <w:szCs w:val="18"/>
          <w:color w:val="auto"/>
        </w:rPr>
      </w:pPr>
    </w:p>
    <w:p>
      <w:pPr>
        <w:jc w:val="both"/>
        <w:ind w:firstLine="1628"/>
        <w:spacing w:after="0" w:line="241" w:lineRule="auto"/>
        <w:tabs>
          <w:tab w:leader="none" w:pos="1933"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if Employee is a “specified employee” within the meaning of Section 409A as of the Separation Date, then any severance payments or benefits under this Agreement and any other severance payments or separation benefits to be paid or provided to Employee, that in each case, when considered together, that would be considered deferred compensation under Section 409A (“Deferred Payments”) that are payable within the first six (6) months following the Separation Date will become payable on the first date on or after the date six (6) months and one (1) day following the Separation Date. All subsequent Deferred Payments, if any, will be payable in accordance with the payment schedule applicable to each payment or benefit.</w:t>
      </w:r>
    </w:p>
    <w:p>
      <w:pPr>
        <w:spacing w:after="0" w:line="156" w:lineRule="exact"/>
        <w:rPr>
          <w:rFonts w:ascii="Arial" w:cs="Arial" w:eastAsia="Arial" w:hAnsi="Arial"/>
          <w:sz w:val="18"/>
          <w:szCs w:val="18"/>
          <w:color w:val="auto"/>
        </w:rPr>
      </w:pPr>
    </w:p>
    <w:p>
      <w:pPr>
        <w:ind w:right="20" w:firstLine="656"/>
        <w:spacing w:after="0" w:line="236" w:lineRule="auto"/>
        <w:tabs>
          <w:tab w:leader="none" w:pos="1287"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or any portion of any provision hereof or any surviving agreement made a part hereof becomes or is declared by a court of competent jurisdiction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5" w:right="339" w:bottom="1440" w:gutter="0" w:footer="0" w:header="0"/>
        </w:sectPr>
      </w:pPr>
    </w:p>
    <w:bookmarkStart w:id="161" w:name="page162"/>
    <w:bookmarkEnd w:id="161"/>
    <w:p>
      <w:pPr>
        <w:spacing w:after="0" w:line="236" w:lineRule="auto"/>
        <w:rPr>
          <w:sz w:val="20"/>
          <w:szCs w:val="20"/>
          <w:color w:val="auto"/>
        </w:rPr>
      </w:pPr>
      <w:r>
        <w:rPr>
          <w:rFonts w:ascii="Arial" w:cs="Arial" w:eastAsia="Arial" w:hAnsi="Arial"/>
          <w:sz w:val="20"/>
          <w:szCs w:val="20"/>
          <w:color w:val="auto"/>
        </w:rPr>
        <w:t>arbitrator to be illegal, unenforceable, or void, this Agreement shall continue in full force and effect without said provision or portion of provision.</w:t>
      </w:r>
    </w:p>
    <w:p>
      <w:pPr>
        <w:spacing w:after="0" w:line="155" w:lineRule="exact"/>
        <w:rPr>
          <w:sz w:val="20"/>
          <w:szCs w:val="20"/>
          <w:color w:val="auto"/>
        </w:rPr>
      </w:pPr>
    </w:p>
    <w:p>
      <w:pPr>
        <w:jc w:val="both"/>
        <w:ind w:firstLine="656"/>
        <w:spacing w:after="0" w:line="241" w:lineRule="auto"/>
        <w:tabs>
          <w:tab w:leader="none" w:pos="1279"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represents the entire agreement and understanding between the Company and Employee concerning the subject matter of this Agreement and Employee’s employment with and separation from the Company and the events leading thereto and associated therewith, and supersedes and replaces any and all prior agreements and understandings concerning the subject matter of this Agreement and Employee’s relationship with the Company, with the exception of (a) as provided in Section 4.7 of the Employment Agreement, and (b) the Zymeworks Inc. Amended and Restated Stock Option and Equity Compensation Plan and the related restricted stock unit award agreements and stock option award agreements regarding awards to Employee.</w:t>
      </w:r>
    </w:p>
    <w:p>
      <w:pPr>
        <w:spacing w:after="0" w:line="156" w:lineRule="exact"/>
        <w:rPr>
          <w:rFonts w:ascii="Arial" w:cs="Arial" w:eastAsia="Arial" w:hAnsi="Arial"/>
          <w:sz w:val="18"/>
          <w:szCs w:val="18"/>
          <w:color w:val="auto"/>
        </w:rPr>
      </w:pPr>
    </w:p>
    <w:p>
      <w:pPr>
        <w:ind w:firstLine="656"/>
        <w:spacing w:after="0" w:line="236" w:lineRule="auto"/>
        <w:tabs>
          <w:tab w:leader="none" w:pos="1287"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No Oral Modification</w:t>
      </w:r>
      <w:r>
        <w:rPr>
          <w:rFonts w:ascii="Arial" w:cs="Arial" w:eastAsia="Arial" w:hAnsi="Arial"/>
          <w:sz w:val="20"/>
          <w:szCs w:val="20"/>
          <w:color w:val="auto"/>
        </w:rPr>
        <w:t>. This Agreement may only be amended in a writing signed by Employee and the Company’s Chief Executive Officer.</w:t>
      </w:r>
    </w:p>
    <w:p>
      <w:pPr>
        <w:spacing w:after="0" w:line="168" w:lineRule="exact"/>
        <w:rPr>
          <w:rFonts w:ascii="Arial" w:cs="Arial" w:eastAsia="Arial" w:hAnsi="Arial"/>
          <w:sz w:val="20"/>
          <w:szCs w:val="20"/>
          <w:color w:val="auto"/>
        </w:rPr>
      </w:pPr>
    </w:p>
    <w:p>
      <w:pPr>
        <w:ind w:firstLine="656"/>
        <w:spacing w:after="0" w:line="229" w:lineRule="auto"/>
        <w:tabs>
          <w:tab w:leader="none" w:pos="1287"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the laws of the State of Washington, without regard for choice-of-law provisions. Employee consents to personal and exclusive jurisdiction and venue in the State of Washington.</w:t>
      </w:r>
    </w:p>
    <w:p>
      <w:pPr>
        <w:spacing w:after="0" w:line="168" w:lineRule="exact"/>
        <w:rPr>
          <w:rFonts w:ascii="Arial" w:cs="Arial" w:eastAsia="Arial" w:hAnsi="Arial"/>
          <w:sz w:val="20"/>
          <w:szCs w:val="20"/>
          <w:color w:val="auto"/>
        </w:rPr>
      </w:pPr>
    </w:p>
    <w:p>
      <w:pPr>
        <w:ind w:firstLine="656"/>
        <w:spacing w:after="0" w:line="257" w:lineRule="auto"/>
        <w:tabs>
          <w:tab w:leader="none" w:pos="1287"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Effective Date</w:t>
      </w:r>
      <w:r>
        <w:rPr>
          <w:rFonts w:ascii="Arial" w:cs="Arial" w:eastAsia="Arial" w:hAnsi="Arial"/>
          <w:sz w:val="19"/>
          <w:szCs w:val="19"/>
          <w:color w:val="auto"/>
        </w:rPr>
        <w:t>. This Agreement will become effective on the eighth (8th) day after Employee signed this Agreement, so long as it has been signed by the Parties and has not been revoked by Employee before that date (the “Effective Date”).</w:t>
      </w:r>
    </w:p>
    <w:p>
      <w:pPr>
        <w:spacing w:after="0" w:line="139" w:lineRule="exact"/>
        <w:rPr>
          <w:rFonts w:ascii="Arial" w:cs="Arial" w:eastAsia="Arial" w:hAnsi="Arial"/>
          <w:sz w:val="19"/>
          <w:szCs w:val="19"/>
          <w:color w:val="auto"/>
        </w:rPr>
      </w:pPr>
    </w:p>
    <w:p>
      <w:pPr>
        <w:ind w:firstLine="656"/>
        <w:spacing w:after="0" w:line="285" w:lineRule="auto"/>
        <w:tabs>
          <w:tab w:leader="none" w:pos="128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facsimile, and each counterpart and facsimile shall have the same force and effect as an original and shall constitute an effective, binding agreement on the part of each of the undersigned.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The remainder of this page is intentionally left blank; 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5" w:right="339" w:bottom="1440" w:gutter="0" w:footer="0" w:header="0"/>
        </w:sectPr>
      </w:pPr>
    </w:p>
    <w:bookmarkStart w:id="162" w:name="page163"/>
    <w:bookmarkEnd w:id="162"/>
    <w:p>
      <w:pPr>
        <w:ind w:left="660"/>
        <w:spacing w:after="0"/>
        <w:rPr>
          <w:sz w:val="20"/>
          <w:szCs w:val="20"/>
          <w:color w:val="auto"/>
        </w:rPr>
      </w:pPr>
      <w:r>
        <w:rPr>
          <w:rFonts w:ascii="Arial" w:cs="Arial" w:eastAsia="Arial" w:hAnsi="Arial"/>
          <w:sz w:val="16"/>
          <w:szCs w:val="16"/>
          <w:color w:val="auto"/>
        </w:rPr>
        <w:t>IN WITNESS WHEREOF, the Parties have executed this Agreement on the respective dates set forth below.</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NEIL JOSEPHSON, an individual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920" w:val="left"/>
        </w:tabs>
        <w:rPr>
          <w:sz w:val="20"/>
          <w:szCs w:val="20"/>
          <w:color w:val="auto"/>
        </w:rPr>
      </w:pPr>
      <w:r>
        <w:rPr>
          <w:rFonts w:ascii="Arial" w:cs="Arial" w:eastAsia="Arial" w:hAnsi="Arial"/>
          <w:sz w:val="20"/>
          <w:szCs w:val="20"/>
          <w:color w:val="auto"/>
        </w:rPr>
        <w:t xml:space="preserve">Dated: </w:t>
      </w:r>
      <w:r>
        <w:rPr>
          <w:rFonts w:ascii="Arial" w:cs="Arial" w:eastAsia="Arial" w:hAnsi="Arial"/>
          <w:sz w:val="20"/>
          <w:szCs w:val="20"/>
          <w:u w:val="single" w:color="auto"/>
          <w:color w:val="auto"/>
        </w:rPr>
        <w:t>March 3, 2023</w:t>
      </w:r>
      <w:r>
        <w:rPr>
          <w:sz w:val="20"/>
          <w:szCs w:val="20"/>
          <w:color w:val="auto"/>
        </w:rPr>
        <w:tab/>
      </w:r>
      <w:r>
        <w:rPr>
          <w:rFonts w:ascii="Arial" w:cs="Arial" w:eastAsia="Arial" w:hAnsi="Arial"/>
          <w:sz w:val="16"/>
          <w:szCs w:val="16"/>
          <w:u w:val="single" w:color="auto"/>
          <w:color w:val="auto"/>
        </w:rPr>
        <w:t>/s/ Neil Josesphson</w:t>
      </w:r>
    </w:p>
    <w:p>
      <w:pPr>
        <w:ind w:left="3900"/>
        <w:spacing w:after="0"/>
        <w:rPr>
          <w:sz w:val="20"/>
          <w:szCs w:val="20"/>
          <w:color w:val="auto"/>
        </w:rPr>
      </w:pPr>
      <w:r>
        <w:rPr>
          <w:rFonts w:ascii="Arial" w:cs="Arial" w:eastAsia="Arial" w:hAnsi="Arial"/>
          <w:sz w:val="20"/>
          <w:szCs w:val="20"/>
          <w:color w:val="auto"/>
        </w:rPr>
        <w:t>Neil Josephson</w:t>
      </w:r>
    </w:p>
    <w:p>
      <w:pPr>
        <w:spacing w:after="0" w:line="200" w:lineRule="exact"/>
        <w:rPr>
          <w:sz w:val="20"/>
          <w:szCs w:val="20"/>
          <w:color w:val="auto"/>
        </w:rPr>
      </w:pPr>
    </w:p>
    <w:p>
      <w:pPr>
        <w:spacing w:after="0" w:line="39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ZYMEWORKS BIOPHARMACEUTICALS INC.</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920" w:val="left"/>
        </w:tabs>
        <w:rPr>
          <w:sz w:val="20"/>
          <w:szCs w:val="20"/>
          <w:color w:val="auto"/>
        </w:rPr>
      </w:pPr>
      <w:r>
        <w:rPr>
          <w:rFonts w:ascii="Arial" w:cs="Arial" w:eastAsia="Arial" w:hAnsi="Arial"/>
          <w:sz w:val="20"/>
          <w:szCs w:val="20"/>
          <w:color w:val="auto"/>
        </w:rPr>
        <w:t xml:space="preserve">Dated: </w:t>
      </w:r>
      <w:r>
        <w:rPr>
          <w:rFonts w:ascii="Arial" w:cs="Arial" w:eastAsia="Arial" w:hAnsi="Arial"/>
          <w:sz w:val="20"/>
          <w:szCs w:val="20"/>
          <w:u w:val="single" w:color="auto"/>
          <w:color w:val="auto"/>
        </w:rPr>
        <w:t>March 3, 2023</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u w:val="single" w:color="auto"/>
          <w:color w:val="auto"/>
        </w:rPr>
        <w:t>/s/ Kenneth Galbraith</w:t>
      </w:r>
    </w:p>
    <w:p>
      <w:pPr>
        <w:ind w:left="4220"/>
        <w:spacing w:after="0" w:line="197" w:lineRule="auto"/>
        <w:rPr>
          <w:sz w:val="20"/>
          <w:szCs w:val="20"/>
          <w:color w:val="auto"/>
        </w:rPr>
      </w:pPr>
      <w:r>
        <w:rPr>
          <w:rFonts w:ascii="Arial" w:cs="Arial" w:eastAsia="Arial" w:hAnsi="Arial"/>
          <w:sz w:val="20"/>
          <w:szCs w:val="20"/>
          <w:color w:val="auto"/>
        </w:rPr>
        <w:t>Kenneth Galbraith</w:t>
      </w:r>
    </w:p>
    <w:p>
      <w:pPr>
        <w:ind w:left="4220"/>
        <w:spacing w:after="0"/>
        <w:rPr>
          <w:sz w:val="20"/>
          <w:szCs w:val="20"/>
          <w:color w:val="auto"/>
        </w:rPr>
      </w:pPr>
      <w:r>
        <w:rPr>
          <w:rFonts w:ascii="Arial" w:cs="Arial" w:eastAsia="Arial" w:hAnsi="Arial"/>
          <w:sz w:val="20"/>
          <w:szCs w:val="20"/>
          <w:color w:val="auto"/>
        </w:rPr>
        <w:t>Chief Executive Officer</w:t>
      </w:r>
    </w:p>
    <w:p>
      <w:pPr>
        <w:sectPr>
          <w:pgSz w:w="11900" w:h="16838" w:orient="portrait"/>
          <w:cols w:equalWidth="0" w:num="1">
            <w:col w:w="10139"/>
          </w:cols>
          <w:pgMar w:left="320" w:top="1149"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ZYMEWORKS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INCENTIVE COMPENSATION PLAN</w:t>
      </w:r>
    </w:p>
    <w:p>
      <w:pPr>
        <w:spacing w:after="0" w:line="185" w:lineRule="exact"/>
        <w:rPr>
          <w:sz w:val="20"/>
          <w:szCs w:val="20"/>
          <w:color w:val="auto"/>
        </w:rPr>
      </w:pPr>
    </w:p>
    <w:p>
      <w:pPr>
        <w:ind w:right="20" w:firstLine="656"/>
        <w:spacing w:after="0" w:line="247" w:lineRule="auto"/>
        <w:tabs>
          <w:tab w:leader="none" w:pos="1296" w:val="left"/>
        </w:tabs>
        <w:numPr>
          <w:ilvl w:val="0"/>
          <w:numId w:val="79"/>
        </w:numPr>
        <w:rPr>
          <w:rFonts w:ascii="Arial" w:cs="Arial" w:eastAsia="Arial" w:hAnsi="Arial"/>
          <w:sz w:val="19"/>
          <w:szCs w:val="19"/>
          <w:color w:val="auto"/>
        </w:rPr>
      </w:pPr>
      <w:r>
        <w:rPr>
          <w:rFonts w:ascii="Arial" w:cs="Arial" w:eastAsia="Arial" w:hAnsi="Arial"/>
          <w:sz w:val="21"/>
          <w:szCs w:val="21"/>
          <w:u w:val="single" w:color="auto"/>
          <w:color w:val="auto"/>
        </w:rPr>
        <w:t>Purposes of the Plan</w:t>
      </w:r>
      <w:r>
        <w:rPr>
          <w:rFonts w:ascii="Arial" w:cs="Arial" w:eastAsia="Arial" w:hAnsi="Arial"/>
          <w:sz w:val="21"/>
          <w:szCs w:val="21"/>
          <w:color w:val="auto"/>
        </w:rPr>
        <w:t>. The Plan is intended to increase stockholder value and the success of the Company by motivating Employees to (a) perform to the best of their abilities and (b) achieve the Company’s objectives.</w:t>
      </w:r>
    </w:p>
    <w:p>
      <w:pPr>
        <w:spacing w:after="0" w:line="150" w:lineRule="exact"/>
        <w:rPr>
          <w:rFonts w:ascii="Arial" w:cs="Arial" w:eastAsia="Arial" w:hAnsi="Arial"/>
          <w:sz w:val="19"/>
          <w:szCs w:val="19"/>
          <w:color w:val="auto"/>
        </w:rPr>
      </w:pPr>
    </w:p>
    <w:p>
      <w:pPr>
        <w:ind w:left="1300" w:hanging="644"/>
        <w:spacing w:after="0"/>
        <w:tabs>
          <w:tab w:leader="none" w:pos="1300" w:val="left"/>
        </w:tabs>
        <w:numPr>
          <w:ilvl w:val="0"/>
          <w:numId w:val="79"/>
        </w:numPr>
        <w:rPr>
          <w:rFonts w:ascii="Arial" w:cs="Arial" w:eastAsia="Arial" w:hAnsi="Arial"/>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179" w:lineRule="exact"/>
        <w:rPr>
          <w:sz w:val="20"/>
          <w:szCs w:val="20"/>
          <w:color w:val="auto"/>
        </w:rPr>
      </w:pPr>
    </w:p>
    <w:p>
      <w:pPr>
        <w:jc w:val="both"/>
        <w:ind w:right="20" w:firstLine="1296"/>
        <w:spacing w:after="0" w:line="247"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1"/>
          <w:szCs w:val="21"/>
          <w:color w:val="auto"/>
        </w:rPr>
        <w:t>“</w:t>
      </w:r>
      <w:r>
        <w:rPr>
          <w:rFonts w:ascii="Arial" w:cs="Arial" w:eastAsia="Arial" w:hAnsi="Arial"/>
          <w:sz w:val="21"/>
          <w:szCs w:val="21"/>
          <w:u w:val="single" w:color="auto"/>
          <w:color w:val="auto"/>
        </w:rPr>
        <w:t>Actual Award</w:t>
      </w:r>
      <w:r>
        <w:rPr>
          <w:rFonts w:ascii="Arial" w:cs="Arial" w:eastAsia="Arial" w:hAnsi="Arial"/>
          <w:sz w:val="21"/>
          <w:szCs w:val="21"/>
          <w:color w:val="auto"/>
        </w:rPr>
        <w:t>” means as to any Performance Period, the actual award (if any) payable to a Participant for</w:t>
      </w:r>
      <w:r>
        <w:rPr>
          <w:rFonts w:ascii="Arial" w:cs="Arial" w:eastAsia="Arial" w:hAnsi="Arial"/>
          <w:sz w:val="20"/>
          <w:szCs w:val="20"/>
          <w:color w:val="auto"/>
        </w:rPr>
        <w:t xml:space="preserve"> </w:t>
      </w:r>
      <w:r>
        <w:rPr>
          <w:rFonts w:ascii="Arial" w:cs="Arial" w:eastAsia="Arial" w:hAnsi="Arial"/>
          <w:sz w:val="21"/>
          <w:szCs w:val="21"/>
          <w:color w:val="auto"/>
        </w:rPr>
        <w:t>the Performance Period, subject to the authority of the Administrator (as defined in Section 3) under Section 4.4.</w:t>
      </w:r>
    </w:p>
    <w:p>
      <w:pPr>
        <w:spacing w:after="0" w:line="151"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any corporation or other entity (including, but not limited to, partnerships and joint</w:t>
      </w:r>
      <w:r>
        <w:rPr>
          <w:rFonts w:ascii="Arial" w:cs="Arial" w:eastAsia="Arial" w:hAnsi="Arial"/>
          <w:sz w:val="20"/>
          <w:szCs w:val="20"/>
          <w:color w:val="auto"/>
        </w:rPr>
        <w:t xml:space="preserve"> </w:t>
      </w:r>
      <w:r>
        <w:rPr>
          <w:rFonts w:ascii="Arial" w:cs="Arial" w:eastAsia="Arial" w:hAnsi="Arial"/>
          <w:sz w:val="21"/>
          <w:szCs w:val="21"/>
          <w:color w:val="auto"/>
        </w:rPr>
        <w:t>ventures) that, from time to time and at the time of any determination, directly or indirectly, is in control of or is controlled by the Company.</w:t>
      </w:r>
    </w:p>
    <w:p>
      <w:pPr>
        <w:spacing w:after="0" w:line="15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Company.</w:t>
      </w:r>
    </w:p>
    <w:p>
      <w:pPr>
        <w:spacing w:after="0" w:line="202" w:lineRule="exact"/>
        <w:rPr>
          <w:sz w:val="20"/>
          <w:szCs w:val="20"/>
          <w:color w:val="auto"/>
        </w:rPr>
      </w:pPr>
    </w:p>
    <w:p>
      <w:pPr>
        <w:jc w:val="both"/>
        <w:ind w:right="20" w:firstLine="1296"/>
        <w:spacing w:after="0" w:line="247"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1"/>
          <w:szCs w:val="21"/>
          <w:color w:val="auto"/>
        </w:rPr>
        <w:t>“</w:t>
      </w:r>
      <w:r>
        <w:rPr>
          <w:rFonts w:ascii="Arial" w:cs="Arial" w:eastAsia="Arial" w:hAnsi="Arial"/>
          <w:sz w:val="21"/>
          <w:szCs w:val="21"/>
          <w:u w:val="single" w:color="auto"/>
          <w:color w:val="auto"/>
        </w:rPr>
        <w:t>Bonus Pool</w:t>
      </w:r>
      <w:r>
        <w:rPr>
          <w:rFonts w:ascii="Arial" w:cs="Arial" w:eastAsia="Arial" w:hAnsi="Arial"/>
          <w:sz w:val="21"/>
          <w:szCs w:val="21"/>
          <w:color w:val="auto"/>
        </w:rPr>
        <w:t>” means the pool of funds available for distribution to Participants. Subject to the terms of the</w:t>
      </w:r>
      <w:r>
        <w:rPr>
          <w:rFonts w:ascii="Arial" w:cs="Arial" w:eastAsia="Arial" w:hAnsi="Arial"/>
          <w:sz w:val="20"/>
          <w:szCs w:val="20"/>
          <w:color w:val="auto"/>
        </w:rPr>
        <w:t xml:space="preserve"> </w:t>
      </w:r>
      <w:r>
        <w:rPr>
          <w:rFonts w:ascii="Arial" w:cs="Arial" w:eastAsia="Arial" w:hAnsi="Arial"/>
          <w:sz w:val="21"/>
          <w:szCs w:val="21"/>
          <w:color w:val="auto"/>
        </w:rPr>
        <w:t>Plan, the Administrator establishes the Bonus Pool for each Performance Period.</w:t>
      </w:r>
    </w:p>
    <w:p>
      <w:pPr>
        <w:spacing w:after="0" w:line="151"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U.S. Internal Revenue Code of 1986, as amended. Reference to a specific section of the</w:t>
      </w:r>
      <w:r>
        <w:rPr>
          <w:rFonts w:ascii="Arial" w:cs="Arial" w:eastAsia="Arial" w:hAnsi="Arial"/>
          <w:sz w:val="20"/>
          <w:szCs w:val="20"/>
          <w:color w:val="auto"/>
        </w:rPr>
        <w:t xml:space="preserve"> </w:t>
      </w:r>
      <w:r>
        <w:rPr>
          <w:rFonts w:ascii="Arial" w:cs="Arial" w:eastAsia="Arial" w:hAnsi="Arial"/>
          <w:sz w:val="21"/>
          <w:szCs w:val="21"/>
          <w:color w:val="auto"/>
        </w:rPr>
        <w:t>Code or regulation thereunder will include such section or regulation, any valid regulation or formal guidance of general or direct applicability promulgated under such section or regulation, and any comparable provision of any future legislation or regulation amending, supplementing or superseding such section or regulation.</w:t>
      </w:r>
    </w:p>
    <w:p>
      <w:pPr>
        <w:spacing w:after="0" w:line="15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a committee appointed by the Board (pursuant to Section 3) to administer the Plan.</w:t>
      </w:r>
    </w:p>
    <w:p>
      <w:pPr>
        <w:spacing w:after="0" w:line="20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means Zymeworks Inc., a Delaware corporation, or any successor thereto.</w:t>
      </w:r>
    </w:p>
    <w:p>
      <w:pPr>
        <w:spacing w:after="0" w:line="20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Company Group</w:t>
      </w:r>
      <w:r>
        <w:rPr>
          <w:rFonts w:ascii="Arial" w:cs="Arial" w:eastAsia="Arial" w:hAnsi="Arial"/>
          <w:sz w:val="19"/>
          <w:szCs w:val="19"/>
          <w:color w:val="auto"/>
        </w:rPr>
        <w:t>” means the Company and any Parents, Subsidiaries, and Affiliates.</w:t>
      </w:r>
    </w:p>
    <w:p>
      <w:pPr>
        <w:spacing w:after="0" w:line="202"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0"/>
          <w:szCs w:val="20"/>
          <w:color w:val="auto"/>
        </w:rPr>
        <w:t xml:space="preserve">2.9 </w:t>
      </w:r>
      <w:r>
        <w:rPr>
          <w:rFonts w:ascii="Arial" w:cs="Arial" w:eastAsia="Arial" w:hAnsi="Arial"/>
          <w:sz w:val="21"/>
          <w:szCs w:val="21"/>
          <w:color w:val="auto"/>
        </w:rPr>
        <w:t>“</w:t>
      </w:r>
      <w:r>
        <w:rPr>
          <w:rFonts w:ascii="Arial" w:cs="Arial" w:eastAsia="Arial" w:hAnsi="Arial"/>
          <w:sz w:val="21"/>
          <w:szCs w:val="21"/>
          <w:u w:val="single" w:color="auto"/>
          <w:color w:val="auto"/>
        </w:rPr>
        <w:t>Disability</w:t>
      </w:r>
      <w:r>
        <w:rPr>
          <w:rFonts w:ascii="Arial" w:cs="Arial" w:eastAsia="Arial" w:hAnsi="Arial"/>
          <w:sz w:val="21"/>
          <w:szCs w:val="21"/>
          <w:color w:val="auto"/>
        </w:rPr>
        <w:t>” means a permanent and total disability determined in accordance with uniform and</w:t>
      </w:r>
      <w:r>
        <w:rPr>
          <w:rFonts w:ascii="Arial" w:cs="Arial" w:eastAsia="Arial" w:hAnsi="Arial"/>
          <w:sz w:val="20"/>
          <w:szCs w:val="20"/>
          <w:color w:val="auto"/>
        </w:rPr>
        <w:t xml:space="preserve"> </w:t>
      </w:r>
      <w:r>
        <w:rPr>
          <w:rFonts w:ascii="Arial" w:cs="Arial" w:eastAsia="Arial" w:hAnsi="Arial"/>
          <w:sz w:val="21"/>
          <w:szCs w:val="21"/>
          <w:color w:val="auto"/>
        </w:rPr>
        <w:t>nondiscriminatory standards adopted by the Administrator from time to time.</w:t>
      </w:r>
    </w:p>
    <w:p>
      <w:pPr>
        <w:spacing w:after="0" w:line="15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20"/>
          <w:szCs w:val="20"/>
          <w:color w:val="auto"/>
        </w:rPr>
        <w:t>“</w:t>
      </w:r>
      <w:r>
        <w:rPr>
          <w:rFonts w:ascii="Arial" w:cs="Arial" w:eastAsia="Arial" w:hAnsi="Arial"/>
          <w:sz w:val="20"/>
          <w:szCs w:val="20"/>
          <w:u w:val="single" w:color="auto"/>
          <w:color w:val="auto"/>
        </w:rPr>
        <w:t>Employee</w:t>
      </w:r>
      <w:r>
        <w:rPr>
          <w:rFonts w:ascii="Arial" w:cs="Arial" w:eastAsia="Arial" w:hAnsi="Arial"/>
          <w:sz w:val="20"/>
          <w:szCs w:val="20"/>
          <w:color w:val="auto"/>
        </w:rPr>
        <w:t>” means any executive, officer, or other employee of the Company Group, whether such</w:t>
      </w:r>
      <w:r>
        <w:rPr>
          <w:rFonts w:ascii="Arial" w:cs="Arial" w:eastAsia="Arial" w:hAnsi="Arial"/>
          <w:sz w:val="19"/>
          <w:szCs w:val="19"/>
          <w:color w:val="auto"/>
        </w:rPr>
        <w:t xml:space="preserve"> </w:t>
      </w:r>
      <w:r>
        <w:rPr>
          <w:rFonts w:ascii="Arial" w:cs="Arial" w:eastAsia="Arial" w:hAnsi="Arial"/>
          <w:sz w:val="20"/>
          <w:szCs w:val="20"/>
          <w:color w:val="auto"/>
        </w:rPr>
        <w:t>individual is so employed at the time the Plan is adopted or becomes so employed subsequent to the adoption of the Plan.</w:t>
      </w:r>
    </w:p>
    <w:p>
      <w:pPr>
        <w:spacing w:after="0" w:line="12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Fiscal Year</w:t>
      </w:r>
      <w:r>
        <w:rPr>
          <w:rFonts w:ascii="Arial" w:cs="Arial" w:eastAsia="Arial" w:hAnsi="Arial"/>
          <w:sz w:val="19"/>
          <w:szCs w:val="19"/>
          <w:color w:val="auto"/>
        </w:rPr>
        <w:t>” means the fiscal year of the Company.</w:t>
      </w:r>
    </w:p>
    <w:p>
      <w:pPr>
        <w:spacing w:after="0" w:line="202" w:lineRule="exact"/>
        <w:rPr>
          <w:sz w:val="20"/>
          <w:szCs w:val="20"/>
          <w:color w:val="auto"/>
        </w:rPr>
      </w:pPr>
    </w:p>
    <w:p>
      <w:pPr>
        <w:jc w:val="both"/>
        <w:ind w:right="20" w:firstLine="1296"/>
        <w:spacing w:after="0" w:line="247" w:lineRule="auto"/>
        <w:rPr>
          <w:sz w:val="20"/>
          <w:szCs w:val="20"/>
          <w:color w:val="auto"/>
        </w:rPr>
      </w:pPr>
      <w:r>
        <w:rPr>
          <w:rFonts w:ascii="Arial" w:cs="Arial" w:eastAsia="Arial" w:hAnsi="Arial"/>
          <w:sz w:val="20"/>
          <w:szCs w:val="20"/>
          <w:color w:val="auto"/>
        </w:rPr>
        <w:t xml:space="preserve">2.12 </w:t>
      </w:r>
      <w:r>
        <w:rPr>
          <w:rFonts w:ascii="Arial" w:cs="Arial" w:eastAsia="Arial" w:hAnsi="Arial"/>
          <w:sz w:val="21"/>
          <w:szCs w:val="21"/>
          <w:color w:val="auto"/>
        </w:rPr>
        <w:t>“</w:t>
      </w:r>
      <w:r>
        <w:rPr>
          <w:rFonts w:ascii="Arial" w:cs="Arial" w:eastAsia="Arial" w:hAnsi="Arial"/>
          <w:sz w:val="21"/>
          <w:szCs w:val="21"/>
          <w:u w:val="single" w:color="auto"/>
          <w:color w:val="auto"/>
        </w:rPr>
        <w:t>Parent</w:t>
      </w:r>
      <w:r>
        <w:rPr>
          <w:rFonts w:ascii="Arial" w:cs="Arial" w:eastAsia="Arial" w:hAnsi="Arial"/>
          <w:sz w:val="21"/>
          <w:szCs w:val="21"/>
          <w:color w:val="auto"/>
        </w:rPr>
        <w:t>” means a “parent corporation,” whether now or hereafter existing, as defined in Code</w:t>
      </w:r>
      <w:r>
        <w:rPr>
          <w:rFonts w:ascii="Arial" w:cs="Arial" w:eastAsia="Arial" w:hAnsi="Arial"/>
          <w:sz w:val="20"/>
          <w:szCs w:val="20"/>
          <w:color w:val="auto"/>
        </w:rPr>
        <w:t xml:space="preserve"> </w:t>
      </w:r>
      <w:r>
        <w:rPr>
          <w:rFonts w:ascii="Arial" w:cs="Arial" w:eastAsia="Arial" w:hAnsi="Arial"/>
          <w:sz w:val="21"/>
          <w:szCs w:val="21"/>
          <w:color w:val="auto"/>
        </w:rPr>
        <w:t>Section 424(e).</w:t>
      </w:r>
    </w:p>
    <w:p>
      <w:pPr>
        <w:spacing w:after="0" w:line="15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0"/>
          <w:szCs w:val="20"/>
          <w:color w:val="auto"/>
        </w:rPr>
        <w:t xml:space="preserve">2.13 </w:t>
      </w: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means as to any Performance Period, an Employee who has been selected by the</w:t>
      </w:r>
      <w:r>
        <w:rPr>
          <w:rFonts w:ascii="Arial" w:cs="Arial" w:eastAsia="Arial" w:hAnsi="Arial"/>
          <w:sz w:val="20"/>
          <w:szCs w:val="20"/>
          <w:color w:val="auto"/>
        </w:rPr>
        <w:t xml:space="preserve"> </w:t>
      </w:r>
      <w:r>
        <w:rPr>
          <w:rFonts w:ascii="Arial" w:cs="Arial" w:eastAsia="Arial" w:hAnsi="Arial"/>
          <w:sz w:val="21"/>
          <w:szCs w:val="21"/>
          <w:color w:val="auto"/>
        </w:rPr>
        <w:t>Administrator for participation in the Plan for that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Confidential</w:t>
      </w:r>
    </w:p>
    <w:p>
      <w:pPr>
        <w:sectPr>
          <w:pgSz w:w="11900" w:h="16838" w:orient="portrait"/>
          <w:cols w:equalWidth="0" w:num="1">
            <w:col w:w="11240"/>
          </w:cols>
          <w:pgMar w:left="320" w:top="108" w:right="339" w:bottom="1440" w:gutter="0" w:footer="0" w:header="0"/>
        </w:sectPr>
      </w:pPr>
    </w:p>
    <w:bookmarkStart w:id="164" w:name="page165"/>
    <w:bookmarkEnd w:id="164"/>
    <w:p>
      <w:pPr>
        <w:spacing w:after="0" w:line="177"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 xml:space="preserve">2.14 </w:t>
      </w:r>
      <w:r>
        <w:rPr>
          <w:rFonts w:ascii="Arial" w:cs="Arial" w:eastAsia="Arial" w:hAnsi="Arial"/>
          <w:sz w:val="21"/>
          <w:szCs w:val="21"/>
          <w:color w:val="auto"/>
        </w:rPr>
        <w:t>“</w:t>
      </w:r>
      <w:r>
        <w:rPr>
          <w:rFonts w:ascii="Arial" w:cs="Arial" w:eastAsia="Arial" w:hAnsi="Arial"/>
          <w:sz w:val="21"/>
          <w:szCs w:val="21"/>
          <w:u w:val="single" w:color="auto"/>
          <w:color w:val="auto"/>
        </w:rPr>
        <w:t>Performance Period</w:t>
      </w:r>
      <w:r>
        <w:rPr>
          <w:rFonts w:ascii="Arial" w:cs="Arial" w:eastAsia="Arial" w:hAnsi="Arial"/>
          <w:sz w:val="21"/>
          <w:szCs w:val="21"/>
          <w:color w:val="auto"/>
        </w:rPr>
        <w:t>” means the period of time for the measurement of the performance criteria that must</w:t>
      </w:r>
      <w:r>
        <w:rPr>
          <w:rFonts w:ascii="Arial" w:cs="Arial" w:eastAsia="Arial" w:hAnsi="Arial"/>
          <w:sz w:val="20"/>
          <w:szCs w:val="20"/>
          <w:color w:val="auto"/>
        </w:rPr>
        <w:t xml:space="preserve"> </w:t>
      </w:r>
      <w:r>
        <w:rPr>
          <w:rFonts w:ascii="Arial" w:cs="Arial" w:eastAsia="Arial" w:hAnsi="Arial"/>
          <w:sz w:val="21"/>
          <w:szCs w:val="21"/>
          <w:color w:val="auto"/>
        </w:rPr>
        <w:t>be met to receive an Actual Award, as determined by the Administrator. A Performance Period may be divided into one or more shorter periods if, for example, but not by way of limitation, the Administrator desires to measure some performance criteria over twelve (12) months and other criteria over three (3) months.</w:t>
      </w:r>
    </w:p>
    <w:p>
      <w:pPr>
        <w:spacing w:after="0" w:line="158" w:lineRule="exact"/>
        <w:rPr>
          <w:sz w:val="20"/>
          <w:szCs w:val="20"/>
          <w:color w:val="auto"/>
        </w:rPr>
      </w:pPr>
    </w:p>
    <w:p>
      <w:pPr>
        <w:jc w:val="both"/>
        <w:ind w:right="20" w:firstLine="1296"/>
        <w:spacing w:after="0" w:line="247" w:lineRule="auto"/>
        <w:rPr>
          <w:sz w:val="20"/>
          <w:szCs w:val="20"/>
          <w:color w:val="auto"/>
        </w:rPr>
      </w:pPr>
      <w:r>
        <w:rPr>
          <w:rFonts w:ascii="Arial" w:cs="Arial" w:eastAsia="Arial" w:hAnsi="Arial"/>
          <w:sz w:val="20"/>
          <w:szCs w:val="20"/>
          <w:color w:val="auto"/>
        </w:rPr>
        <w:t xml:space="preserve">2.15 </w:t>
      </w: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means this Executive Incentive Compensation Plan (including any appendix attached hereto), as</w:t>
      </w:r>
      <w:r>
        <w:rPr>
          <w:rFonts w:ascii="Arial" w:cs="Arial" w:eastAsia="Arial" w:hAnsi="Arial"/>
          <w:sz w:val="20"/>
          <w:szCs w:val="20"/>
          <w:color w:val="auto"/>
        </w:rPr>
        <w:t xml:space="preserve"> </w:t>
      </w:r>
      <w:r>
        <w:rPr>
          <w:rFonts w:ascii="Arial" w:cs="Arial" w:eastAsia="Arial" w:hAnsi="Arial"/>
          <w:sz w:val="21"/>
          <w:szCs w:val="21"/>
          <w:color w:val="auto"/>
        </w:rPr>
        <w:t>may be amended from time to time.</w:t>
      </w:r>
    </w:p>
    <w:p>
      <w:pPr>
        <w:spacing w:after="0" w:line="15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0"/>
          <w:szCs w:val="20"/>
          <w:color w:val="auto"/>
        </w:rPr>
        <w:t xml:space="preserve">2.16 </w:t>
      </w:r>
      <w:r>
        <w:rPr>
          <w:rFonts w:ascii="Arial" w:cs="Arial" w:eastAsia="Arial" w:hAnsi="Arial"/>
          <w:sz w:val="21"/>
          <w:szCs w:val="21"/>
          <w:color w:val="auto"/>
        </w:rPr>
        <w:t>“</w:t>
      </w:r>
      <w:r>
        <w:rPr>
          <w:rFonts w:ascii="Arial" w:cs="Arial" w:eastAsia="Arial" w:hAnsi="Arial"/>
          <w:sz w:val="21"/>
          <w:szCs w:val="21"/>
          <w:u w:val="single" w:color="auto"/>
          <w:color w:val="auto"/>
        </w:rPr>
        <w:t>Section 409A</w:t>
      </w:r>
      <w:r>
        <w:rPr>
          <w:rFonts w:ascii="Arial" w:cs="Arial" w:eastAsia="Arial" w:hAnsi="Arial"/>
          <w:sz w:val="21"/>
          <w:szCs w:val="21"/>
          <w:color w:val="auto"/>
        </w:rPr>
        <w:t>” means Section 409A of the Code and any applicable state law equivalent, as each may be</w:t>
      </w:r>
      <w:r>
        <w:rPr>
          <w:rFonts w:ascii="Arial" w:cs="Arial" w:eastAsia="Arial" w:hAnsi="Arial"/>
          <w:sz w:val="20"/>
          <w:szCs w:val="20"/>
          <w:color w:val="auto"/>
        </w:rPr>
        <w:t xml:space="preserve"> </w:t>
      </w:r>
      <w:r>
        <w:rPr>
          <w:rFonts w:ascii="Arial" w:cs="Arial" w:eastAsia="Arial" w:hAnsi="Arial"/>
          <w:sz w:val="21"/>
          <w:szCs w:val="21"/>
          <w:color w:val="auto"/>
        </w:rPr>
        <w:t>promulgated, amended or modified from time to time.</w:t>
      </w:r>
    </w:p>
    <w:p>
      <w:pPr>
        <w:spacing w:after="0" w:line="15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0"/>
          <w:szCs w:val="20"/>
          <w:color w:val="auto"/>
        </w:rPr>
        <w:t xml:space="preserve">2.17 </w:t>
      </w: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a “subsidiary corporation,” whether now or hereafter existing, as defined in Code</w:t>
      </w:r>
      <w:r>
        <w:rPr>
          <w:rFonts w:ascii="Arial" w:cs="Arial" w:eastAsia="Arial" w:hAnsi="Arial"/>
          <w:sz w:val="20"/>
          <w:szCs w:val="20"/>
          <w:color w:val="auto"/>
        </w:rPr>
        <w:t xml:space="preserve"> </w:t>
      </w:r>
      <w:r>
        <w:rPr>
          <w:rFonts w:ascii="Arial" w:cs="Arial" w:eastAsia="Arial" w:hAnsi="Arial"/>
          <w:sz w:val="21"/>
          <w:szCs w:val="21"/>
          <w:color w:val="auto"/>
        </w:rPr>
        <w:t>Section 424(f), in relation to the Company.</w:t>
      </w:r>
    </w:p>
    <w:p>
      <w:pPr>
        <w:spacing w:after="0" w:line="151"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 xml:space="preserve">2.18 </w:t>
      </w:r>
      <w:r>
        <w:rPr>
          <w:rFonts w:ascii="Arial" w:cs="Arial" w:eastAsia="Arial" w:hAnsi="Arial"/>
          <w:sz w:val="21"/>
          <w:szCs w:val="21"/>
          <w:color w:val="auto"/>
        </w:rPr>
        <w:t>“</w:t>
      </w:r>
      <w:r>
        <w:rPr>
          <w:rFonts w:ascii="Arial" w:cs="Arial" w:eastAsia="Arial" w:hAnsi="Arial"/>
          <w:sz w:val="21"/>
          <w:szCs w:val="21"/>
          <w:u w:val="single" w:color="auto"/>
          <w:color w:val="auto"/>
        </w:rPr>
        <w:t>Target Award</w:t>
      </w:r>
      <w:r>
        <w:rPr>
          <w:rFonts w:ascii="Arial" w:cs="Arial" w:eastAsia="Arial" w:hAnsi="Arial"/>
          <w:sz w:val="21"/>
          <w:szCs w:val="21"/>
          <w:color w:val="auto"/>
        </w:rPr>
        <w:t>” means the target award, at one hundred percent (100%) of target level performance</w:t>
      </w:r>
      <w:r>
        <w:rPr>
          <w:rFonts w:ascii="Arial" w:cs="Arial" w:eastAsia="Arial" w:hAnsi="Arial"/>
          <w:sz w:val="20"/>
          <w:szCs w:val="20"/>
          <w:color w:val="auto"/>
        </w:rPr>
        <w:t xml:space="preserve"> </w:t>
      </w:r>
      <w:r>
        <w:rPr>
          <w:rFonts w:ascii="Arial" w:cs="Arial" w:eastAsia="Arial" w:hAnsi="Arial"/>
          <w:sz w:val="21"/>
          <w:szCs w:val="21"/>
          <w:color w:val="auto"/>
        </w:rPr>
        <w:t>achievement, payable under the Plan to a Participant for a Performance Period, as determined by the Administrator in accordance with Section 4.2.</w:t>
      </w:r>
    </w:p>
    <w:p>
      <w:pPr>
        <w:spacing w:after="0" w:line="158"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0"/>
          <w:szCs w:val="20"/>
          <w:color w:val="auto"/>
        </w:rPr>
        <w:t xml:space="preserve">2.19 </w:t>
      </w:r>
      <w:r>
        <w:rPr>
          <w:rFonts w:ascii="Arial" w:cs="Arial" w:eastAsia="Arial" w:hAnsi="Arial"/>
          <w:sz w:val="21"/>
          <w:szCs w:val="21"/>
          <w:color w:val="auto"/>
        </w:rPr>
        <w:t>“</w:t>
      </w:r>
      <w:r>
        <w:rPr>
          <w:rFonts w:ascii="Arial" w:cs="Arial" w:eastAsia="Arial" w:hAnsi="Arial"/>
          <w:sz w:val="21"/>
          <w:szCs w:val="21"/>
          <w:u w:val="single" w:color="auto"/>
          <w:color w:val="auto"/>
        </w:rPr>
        <w:t>Tax Withholdings</w:t>
      </w:r>
      <w:r>
        <w:rPr>
          <w:rFonts w:ascii="Arial" w:cs="Arial" w:eastAsia="Arial" w:hAnsi="Arial"/>
          <w:sz w:val="21"/>
          <w:szCs w:val="21"/>
          <w:color w:val="auto"/>
        </w:rPr>
        <w:t>” means tax, social insurance and social security liability or premium obligations in</w:t>
      </w:r>
      <w:r>
        <w:rPr>
          <w:rFonts w:ascii="Arial" w:cs="Arial" w:eastAsia="Arial" w:hAnsi="Arial"/>
          <w:sz w:val="20"/>
          <w:szCs w:val="20"/>
          <w:color w:val="auto"/>
        </w:rPr>
        <w:t xml:space="preserve"> </w:t>
      </w:r>
      <w:r>
        <w:rPr>
          <w:rFonts w:ascii="Arial" w:cs="Arial" w:eastAsia="Arial" w:hAnsi="Arial"/>
          <w:sz w:val="21"/>
          <w:szCs w:val="21"/>
          <w:color w:val="auto"/>
        </w:rPr>
        <w:t>connection with the awards under the Plan, including without limitation: (a) all federal, state, and local income, employment and any other taxes (including the Participant’s U.S. Federal Insurance Contributions Act (FICA) obligation) that are required to be withheld by the Company Group, (b) the Participant’s and, to the extent required by the Company Group, the fringe benefit tax liability of the Company Group associated with an award under the Plan, and (c) any other taxes or social insurance or social security liabilities or premium the responsibility for which the Participant has, or has agreed to bear, with respect to such award under the Plan.</w:t>
      </w:r>
    </w:p>
    <w:p>
      <w:pPr>
        <w:spacing w:after="0" w:line="164"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9"/>
          <w:szCs w:val="19"/>
          <w:color w:val="auto"/>
        </w:rPr>
        <w:t xml:space="preserve">2.20 </w:t>
      </w:r>
      <w:r>
        <w:rPr>
          <w:rFonts w:ascii="Arial" w:cs="Arial" w:eastAsia="Arial" w:hAnsi="Arial"/>
          <w:sz w:val="20"/>
          <w:szCs w:val="20"/>
          <w:color w:val="auto"/>
        </w:rPr>
        <w:t>“</w:t>
      </w: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means a cessation of the employee-employer relationship between an</w:t>
      </w:r>
      <w:r>
        <w:rPr>
          <w:rFonts w:ascii="Arial" w:cs="Arial" w:eastAsia="Arial" w:hAnsi="Arial"/>
          <w:sz w:val="19"/>
          <w:szCs w:val="19"/>
          <w:color w:val="auto"/>
        </w:rPr>
        <w:t xml:space="preserve"> </w:t>
      </w:r>
      <w:r>
        <w:rPr>
          <w:rFonts w:ascii="Arial" w:cs="Arial" w:eastAsia="Arial" w:hAnsi="Arial"/>
          <w:sz w:val="20"/>
          <w:szCs w:val="20"/>
          <w:color w:val="auto"/>
        </w:rPr>
        <w:t>Employee and the Company Group, including without limitation a termination by resignation, discharge, death, Disability, retirement, or the disaffiliation of a Parent, Subsidiary or Affiliate. For purposes of the Plan, transfer of employment of a Participant between any members of the Company Group (for example, between the Company and a Subsidiary) will not be deemed a Termination of Employment. Unless otherwise set out in any written contract of employment the Termination of Employment shall be deemed to occur on the effective date of any written notice of termination delivered by either the Company or any Subsidiary or by the employee to the other party and shall not been deemed to include any subsequent period of notice where the employee is not providing active service, unless specifically required by applicable law.</w:t>
      </w:r>
    </w:p>
    <w:p>
      <w:pPr>
        <w:spacing w:after="0" w:line="158"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20"/>
          <w:szCs w:val="20"/>
          <w:color w:val="auto"/>
        </w:rPr>
      </w:pPr>
      <w:r>
        <w:rPr>
          <w:rFonts w:ascii="Arial" w:cs="Arial" w:eastAsia="Arial" w:hAnsi="Arial"/>
          <w:sz w:val="22"/>
          <w:szCs w:val="22"/>
          <w:u w:val="single" w:color="auto"/>
          <w:color w:val="auto"/>
        </w:rPr>
        <w:t>Administration of the Plan</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1"/>
          <w:szCs w:val="21"/>
          <w:u w:val="single" w:color="auto"/>
          <w:color w:val="auto"/>
        </w:rPr>
        <w:t>Administrator</w:t>
      </w:r>
      <w:r>
        <w:rPr>
          <w:rFonts w:ascii="Arial" w:cs="Arial" w:eastAsia="Arial" w:hAnsi="Arial"/>
          <w:sz w:val="21"/>
          <w:szCs w:val="21"/>
          <w:color w:val="auto"/>
        </w:rPr>
        <w:t>. The Plan will be administered by the Board or a Committee (the “</w:t>
      </w:r>
      <w:r>
        <w:rPr>
          <w:rFonts w:ascii="Arial" w:cs="Arial" w:eastAsia="Arial" w:hAnsi="Arial"/>
          <w:sz w:val="21"/>
          <w:szCs w:val="21"/>
          <w:u w:val="single" w:color="auto"/>
          <w:color w:val="auto"/>
        </w:rPr>
        <w:t>Administrator</w:t>
      </w:r>
      <w:r>
        <w:rPr>
          <w:rFonts w:ascii="Arial" w:cs="Arial" w:eastAsia="Arial" w:hAnsi="Arial"/>
          <w:sz w:val="21"/>
          <w:szCs w:val="21"/>
          <w:color w:val="auto"/>
        </w:rPr>
        <w:t>”). To the</w:t>
      </w:r>
      <w:r>
        <w:rPr>
          <w:rFonts w:ascii="Arial" w:cs="Arial" w:eastAsia="Arial" w:hAnsi="Arial"/>
          <w:sz w:val="20"/>
          <w:szCs w:val="20"/>
          <w:color w:val="auto"/>
        </w:rPr>
        <w:t xml:space="preserve"> </w:t>
      </w:r>
      <w:r>
        <w:rPr>
          <w:rFonts w:ascii="Arial" w:cs="Arial" w:eastAsia="Arial" w:hAnsi="Arial"/>
          <w:sz w:val="21"/>
          <w:szCs w:val="21"/>
          <w:color w:val="auto"/>
        </w:rPr>
        <w:t>extent necessary or desirable to satisfy applicable laws, the Committee acting as the Administrator will consist of not less than two (2) members of the Board. The members of any Committee will be appointed from time to time by, and serve at the pleasure of, the Board. The Board may retain the authority to administer the Plan concurrently with a Committee and may revoke the delegation of some or all authority previously delegated. Different Administrators may administer the Plan with respect to different groups of Employees. Unless and until the Board otherwise determines, the Board’s Compensation Committee will administer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jc w:val="center"/>
        <w:spacing w:after="0"/>
        <w:rPr>
          <w:sz w:val="20"/>
          <w:szCs w:val="20"/>
          <w:color w:val="auto"/>
        </w:rPr>
      </w:pPr>
      <w:r>
        <w:rPr>
          <w:rFonts w:ascii="Arial" w:cs="Arial" w:eastAsia="Arial" w:hAnsi="Arial"/>
          <w:sz w:val="20"/>
          <w:szCs w:val="20"/>
          <w:color w:val="auto"/>
        </w:rPr>
        <w:t>Confidential</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77"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19"/>
          <w:szCs w:val="19"/>
          <w:color w:val="auto"/>
        </w:rPr>
        <w:t xml:space="preserve">3.2 </w:t>
      </w:r>
      <w:r>
        <w:rPr>
          <w:rFonts w:ascii="Arial" w:cs="Arial" w:eastAsia="Arial" w:hAnsi="Arial"/>
          <w:sz w:val="20"/>
          <w:szCs w:val="20"/>
          <w:u w:val="single" w:color="auto"/>
          <w:color w:val="auto"/>
        </w:rPr>
        <w:t>Administrator Authority</w:t>
      </w:r>
      <w:r>
        <w:rPr>
          <w:rFonts w:ascii="Arial" w:cs="Arial" w:eastAsia="Arial" w:hAnsi="Arial"/>
          <w:sz w:val="20"/>
          <w:szCs w:val="20"/>
          <w:color w:val="auto"/>
        </w:rPr>
        <w:t>. It will be the duty of the Administrator to administer the Plan in accordance with</w:t>
      </w:r>
      <w:r>
        <w:rPr>
          <w:rFonts w:ascii="Arial" w:cs="Arial" w:eastAsia="Arial" w:hAnsi="Arial"/>
          <w:sz w:val="19"/>
          <w:szCs w:val="19"/>
          <w:color w:val="auto"/>
        </w:rPr>
        <w:t xml:space="preserve"> </w:t>
      </w:r>
      <w:r>
        <w:rPr>
          <w:rFonts w:ascii="Arial" w:cs="Arial" w:eastAsia="Arial" w:hAnsi="Arial"/>
          <w:sz w:val="20"/>
          <w:szCs w:val="20"/>
          <w:color w:val="auto"/>
        </w:rPr>
        <w:t>the Plan’s provisions. The Administrator will have all powers and discretion necessary or appropriate to administer the Plan and to control its operation, including, but not limited to, the power to (a) determine which Employees will be granted awards,</w:t>
      </w:r>
    </w:p>
    <w:p>
      <w:pPr>
        <w:spacing w:after="0" w:line="2" w:lineRule="exact"/>
        <w:rPr>
          <w:sz w:val="20"/>
          <w:szCs w:val="20"/>
          <w:color w:val="auto"/>
        </w:rPr>
      </w:pPr>
    </w:p>
    <w:p>
      <w:pPr>
        <w:jc w:val="both"/>
        <w:ind w:firstLine="8"/>
        <w:spacing w:after="0" w:line="245" w:lineRule="auto"/>
        <w:tabs>
          <w:tab w:leader="none" w:pos="317" w:val="left"/>
        </w:tabs>
        <w:numPr>
          <w:ilvl w:val="0"/>
          <w:numId w:val="81"/>
        </w:numPr>
        <w:rPr>
          <w:rFonts w:ascii="Arial" w:cs="Arial" w:eastAsia="Arial" w:hAnsi="Arial"/>
          <w:sz w:val="19"/>
          <w:szCs w:val="19"/>
          <w:color w:val="auto"/>
        </w:rPr>
      </w:pPr>
      <w:r>
        <w:rPr>
          <w:rFonts w:ascii="Arial" w:cs="Arial" w:eastAsia="Arial" w:hAnsi="Arial"/>
          <w:sz w:val="19"/>
          <w:szCs w:val="19"/>
          <w:color w:val="auto"/>
        </w:rPr>
        <w:t>prescribe the terms and conditions of awards, (c) interpret the Plan and the awards, (d) adopt such procedures and sub-plans as are necessary or appropriate to permit participation in the Plan by Employees who are non-U.S. nationals or employed outside of the U.S. or to qualify awards for special tax treatment under the laws of jurisdictions other than the U.S., (e) adopt rules for the administration, interpretation and application of the Plan as are consistent therewith, and (f) interpret, amend or revoke any such rules. Any determinations and decisions made or to be made by the Administrator pursuant to the provisions of the Plan, unless specified otherwise by the Administrator, will be in the Administrator’s sole discretion.</w:t>
      </w:r>
    </w:p>
    <w:p>
      <w:pPr>
        <w:spacing w:after="0" w:line="156"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1"/>
          <w:szCs w:val="21"/>
          <w:u w:val="single" w:color="auto"/>
          <w:color w:val="auto"/>
        </w:rPr>
        <w:t>Decisions Binding</w:t>
      </w:r>
      <w:r>
        <w:rPr>
          <w:rFonts w:ascii="Arial" w:cs="Arial" w:eastAsia="Arial" w:hAnsi="Arial"/>
          <w:sz w:val="21"/>
          <w:szCs w:val="21"/>
          <w:color w:val="auto"/>
        </w:rPr>
        <w:t>. All determinations and decisions made by the Administrator and/or any delegate of the</w:t>
      </w:r>
      <w:r>
        <w:rPr>
          <w:rFonts w:ascii="Arial" w:cs="Arial" w:eastAsia="Arial" w:hAnsi="Arial"/>
          <w:sz w:val="20"/>
          <w:szCs w:val="20"/>
          <w:color w:val="auto"/>
        </w:rPr>
        <w:t xml:space="preserve"> </w:t>
      </w:r>
      <w:r>
        <w:rPr>
          <w:rFonts w:ascii="Arial" w:cs="Arial" w:eastAsia="Arial" w:hAnsi="Arial"/>
          <w:sz w:val="21"/>
          <w:szCs w:val="21"/>
          <w:color w:val="auto"/>
        </w:rPr>
        <w:t>Administrator pursuant to the provisions of the Plan will be final, conclusive, and binding on all persons, and will be given the maximum deference permitted by law.</w:t>
      </w:r>
    </w:p>
    <w:p>
      <w:pPr>
        <w:spacing w:after="0" w:line="158"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1"/>
          <w:szCs w:val="21"/>
          <w:u w:val="single" w:color="auto"/>
          <w:color w:val="auto"/>
        </w:rPr>
        <w:t>Delegation by Administrator</w:t>
      </w:r>
      <w:r>
        <w:rPr>
          <w:rFonts w:ascii="Arial" w:cs="Arial" w:eastAsia="Arial" w:hAnsi="Arial"/>
          <w:sz w:val="21"/>
          <w:szCs w:val="21"/>
          <w:color w:val="auto"/>
        </w:rPr>
        <w:t>. The Administrator, on such terms and conditions as it may provide, may</w:t>
      </w:r>
      <w:r>
        <w:rPr>
          <w:rFonts w:ascii="Arial" w:cs="Arial" w:eastAsia="Arial" w:hAnsi="Arial"/>
          <w:sz w:val="20"/>
          <w:szCs w:val="20"/>
          <w:color w:val="auto"/>
        </w:rPr>
        <w:t xml:space="preserve"> </w:t>
      </w:r>
      <w:r>
        <w:rPr>
          <w:rFonts w:ascii="Arial" w:cs="Arial" w:eastAsia="Arial" w:hAnsi="Arial"/>
          <w:sz w:val="21"/>
          <w:szCs w:val="21"/>
          <w:color w:val="auto"/>
        </w:rPr>
        <w:t>delegate all or part of its authority and powers under the Plan to one or more directors and/or officers of the Company. Such delegation may be revoked at any time.</w:t>
      </w:r>
    </w:p>
    <w:p>
      <w:pPr>
        <w:spacing w:after="0" w:line="158"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19"/>
          <w:szCs w:val="19"/>
          <w:color w:val="auto"/>
        </w:rPr>
        <w:t xml:space="preserve">3.5 </w:t>
      </w:r>
      <w:r>
        <w:rPr>
          <w:rFonts w:ascii="Arial" w:cs="Arial" w:eastAsia="Arial" w:hAnsi="Arial"/>
          <w:sz w:val="20"/>
          <w:szCs w:val="20"/>
          <w:u w:val="single" w:color="auto"/>
          <w:color w:val="auto"/>
        </w:rPr>
        <w:t>Indemnification</w:t>
      </w:r>
      <w:r>
        <w:rPr>
          <w:rFonts w:ascii="Arial" w:cs="Arial" w:eastAsia="Arial" w:hAnsi="Arial"/>
          <w:sz w:val="20"/>
          <w:szCs w:val="20"/>
          <w:color w:val="auto"/>
        </w:rPr>
        <w:t>. Each person who is or will have been a member of the Administrator will be indemnified</w:t>
      </w:r>
      <w:r>
        <w:rPr>
          <w:rFonts w:ascii="Arial" w:cs="Arial" w:eastAsia="Arial" w:hAnsi="Arial"/>
          <w:sz w:val="19"/>
          <w:szCs w:val="19"/>
          <w:color w:val="auto"/>
        </w:rPr>
        <w:t xml:space="preserve"> </w:t>
      </w:r>
      <w:r>
        <w:rPr>
          <w:rFonts w:ascii="Arial" w:cs="Arial" w:eastAsia="Arial" w:hAnsi="Arial"/>
          <w:sz w:val="20"/>
          <w:szCs w:val="20"/>
          <w:color w:val="auto"/>
        </w:rPr>
        <w:t>and held harmless by the 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and (b) from any and all amounts paid by him or her in settlement thereof, with the Company’s approval, or paid by him or her in satisfaction of any judgment in any such claim, action, suit, or proceeding against him or her, provided he or she will give the Company an opportunity, at its own expense, to handle and defend the same before he or she undertakes to handle and defend it on his or her own behalf. The foregoing right of indemnification will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162"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20"/>
          <w:szCs w:val="20"/>
          <w:color w:val="auto"/>
        </w:rPr>
      </w:pPr>
      <w:r>
        <w:rPr>
          <w:rFonts w:ascii="Arial" w:cs="Arial" w:eastAsia="Arial" w:hAnsi="Arial"/>
          <w:sz w:val="22"/>
          <w:szCs w:val="22"/>
          <w:u w:val="single" w:color="auto"/>
          <w:color w:val="auto"/>
        </w:rPr>
        <w:t>Selection of Participants and Determination of Awards</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1"/>
          <w:szCs w:val="21"/>
          <w:u w:val="single" w:color="auto"/>
          <w:color w:val="auto"/>
        </w:rPr>
        <w:t>Selection of Participants</w:t>
      </w:r>
      <w:r>
        <w:rPr>
          <w:rFonts w:ascii="Arial" w:cs="Arial" w:eastAsia="Arial" w:hAnsi="Arial"/>
          <w:sz w:val="21"/>
          <w:szCs w:val="21"/>
          <w:color w:val="auto"/>
        </w:rPr>
        <w:t>. The Administrator will select the Employees who will be Participants for any</w:t>
      </w:r>
      <w:r>
        <w:rPr>
          <w:rFonts w:ascii="Arial" w:cs="Arial" w:eastAsia="Arial" w:hAnsi="Arial"/>
          <w:sz w:val="20"/>
          <w:szCs w:val="20"/>
          <w:color w:val="auto"/>
        </w:rPr>
        <w:t xml:space="preserve"> </w:t>
      </w:r>
      <w:r>
        <w:rPr>
          <w:rFonts w:ascii="Arial" w:cs="Arial" w:eastAsia="Arial" w:hAnsi="Arial"/>
          <w:sz w:val="21"/>
          <w:szCs w:val="21"/>
          <w:color w:val="auto"/>
        </w:rPr>
        <w:t>Performance Period. Participation in the Plan will be on a Performance Period by Performance Period basis. Accordingly, an Employee who is a Participant for a given Performance Period in no way is guaranteed or assured of being selected for participation in any subsequent Performance Period or Performance Periods. No Employee will have the right to be selected to receive an award under this Plan or, if so selected, to be selected to receive a future award.</w:t>
      </w:r>
    </w:p>
    <w:p>
      <w:pPr>
        <w:spacing w:after="0" w:line="15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1"/>
          <w:szCs w:val="21"/>
          <w:u w:val="single" w:color="auto"/>
          <w:color w:val="auto"/>
        </w:rPr>
        <w:t>Determination of Target Awards</w:t>
      </w:r>
      <w:r>
        <w:rPr>
          <w:rFonts w:ascii="Arial" w:cs="Arial" w:eastAsia="Arial" w:hAnsi="Arial"/>
          <w:sz w:val="21"/>
          <w:szCs w:val="21"/>
          <w:color w:val="auto"/>
        </w:rPr>
        <w:t>. The Administrator may establish a Target Award for each Participant</w:t>
      </w:r>
      <w:r>
        <w:rPr>
          <w:rFonts w:ascii="Arial" w:cs="Arial" w:eastAsia="Arial" w:hAnsi="Arial"/>
          <w:sz w:val="20"/>
          <w:szCs w:val="20"/>
          <w:color w:val="auto"/>
        </w:rPr>
        <w:t xml:space="preserve"> </w:t>
      </w:r>
      <w:r>
        <w:rPr>
          <w:rFonts w:ascii="Arial" w:cs="Arial" w:eastAsia="Arial" w:hAnsi="Arial"/>
          <w:sz w:val="21"/>
          <w:szCs w:val="21"/>
          <w:color w:val="auto"/>
        </w:rPr>
        <w:t>(which may be expressed as a percentage of a Participant’s average annual base salary for the Performance Period or a fixed dollar amount or such other amount or based on such other formula or factors as the Administrator determines). Unless otherwise determined by the Administrator, if a Participant commences employment with the Company Group during a Performance Period, such Participant’s Target Award for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jc w:val="center"/>
        <w:spacing w:after="0"/>
        <w:rPr>
          <w:sz w:val="20"/>
          <w:szCs w:val="20"/>
          <w:color w:val="auto"/>
        </w:rPr>
      </w:pPr>
      <w:r>
        <w:rPr>
          <w:rFonts w:ascii="Arial" w:cs="Arial" w:eastAsia="Arial" w:hAnsi="Arial"/>
          <w:sz w:val="20"/>
          <w:szCs w:val="20"/>
          <w:color w:val="auto"/>
        </w:rPr>
        <w:t>Confidential</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Performance Period will be pro-rated based on the portion of that Performance Period in which the Participant is employed with the Company Group.</w:t>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1"/>
          <w:szCs w:val="21"/>
          <w:u w:val="single" w:color="auto"/>
          <w:color w:val="auto"/>
        </w:rPr>
        <w:t>Bonus Pool</w:t>
      </w:r>
      <w:r>
        <w:rPr>
          <w:rFonts w:ascii="Arial" w:cs="Arial" w:eastAsia="Arial" w:hAnsi="Arial"/>
          <w:sz w:val="21"/>
          <w:szCs w:val="21"/>
          <w:color w:val="auto"/>
        </w:rPr>
        <w:t>. Each Performance Period, the Administrator may establish a Bonus Pool, which pool may be</w:t>
      </w:r>
      <w:r>
        <w:rPr>
          <w:rFonts w:ascii="Arial" w:cs="Arial" w:eastAsia="Arial" w:hAnsi="Arial"/>
          <w:sz w:val="20"/>
          <w:szCs w:val="20"/>
          <w:color w:val="auto"/>
        </w:rPr>
        <w:t xml:space="preserve"> </w:t>
      </w:r>
      <w:r>
        <w:rPr>
          <w:rFonts w:ascii="Arial" w:cs="Arial" w:eastAsia="Arial" w:hAnsi="Arial"/>
          <w:sz w:val="21"/>
          <w:szCs w:val="21"/>
          <w:color w:val="auto"/>
        </w:rPr>
        <w:t>established before, during or after the applicable Performance Period. Actual Awards will be paid from the Bonus Pool (if a Bonus Pool has been established).</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1"/>
          <w:szCs w:val="21"/>
          <w:u w:val="single" w:color="auto"/>
          <w:color w:val="auto"/>
        </w:rPr>
        <w:t>Discretion to Modify Awards</w:t>
      </w:r>
      <w:r>
        <w:rPr>
          <w:rFonts w:ascii="Arial" w:cs="Arial" w:eastAsia="Arial" w:hAnsi="Arial"/>
          <w:sz w:val="21"/>
          <w:szCs w:val="21"/>
          <w:color w:val="auto"/>
        </w:rPr>
        <w:t>. Notwithstanding any contrary provision of the Plan, the Administrator, at</w:t>
      </w:r>
      <w:r>
        <w:rPr>
          <w:rFonts w:ascii="Arial" w:cs="Arial" w:eastAsia="Arial" w:hAnsi="Arial"/>
          <w:sz w:val="20"/>
          <w:szCs w:val="20"/>
          <w:color w:val="auto"/>
        </w:rPr>
        <w:t xml:space="preserve"> </w:t>
      </w:r>
      <w:r>
        <w:rPr>
          <w:rFonts w:ascii="Arial" w:cs="Arial" w:eastAsia="Arial" w:hAnsi="Arial"/>
          <w:sz w:val="21"/>
          <w:szCs w:val="21"/>
          <w:color w:val="auto"/>
        </w:rPr>
        <w:t>any time prior to payment of an Actual Award, may: (a) increase, reduce or eliminate a Participant’s Actual Award, and/or</w:t>
      </w:r>
    </w:p>
    <w:p>
      <w:pPr>
        <w:spacing w:after="0" w:line="1" w:lineRule="exact"/>
        <w:rPr>
          <w:sz w:val="20"/>
          <w:szCs w:val="20"/>
          <w:color w:val="auto"/>
        </w:rPr>
      </w:pPr>
    </w:p>
    <w:p>
      <w:pPr>
        <w:jc w:val="both"/>
        <w:ind w:firstLine="8"/>
        <w:spacing w:after="0" w:line="214" w:lineRule="auto"/>
        <w:tabs>
          <w:tab w:leader="none" w:pos="308" w:val="left"/>
        </w:tabs>
        <w:numPr>
          <w:ilvl w:val="0"/>
          <w:numId w:val="83"/>
        </w:numPr>
        <w:rPr>
          <w:rFonts w:ascii="Arial" w:cs="Arial" w:eastAsia="Arial" w:hAnsi="Arial"/>
          <w:sz w:val="22"/>
          <w:szCs w:val="22"/>
          <w:color w:val="auto"/>
        </w:rPr>
      </w:pPr>
      <w:r>
        <w:rPr>
          <w:rFonts w:ascii="Arial" w:cs="Arial" w:eastAsia="Arial" w:hAnsi="Arial"/>
          <w:sz w:val="22"/>
          <w:szCs w:val="22"/>
          <w:color w:val="auto"/>
        </w:rPr>
        <w:t>increase, reduce or eliminate the amount allocated to the Bonus Pool. The Actual Award may be below, at or above the Target Award, as determined by the Administrator. The Administrator may determine the amount of any increase, reduction, or elimination based on such factors as it deems relevant, and will not be required to establish any allocation or weighting with respect to the factors it considers.</w:t>
      </w:r>
    </w:p>
    <w:p>
      <w:pPr>
        <w:spacing w:after="0" w:line="160" w:lineRule="exact"/>
        <w:rPr>
          <w:sz w:val="20"/>
          <w:szCs w:val="20"/>
          <w:color w:val="auto"/>
        </w:rPr>
      </w:pPr>
    </w:p>
    <w:p>
      <w:pPr>
        <w:jc w:val="both"/>
        <w:ind w:firstLine="1296"/>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9"/>
          <w:szCs w:val="19"/>
          <w:u w:val="single" w:color="auto"/>
          <w:color w:val="auto"/>
        </w:rPr>
        <w:t>Discretion to Determine Criteria</w:t>
      </w:r>
      <w:r>
        <w:rPr>
          <w:rFonts w:ascii="Arial" w:cs="Arial" w:eastAsia="Arial" w:hAnsi="Arial"/>
          <w:sz w:val="19"/>
          <w:szCs w:val="19"/>
          <w:color w:val="auto"/>
        </w:rPr>
        <w:t>. Notwithstanding any contrary provision of the Plan, the Administrator</w:t>
      </w:r>
      <w:r>
        <w:rPr>
          <w:rFonts w:ascii="Arial" w:cs="Arial" w:eastAsia="Arial" w:hAnsi="Arial"/>
          <w:sz w:val="18"/>
          <w:szCs w:val="18"/>
          <w:color w:val="auto"/>
        </w:rPr>
        <w:t xml:space="preserve"> </w:t>
      </w:r>
      <w:r>
        <w:rPr>
          <w:rFonts w:ascii="Arial" w:cs="Arial" w:eastAsia="Arial" w:hAnsi="Arial"/>
          <w:sz w:val="19"/>
          <w:szCs w:val="19"/>
          <w:color w:val="auto"/>
        </w:rPr>
        <w:t>will determine the performance goals, if any, applicable to any Target Award (or portion thereof) which may include, without limitation, goals related to: research and development milestones; regulatory milestones or regulatory-related goals; gross margin; financial milestones; new product or business development; operating margin; product release timelines or other product release milestones; publications; cash flow; procurement; savings; internal structure; leadership development; project function or portfolio-specific milestones; license or research collaboration agreements; capital raising; initial public offering preparations; patentability; and individual objectives such as peer reviews or other subjective or objective criteria</w:t>
      </w:r>
      <w:r>
        <w:rPr>
          <w:rFonts w:ascii="Arial" w:cs="Arial" w:eastAsia="Arial" w:hAnsi="Arial"/>
          <w:sz w:val="17"/>
          <w:szCs w:val="17"/>
          <w:color w:val="auto"/>
        </w:rPr>
        <w:t>.</w:t>
      </w:r>
      <w:r>
        <w:rPr>
          <w:rFonts w:ascii="Arial" w:cs="Arial" w:eastAsia="Arial" w:hAnsi="Arial"/>
          <w:sz w:val="19"/>
          <w:szCs w:val="19"/>
          <w:color w:val="auto"/>
        </w:rPr>
        <w:t xml:space="preserve"> As determined by the Administrator, the performance goals may be based on U.S. generally accepted accounting principles (“</w:t>
      </w:r>
      <w:r>
        <w:rPr>
          <w:rFonts w:ascii="Arial" w:cs="Arial" w:eastAsia="Arial" w:hAnsi="Arial"/>
          <w:sz w:val="19"/>
          <w:szCs w:val="19"/>
          <w:u w:val="single" w:color="auto"/>
          <w:color w:val="auto"/>
        </w:rPr>
        <w:t>GAAP</w:t>
      </w:r>
      <w:r>
        <w:rPr>
          <w:rFonts w:ascii="Arial" w:cs="Arial" w:eastAsia="Arial" w:hAnsi="Arial"/>
          <w:sz w:val="19"/>
          <w:szCs w:val="19"/>
          <w:color w:val="auto"/>
        </w:rPr>
        <w:t>”) or non-GAAP results and any actual results may be adjusted by the Administrator for one-time items or unbudgeted or unexpected items and/or payments of Actual Awards under the Plan when determining whether the performance goals have been met. The performance goals may be based on any factors the Administrator determines relevant, including without limitation on an individual, divisional, portfolio, project, business unit, segment or Company-wide basis. Any criteria used may be measured on such basis as the Administrator determines, including without limitation: (a) in absolute terms, (b) in combination with another performance goal or goals (for example, but not by way of limitation, as a ratio or matrix), (c) in relative terms (including, but not limited to, results for other periods, passage of time and/or against another company or companies or an index or indices), (d) on a per-share basis, (e) against the performance of the Company as a whole or a segment of the Company and/or (f) on a pre-tax or after-tax basis. The performance goals may differ from Participant to Participant and from award to award. Failure to meet the applicable performance goals will result in a failure to earn the Target Award, except as provided in Section 4.4.</w:t>
      </w:r>
    </w:p>
    <w:p>
      <w:pPr>
        <w:spacing w:after="0" w:line="171"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20"/>
          <w:szCs w:val="20"/>
          <w:color w:val="auto"/>
        </w:rPr>
      </w:pPr>
      <w:r>
        <w:rPr>
          <w:rFonts w:ascii="Arial" w:cs="Arial" w:eastAsia="Arial" w:hAnsi="Arial"/>
          <w:sz w:val="22"/>
          <w:szCs w:val="22"/>
          <w:u w:val="single" w:color="auto"/>
          <w:color w:val="auto"/>
        </w:rPr>
        <w:t>Payment of Awards</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9"/>
          <w:szCs w:val="19"/>
          <w:color w:val="auto"/>
        </w:rPr>
        <w:t xml:space="preserve">5.1 </w:t>
      </w:r>
      <w:r>
        <w:rPr>
          <w:rFonts w:ascii="Arial" w:cs="Arial" w:eastAsia="Arial" w:hAnsi="Arial"/>
          <w:sz w:val="20"/>
          <w:szCs w:val="20"/>
          <w:u w:val="single" w:color="auto"/>
          <w:color w:val="auto"/>
        </w:rPr>
        <w:t>Right to Receive Payment</w:t>
      </w:r>
      <w:r>
        <w:rPr>
          <w:rFonts w:ascii="Arial" w:cs="Arial" w:eastAsia="Arial" w:hAnsi="Arial"/>
          <w:sz w:val="20"/>
          <w:szCs w:val="20"/>
          <w:color w:val="auto"/>
        </w:rPr>
        <w:t>. Each Actual Award will be paid solely from the general assets of the Company</w:t>
      </w:r>
      <w:r>
        <w:rPr>
          <w:rFonts w:ascii="Arial" w:cs="Arial" w:eastAsia="Arial" w:hAnsi="Arial"/>
          <w:sz w:val="19"/>
          <w:szCs w:val="19"/>
          <w:color w:val="auto"/>
        </w:rPr>
        <w:t xml:space="preserve"> </w:t>
      </w:r>
      <w:r>
        <w:rPr>
          <w:rFonts w:ascii="Arial" w:cs="Arial" w:eastAsia="Arial" w:hAnsi="Arial"/>
          <w:sz w:val="20"/>
          <w:szCs w:val="20"/>
          <w:color w:val="auto"/>
        </w:rPr>
        <w:t>Group. Nothing in this Plan will be construed to create a trust or to establish or evidence any Participant’s claim of any right other than as an unsecured general creditor with respect to any payment to which the Participant may be entitled.</w:t>
      </w:r>
    </w:p>
    <w:p>
      <w:pPr>
        <w:spacing w:after="0" w:line="151"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1"/>
          <w:szCs w:val="21"/>
          <w:u w:val="single" w:color="auto"/>
          <w:color w:val="auto"/>
        </w:rPr>
        <w:t>Timing of Payment</w:t>
      </w:r>
      <w:r>
        <w:rPr>
          <w:rFonts w:ascii="Arial" w:cs="Arial" w:eastAsia="Arial" w:hAnsi="Arial"/>
          <w:sz w:val="21"/>
          <w:szCs w:val="21"/>
          <w:color w:val="auto"/>
        </w:rPr>
        <w:t>. Payment of each Actual Award will be made as soon as practicable after the end of the</w:t>
      </w:r>
      <w:r>
        <w:rPr>
          <w:rFonts w:ascii="Arial" w:cs="Arial" w:eastAsia="Arial" w:hAnsi="Arial"/>
          <w:sz w:val="20"/>
          <w:szCs w:val="20"/>
          <w:color w:val="auto"/>
        </w:rPr>
        <w:t xml:space="preserve"> </w:t>
      </w:r>
      <w:r>
        <w:rPr>
          <w:rFonts w:ascii="Arial" w:cs="Arial" w:eastAsia="Arial" w:hAnsi="Arial"/>
          <w:sz w:val="21"/>
          <w:szCs w:val="21"/>
          <w:color w:val="auto"/>
        </w:rPr>
        <w:t>Performance Period to which the Actual Award relates and after the Actual Award is approved by the Administrator, but in no event after the later of (a) the fifteenth (15</w:t>
      </w:r>
      <w:r>
        <w:rPr>
          <w:rFonts w:ascii="Arial" w:cs="Arial" w:eastAsia="Arial" w:hAnsi="Arial"/>
          <w:sz w:val="28"/>
          <w:szCs w:val="28"/>
          <w:color w:val="auto"/>
          <w:vertAlign w:val="superscript"/>
        </w:rPr>
        <w:t>th</w:t>
      </w:r>
      <w:r>
        <w:rPr>
          <w:rFonts w:ascii="Arial" w:cs="Arial" w:eastAsia="Arial" w:hAnsi="Arial"/>
          <w:sz w:val="21"/>
          <w:szCs w:val="21"/>
          <w:color w:val="auto"/>
        </w:rPr>
        <w:t>) day of the third (3</w:t>
      </w:r>
      <w:r>
        <w:rPr>
          <w:rFonts w:ascii="Arial" w:cs="Arial" w:eastAsia="Arial" w:hAnsi="Arial"/>
          <w:sz w:val="28"/>
          <w:szCs w:val="28"/>
          <w:color w:val="auto"/>
          <w:vertAlign w:val="superscript"/>
        </w:rPr>
        <w:t>rd</w:t>
      </w:r>
      <w:r>
        <w:rPr>
          <w:rFonts w:ascii="Arial" w:cs="Arial" w:eastAsia="Arial" w:hAnsi="Arial"/>
          <w:sz w:val="21"/>
          <w:szCs w:val="21"/>
          <w:color w:val="auto"/>
        </w:rPr>
        <w:t>) month of the Fiscal Year immediately following the Fiscal Year in which the Participant’s Actual Award first becomes no longer subject to a substantial risk of forfeiture, and (b) March 15 of the calendar year immediately following the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jc w:val="center"/>
        <w:spacing w:after="0"/>
        <w:rPr>
          <w:sz w:val="20"/>
          <w:szCs w:val="20"/>
          <w:color w:val="auto"/>
        </w:rPr>
      </w:pPr>
      <w:r>
        <w:rPr>
          <w:rFonts w:ascii="Arial" w:cs="Arial" w:eastAsia="Arial" w:hAnsi="Arial"/>
          <w:sz w:val="20"/>
          <w:szCs w:val="20"/>
          <w:color w:val="auto"/>
        </w:rPr>
        <w:t>Confidential</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in which the Participant’s Actual Award first becomes no longer subject to a substantial risk of forfeiture. Unless otherwise determined by the Administrator, to earn an Actual Award a Participant must be employed by the Company Group on the date the Actual Award is approved by the Administrator, and in all cases subject to the Administrator’s discretion pursuant to Section 4.4.</w:t>
      </w:r>
    </w:p>
    <w:p>
      <w:pPr>
        <w:spacing w:after="0" w:line="11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9"/>
          <w:szCs w:val="19"/>
          <w:u w:val="single" w:color="auto"/>
          <w:color w:val="auto"/>
        </w:rPr>
        <w:t>Form of Payment</w:t>
      </w:r>
      <w:r>
        <w:rPr>
          <w:rFonts w:ascii="Arial" w:cs="Arial" w:eastAsia="Arial" w:hAnsi="Arial"/>
          <w:sz w:val="19"/>
          <w:szCs w:val="19"/>
          <w:color w:val="auto"/>
        </w:rPr>
        <w:t>. Each Actual Award generally will be paid in cash (or its equivalent) in a single lump</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sum.</w:t>
      </w:r>
    </w:p>
    <w:p>
      <w:pPr>
        <w:spacing w:after="0" w:line="161"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1"/>
          <w:szCs w:val="21"/>
          <w:u w:val="single" w:color="auto"/>
          <w:color w:val="auto"/>
        </w:rPr>
        <w:t>Payment in the Event of Death or Disability</w:t>
      </w:r>
      <w:r>
        <w:rPr>
          <w:rFonts w:ascii="Arial" w:cs="Arial" w:eastAsia="Arial" w:hAnsi="Arial"/>
          <w:sz w:val="21"/>
          <w:szCs w:val="21"/>
          <w:color w:val="auto"/>
        </w:rPr>
        <w:t>. If a Termination of Employment occurs due to a Participant’s</w:t>
      </w:r>
      <w:r>
        <w:rPr>
          <w:rFonts w:ascii="Arial" w:cs="Arial" w:eastAsia="Arial" w:hAnsi="Arial"/>
          <w:sz w:val="20"/>
          <w:szCs w:val="20"/>
          <w:color w:val="auto"/>
        </w:rPr>
        <w:t xml:space="preserve"> </w:t>
      </w:r>
      <w:r>
        <w:rPr>
          <w:rFonts w:ascii="Arial" w:cs="Arial" w:eastAsia="Arial" w:hAnsi="Arial"/>
          <w:sz w:val="21"/>
          <w:szCs w:val="21"/>
          <w:color w:val="auto"/>
        </w:rPr>
        <w:t>death or Disability prior to payment of an Actual Award that the Administrator has determined will be paid for a prior Performance Period, then the Actual Award will be paid to the Participant or the Participant’s estate, as the case may be, subject to the Administrator’s discretion pursuant to Section 4.4.</w:t>
      </w:r>
    </w:p>
    <w:p>
      <w:pPr>
        <w:spacing w:after="0" w:line="158" w:lineRule="exact"/>
        <w:rPr>
          <w:sz w:val="20"/>
          <w:szCs w:val="20"/>
          <w:color w:val="auto"/>
        </w:rPr>
      </w:pPr>
    </w:p>
    <w:p>
      <w:pPr>
        <w:jc w:val="both"/>
        <w:ind w:left="1300" w:right="8200" w:hanging="644"/>
        <w:spacing w:after="0" w:line="474" w:lineRule="auto"/>
        <w:tabs>
          <w:tab w:leader="none" w:pos="1300" w:val="left"/>
        </w:tabs>
        <w:numPr>
          <w:ilvl w:val="0"/>
          <w:numId w:val="85"/>
        </w:numPr>
        <w:rPr>
          <w:rFonts w:ascii="Arial" w:cs="Arial" w:eastAsia="Arial" w:hAnsi="Arial"/>
          <w:sz w:val="17"/>
          <w:szCs w:val="17"/>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xml:space="preserve">. </w:t>
      </w:r>
      <w:r>
        <w:rPr>
          <w:rFonts w:ascii="Arial" w:cs="Arial" w:eastAsia="Arial" w:hAnsi="Arial"/>
          <w:sz w:val="16"/>
          <w:szCs w:val="16"/>
          <w:color w:val="auto"/>
        </w:rPr>
        <w:t xml:space="preserve">6.1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 w:lineRule="exact"/>
        <w:rPr>
          <w:sz w:val="20"/>
          <w:szCs w:val="20"/>
          <w:color w:val="auto"/>
        </w:rPr>
      </w:pPr>
    </w:p>
    <w:p>
      <w:pPr>
        <w:jc w:val="both"/>
        <w:ind w:firstLine="1944"/>
        <w:spacing w:after="0" w:line="235" w:lineRule="auto"/>
        <w:rPr>
          <w:sz w:val="20"/>
          <w:szCs w:val="20"/>
          <w:color w:val="auto"/>
        </w:rPr>
      </w:pPr>
      <w:r>
        <w:rPr>
          <w:rFonts w:ascii="Arial" w:cs="Arial" w:eastAsia="Arial" w:hAnsi="Arial"/>
          <w:sz w:val="19"/>
          <w:szCs w:val="19"/>
          <w:color w:val="auto"/>
        </w:rPr>
        <w:t xml:space="preserve">6.3.1 </w:t>
      </w:r>
      <w:r>
        <w:rPr>
          <w:rFonts w:ascii="Arial" w:cs="Arial" w:eastAsia="Arial" w:hAnsi="Arial"/>
          <w:sz w:val="20"/>
          <w:szCs w:val="20"/>
          <w:u w:val="single" w:color="auto"/>
          <w:color w:val="auto"/>
        </w:rPr>
        <w:t>Section 409A</w:t>
      </w:r>
      <w:r>
        <w:rPr>
          <w:rFonts w:ascii="Arial" w:cs="Arial" w:eastAsia="Arial" w:hAnsi="Arial"/>
          <w:sz w:val="19"/>
          <w:szCs w:val="19"/>
          <w:color w:val="auto"/>
        </w:rPr>
        <w:t xml:space="preserve"> </w:t>
      </w:r>
      <w:r>
        <w:rPr>
          <w:rFonts w:ascii="Arial" w:cs="Arial" w:eastAsia="Arial" w:hAnsi="Arial"/>
          <w:sz w:val="20"/>
          <w:szCs w:val="20"/>
          <w:color w:val="auto"/>
        </w:rPr>
        <w:t>. It is the intent that this Plan be exempt from or comply with the requirements of</w:t>
      </w:r>
      <w:r>
        <w:rPr>
          <w:rFonts w:ascii="Arial" w:cs="Arial" w:eastAsia="Arial" w:hAnsi="Arial"/>
          <w:sz w:val="19"/>
          <w:szCs w:val="19"/>
          <w:color w:val="auto"/>
        </w:rPr>
        <w:t xml:space="preserve"> </w:t>
      </w:r>
      <w:r>
        <w:rPr>
          <w:rFonts w:ascii="Arial" w:cs="Arial" w:eastAsia="Arial" w:hAnsi="Arial"/>
          <w:sz w:val="20"/>
          <w:szCs w:val="20"/>
          <w:color w:val="auto"/>
        </w:rPr>
        <w:t>Section 409A so that none of the payments to be provided hereunder will be subject to the additional tax imposed under Section 409A, and any ambiguities or ambiguous terms will be interpreted to be so exempt or so comply. Each payment under this Plan is intended to constitute a separate payment for purposes of Treasury Regulations Section 1.409A-2(b)(2). In no event will the Company Group have any liability, obligation, or responsibility to reimburse, indemnify or hold harmless any Participant or other Employee for any taxes, penalties or interest imposed, or other costs incurred, as a result of Section 409A.</w:t>
      </w:r>
    </w:p>
    <w:p>
      <w:pPr>
        <w:spacing w:after="0" w:line="161" w:lineRule="exact"/>
        <w:rPr>
          <w:sz w:val="20"/>
          <w:szCs w:val="20"/>
          <w:color w:val="auto"/>
        </w:rPr>
      </w:pPr>
    </w:p>
    <w:p>
      <w:pPr>
        <w:jc w:val="both"/>
        <w:ind w:firstLine="1944"/>
        <w:spacing w:after="0" w:line="229" w:lineRule="auto"/>
        <w:rPr>
          <w:sz w:val="20"/>
          <w:szCs w:val="20"/>
          <w:color w:val="auto"/>
        </w:rPr>
      </w:pPr>
      <w:r>
        <w:rPr>
          <w:rFonts w:ascii="Arial" w:cs="Arial" w:eastAsia="Arial" w:hAnsi="Arial"/>
          <w:sz w:val="20"/>
          <w:szCs w:val="20"/>
          <w:color w:val="auto"/>
        </w:rPr>
        <w:t xml:space="preserve">6.3.2 </w:t>
      </w:r>
      <w:r>
        <w:rPr>
          <w:rFonts w:ascii="Arial" w:cs="Arial" w:eastAsia="Arial" w:hAnsi="Arial"/>
          <w:sz w:val="21"/>
          <w:szCs w:val="21"/>
          <w:u w:val="single" w:color="auto"/>
          <w:color w:val="auto"/>
        </w:rPr>
        <w:t>Tax Withholdings</w:t>
      </w:r>
      <w:r>
        <w:rPr>
          <w:rFonts w:ascii="Arial" w:cs="Arial" w:eastAsia="Arial" w:hAnsi="Arial"/>
          <w:sz w:val="21"/>
          <w:szCs w:val="21"/>
          <w:color w:val="auto"/>
        </w:rPr>
        <w:t>. The Company Group will have the right and authority to deduct from any Actual</w:t>
      </w:r>
      <w:r>
        <w:rPr>
          <w:rFonts w:ascii="Arial" w:cs="Arial" w:eastAsia="Arial" w:hAnsi="Arial"/>
          <w:sz w:val="20"/>
          <w:szCs w:val="20"/>
          <w:color w:val="auto"/>
        </w:rPr>
        <w:t xml:space="preserve"> </w:t>
      </w:r>
      <w:r>
        <w:rPr>
          <w:rFonts w:ascii="Arial" w:cs="Arial" w:eastAsia="Arial" w:hAnsi="Arial"/>
          <w:sz w:val="21"/>
          <w:szCs w:val="21"/>
          <w:color w:val="auto"/>
        </w:rPr>
        <w:t>Award all applicable Tax Withholdings. Prior to the payment of an Actual Award or such earlier time as any Tax Withholdings are due, the Company Group is permitted to deduct or withhold, or require a Participant to remit to the Company Group, an amount sufficient to satisfy any Tax Withholdings with respect to such Actual Award.</w:t>
      </w:r>
    </w:p>
    <w:p>
      <w:pPr>
        <w:spacing w:after="0" w:line="158"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1"/>
          <w:szCs w:val="21"/>
          <w:u w:val="single" w:color="auto"/>
          <w:color w:val="auto"/>
        </w:rPr>
        <w:t>No Effect on Employment or Service</w:t>
      </w:r>
      <w:r>
        <w:rPr>
          <w:rFonts w:ascii="Arial" w:cs="Arial" w:eastAsia="Arial" w:hAnsi="Arial"/>
          <w:sz w:val="21"/>
          <w:szCs w:val="21"/>
          <w:color w:val="auto"/>
        </w:rPr>
        <w:t>. Neither the Plan nor any award under the Plan will confer upon a</w:t>
      </w:r>
      <w:r>
        <w:rPr>
          <w:rFonts w:ascii="Arial" w:cs="Arial" w:eastAsia="Arial" w:hAnsi="Arial"/>
          <w:sz w:val="20"/>
          <w:szCs w:val="20"/>
          <w:color w:val="auto"/>
        </w:rPr>
        <w:t xml:space="preserve"> </w:t>
      </w:r>
      <w:r>
        <w:rPr>
          <w:rFonts w:ascii="Arial" w:cs="Arial" w:eastAsia="Arial" w:hAnsi="Arial"/>
          <w:sz w:val="21"/>
          <w:szCs w:val="21"/>
          <w:color w:val="auto"/>
        </w:rPr>
        <w:t>Participant any right regarding continuing the Participant’s relationship as an Employee or other service provider to the Company Group, nor will they interfere with or limit in any way the right of the Company Group or the Participant to terminate such relationship at any time, with or without cause, to the extent permitted by applicable laws.</w:t>
      </w:r>
    </w:p>
    <w:p>
      <w:pPr>
        <w:spacing w:after="0" w:line="15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9"/>
          <w:szCs w:val="19"/>
          <w:u w:val="single" w:color="auto"/>
          <w:color w:val="auto"/>
        </w:rPr>
        <w:t>Forfeiture Events</w:t>
      </w:r>
      <w:r>
        <w:rPr>
          <w:rFonts w:ascii="Arial" w:cs="Arial" w:eastAsia="Arial" w:hAnsi="Arial"/>
          <w:sz w:val="19"/>
          <w:szCs w:val="19"/>
          <w:color w:val="auto"/>
        </w:rPr>
        <w:t>.</w:t>
      </w:r>
    </w:p>
    <w:p>
      <w:pPr>
        <w:spacing w:after="0" w:line="202" w:lineRule="exact"/>
        <w:rPr>
          <w:sz w:val="20"/>
          <w:szCs w:val="20"/>
          <w:color w:val="auto"/>
        </w:rPr>
      </w:pPr>
    </w:p>
    <w:p>
      <w:pPr>
        <w:jc w:val="both"/>
        <w:ind w:firstLine="1944"/>
        <w:spacing w:after="0" w:line="232" w:lineRule="auto"/>
        <w:rPr>
          <w:sz w:val="20"/>
          <w:szCs w:val="20"/>
          <w:color w:val="auto"/>
        </w:rPr>
      </w:pPr>
      <w:r>
        <w:rPr>
          <w:rFonts w:ascii="Arial" w:cs="Arial" w:eastAsia="Arial" w:hAnsi="Arial"/>
          <w:sz w:val="19"/>
          <w:szCs w:val="19"/>
          <w:color w:val="auto"/>
        </w:rPr>
        <w:t xml:space="preserve">6.3.1 </w:t>
      </w:r>
      <w:r>
        <w:rPr>
          <w:rFonts w:ascii="Arial" w:cs="Arial" w:eastAsia="Arial" w:hAnsi="Arial"/>
          <w:sz w:val="20"/>
          <w:szCs w:val="20"/>
          <w:u w:val="single" w:color="auto"/>
          <w:color w:val="auto"/>
        </w:rPr>
        <w:t>Clawback Policy; Applicable Laws</w:t>
      </w:r>
      <w:r>
        <w:rPr>
          <w:rFonts w:ascii="Arial" w:cs="Arial" w:eastAsia="Arial" w:hAnsi="Arial"/>
          <w:sz w:val="20"/>
          <w:szCs w:val="20"/>
          <w:color w:val="auto"/>
        </w:rPr>
        <w:t>. All awards under the Plan will be subject to reduction,</w:t>
      </w:r>
      <w:r>
        <w:rPr>
          <w:rFonts w:ascii="Arial" w:cs="Arial" w:eastAsia="Arial" w:hAnsi="Arial"/>
          <w:sz w:val="19"/>
          <w:szCs w:val="19"/>
          <w:color w:val="auto"/>
        </w:rPr>
        <w:t xml:space="preserve"> </w:t>
      </w:r>
      <w:r>
        <w:rPr>
          <w:rFonts w:ascii="Arial" w:cs="Arial" w:eastAsia="Arial" w:hAnsi="Arial"/>
          <w:sz w:val="20"/>
          <w:szCs w:val="20"/>
          <w:color w:val="auto"/>
        </w:rPr>
        <w:t>cancellation, forfeiture, or recoupment in accordance with any clawback policy that the Company Group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with respect to an award under the Plan as the Administrator determines necessary or appropriate, including without limitation a reacquisition right in respect of previously acquired cash, stock, or other property provided with respect to an award. Unless this Section 6.3.1 is specifically mentioned and waived in a written agreement between a Participant and a member of the Company Group or other document, no recovery of compensation under a clawback policy will give the Participant the right to resign for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jc w:val="center"/>
        <w:spacing w:after="0"/>
        <w:rPr>
          <w:sz w:val="20"/>
          <w:szCs w:val="20"/>
          <w:color w:val="auto"/>
        </w:rPr>
      </w:pPr>
      <w:r>
        <w:rPr>
          <w:rFonts w:ascii="Arial" w:cs="Arial" w:eastAsia="Arial" w:hAnsi="Arial"/>
          <w:sz w:val="20"/>
          <w:szCs w:val="20"/>
          <w:color w:val="auto"/>
        </w:rPr>
        <w:t>Confidential</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77"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reason”, “constructive termination” or “constructive dismissal” (or similar term) under any agreement with a member of the Company Group.</w:t>
      </w:r>
    </w:p>
    <w:p>
      <w:pPr>
        <w:spacing w:after="0" w:line="159" w:lineRule="exact"/>
        <w:rPr>
          <w:sz w:val="20"/>
          <w:szCs w:val="20"/>
          <w:color w:val="auto"/>
        </w:rPr>
      </w:pPr>
    </w:p>
    <w:p>
      <w:pPr>
        <w:jc w:val="both"/>
        <w:ind w:firstLine="1944"/>
        <w:spacing w:after="0" w:line="224" w:lineRule="auto"/>
        <w:rPr>
          <w:sz w:val="20"/>
          <w:szCs w:val="20"/>
          <w:color w:val="auto"/>
        </w:rPr>
      </w:pPr>
      <w:r>
        <w:rPr>
          <w:rFonts w:ascii="Arial" w:cs="Arial" w:eastAsia="Arial" w:hAnsi="Arial"/>
          <w:sz w:val="20"/>
          <w:szCs w:val="20"/>
          <w:color w:val="auto"/>
        </w:rPr>
        <w:t xml:space="preserve">6.3.2 </w:t>
      </w:r>
      <w:r>
        <w:rPr>
          <w:rFonts w:ascii="Arial" w:cs="Arial" w:eastAsia="Arial" w:hAnsi="Arial"/>
          <w:sz w:val="21"/>
          <w:szCs w:val="21"/>
          <w:u w:val="single" w:color="auto"/>
          <w:color w:val="auto"/>
        </w:rPr>
        <w:t>Additional Forfeiture Terms</w:t>
      </w:r>
      <w:r>
        <w:rPr>
          <w:rFonts w:ascii="Arial" w:cs="Arial" w:eastAsia="Arial" w:hAnsi="Arial"/>
          <w:sz w:val="21"/>
          <w:szCs w:val="21"/>
          <w:color w:val="auto"/>
        </w:rPr>
        <w:t>. The Administrator may specify when providing for an award under</w:t>
      </w:r>
      <w:r>
        <w:rPr>
          <w:rFonts w:ascii="Arial" w:cs="Arial" w:eastAsia="Arial" w:hAnsi="Arial"/>
          <w:sz w:val="20"/>
          <w:szCs w:val="20"/>
          <w:color w:val="auto"/>
        </w:rPr>
        <w:t xml:space="preserve"> </w:t>
      </w:r>
      <w:r>
        <w:rPr>
          <w:rFonts w:ascii="Arial" w:cs="Arial" w:eastAsia="Arial" w:hAnsi="Arial"/>
          <w:sz w:val="21"/>
          <w:szCs w:val="21"/>
          <w:color w:val="auto"/>
        </w:rPr>
        <w:t>the Plan that the Participant’s rights, payments, and benefits with respect to the award will be subject to reduction, cancellation, forfeiture, or recoupment upon the occurrence of specified events, in addition to any otherwise applicable vesting or performance conditions of the award. Such events may include, without limitation, termination of the Participant’s status as an Employee for “cause” or any act by a Participant, whether before or after the Participant’s status as an Employee terminates, that would constitute “cause.”</w:t>
      </w:r>
    </w:p>
    <w:p>
      <w:pPr>
        <w:spacing w:after="0" w:line="160" w:lineRule="exact"/>
        <w:rPr>
          <w:sz w:val="20"/>
          <w:szCs w:val="20"/>
          <w:color w:val="auto"/>
        </w:rPr>
      </w:pPr>
    </w:p>
    <w:p>
      <w:pPr>
        <w:jc w:val="both"/>
        <w:ind w:firstLine="1944"/>
        <w:spacing w:after="0" w:line="221" w:lineRule="auto"/>
        <w:rPr>
          <w:sz w:val="20"/>
          <w:szCs w:val="20"/>
          <w:color w:val="auto"/>
        </w:rPr>
      </w:pPr>
      <w:r>
        <w:rPr>
          <w:rFonts w:ascii="Arial" w:cs="Arial" w:eastAsia="Arial" w:hAnsi="Arial"/>
          <w:sz w:val="20"/>
          <w:szCs w:val="20"/>
          <w:color w:val="auto"/>
        </w:rPr>
        <w:t xml:space="preserve">6.3.3 </w:t>
      </w:r>
      <w:r>
        <w:rPr>
          <w:rFonts w:ascii="Arial" w:cs="Arial" w:eastAsia="Arial" w:hAnsi="Arial"/>
          <w:sz w:val="21"/>
          <w:szCs w:val="21"/>
          <w:u w:val="single" w:color="auto"/>
          <w:color w:val="auto"/>
        </w:rPr>
        <w:t>Accounting Restatements</w:t>
      </w:r>
      <w:r>
        <w:rPr>
          <w:rFonts w:ascii="Arial" w:cs="Arial" w:eastAsia="Arial" w:hAnsi="Arial"/>
          <w:sz w:val="21"/>
          <w:szCs w:val="21"/>
          <w:color w:val="auto"/>
        </w:rPr>
        <w:t>. If the Company is required to prepare an accounting restatement due to</w:t>
      </w:r>
      <w:r>
        <w:rPr>
          <w:rFonts w:ascii="Arial" w:cs="Arial" w:eastAsia="Arial" w:hAnsi="Arial"/>
          <w:sz w:val="20"/>
          <w:szCs w:val="20"/>
          <w:color w:val="auto"/>
        </w:rPr>
        <w:t xml:space="preserve"> </w:t>
      </w:r>
      <w:r>
        <w:rPr>
          <w:rFonts w:ascii="Arial" w:cs="Arial" w:eastAsia="Arial" w:hAnsi="Arial"/>
          <w:sz w:val="21"/>
          <w:szCs w:val="21"/>
          <w:color w:val="auto"/>
        </w:rPr>
        <w:t>the material noncompliance of the Company, as a result of misconduct, with any financial reporting requirement under the securities laws, then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will reimburse the Company Group the amount of any payment with respect to an award earned or accrued during the twelve (12) month period following the first public issuance or filing with the U.S. Securities and Exchange Commission (whichever first occurred) of the financial document embodying such financial reporting requirement.</w:t>
      </w:r>
    </w:p>
    <w:p>
      <w:pPr>
        <w:spacing w:after="0" w:line="165"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1"/>
          <w:szCs w:val="21"/>
          <w:u w:val="single" w:color="auto"/>
          <w:color w:val="auto"/>
        </w:rPr>
        <w:t>Successors</w:t>
      </w:r>
      <w:r>
        <w:rPr>
          <w:rFonts w:ascii="Arial" w:cs="Arial" w:eastAsia="Arial" w:hAnsi="Arial"/>
          <w:sz w:val="21"/>
          <w:szCs w:val="21"/>
          <w:color w:val="auto"/>
        </w:rPr>
        <w:t>. All obligations of the Company under the Plan, with respect to awards under the Plan, will be</w:t>
      </w:r>
      <w:r>
        <w:rPr>
          <w:rFonts w:ascii="Arial" w:cs="Arial" w:eastAsia="Arial" w:hAnsi="Arial"/>
          <w:sz w:val="20"/>
          <w:szCs w:val="20"/>
          <w:color w:val="auto"/>
        </w:rPr>
        <w:t xml:space="preserve"> </w:t>
      </w:r>
      <w:r>
        <w:rPr>
          <w:rFonts w:ascii="Arial" w:cs="Arial" w:eastAsia="Arial" w:hAnsi="Arial"/>
          <w:sz w:val="21"/>
          <w:szCs w:val="21"/>
          <w:color w:val="auto"/>
        </w:rPr>
        <w:t>binding on any successor to the Company, whether the existence of such successor is the result of a direct or indirect purchase, merger, consolidation, or otherwise, of all or substantially all of the business or assets of the Company.</w:t>
      </w:r>
    </w:p>
    <w:p>
      <w:pPr>
        <w:spacing w:after="0" w:line="158"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1"/>
          <w:szCs w:val="21"/>
          <w:u w:val="single" w:color="auto"/>
          <w:color w:val="auto"/>
        </w:rPr>
        <w:t>Nontransferability of Awards</w:t>
      </w:r>
      <w:r>
        <w:rPr>
          <w:rFonts w:ascii="Arial" w:cs="Arial" w:eastAsia="Arial" w:hAnsi="Arial"/>
          <w:sz w:val="21"/>
          <w:szCs w:val="21"/>
          <w:color w:val="auto"/>
        </w:rPr>
        <w:t>. No award under the Plan may be sold, transferred, pledged, assigned, or</w:t>
      </w:r>
      <w:r>
        <w:rPr>
          <w:rFonts w:ascii="Arial" w:cs="Arial" w:eastAsia="Arial" w:hAnsi="Arial"/>
          <w:sz w:val="20"/>
          <w:szCs w:val="20"/>
          <w:color w:val="auto"/>
        </w:rPr>
        <w:t xml:space="preserve"> </w:t>
      </w:r>
      <w:r>
        <w:rPr>
          <w:rFonts w:ascii="Arial" w:cs="Arial" w:eastAsia="Arial" w:hAnsi="Arial"/>
          <w:sz w:val="21"/>
          <w:szCs w:val="21"/>
          <w:color w:val="auto"/>
        </w:rPr>
        <w:t>otherwise alienated or hypothecated, other than by will or by the laws of descent and distribution, and except as provided in Section 5.3. All rights with respect to an award granted to a Participant will be available during his or her lifetime only to the Participant.</w:t>
      </w:r>
    </w:p>
    <w:p>
      <w:pPr>
        <w:spacing w:after="0" w:line="158"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20"/>
          <w:szCs w:val="20"/>
          <w:color w:val="auto"/>
        </w:rPr>
      </w:pPr>
      <w:r>
        <w:rPr>
          <w:rFonts w:ascii="Arial" w:cs="Arial" w:eastAsia="Arial" w:hAnsi="Arial"/>
          <w:sz w:val="22"/>
          <w:szCs w:val="22"/>
          <w:u w:val="single" w:color="auto"/>
          <w:color w:val="auto"/>
        </w:rPr>
        <w:t>Amendment, Termination, and Duration</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1"/>
          <w:szCs w:val="21"/>
          <w:u w:val="single" w:color="auto"/>
          <w:color w:val="auto"/>
        </w:rPr>
        <w:t>Amendment, Suspension, or Termination</w:t>
      </w:r>
      <w:r>
        <w:rPr>
          <w:rFonts w:ascii="Arial" w:cs="Arial" w:eastAsia="Arial" w:hAnsi="Arial"/>
          <w:sz w:val="21"/>
          <w:szCs w:val="21"/>
          <w:color w:val="auto"/>
        </w:rPr>
        <w:t>. The Administrator may amend or terminate the Plan, or any part</w:t>
      </w:r>
      <w:r>
        <w:rPr>
          <w:rFonts w:ascii="Arial" w:cs="Arial" w:eastAsia="Arial" w:hAnsi="Arial"/>
          <w:sz w:val="20"/>
          <w:szCs w:val="20"/>
          <w:color w:val="auto"/>
        </w:rPr>
        <w:t xml:space="preserve"> </w:t>
      </w:r>
      <w:r>
        <w:rPr>
          <w:rFonts w:ascii="Arial" w:cs="Arial" w:eastAsia="Arial" w:hAnsi="Arial"/>
          <w:sz w:val="21"/>
          <w:szCs w:val="21"/>
          <w:color w:val="auto"/>
        </w:rPr>
        <w:t>thereof, at any time and for any reason. The amendment, suspension or termination of the Plan will not, without the consent of the Participant, alter or impair any rights or obligations under any Actual Award earned by such Participant. No award may be granted during any period of suspension or after termination of the Plan.</w:t>
      </w:r>
    </w:p>
    <w:p>
      <w:pPr>
        <w:spacing w:after="0" w:line="158"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1"/>
          <w:szCs w:val="21"/>
          <w:u w:val="single" w:color="auto"/>
          <w:color w:val="auto"/>
        </w:rPr>
        <w:t>Duration of Plan</w:t>
      </w:r>
      <w:r>
        <w:rPr>
          <w:rFonts w:ascii="Arial" w:cs="Arial" w:eastAsia="Arial" w:hAnsi="Arial"/>
          <w:sz w:val="21"/>
          <w:szCs w:val="21"/>
          <w:color w:val="auto"/>
        </w:rPr>
        <w:t>. The Plan will commence on the date first adopted by the Board or the Compensation</w:t>
      </w:r>
      <w:r>
        <w:rPr>
          <w:rFonts w:ascii="Arial" w:cs="Arial" w:eastAsia="Arial" w:hAnsi="Arial"/>
          <w:sz w:val="20"/>
          <w:szCs w:val="20"/>
          <w:color w:val="auto"/>
        </w:rPr>
        <w:t xml:space="preserve"> </w:t>
      </w:r>
      <w:r>
        <w:rPr>
          <w:rFonts w:ascii="Arial" w:cs="Arial" w:eastAsia="Arial" w:hAnsi="Arial"/>
          <w:sz w:val="21"/>
          <w:szCs w:val="21"/>
          <w:color w:val="auto"/>
        </w:rPr>
        <w:t>Committee of the Board, and subject to Section 7.1 (regarding the Administrator’s right to amend or terminate the Plan), will remain in effect thereafter until terminated.</w:t>
      </w:r>
    </w:p>
    <w:p>
      <w:pPr>
        <w:spacing w:after="0" w:line="158"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20"/>
          <w:szCs w:val="20"/>
          <w:color w:val="auto"/>
        </w:rPr>
      </w:pPr>
      <w:r>
        <w:rPr>
          <w:rFonts w:ascii="Arial" w:cs="Arial" w:eastAsia="Arial" w:hAnsi="Arial"/>
          <w:sz w:val="22"/>
          <w:szCs w:val="22"/>
          <w:u w:val="single" w:color="auto"/>
          <w:color w:val="auto"/>
        </w:rPr>
        <w:t>Legal Construction</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1"/>
          <w:szCs w:val="21"/>
          <w:u w:val="single" w:color="auto"/>
          <w:color w:val="auto"/>
        </w:rPr>
        <w:t>Gender and Number</w:t>
      </w:r>
      <w:r>
        <w:rPr>
          <w:rFonts w:ascii="Arial" w:cs="Arial" w:eastAsia="Arial" w:hAnsi="Arial"/>
          <w:sz w:val="21"/>
          <w:szCs w:val="21"/>
          <w:color w:val="auto"/>
        </w:rPr>
        <w:t>. Unless otherwise indicated by the context, any feminine term used herein also will</w:t>
      </w:r>
      <w:r>
        <w:rPr>
          <w:rFonts w:ascii="Arial" w:cs="Arial" w:eastAsia="Arial" w:hAnsi="Arial"/>
          <w:sz w:val="20"/>
          <w:szCs w:val="20"/>
          <w:color w:val="auto"/>
        </w:rPr>
        <w:t xml:space="preserve"> </w:t>
      </w:r>
      <w:r>
        <w:rPr>
          <w:rFonts w:ascii="Arial" w:cs="Arial" w:eastAsia="Arial" w:hAnsi="Arial"/>
          <w:sz w:val="21"/>
          <w:szCs w:val="21"/>
          <w:color w:val="auto"/>
        </w:rPr>
        <w:t>include the masculine and any masculine term used herein also will include the feminine; the plural will include the singular and the singular will include the plural.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jc w:val="center"/>
        <w:spacing w:after="0"/>
        <w:rPr>
          <w:sz w:val="20"/>
          <w:szCs w:val="20"/>
          <w:color w:val="auto"/>
        </w:rPr>
      </w:pPr>
      <w:r>
        <w:rPr>
          <w:rFonts w:ascii="Arial" w:cs="Arial" w:eastAsia="Arial" w:hAnsi="Arial"/>
          <w:sz w:val="20"/>
          <w:szCs w:val="20"/>
          <w:color w:val="auto"/>
        </w:rPr>
        <w:t>Confidential</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77"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the Plan is or becomes or is deemed to be invalid, illegal, or unenforceable</w:t>
      </w:r>
      <w:r>
        <w:rPr>
          <w:rFonts w:ascii="Arial" w:cs="Arial" w:eastAsia="Arial" w:hAnsi="Arial"/>
          <w:sz w:val="20"/>
          <w:szCs w:val="20"/>
          <w:color w:val="auto"/>
        </w:rPr>
        <w:t xml:space="preserve"> </w:t>
      </w:r>
      <w:r>
        <w:rPr>
          <w:rFonts w:ascii="Arial" w:cs="Arial" w:eastAsia="Arial" w:hAnsi="Arial"/>
          <w:sz w:val="21"/>
          <w:szCs w:val="21"/>
          <w:color w:val="auto"/>
        </w:rPr>
        <w:t>for any reason in any jurisdiction or as to any Participant, such invalidity, illegality, or unenforceability will not affect the remaining parts of the Plan, and the Plan will be construed and enforced as if the invalid, illegal, or unenforceable provision had not been included.</w:t>
      </w:r>
    </w:p>
    <w:p>
      <w:pPr>
        <w:spacing w:after="0" w:line="158"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1"/>
          <w:szCs w:val="21"/>
          <w:u w:val="single" w:color="auto"/>
          <w:color w:val="auto"/>
        </w:rPr>
        <w:t>Governing Law</w:t>
      </w:r>
      <w:r>
        <w:rPr>
          <w:rFonts w:ascii="Arial" w:cs="Arial" w:eastAsia="Arial" w:hAnsi="Arial"/>
          <w:sz w:val="21"/>
          <w:szCs w:val="21"/>
          <w:color w:val="auto"/>
        </w:rPr>
        <w:t>. The Plan and all awards will be construed in accordance with and governed by the laws of</w:t>
      </w:r>
      <w:r>
        <w:rPr>
          <w:rFonts w:ascii="Arial" w:cs="Arial" w:eastAsia="Arial" w:hAnsi="Arial"/>
          <w:sz w:val="20"/>
          <w:szCs w:val="20"/>
          <w:color w:val="auto"/>
        </w:rPr>
        <w:t xml:space="preserve"> </w:t>
      </w:r>
      <w:r>
        <w:rPr>
          <w:rFonts w:ascii="Arial" w:cs="Arial" w:eastAsia="Arial" w:hAnsi="Arial"/>
          <w:sz w:val="21"/>
          <w:szCs w:val="21"/>
          <w:color w:val="auto"/>
        </w:rPr>
        <w:t>the Province of British Columbia and the federal laws of Canada applicable therein, but without regard to its conflict of law provisions.</w:t>
      </w:r>
    </w:p>
    <w:p>
      <w:pPr>
        <w:spacing w:after="0" w:line="158"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1"/>
          <w:szCs w:val="21"/>
          <w:u w:val="single" w:color="auto"/>
          <w:color w:val="auto"/>
        </w:rPr>
        <w:t>Bonus Plan</w:t>
      </w:r>
      <w:r>
        <w:rPr>
          <w:rFonts w:ascii="Arial" w:cs="Arial" w:eastAsia="Arial" w:hAnsi="Arial"/>
          <w:sz w:val="21"/>
          <w:szCs w:val="21"/>
          <w:color w:val="auto"/>
        </w:rPr>
        <w:t>. The Plan is intended to be a “bonus program” as defined under U.S. Department of Labor</w:t>
      </w:r>
      <w:r>
        <w:rPr>
          <w:rFonts w:ascii="Arial" w:cs="Arial" w:eastAsia="Arial" w:hAnsi="Arial"/>
          <w:sz w:val="20"/>
          <w:szCs w:val="20"/>
          <w:color w:val="auto"/>
        </w:rPr>
        <w:t xml:space="preserve"> </w:t>
      </w:r>
      <w:r>
        <w:rPr>
          <w:rFonts w:ascii="Arial" w:cs="Arial" w:eastAsia="Arial" w:hAnsi="Arial"/>
          <w:sz w:val="21"/>
          <w:szCs w:val="21"/>
          <w:color w:val="auto"/>
        </w:rPr>
        <w:t>regulations section 2510.3-2(c) and will be construed and administered in accordance with such intention.</w:t>
      </w:r>
    </w:p>
    <w:p>
      <w:pPr>
        <w:spacing w:after="0" w:line="15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1"/>
          <w:szCs w:val="21"/>
          <w:u w:val="single" w:color="auto"/>
          <w:color w:val="auto"/>
        </w:rPr>
        <w:t>Headings</w:t>
      </w:r>
      <w:r>
        <w:rPr>
          <w:rFonts w:ascii="Arial" w:cs="Arial" w:eastAsia="Arial" w:hAnsi="Arial"/>
          <w:sz w:val="21"/>
          <w:szCs w:val="21"/>
          <w:color w:val="auto"/>
        </w:rPr>
        <w:t>. Headings are provided herein for convenience only, and will not serve as a basis for</w:t>
      </w:r>
      <w:r>
        <w:rPr>
          <w:rFonts w:ascii="Arial" w:cs="Arial" w:eastAsia="Arial" w:hAnsi="Arial"/>
          <w:sz w:val="20"/>
          <w:szCs w:val="20"/>
          <w:color w:val="auto"/>
        </w:rPr>
        <w:t xml:space="preserve"> </w:t>
      </w:r>
      <w:r>
        <w:rPr>
          <w:rFonts w:ascii="Arial" w:cs="Arial" w:eastAsia="Arial" w:hAnsi="Arial"/>
          <w:sz w:val="21"/>
          <w:szCs w:val="21"/>
          <w:color w:val="auto"/>
        </w:rPr>
        <w:t>interpretation or construction of the Plan.</w:t>
      </w:r>
    </w:p>
    <w:p>
      <w:pPr>
        <w:spacing w:after="0" w:line="151" w:lineRule="exact"/>
        <w:rPr>
          <w:sz w:val="20"/>
          <w:szCs w:val="20"/>
          <w:color w:val="auto"/>
        </w:rPr>
      </w:pPr>
    </w:p>
    <w:p>
      <w:pPr>
        <w:jc w:val="both"/>
        <w:ind w:firstLine="656"/>
        <w:spacing w:after="0" w:line="223" w:lineRule="auto"/>
        <w:tabs>
          <w:tab w:leader="none" w:pos="1296" w:val="left"/>
        </w:tabs>
        <w:numPr>
          <w:ilvl w:val="0"/>
          <w:numId w:val="88"/>
        </w:numPr>
        <w:rPr>
          <w:rFonts w:ascii="Arial" w:cs="Arial" w:eastAsia="Arial" w:hAnsi="Arial"/>
          <w:sz w:val="20"/>
          <w:szCs w:val="20"/>
          <w:color w:val="auto"/>
        </w:rPr>
      </w:pPr>
      <w:r>
        <w:rPr>
          <w:rFonts w:ascii="Arial" w:cs="Arial" w:eastAsia="Arial" w:hAnsi="Arial"/>
          <w:sz w:val="22"/>
          <w:szCs w:val="22"/>
          <w:u w:val="single" w:color="auto"/>
          <w:color w:val="auto"/>
        </w:rPr>
        <w:t>Compliance with Applicable Laws</w:t>
      </w:r>
      <w:r>
        <w:rPr>
          <w:rFonts w:ascii="Arial" w:cs="Arial" w:eastAsia="Arial" w:hAnsi="Arial"/>
          <w:sz w:val="22"/>
          <w:szCs w:val="22"/>
          <w:color w:val="auto"/>
        </w:rPr>
        <w:t>. Awards under the Plan (including without limitation the granting of such awards) will be subject to all applicable laws, rules and regulations, and to such approvals by any governmental agencies or national securities exchanges as may be required.</w:t>
      </w:r>
    </w:p>
    <w:p>
      <w:pPr>
        <w:spacing w:after="0" w:line="158" w:lineRule="exact"/>
        <w:rPr>
          <w:rFonts w:ascii="Arial" w:cs="Arial" w:eastAsia="Arial" w:hAnsi="Arial"/>
          <w:sz w:val="20"/>
          <w:szCs w:val="20"/>
          <w:color w:val="auto"/>
        </w:rPr>
      </w:pPr>
    </w:p>
    <w:p>
      <w:pPr>
        <w:ind w:left="4980"/>
        <w:spacing w:after="0"/>
        <w:rPr>
          <w:rFonts w:ascii="Arial" w:cs="Arial" w:eastAsia="Arial" w:hAnsi="Arial"/>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jc w:val="center"/>
        <w:ind w:right="-19"/>
        <w:spacing w:after="0"/>
        <w:rPr>
          <w:sz w:val="20"/>
          <w:szCs w:val="20"/>
          <w:color w:val="auto"/>
        </w:rPr>
      </w:pPr>
      <w:r>
        <w:rPr>
          <w:rFonts w:ascii="Arial" w:cs="Arial" w:eastAsia="Arial" w:hAnsi="Arial"/>
          <w:sz w:val="20"/>
          <w:szCs w:val="20"/>
          <w:color w:val="auto"/>
        </w:rPr>
        <w:t>Confidential</w:t>
      </w:r>
    </w:p>
    <w:p>
      <w:pPr>
        <w:sectPr>
          <w:pgSz w:w="11900" w:h="16838" w:orient="portrait"/>
          <w:cols w:equalWidth="0" w:num="1">
            <w:col w:w="11240"/>
          </w:cols>
          <w:pgMar w:left="320" w:top="1440"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22"/>
          <w:szCs w:val="22"/>
          <w:b w:val="1"/>
          <w:bCs w:val="1"/>
          <w:color w:val="auto"/>
        </w:rPr>
        <w:t>Exhibit 10.74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520"/>
        <w:spacing w:after="0" w:line="223" w:lineRule="auto"/>
        <w:rPr>
          <w:sz w:val="20"/>
          <w:szCs w:val="20"/>
          <w:color w:val="auto"/>
        </w:rPr>
      </w:pPr>
      <w:r>
        <w:rPr>
          <w:rFonts w:ascii="Arial" w:cs="Arial" w:eastAsia="Arial" w:hAnsi="Arial"/>
          <w:sz w:val="22"/>
          <w:szCs w:val="22"/>
          <w:color w:val="auto"/>
        </w:rPr>
        <w:t>CERTAIN PORTIONS OF THIS EXHIBIT (INDICATED BY [***]) HAVE BEEN EXCLUDED PURSUANT TO ITEM 601(B)(10) OF REGULATION S-K BECAUSE THEY ARE BOTH NOT MATERIAL AND ARE THE TYPE THAT THE COMPANY TREATS AS PRIVATE AND CONFIDENTIAL.</w:t>
      </w:r>
    </w:p>
    <w:p>
      <w:pPr>
        <w:spacing w:after="0" w:line="159" w:lineRule="exact"/>
        <w:rPr>
          <w:sz w:val="20"/>
          <w:szCs w:val="20"/>
          <w:color w:val="auto"/>
        </w:rPr>
      </w:pPr>
    </w:p>
    <w:p>
      <w:pPr>
        <w:ind w:left="9380"/>
        <w:spacing w:after="0"/>
        <w:rPr>
          <w:sz w:val="20"/>
          <w:szCs w:val="20"/>
          <w:color w:val="auto"/>
        </w:rPr>
      </w:pPr>
      <w:r>
        <w:rPr>
          <w:rFonts w:ascii="Arial" w:cs="Arial" w:eastAsia="Arial" w:hAnsi="Arial"/>
          <w:sz w:val="19"/>
          <w:szCs w:val="19"/>
          <w:color w:val="auto"/>
        </w:rPr>
        <w:t>EXECUTION COPY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AND COLLABORATION AGREEMENT</w:t>
      </w:r>
    </w:p>
    <w:p>
      <w:pPr>
        <w:spacing w:after="0" w:line="17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License and Collaboration Agreement</w:t>
      </w:r>
      <w:r>
        <w:rPr>
          <w:rFonts w:ascii="Arial" w:cs="Arial" w:eastAsia="Arial" w:hAnsi="Arial"/>
          <w:sz w:val="21"/>
          <w:szCs w:val="21"/>
          <w:color w:val="auto"/>
        </w:rPr>
        <w:t xml:space="preserve"> (this “</w:t>
      </w:r>
      <w:r>
        <w:rPr>
          <w:rFonts w:ascii="Arial" w:cs="Arial" w:eastAsia="Arial" w:hAnsi="Arial"/>
          <w:sz w:val="21"/>
          <w:szCs w:val="21"/>
          <w:b w:val="1"/>
          <w:bCs w:val="1"/>
          <w:color w:val="auto"/>
        </w:rPr>
        <w:t>Agreement</w:t>
      </w:r>
      <w:r>
        <w:rPr>
          <w:rFonts w:ascii="Arial" w:cs="Arial" w:eastAsia="Arial" w:hAnsi="Arial"/>
          <w:sz w:val="21"/>
          <w:szCs w:val="21"/>
          <w:color w:val="auto"/>
        </w:rPr>
        <w:t>”) is made as of October 18, 2022 (the “</w:t>
      </w:r>
      <w:r>
        <w:rPr>
          <w:rFonts w:ascii="Arial" w:cs="Arial" w:eastAsia="Arial" w:hAnsi="Arial"/>
          <w:sz w:val="21"/>
          <w:szCs w:val="21"/>
          <w:b w:val="1"/>
          <w:bCs w:val="1"/>
          <w:color w:val="auto"/>
        </w:rPr>
        <w:t>Execution</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 by and between</w:t>
      </w:r>
      <w:r>
        <w:rPr>
          <w:rFonts w:ascii="Arial" w:cs="Arial" w:eastAsia="Arial" w:hAnsi="Arial"/>
          <w:sz w:val="21"/>
          <w:szCs w:val="21"/>
          <w:b w:val="1"/>
          <w:bCs w:val="1"/>
          <w:color w:val="auto"/>
        </w:rPr>
        <w:t xml:space="preserve"> Zymeworks BC Inc.</w:t>
      </w:r>
      <w:r>
        <w:rPr>
          <w:rFonts w:ascii="Arial" w:cs="Arial" w:eastAsia="Arial" w:hAnsi="Arial"/>
          <w:sz w:val="21"/>
          <w:szCs w:val="21"/>
          <w:color w:val="auto"/>
        </w:rPr>
        <w:t>, a corporation organized and existing under the laws of British Columbia</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Zymeworks</w:t>
      </w:r>
      <w:r>
        <w:rPr>
          <w:rFonts w:ascii="Arial" w:cs="Arial" w:eastAsia="Arial" w:hAnsi="Arial"/>
          <w:sz w:val="21"/>
          <w:szCs w:val="21"/>
          <w:color w:val="auto"/>
        </w:rPr>
        <w:t>”), having a place of business at 114 East 4</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Avenue, Suite 800, Vancouver, BC, Canada V5T 1G4, and </w:t>
      </w:r>
      <w:r>
        <w:rPr>
          <w:rFonts w:ascii="Arial" w:cs="Arial" w:eastAsia="Arial" w:hAnsi="Arial"/>
          <w:sz w:val="21"/>
          <w:szCs w:val="21"/>
          <w:b w:val="1"/>
          <w:bCs w:val="1"/>
          <w:color w:val="auto"/>
        </w:rPr>
        <w:t>Jazz</w:t>
      </w:r>
      <w:r>
        <w:rPr>
          <w:rFonts w:ascii="Arial" w:cs="Arial" w:eastAsia="Arial" w:hAnsi="Arial"/>
          <w:sz w:val="21"/>
          <w:szCs w:val="21"/>
          <w:color w:val="auto"/>
        </w:rPr>
        <w:t xml:space="preserve"> </w:t>
      </w:r>
      <w:r>
        <w:rPr>
          <w:rFonts w:ascii="Arial" w:cs="Arial" w:eastAsia="Arial" w:hAnsi="Arial"/>
          <w:sz w:val="21"/>
          <w:szCs w:val="21"/>
          <w:b w:val="1"/>
          <w:bCs w:val="1"/>
          <w:color w:val="auto"/>
        </w:rPr>
        <w:t>Pharmaceuticals Ireland Limited</w:t>
      </w:r>
      <w:r>
        <w:rPr>
          <w:rFonts w:ascii="Arial" w:cs="Arial" w:eastAsia="Arial" w:hAnsi="Arial"/>
          <w:sz w:val="21"/>
          <w:szCs w:val="21"/>
          <w:color w:val="auto"/>
        </w:rPr>
        <w:t>, a corporation organized and existing under the laws of Ireland (“</w:t>
      </w:r>
      <w:r>
        <w:rPr>
          <w:rFonts w:ascii="Arial" w:cs="Arial" w:eastAsia="Arial" w:hAnsi="Arial"/>
          <w:sz w:val="21"/>
          <w:szCs w:val="21"/>
          <w:b w:val="1"/>
          <w:bCs w:val="1"/>
          <w:color w:val="auto"/>
        </w:rPr>
        <w:t>Jazz</w:t>
      </w:r>
      <w:r>
        <w:rPr>
          <w:rFonts w:ascii="Arial" w:cs="Arial" w:eastAsia="Arial" w:hAnsi="Arial"/>
          <w:sz w:val="21"/>
          <w:szCs w:val="21"/>
          <w:color w:val="auto"/>
        </w:rPr>
        <w:t>”), having a place of</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at Fifth Floor, Waterloo Exchange, Waterloo Road, Dublin 4, Ireland. Zymeworks and Jazz are referred to in this Agreement, individually,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i w:val="1"/>
          <w:iCs w:val="1"/>
          <w:color w:val="auto"/>
        </w:rPr>
        <w:t>.</w:t>
      </w:r>
      <w:r>
        <w:rPr>
          <w:rFonts w:ascii="Arial" w:cs="Arial" w:eastAsia="Arial" w:hAnsi="Arial"/>
          <w:sz w:val="21"/>
          <w:szCs w:val="21"/>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Zymeworks is a biopharmaceutical company that is developing a proprietary bispecific HER2 antibody, known as zanidatamab or ZW25, for the treatment of cancer and controls certain patents and know-how relating to zanidatamab;</w:t>
      </w:r>
    </w:p>
    <w:p>
      <w:pPr>
        <w:spacing w:after="0" w:line="15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Jazz is a biopharmaceutical company engaged in the research, development and commercialization of pharmaceutical products; and</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Jazz wishes to obtain from Zymeworks an exclusive license to develop and commercialize zanidatamab in the Field in the Territory, and Zymeworks is willing to grant such a license to Jazz, all in accordance with the terms and conditions set forth herein.</w:t>
      </w:r>
    </w:p>
    <w:p>
      <w:pPr>
        <w:spacing w:after="0" w:line="15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covenants and agreements contained herein below, and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sufficiency of which is hereby acknowledged by both Parties, the Parties agree as follows:</w:t>
      </w:r>
    </w:p>
    <w:p>
      <w:pPr>
        <w:spacing w:after="0" w:line="9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w:t>
      </w:r>
    </w:p>
    <w:p>
      <w:pPr>
        <w:spacing w:after="0" w:line="179"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DEFINITIONS &amp; INTERPRETATION</w:t>
      </w:r>
    </w:p>
    <w:p>
      <w:pPr>
        <w:spacing w:after="0" w:line="185"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Whenever used in this Agreement with an initial capital letter, the terms defined in this Article 1 and elsewhere in this Agreement, whether used in the singular or plural, shall have the meanings specified.</w:t>
      </w:r>
    </w:p>
    <w:p>
      <w:pPr>
        <w:spacing w:after="0" w:line="15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b w:val="1"/>
          <w:bCs w:val="1"/>
          <w:color w:val="auto"/>
        </w:rPr>
        <w:t xml:space="preserve">1.1 </w:t>
      </w:r>
      <w:r>
        <w:rPr>
          <w:rFonts w:ascii="Arial" w:cs="Arial" w:eastAsia="Arial" w:hAnsi="Arial"/>
          <w:sz w:val="21"/>
          <w:szCs w:val="21"/>
          <w:color w:val="auto"/>
        </w:rPr>
        <w:t>“</w:t>
      </w:r>
      <w:r>
        <w:rPr>
          <w:rFonts w:ascii="Arial" w:cs="Arial" w:eastAsia="Arial" w:hAnsi="Arial"/>
          <w:sz w:val="21"/>
          <w:szCs w:val="21"/>
          <w:b w:val="1"/>
          <w:bCs w:val="1"/>
          <w:color w:val="auto"/>
        </w:rPr>
        <w:t>Acquiring Entity</w:t>
      </w:r>
      <w:r>
        <w:rPr>
          <w:rFonts w:ascii="Arial" w:cs="Arial" w:eastAsia="Arial" w:hAnsi="Arial"/>
          <w:sz w:val="21"/>
          <w:szCs w:val="21"/>
          <w:color w:val="auto"/>
        </w:rPr>
        <w:t>” means (a) a Third Party that merges or consolidates with or acquires a Party, or to which a</w:t>
      </w:r>
      <w:r>
        <w:rPr>
          <w:rFonts w:ascii="Arial" w:cs="Arial" w:eastAsia="Arial" w:hAnsi="Arial"/>
          <w:sz w:val="21"/>
          <w:szCs w:val="21"/>
          <w:b w:val="1"/>
          <w:bCs w:val="1"/>
          <w:color w:val="auto"/>
        </w:rPr>
        <w:t xml:space="preserve"> </w:t>
      </w:r>
      <w:r>
        <w:rPr>
          <w:rFonts w:ascii="Arial" w:cs="Arial" w:eastAsia="Arial" w:hAnsi="Arial"/>
          <w:sz w:val="21"/>
          <w:szCs w:val="21"/>
          <w:color w:val="auto"/>
        </w:rPr>
        <w:t>Party transfers all or substantially all of its assets to which this Agreement pertains and (b) the Affiliates of the Third Party described in clause (a) immediately prior to the consummation of such transaction described in clause (a).</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1.2 “Active Ingredient</w:t>
      </w:r>
      <w:r>
        <w:rPr>
          <w:rFonts w:ascii="Arial" w:cs="Arial" w:eastAsia="Arial" w:hAnsi="Arial"/>
          <w:sz w:val="22"/>
          <w:szCs w:val="22"/>
          <w:color w:val="auto"/>
        </w:rPr>
        <w:t>” means the clinically active material(s), including Antibody(ies), that provide</w:t>
      </w:r>
      <w:r>
        <w:rPr>
          <w:rFonts w:ascii="Arial" w:cs="Arial" w:eastAsia="Arial" w:hAnsi="Arial"/>
          <w:sz w:val="22"/>
          <w:szCs w:val="22"/>
          <w:b w:val="1"/>
          <w:bCs w:val="1"/>
          <w:color w:val="auto"/>
        </w:rPr>
        <w:t xml:space="preserve"> </w:t>
      </w:r>
      <w:r>
        <w:rPr>
          <w:rFonts w:ascii="Arial" w:cs="Arial" w:eastAsia="Arial" w:hAnsi="Arial"/>
          <w:sz w:val="22"/>
          <w:szCs w:val="22"/>
          <w:color w:val="auto"/>
        </w:rPr>
        <w:t>pharmacological activity in a pharmaceutical product (excluding formulation components such as coatings, stabilizers, excipients or solvents, adjuvants or controlled release technologies).</w:t>
      </w:r>
    </w:p>
    <w:p>
      <w:pPr>
        <w:sectPr>
          <w:pgSz w:w="11900" w:h="16838" w:orient="portrait"/>
          <w:cols w:equalWidth="0" w:num="1">
            <w:col w:w="11240"/>
          </w:cols>
          <w:pgMar w:left="320" w:top="98" w:right="339" w:bottom="1440" w:gutter="0" w:footer="0" w:header="0"/>
        </w:sectPr>
      </w:pPr>
    </w:p>
    <w:bookmarkStart w:id="171" w:name="page172"/>
    <w:bookmarkEnd w:id="171"/>
    <w:p>
      <w:pPr>
        <w:jc w:val="both"/>
        <w:ind w:firstLine="648"/>
        <w:spacing w:after="0" w:line="254" w:lineRule="auto"/>
        <w:rPr>
          <w:sz w:val="20"/>
          <w:szCs w:val="20"/>
          <w:color w:val="auto"/>
        </w:rPr>
      </w:pPr>
      <w:r>
        <w:rPr>
          <w:rFonts w:ascii="Arial" w:cs="Arial" w:eastAsia="Arial" w:hAnsi="Arial"/>
          <w:sz w:val="19"/>
          <w:szCs w:val="19"/>
          <w:b w:val="1"/>
          <w:bCs w:val="1"/>
          <w:color w:val="auto"/>
        </w:rPr>
        <w:t xml:space="preserve">1.3 </w:t>
      </w: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 Person, any other Person controlling, controlled by or under common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with such Person, for so long as such control exists. For purposes of this Section 1.3 only, “control” means (a) direct or indirect ownership of fifty percent (50%) or more of the stock or shares having the right to vote for the election of directors of such corporate entity or (b) the possession, directly or indirectly, of the power to direct, or cause the direction of, the management or policies of such entity, whether through the ownership of voting securities, by contract or otherwise.</w:t>
      </w:r>
    </w:p>
    <w:p>
      <w:pPr>
        <w:spacing w:after="0" w:line="14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Annual Commercialization Plan</w:t>
      </w:r>
      <w:r>
        <w:rPr>
          <w:rFonts w:ascii="Arial" w:cs="Arial" w:eastAsia="Arial" w:hAnsi="Arial"/>
          <w:sz w:val="19"/>
          <w:szCs w:val="19"/>
          <w:color w:val="auto"/>
        </w:rPr>
        <w:t>” means [***].</w:t>
      </w:r>
    </w:p>
    <w:p>
      <w:pPr>
        <w:spacing w:after="0" w:line="17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b w:val="1"/>
          <w:bCs w:val="1"/>
          <w:color w:val="auto"/>
        </w:rPr>
        <w:t xml:space="preserve">1.5 </w:t>
      </w:r>
      <w:r>
        <w:rPr>
          <w:rFonts w:ascii="Arial" w:cs="Arial" w:eastAsia="Arial" w:hAnsi="Arial"/>
          <w:sz w:val="21"/>
          <w:szCs w:val="21"/>
          <w:color w:val="auto"/>
        </w:rPr>
        <w:t>“</w:t>
      </w:r>
      <w:r>
        <w:rPr>
          <w:rFonts w:ascii="Arial" w:cs="Arial" w:eastAsia="Arial" w:hAnsi="Arial"/>
          <w:sz w:val="21"/>
          <w:szCs w:val="21"/>
          <w:b w:val="1"/>
          <w:bCs w:val="1"/>
          <w:color w:val="auto"/>
        </w:rPr>
        <w:t>Antibody</w:t>
      </w:r>
      <w:r>
        <w:rPr>
          <w:rFonts w:ascii="Arial" w:cs="Arial" w:eastAsia="Arial" w:hAnsi="Arial"/>
          <w:sz w:val="21"/>
          <w:szCs w:val="21"/>
          <w:color w:val="auto"/>
        </w:rPr>
        <w:t>” means (a) any antibody, antigen-binding construct or protein comprising at least one CDR portion of</w:t>
      </w:r>
      <w:r>
        <w:rPr>
          <w:rFonts w:ascii="Arial" w:cs="Arial" w:eastAsia="Arial" w:hAnsi="Arial"/>
          <w:sz w:val="21"/>
          <w:szCs w:val="21"/>
          <w:b w:val="1"/>
          <w:bCs w:val="1"/>
          <w:color w:val="auto"/>
        </w:rPr>
        <w:t xml:space="preserve"> </w:t>
      </w:r>
      <w:r>
        <w:rPr>
          <w:rFonts w:ascii="Arial" w:cs="Arial" w:eastAsia="Arial" w:hAnsi="Arial"/>
          <w:sz w:val="21"/>
          <w:szCs w:val="21"/>
          <w:color w:val="auto"/>
        </w:rPr>
        <w:t>an antibody (whether monospecific, bispecific or multi-specific) or fragments thereof, (b) any modified, humanized or derivatized versions of antibodies, or fragments thereof or (c) the coding sequence of any of the foregoing.</w:t>
      </w:r>
    </w:p>
    <w:p>
      <w:pPr>
        <w:spacing w:after="0" w:line="1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1.6 </w:t>
      </w:r>
      <w:r>
        <w:rPr>
          <w:rFonts w:ascii="Arial" w:cs="Arial" w:eastAsia="Arial" w:hAnsi="Arial"/>
          <w:sz w:val="19"/>
          <w:szCs w:val="19"/>
          <w:color w:val="auto"/>
        </w:rPr>
        <w:t>“</w:t>
      </w:r>
      <w:r>
        <w:rPr>
          <w:rFonts w:ascii="Arial" w:cs="Arial" w:eastAsia="Arial" w:hAnsi="Arial"/>
          <w:sz w:val="19"/>
          <w:szCs w:val="19"/>
          <w:b w:val="1"/>
          <w:bCs w:val="1"/>
          <w:color w:val="auto"/>
        </w:rPr>
        <w:t>Applicable Laws</w:t>
      </w:r>
      <w:r>
        <w:rPr>
          <w:rFonts w:ascii="Arial" w:cs="Arial" w:eastAsia="Arial" w:hAnsi="Arial"/>
          <w:sz w:val="19"/>
          <w:szCs w:val="19"/>
          <w:color w:val="auto"/>
        </w:rPr>
        <w:t>” means, collectively, all laws, regulations, ordinances, decrees, judicial and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orders (and any license, franchise, permit or similar right granted under any of the foregoing) and any other requirements of any applicable Governmental Authority that govern or otherwise apply to a Party’s activities in connection with this Agreement.</w:t>
      </w:r>
    </w:p>
    <w:p>
      <w:pPr>
        <w:spacing w:after="0" w:line="124"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 xml:space="preserve">1.7 </w:t>
      </w:r>
      <w:r>
        <w:rPr>
          <w:rFonts w:ascii="Arial" w:cs="Arial" w:eastAsia="Arial" w:hAnsi="Arial"/>
          <w:sz w:val="22"/>
          <w:szCs w:val="22"/>
          <w:color w:val="auto"/>
        </w:rPr>
        <w:t>“</w:t>
      </w:r>
      <w:r>
        <w:rPr>
          <w:rFonts w:ascii="Arial" w:cs="Arial" w:eastAsia="Arial" w:hAnsi="Arial"/>
          <w:sz w:val="22"/>
          <w:szCs w:val="22"/>
          <w:b w:val="1"/>
          <w:bCs w:val="1"/>
          <w:color w:val="auto"/>
        </w:rPr>
        <w:t>Biosimilar Product</w:t>
      </w:r>
      <w:r>
        <w:rPr>
          <w:rFonts w:ascii="Arial" w:cs="Arial" w:eastAsia="Arial" w:hAnsi="Arial"/>
          <w:sz w:val="22"/>
          <w:szCs w:val="22"/>
          <w:color w:val="auto"/>
        </w:rPr>
        <w:t>” means, with respect to a Licensed Product in a particular country in the Territory, any</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 product that: (a) is marketed or sold in such country by a Third Party that has not obtained the rights to market or sell such product as a licensee, sublicensee or distributor of Jazz or any of its Affiliates or sublicensees with respect to such Licensed Product; and (b) is approved as [***]. For purposes of clarity, such a pharmaceutical product will be deemed to be Biosimilar Product for purposes of this definition, only if [***].</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BTC</w:t>
      </w:r>
      <w:r>
        <w:rPr>
          <w:rFonts w:ascii="Arial" w:cs="Arial" w:eastAsia="Arial" w:hAnsi="Arial"/>
          <w:sz w:val="19"/>
          <w:szCs w:val="19"/>
          <w:color w:val="auto"/>
        </w:rPr>
        <w:t>” means biliary tract cancer, [***].</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1.9 </w:t>
      </w: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a Saturday, Sunday or any other day on which banking institutions in</w:t>
      </w:r>
      <w:r>
        <w:rPr>
          <w:rFonts w:ascii="Arial" w:cs="Arial" w:eastAsia="Arial" w:hAnsi="Arial"/>
          <w:sz w:val="22"/>
          <w:szCs w:val="22"/>
          <w:b w:val="1"/>
          <w:bCs w:val="1"/>
          <w:color w:val="auto"/>
        </w:rPr>
        <w:t xml:space="preserve"> </w:t>
      </w:r>
      <w:r>
        <w:rPr>
          <w:rFonts w:ascii="Arial" w:cs="Arial" w:eastAsia="Arial" w:hAnsi="Arial"/>
          <w:sz w:val="22"/>
          <w:szCs w:val="22"/>
          <w:color w:val="auto"/>
        </w:rPr>
        <w:t>Seattle, Washington, U.S.A., Vancouver, Canada or Dublin, Ireland are authorized or required by Applicable Laws to remain closed.</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1.10 </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the period beginning on the Closing Date and ending on the last day of the calendar</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in which the Closing Date falls, and thereafter each successive period of three (3) consecutive calendar months ending on March 31, June 30, September 30 and December 31; provided that the final Calendar Quarter shall end on the last day of the Term.</w:t>
      </w:r>
    </w:p>
    <w:p>
      <w:pPr>
        <w:spacing w:after="0" w:line="15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b w:val="1"/>
          <w:bCs w:val="1"/>
          <w:color w:val="auto"/>
        </w:rPr>
        <w:t xml:space="preserve">1.11 </w:t>
      </w:r>
      <w:r>
        <w:rPr>
          <w:rFonts w:ascii="Arial" w:cs="Arial" w:eastAsia="Arial" w:hAnsi="Arial"/>
          <w:sz w:val="21"/>
          <w:szCs w:val="21"/>
          <w:color w:val="auto"/>
        </w:rPr>
        <w:t>“</w:t>
      </w:r>
      <w:r>
        <w:rPr>
          <w:rFonts w:ascii="Arial" w:cs="Arial" w:eastAsia="Arial" w:hAnsi="Arial"/>
          <w:sz w:val="21"/>
          <w:szCs w:val="21"/>
          <w:b w:val="1"/>
          <w:bCs w:val="1"/>
          <w:color w:val="auto"/>
        </w:rPr>
        <w:t>Calendar Year</w:t>
      </w:r>
      <w:r>
        <w:rPr>
          <w:rFonts w:ascii="Arial" w:cs="Arial" w:eastAsia="Arial" w:hAnsi="Arial"/>
          <w:sz w:val="21"/>
          <w:szCs w:val="21"/>
          <w:color w:val="auto"/>
        </w:rPr>
        <w:t>” means the period beginning on the Closing Date and ending on December 31 of the calendar</w:t>
      </w:r>
      <w:r>
        <w:rPr>
          <w:rFonts w:ascii="Arial" w:cs="Arial" w:eastAsia="Arial" w:hAnsi="Arial"/>
          <w:sz w:val="21"/>
          <w:szCs w:val="21"/>
          <w:b w:val="1"/>
          <w:bCs w:val="1"/>
          <w:color w:val="auto"/>
        </w:rPr>
        <w:t xml:space="preserve"> </w:t>
      </w:r>
      <w:r>
        <w:rPr>
          <w:rFonts w:ascii="Arial" w:cs="Arial" w:eastAsia="Arial" w:hAnsi="Arial"/>
          <w:sz w:val="21"/>
          <w:szCs w:val="21"/>
          <w:color w:val="auto"/>
        </w:rPr>
        <w:t>year in which the Closing Date falls, and thereafter each successive period of twelve (12) months commencing on January 1 and ending on December 31; provided, that, the final Calendar Year shall end on the last day of the Term.</w:t>
      </w:r>
    </w:p>
    <w:p>
      <w:pPr>
        <w:spacing w:after="0" w:line="15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 xml:space="preserve">1.12 </w:t>
      </w:r>
      <w:r>
        <w:rPr>
          <w:rFonts w:ascii="Arial" w:cs="Arial" w:eastAsia="Arial" w:hAnsi="Arial"/>
          <w:sz w:val="22"/>
          <w:szCs w:val="22"/>
          <w:color w:val="auto"/>
        </w:rPr>
        <w:t>“</w:t>
      </w:r>
      <w:r>
        <w:rPr>
          <w:rFonts w:ascii="Arial" w:cs="Arial" w:eastAsia="Arial" w:hAnsi="Arial"/>
          <w:sz w:val="22"/>
          <w:szCs w:val="22"/>
          <w:b w:val="1"/>
          <w:bCs w:val="1"/>
          <w:color w:val="auto"/>
        </w:rPr>
        <w:t>cGMP</w:t>
      </w:r>
      <w:r>
        <w:rPr>
          <w:rFonts w:ascii="Arial" w:cs="Arial" w:eastAsia="Arial" w:hAnsi="Arial"/>
          <w:sz w:val="22"/>
          <w:szCs w:val="22"/>
          <w:color w:val="auto"/>
        </w:rPr>
        <w:t>” means applicable current Good Manufacturing Practices, including, as applicable, (a) the principles</w:t>
      </w:r>
      <w:r>
        <w:rPr>
          <w:rFonts w:ascii="Arial" w:cs="Arial" w:eastAsia="Arial" w:hAnsi="Arial"/>
          <w:sz w:val="22"/>
          <w:szCs w:val="22"/>
          <w:b w:val="1"/>
          <w:bCs w:val="1"/>
          <w:color w:val="auto"/>
        </w:rPr>
        <w:t xml:space="preserve"> </w:t>
      </w:r>
      <w:r>
        <w:rPr>
          <w:rFonts w:ascii="Arial" w:cs="Arial" w:eastAsia="Arial" w:hAnsi="Arial"/>
          <w:sz w:val="22"/>
          <w:szCs w:val="22"/>
          <w:color w:val="auto"/>
        </w:rPr>
        <w:t>detailed in the U.S. Current Good Manufacturing Practices, 21 C.F.R. Parts 4, 210, 211, 601, 610 and 820, (b) European Union Directive 2003/94/EC and Eudralex 4, (c) the principles detailed in the International Conference on Harmonization’s Q7 guidelines, and (d) the Applicable Laws in any relevant country or region corresponding to (a) through (c) above, each as may be amended and applicable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172" w:name="page173"/>
    <w:bookmarkEnd w:id="172"/>
    <w:p>
      <w:pPr>
        <w:jc w:val="both"/>
        <w:ind w:firstLine="648"/>
        <w:spacing w:after="0" w:line="225" w:lineRule="auto"/>
        <w:rPr>
          <w:sz w:val="20"/>
          <w:szCs w:val="20"/>
          <w:color w:val="auto"/>
        </w:rPr>
      </w:pPr>
      <w:r>
        <w:rPr>
          <w:rFonts w:ascii="Arial" w:cs="Arial" w:eastAsia="Arial" w:hAnsi="Arial"/>
          <w:sz w:val="22"/>
          <w:szCs w:val="22"/>
          <w:b w:val="1"/>
          <w:bCs w:val="1"/>
          <w:color w:val="auto"/>
        </w:rPr>
        <w:t>1.13 “Clinical Data</w:t>
      </w:r>
      <w:r>
        <w:rPr>
          <w:rFonts w:ascii="Arial" w:cs="Arial" w:eastAsia="Arial" w:hAnsi="Arial"/>
          <w:sz w:val="22"/>
          <w:szCs w:val="22"/>
          <w:color w:val="auto"/>
        </w:rPr>
        <w:t>” means any and all data (together with all clinical trial reports and the results of analyses thereof)</w:t>
      </w:r>
      <w:r>
        <w:rPr>
          <w:rFonts w:ascii="Arial" w:cs="Arial" w:eastAsia="Arial" w:hAnsi="Arial"/>
          <w:sz w:val="22"/>
          <w:szCs w:val="22"/>
          <w:b w:val="1"/>
          <w:bCs w:val="1"/>
          <w:color w:val="auto"/>
        </w:rPr>
        <w:t xml:space="preserve"> </w:t>
      </w:r>
      <w:r>
        <w:rPr>
          <w:rFonts w:ascii="Arial" w:cs="Arial" w:eastAsia="Arial" w:hAnsi="Arial"/>
          <w:sz w:val="22"/>
          <w:szCs w:val="22"/>
          <w:color w:val="auto"/>
        </w:rPr>
        <w:t>derived or generated in any Clinical Trial conducted by or on behalf of a Party or its Affiliates, the Ex-Territory Partner, or (with respect to Jazz) sublicensees.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Clinical Trial</w:t>
      </w:r>
      <w:r>
        <w:rPr>
          <w:rFonts w:ascii="Arial" w:cs="Arial" w:eastAsia="Arial" w:hAnsi="Arial"/>
          <w:sz w:val="19"/>
          <w:szCs w:val="19"/>
          <w:color w:val="auto"/>
        </w:rPr>
        <w:t>” means any human clinical trial of a Licensed Product in the Field.</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Closing Date</w:t>
      </w:r>
      <w:r>
        <w:rPr>
          <w:rFonts w:ascii="Arial" w:cs="Arial" w:eastAsia="Arial" w:hAnsi="Arial"/>
          <w:sz w:val="19"/>
          <w:szCs w:val="19"/>
          <w:color w:val="auto"/>
        </w:rPr>
        <w:t>” means the HSR Clearance Date.</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1.16 </w:t>
      </w:r>
      <w:r>
        <w:rPr>
          <w:rFonts w:ascii="Arial" w:cs="Arial" w:eastAsia="Arial" w:hAnsi="Arial"/>
          <w:sz w:val="22"/>
          <w:szCs w:val="22"/>
          <w:color w:val="auto"/>
        </w:rPr>
        <w:t>“</w:t>
      </w:r>
      <w:r>
        <w:rPr>
          <w:rFonts w:ascii="Arial" w:cs="Arial" w:eastAsia="Arial" w:hAnsi="Arial"/>
          <w:sz w:val="22"/>
          <w:szCs w:val="22"/>
          <w:b w:val="1"/>
          <w:bCs w:val="1"/>
          <w:color w:val="auto"/>
        </w:rPr>
        <w:t>Combination Product</w:t>
      </w:r>
      <w:r>
        <w:rPr>
          <w:rFonts w:ascii="Arial" w:cs="Arial" w:eastAsia="Arial" w:hAnsi="Arial"/>
          <w:sz w:val="22"/>
          <w:szCs w:val="22"/>
          <w:color w:val="auto"/>
        </w:rPr>
        <w:t>” means a Licensed Product that comprises the Licensed Antibody, co-formulated, co-packaged or otherwise combined with one or more other Active Ingredients (each, an “</w:t>
      </w:r>
      <w:r>
        <w:rPr>
          <w:rFonts w:ascii="Arial" w:cs="Arial" w:eastAsia="Arial" w:hAnsi="Arial"/>
          <w:sz w:val="22"/>
          <w:szCs w:val="22"/>
          <w:b w:val="1"/>
          <w:bCs w:val="1"/>
          <w:color w:val="auto"/>
        </w:rPr>
        <w:t>Additional Active</w:t>
      </w:r>
      <w:r>
        <w:rPr>
          <w:rFonts w:ascii="Arial" w:cs="Arial" w:eastAsia="Arial" w:hAnsi="Arial"/>
          <w:sz w:val="22"/>
          <w:szCs w:val="22"/>
          <w:color w:val="auto"/>
        </w:rPr>
        <w:t>”) and sold for a single price.</w:t>
      </w:r>
    </w:p>
    <w:p>
      <w:pPr>
        <w:spacing w:after="0" w:line="153"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b w:val="1"/>
          <w:bCs w:val="1"/>
          <w:color w:val="auto"/>
        </w:rPr>
        <w:t xml:space="preserve">1.17 </w:t>
      </w:r>
      <w:r>
        <w:rPr>
          <w:rFonts w:ascii="Arial" w:cs="Arial" w:eastAsia="Arial" w:hAnsi="Arial"/>
          <w:sz w:val="21"/>
          <w:szCs w:val="21"/>
          <w:color w:val="auto"/>
        </w:rPr>
        <w:t>“</w:t>
      </w:r>
      <w:r>
        <w:rPr>
          <w:rFonts w:ascii="Arial" w:cs="Arial" w:eastAsia="Arial" w:hAnsi="Arial"/>
          <w:sz w:val="21"/>
          <w:szCs w:val="21"/>
          <w:b w:val="1"/>
          <w:bCs w:val="1"/>
          <w:color w:val="auto"/>
        </w:rPr>
        <w:t>Commercialization</w:t>
      </w:r>
      <w:r>
        <w:rPr>
          <w:rFonts w:ascii="Arial" w:cs="Arial" w:eastAsia="Arial" w:hAnsi="Arial"/>
          <w:sz w:val="21"/>
          <w:szCs w:val="21"/>
          <w:color w:val="auto"/>
        </w:rPr>
        <w:t>” or “</w:t>
      </w:r>
      <w:r>
        <w:rPr>
          <w:rFonts w:ascii="Arial" w:cs="Arial" w:eastAsia="Arial" w:hAnsi="Arial"/>
          <w:sz w:val="21"/>
          <w:szCs w:val="21"/>
          <w:b w:val="1"/>
          <w:bCs w:val="1"/>
          <w:color w:val="auto"/>
        </w:rPr>
        <w:t>Commercialize</w:t>
      </w:r>
      <w:r>
        <w:rPr>
          <w:rFonts w:ascii="Arial" w:cs="Arial" w:eastAsia="Arial" w:hAnsi="Arial"/>
          <w:sz w:val="21"/>
          <w:szCs w:val="21"/>
          <w:color w:val="auto"/>
        </w:rPr>
        <w:t>” means any and all activities directed to the offering for sale and sale</w:t>
      </w:r>
      <w:r>
        <w:rPr>
          <w:rFonts w:ascii="Arial" w:cs="Arial" w:eastAsia="Arial" w:hAnsi="Arial"/>
          <w:sz w:val="21"/>
          <w:szCs w:val="21"/>
          <w:b w:val="1"/>
          <w:bCs w:val="1"/>
          <w:color w:val="auto"/>
        </w:rPr>
        <w:t xml:space="preserve"> </w:t>
      </w:r>
      <w:r>
        <w:rPr>
          <w:rFonts w:ascii="Arial" w:cs="Arial" w:eastAsia="Arial" w:hAnsi="Arial"/>
          <w:sz w:val="21"/>
          <w:szCs w:val="21"/>
          <w:color w:val="auto"/>
        </w:rPr>
        <w:t>of Licensed Product, including (a) marketing, promoting, advertising, exhibiting, distributing, detailing, selling (and offering for sale or contracting to sell) or otherwise commercially exploiting a Licensed Product in the Field in the Territory (including importing and exporting activities in connection therewith); (b) order processing, handling of returns and recalls, booking of sales and transporting such Licensed Product for commercial sale; (c) the conduct of any post-approval Clinical Trials involving such Licensed Product; (d) interacting with Regulatory Authorities regarding the above; and (e) seeking and obtaining pricing approvals and reimbursement approvals (as applicable) for that Licensed Product in the Territory. For clarity, Commercialization does not include manufacture of Licensed Product.</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1.19 </w:t>
      </w:r>
      <w:r>
        <w:rPr>
          <w:rFonts w:ascii="Arial" w:cs="Arial" w:eastAsia="Arial" w:hAnsi="Arial"/>
          <w:sz w:val="22"/>
          <w:szCs w:val="22"/>
          <w:color w:val="auto"/>
        </w:rPr>
        <w:t>“</w:t>
      </w:r>
      <w:r>
        <w:rPr>
          <w:rFonts w:ascii="Arial" w:cs="Arial" w:eastAsia="Arial" w:hAnsi="Arial"/>
          <w:sz w:val="22"/>
          <w:szCs w:val="22"/>
          <w:b w:val="1"/>
          <w:bCs w:val="1"/>
          <w:color w:val="auto"/>
        </w:rPr>
        <w:t>Companion Diagnostic</w:t>
      </w:r>
      <w:r>
        <w:rPr>
          <w:rFonts w:ascii="Arial" w:cs="Arial" w:eastAsia="Arial" w:hAnsi="Arial"/>
          <w:sz w:val="22"/>
          <w:szCs w:val="22"/>
          <w:color w:val="auto"/>
        </w:rPr>
        <w:t>” means companion or complementary diagnostic products to be used in connection with</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Products.</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1.20 </w:t>
      </w:r>
      <w:r>
        <w:rPr>
          <w:rFonts w:ascii="Arial" w:cs="Arial" w:eastAsia="Arial" w:hAnsi="Arial"/>
          <w:sz w:val="22"/>
          <w:szCs w:val="22"/>
          <w:color w:val="auto"/>
        </w:rPr>
        <w:t>“</w:t>
      </w:r>
      <w:r>
        <w:rPr>
          <w:rFonts w:ascii="Arial" w:cs="Arial" w:eastAsia="Arial" w:hAnsi="Arial"/>
          <w:sz w:val="22"/>
          <w:szCs w:val="22"/>
          <w:b w:val="1"/>
          <w:bCs w:val="1"/>
          <w:color w:val="auto"/>
        </w:rPr>
        <w:t>Competing Product</w:t>
      </w:r>
      <w:r>
        <w:rPr>
          <w:rFonts w:ascii="Arial" w:cs="Arial" w:eastAsia="Arial" w:hAnsi="Arial"/>
          <w:sz w:val="22"/>
          <w:szCs w:val="22"/>
          <w:color w:val="auto"/>
        </w:rPr>
        <w:t>” means, with respect to Jazz, a Jazz Competing Product, and with respect to Zymeworks, a</w:t>
      </w:r>
      <w:r>
        <w:rPr>
          <w:rFonts w:ascii="Arial" w:cs="Arial" w:eastAsia="Arial" w:hAnsi="Arial"/>
          <w:sz w:val="22"/>
          <w:szCs w:val="22"/>
          <w:b w:val="1"/>
          <w:bCs w:val="1"/>
          <w:color w:val="auto"/>
        </w:rPr>
        <w:t xml:space="preserve"> </w:t>
      </w:r>
      <w:r>
        <w:rPr>
          <w:rFonts w:ascii="Arial" w:cs="Arial" w:eastAsia="Arial" w:hAnsi="Arial"/>
          <w:sz w:val="22"/>
          <w:szCs w:val="22"/>
          <w:color w:val="auto"/>
        </w:rPr>
        <w:t>Zymeworks Competing Product.</w:t>
      </w:r>
    </w:p>
    <w:p>
      <w:pPr>
        <w:spacing w:after="0" w:line="15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b w:val="1"/>
          <w:bCs w:val="1"/>
          <w:color w:val="auto"/>
        </w:rPr>
        <w:t xml:space="preserve">1.21 </w:t>
      </w:r>
      <w:r>
        <w:rPr>
          <w:rFonts w:ascii="Arial" w:cs="Arial" w:eastAsia="Arial" w:hAnsi="Arial"/>
          <w:sz w:val="21"/>
          <w:szCs w:val="21"/>
          <w:color w:val="auto"/>
        </w:rPr>
        <w:t>“</w:t>
      </w:r>
      <w:r>
        <w:rPr>
          <w:rFonts w:ascii="Arial" w:cs="Arial" w:eastAsia="Arial" w:hAnsi="Arial"/>
          <w:sz w:val="21"/>
          <w:szCs w:val="21"/>
          <w:b w:val="1"/>
          <w:bCs w:val="1"/>
          <w:color w:val="auto"/>
        </w:rPr>
        <w:t>Confidential Information</w:t>
      </w:r>
      <w:r>
        <w:rPr>
          <w:rFonts w:ascii="Arial" w:cs="Arial" w:eastAsia="Arial" w:hAnsi="Arial"/>
          <w:sz w:val="21"/>
          <w:szCs w:val="21"/>
          <w:color w:val="auto"/>
        </w:rPr>
        <w:t>” of a Party (a “</w:t>
      </w:r>
      <w:r>
        <w:rPr>
          <w:rFonts w:ascii="Arial" w:cs="Arial" w:eastAsia="Arial" w:hAnsi="Arial"/>
          <w:sz w:val="21"/>
          <w:szCs w:val="21"/>
          <w:b w:val="1"/>
          <w:bCs w:val="1"/>
          <w:color w:val="auto"/>
        </w:rPr>
        <w:t>Disclosing Party</w:t>
      </w:r>
      <w:r>
        <w:rPr>
          <w:rFonts w:ascii="Arial" w:cs="Arial" w:eastAsia="Arial" w:hAnsi="Arial"/>
          <w:sz w:val="21"/>
          <w:szCs w:val="21"/>
          <w:color w:val="auto"/>
        </w:rPr>
        <w:t>”) means, subject to Section 10.2, all Know-How,</w:t>
      </w:r>
      <w:r>
        <w:rPr>
          <w:rFonts w:ascii="Arial" w:cs="Arial" w:eastAsia="Arial" w:hAnsi="Arial"/>
          <w:sz w:val="21"/>
          <w:szCs w:val="21"/>
          <w:b w:val="1"/>
          <w:bCs w:val="1"/>
          <w:color w:val="auto"/>
        </w:rPr>
        <w:t xml:space="preserve"> </w:t>
      </w:r>
      <w:r>
        <w:rPr>
          <w:rFonts w:ascii="Arial" w:cs="Arial" w:eastAsia="Arial" w:hAnsi="Arial"/>
          <w:sz w:val="21"/>
          <w:szCs w:val="21"/>
          <w:color w:val="auto"/>
        </w:rPr>
        <w:t>which is generated by or on behalf of such Disclosing Party under this Agreement or any and any other information, including technical, scientific, trade, research, manufacturing, business, financial, marketing, product, supplier, intellectual property, and other non-public or proprietary data or information, that is disclosed by a Disclosing Party or its Affiliates to the other Party (a “</w:t>
      </w:r>
      <w:r>
        <w:rPr>
          <w:rFonts w:ascii="Arial" w:cs="Arial" w:eastAsia="Arial" w:hAnsi="Arial"/>
          <w:sz w:val="21"/>
          <w:szCs w:val="21"/>
          <w:b w:val="1"/>
          <w:bCs w:val="1"/>
          <w:color w:val="auto"/>
        </w:rPr>
        <w:t>Receiving Party</w:t>
      </w:r>
      <w:r>
        <w:rPr>
          <w:rFonts w:ascii="Arial" w:cs="Arial" w:eastAsia="Arial" w:hAnsi="Arial"/>
          <w:sz w:val="21"/>
          <w:szCs w:val="21"/>
          <w:color w:val="auto"/>
        </w:rPr>
        <w:t>”) or its Affiliates pursuant to this Agreement (including information disclosed prior to the Execution Date pursuant to the Confidentiality Agreement) or which such Disclosing Party or any of its Affiliates or contractors has provided or otherwise made available to the Receiving Party, whether made available orally, in writing, or in electronic form, including (a) such Know-How comprising or relating to concepts, discoveries, Inventions, data, designs or formulae arising from this Agreement and (b) any unpublished patent applications disclosed hereunder. For purposes of clarity, unless excluded pursuant to Section 10.2, [***] (iv)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 and [***].</w:t>
      </w:r>
    </w:p>
    <w:p>
      <w:pPr>
        <w:spacing w:after="0" w:line="15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1.22 </w:t>
      </w: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or “</w:t>
      </w:r>
      <w:r>
        <w:rPr>
          <w:rFonts w:ascii="Arial" w:cs="Arial" w:eastAsia="Arial" w:hAnsi="Arial"/>
          <w:sz w:val="22"/>
          <w:szCs w:val="22"/>
          <w:b w:val="1"/>
          <w:bCs w:val="1"/>
          <w:color w:val="auto"/>
        </w:rPr>
        <w:t>Controlled</w:t>
      </w:r>
      <w:r>
        <w:rPr>
          <w:rFonts w:ascii="Arial" w:cs="Arial" w:eastAsia="Arial" w:hAnsi="Arial"/>
          <w:sz w:val="22"/>
          <w:szCs w:val="22"/>
          <w:color w:val="auto"/>
        </w:rPr>
        <w:t>” means, with respect to any material, Know-How, or intellectual property right</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Patent Rights), that a Party has the power (whether by ownership, license, or otherwise other than pursuant to this Agreement) to grant to the other Party access, a license, or a sublicense (as applicable) to the same on the terms and conditions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395" w:right="339" w:bottom="1440" w:gutter="0" w:footer="0" w:header="0"/>
        </w:sectPr>
      </w:pPr>
    </w:p>
    <w:bookmarkStart w:id="173" w:name="page174"/>
    <w:bookmarkEnd w:id="173"/>
    <w:p>
      <w:pPr>
        <w:jc w:val="both"/>
        <w:spacing w:after="0" w:line="224" w:lineRule="auto"/>
        <w:rPr>
          <w:sz w:val="20"/>
          <w:szCs w:val="20"/>
          <w:color w:val="auto"/>
        </w:rPr>
      </w:pPr>
      <w:r>
        <w:rPr>
          <w:rFonts w:ascii="Arial" w:cs="Arial" w:eastAsia="Arial" w:hAnsi="Arial"/>
          <w:sz w:val="21"/>
          <w:szCs w:val="21"/>
          <w:color w:val="auto"/>
        </w:rPr>
        <w:t>forth in this Agreement without violating any obligations of the granting Party to a Third Party. Notwithstanding the foregoing, a Party will not be deemed to “Control” any material, Know-How, or intellectual property right (including Patent Rights) that, prior to the consummation of a merger, consolidation or transfer making a Third Party an Acquiring Entity of such Party, is owned or in-licensed by a Third Party that becomes an Affiliate of such acquired Party after the Execution Date as a result of such acquisition transaction or transfer or that any Acquiring Entity subsequently develops without accessing or practicing the Zymeworks Platform or any Zymeworks IP, Jazz Collaboration IP or Jazz IP.</w:t>
      </w:r>
    </w:p>
    <w:p>
      <w:pPr>
        <w:spacing w:after="0" w:line="15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b w:val="1"/>
          <w:bCs w:val="1"/>
          <w:color w:val="auto"/>
        </w:rPr>
        <w:t xml:space="preserve">1.23 </w:t>
      </w:r>
      <w:r>
        <w:rPr>
          <w:rFonts w:ascii="Arial" w:cs="Arial" w:eastAsia="Arial" w:hAnsi="Arial"/>
          <w:sz w:val="21"/>
          <w:szCs w:val="21"/>
          <w:color w:val="auto"/>
        </w:rPr>
        <w:t>“</w:t>
      </w:r>
      <w:r>
        <w:rPr>
          <w:rFonts w:ascii="Arial" w:cs="Arial" w:eastAsia="Arial" w:hAnsi="Arial"/>
          <w:sz w:val="21"/>
          <w:szCs w:val="21"/>
          <w:b w:val="1"/>
          <w:bCs w:val="1"/>
          <w:color w:val="auto"/>
        </w:rPr>
        <w:t>Cover</w:t>
      </w:r>
      <w:r>
        <w:rPr>
          <w:rFonts w:ascii="Arial" w:cs="Arial" w:eastAsia="Arial" w:hAnsi="Arial"/>
          <w:sz w:val="21"/>
          <w:szCs w:val="21"/>
          <w:color w:val="auto"/>
        </w:rPr>
        <w:t>” means, with respect to a Licensed Product and a Valid Claim in a particular country, that (a) such Valid</w:t>
      </w:r>
      <w:r>
        <w:rPr>
          <w:rFonts w:ascii="Arial" w:cs="Arial" w:eastAsia="Arial" w:hAnsi="Arial"/>
          <w:sz w:val="21"/>
          <w:szCs w:val="21"/>
          <w:b w:val="1"/>
          <w:bCs w:val="1"/>
          <w:color w:val="auto"/>
        </w:rPr>
        <w:t xml:space="preserve"> </w:t>
      </w:r>
      <w:r>
        <w:rPr>
          <w:rFonts w:ascii="Arial" w:cs="Arial" w:eastAsia="Arial" w:hAnsi="Arial"/>
          <w:sz w:val="21"/>
          <w:szCs w:val="21"/>
          <w:color w:val="auto"/>
        </w:rPr>
        <w:t>Claim claims [***] and (b) the [***] of such Licensed Product, as applicable, in such country would, but for the licenses granted herein, infringe such Valid Claim. Cognates of the word “Cover” shall have correlative meanings.</w:t>
      </w:r>
    </w:p>
    <w:p>
      <w:pPr>
        <w:spacing w:after="0" w:line="15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b w:val="1"/>
          <w:bCs w:val="1"/>
          <w:color w:val="auto"/>
        </w:rPr>
        <w:t xml:space="preserve">1.24 </w:t>
      </w:r>
      <w:r>
        <w:rPr>
          <w:rFonts w:ascii="Arial" w:cs="Arial" w:eastAsia="Arial" w:hAnsi="Arial"/>
          <w:sz w:val="21"/>
          <w:szCs w:val="21"/>
          <w:color w:val="auto"/>
        </w:rPr>
        <w:t>“</w:t>
      </w:r>
      <w:r>
        <w:rPr>
          <w:rFonts w:ascii="Arial" w:cs="Arial" w:eastAsia="Arial" w:hAnsi="Arial"/>
          <w:sz w:val="21"/>
          <w:szCs w:val="21"/>
          <w:b w:val="1"/>
          <w:bCs w:val="1"/>
          <w:color w:val="auto"/>
        </w:rPr>
        <w:t>Develop</w:t>
      </w:r>
      <w:r>
        <w:rPr>
          <w:rFonts w:ascii="Arial" w:cs="Arial" w:eastAsia="Arial" w:hAnsi="Arial"/>
          <w:sz w:val="21"/>
          <w:szCs w:val="21"/>
          <w:color w:val="auto"/>
        </w:rPr>
        <w:t>” or “</w:t>
      </w:r>
      <w:r>
        <w:rPr>
          <w:rFonts w:ascii="Arial" w:cs="Arial" w:eastAsia="Arial" w:hAnsi="Arial"/>
          <w:sz w:val="21"/>
          <w:szCs w:val="21"/>
          <w:b w:val="1"/>
          <w:bCs w:val="1"/>
          <w:color w:val="auto"/>
        </w:rPr>
        <w:t>Development</w:t>
      </w:r>
      <w:r>
        <w:rPr>
          <w:rFonts w:ascii="Arial" w:cs="Arial" w:eastAsia="Arial" w:hAnsi="Arial"/>
          <w:sz w:val="21"/>
          <w:szCs w:val="21"/>
          <w:color w:val="auto"/>
        </w:rPr>
        <w:t>” or “</w:t>
      </w:r>
      <w:r>
        <w:rPr>
          <w:rFonts w:ascii="Arial" w:cs="Arial" w:eastAsia="Arial" w:hAnsi="Arial"/>
          <w:sz w:val="21"/>
          <w:szCs w:val="21"/>
          <w:b w:val="1"/>
          <w:bCs w:val="1"/>
          <w:color w:val="auto"/>
        </w:rPr>
        <w:t>Developing</w:t>
      </w:r>
      <w:r>
        <w:rPr>
          <w:rFonts w:ascii="Arial" w:cs="Arial" w:eastAsia="Arial" w:hAnsi="Arial"/>
          <w:sz w:val="21"/>
          <w:szCs w:val="21"/>
          <w:color w:val="auto"/>
        </w:rPr>
        <w:t>” means all development activities for a Licensed Product that are</w:t>
      </w:r>
      <w:r>
        <w:rPr>
          <w:rFonts w:ascii="Arial" w:cs="Arial" w:eastAsia="Arial" w:hAnsi="Arial"/>
          <w:sz w:val="21"/>
          <w:szCs w:val="21"/>
          <w:b w:val="1"/>
          <w:bCs w:val="1"/>
          <w:color w:val="auto"/>
        </w:rPr>
        <w:t xml:space="preserve"> </w:t>
      </w:r>
      <w:r>
        <w:rPr>
          <w:rFonts w:ascii="Arial" w:cs="Arial" w:eastAsia="Arial" w:hAnsi="Arial"/>
          <w:sz w:val="21"/>
          <w:szCs w:val="21"/>
          <w:color w:val="auto"/>
        </w:rPr>
        <w:t>directed to obtaining Regulatory Approval(s) of such Licensed Product and to support appropriate usage for such Licensed Product in the Field, including: (a) all research, non-clinical, preclinical and clinical activities, testing and studies of such Licensed Product; toxicology, pharmacokinetic, pharmacodynamic, drug-drug interaction, safety, tolerability and pharmacological studies of such Licensed Product; (b) distribution of such Licensed Product for use in Clinical Trials; (c) statistical analyses of Clinical Trials; (d) the preparation, filing and prosecution of any Biologics License Application or New Drug Application (each as defined by the FDA) or foreign equivalent thereof for such Licensed Product; (e) all development activities directed to label expansion (including prescribing information) or obtaining Regulatory Approval of such Licensed Product for one or more additional Indications following initial Regulatory Approval; (f) all development activities conducted after receipt of Regulatory Approval that are required or requested in writing by a Regulatory Authority as a condition of, or in connection with, obtaining or maintaining a Regulatory Approval; (g) any pharmacoeconomic studies relating to the Indication for which the applicable Licensed Product is being developed; (h) any investigator- or institution-sponsored studies of such Licensed Product; and (i) all regulatory activities related to any of the foregoing. For clarity, Development does not include manufacture of Licensed Products.</w:t>
      </w:r>
    </w:p>
    <w:p>
      <w:pPr>
        <w:spacing w:after="0" w:line="15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1.25 </w:t>
      </w:r>
      <w:r>
        <w:rPr>
          <w:rFonts w:ascii="Arial" w:cs="Arial" w:eastAsia="Arial" w:hAnsi="Arial"/>
          <w:sz w:val="22"/>
          <w:szCs w:val="22"/>
          <w:color w:val="auto"/>
        </w:rPr>
        <w:t>“</w:t>
      </w:r>
      <w:r>
        <w:rPr>
          <w:rFonts w:ascii="Arial" w:cs="Arial" w:eastAsia="Arial" w:hAnsi="Arial"/>
          <w:sz w:val="22"/>
          <w:szCs w:val="22"/>
          <w:b w:val="1"/>
          <w:bCs w:val="1"/>
          <w:color w:val="auto"/>
        </w:rPr>
        <w:t>Directed To</w:t>
      </w:r>
      <w:r>
        <w:rPr>
          <w:rFonts w:ascii="Arial" w:cs="Arial" w:eastAsia="Arial" w:hAnsi="Arial"/>
          <w:sz w:val="22"/>
          <w:szCs w:val="22"/>
          <w:color w:val="auto"/>
        </w:rPr>
        <w:t>” means, with regard to an Antibody or product, that such Antibody or product [***]. When required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grammatically, the defined term “Directed To” may be separated and shall have the same meaning set forth above; </w:t>
      </w:r>
      <w:r>
        <w:rPr>
          <w:rFonts w:ascii="Arial" w:cs="Arial" w:eastAsia="Arial" w:hAnsi="Arial"/>
          <w:sz w:val="22"/>
          <w:szCs w:val="22"/>
          <w:u w:val="single" w:color="auto"/>
          <w:color w:val="auto"/>
        </w:rPr>
        <w:t>e.g.</w:t>
      </w:r>
      <w:r>
        <w:rPr>
          <w:rFonts w:ascii="Arial" w:cs="Arial" w:eastAsia="Arial" w:hAnsi="Arial"/>
          <w:sz w:val="22"/>
          <w:szCs w:val="22"/>
          <w:color w:val="auto"/>
        </w:rPr>
        <w:t>, when discussing targets To which an Antibody or product is Directed.</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1.26 </w:t>
      </w:r>
      <w:r>
        <w:rPr>
          <w:rFonts w:ascii="Arial" w:cs="Arial" w:eastAsia="Arial" w:hAnsi="Arial"/>
          <w:sz w:val="22"/>
          <w:szCs w:val="22"/>
          <w:color w:val="auto"/>
        </w:rPr>
        <w:t>“</w:t>
      </w:r>
      <w:r>
        <w:rPr>
          <w:rFonts w:ascii="Arial" w:cs="Arial" w:eastAsia="Arial" w:hAnsi="Arial"/>
          <w:sz w:val="22"/>
          <w:szCs w:val="22"/>
          <w:b w:val="1"/>
          <w:bCs w:val="1"/>
          <w:color w:val="auto"/>
        </w:rPr>
        <w:t>Divestiture</w:t>
      </w:r>
      <w:r>
        <w:rPr>
          <w:rFonts w:ascii="Arial" w:cs="Arial" w:eastAsia="Arial" w:hAnsi="Arial"/>
          <w:sz w:val="22"/>
          <w:szCs w:val="22"/>
          <w:color w:val="auto"/>
        </w:rPr>
        <w:t>” means, with respect to a Competing Product, [***]. When used as a verb, “Divest” and “Divested”</w:t>
      </w:r>
      <w:r>
        <w:rPr>
          <w:rFonts w:ascii="Arial" w:cs="Arial" w:eastAsia="Arial" w:hAnsi="Arial"/>
          <w:sz w:val="22"/>
          <w:szCs w:val="22"/>
          <w:b w:val="1"/>
          <w:bCs w:val="1"/>
          <w:color w:val="auto"/>
        </w:rPr>
        <w:t xml:space="preserve"> </w:t>
      </w:r>
      <w:r>
        <w:rPr>
          <w:rFonts w:ascii="Arial" w:cs="Arial" w:eastAsia="Arial" w:hAnsi="Arial"/>
          <w:sz w:val="22"/>
          <w:szCs w:val="22"/>
          <w:color w:val="auto"/>
        </w:rPr>
        <w:t>means to cause a Divestiture.</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1.27 </w:t>
      </w:r>
      <w:r>
        <w:rPr>
          <w:rFonts w:ascii="Arial" w:cs="Arial" w:eastAsia="Arial" w:hAnsi="Arial"/>
          <w:sz w:val="22"/>
          <w:szCs w:val="22"/>
          <w:color w:val="auto"/>
        </w:rPr>
        <w:t>“</w:t>
      </w:r>
      <w:r>
        <w:rPr>
          <w:rFonts w:ascii="Arial" w:cs="Arial" w:eastAsia="Arial" w:hAnsi="Arial"/>
          <w:sz w:val="22"/>
          <w:szCs w:val="22"/>
          <w:b w:val="1"/>
          <w:bCs w:val="1"/>
          <w:color w:val="auto"/>
        </w:rPr>
        <w:t>European Commission</w:t>
      </w:r>
      <w:r>
        <w:rPr>
          <w:rFonts w:ascii="Arial" w:cs="Arial" w:eastAsia="Arial" w:hAnsi="Arial"/>
          <w:sz w:val="22"/>
          <w:szCs w:val="22"/>
          <w:color w:val="auto"/>
        </w:rPr>
        <w:t>” means the executive of the European Union and any successor thereto having</w:t>
      </w:r>
      <w:r>
        <w:rPr>
          <w:rFonts w:ascii="Arial" w:cs="Arial" w:eastAsia="Arial" w:hAnsi="Arial"/>
          <w:sz w:val="22"/>
          <w:szCs w:val="22"/>
          <w:b w:val="1"/>
          <w:bCs w:val="1"/>
          <w:color w:val="auto"/>
        </w:rPr>
        <w:t xml:space="preserve"> </w:t>
      </w:r>
      <w:r>
        <w:rPr>
          <w:rFonts w:ascii="Arial" w:cs="Arial" w:eastAsia="Arial" w:hAnsi="Arial"/>
          <w:sz w:val="22"/>
          <w:szCs w:val="22"/>
          <w:color w:val="auto"/>
        </w:rPr>
        <w:t>substantially the same functions.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Ex-Territory License Agreement</w:t>
      </w:r>
      <w:r>
        <w:rPr>
          <w:rFonts w:ascii="Arial" w:cs="Arial" w:eastAsia="Arial" w:hAnsi="Arial"/>
          <w:sz w:val="19"/>
          <w:szCs w:val="19"/>
          <w:color w:val="auto"/>
        </w:rPr>
        <w:t>” or “</w:t>
      </w:r>
      <w:r>
        <w:rPr>
          <w:rFonts w:ascii="Arial" w:cs="Arial" w:eastAsia="Arial" w:hAnsi="Arial"/>
          <w:sz w:val="19"/>
          <w:szCs w:val="19"/>
          <w:b w:val="1"/>
          <w:bCs w:val="1"/>
          <w:color w:val="auto"/>
        </w:rPr>
        <w:t>ELA</w:t>
      </w:r>
      <w:r>
        <w:rPr>
          <w:rFonts w:ascii="Arial" w:cs="Arial" w:eastAsia="Arial" w:hAnsi="Arial"/>
          <w:sz w:val="19"/>
          <w:szCs w:val="19"/>
          <w:color w:val="auto"/>
        </w:rPr>
        <w:t>” means [***].</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1.29 </w:t>
      </w:r>
      <w:r>
        <w:rPr>
          <w:rFonts w:ascii="Arial" w:cs="Arial" w:eastAsia="Arial" w:hAnsi="Arial"/>
          <w:sz w:val="22"/>
          <w:szCs w:val="22"/>
          <w:color w:val="auto"/>
        </w:rPr>
        <w:t>“</w:t>
      </w:r>
      <w:r>
        <w:rPr>
          <w:rFonts w:ascii="Arial" w:cs="Arial" w:eastAsia="Arial" w:hAnsi="Arial"/>
          <w:sz w:val="22"/>
          <w:szCs w:val="22"/>
          <w:b w:val="1"/>
          <w:bCs w:val="1"/>
          <w:color w:val="auto"/>
        </w:rPr>
        <w:t>Ex-Territory Partner</w:t>
      </w:r>
      <w:r>
        <w:rPr>
          <w:rFonts w:ascii="Arial" w:cs="Arial" w:eastAsia="Arial" w:hAnsi="Arial"/>
          <w:sz w:val="22"/>
          <w:szCs w:val="22"/>
          <w:color w:val="auto"/>
        </w:rPr>
        <w:t>” means the Third Party to whom Zymeworks has licensed, or licenses, rights to Develop</w:t>
      </w:r>
      <w:r>
        <w:rPr>
          <w:rFonts w:ascii="Arial" w:cs="Arial" w:eastAsia="Arial" w:hAnsi="Arial"/>
          <w:sz w:val="22"/>
          <w:szCs w:val="22"/>
          <w:b w:val="1"/>
          <w:bCs w:val="1"/>
          <w:color w:val="auto"/>
        </w:rPr>
        <w:t xml:space="preserve"> </w:t>
      </w:r>
      <w:r>
        <w:rPr>
          <w:rFonts w:ascii="Arial" w:cs="Arial" w:eastAsia="Arial" w:hAnsi="Arial"/>
          <w:sz w:val="22"/>
          <w:szCs w:val="22"/>
          <w:color w:val="auto"/>
        </w:rPr>
        <w:t>or Commercialize Licensed Product in the Ex-Territory pursuant to the ELA.</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United States Food and Drug Administration or any successor entity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174" w:name="page175"/>
    <w:bookmarkEnd w:id="174"/>
    <w:p>
      <w:pPr>
        <w:ind w:left="660"/>
        <w:spacing w:after="0"/>
        <w:tabs>
          <w:tab w:leader="none" w:pos="128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all uses, including diagnostic, prophylactic, and therapeutic applications in humans and animals.</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1.32 </w:t>
      </w:r>
      <w:r>
        <w:rPr>
          <w:rFonts w:ascii="Arial" w:cs="Arial" w:eastAsia="Arial" w:hAnsi="Arial"/>
          <w:sz w:val="19"/>
          <w:szCs w:val="19"/>
          <w:color w:val="auto"/>
        </w:rPr>
        <w:t>“</w:t>
      </w:r>
      <w:r>
        <w:rPr>
          <w:rFonts w:ascii="Arial" w:cs="Arial" w:eastAsia="Arial" w:hAnsi="Arial"/>
          <w:sz w:val="19"/>
          <w:szCs w:val="19"/>
          <w:b w:val="1"/>
          <w:bCs w:val="1"/>
          <w:color w:val="auto"/>
        </w:rPr>
        <w:t>First Commercial Sale</w:t>
      </w:r>
      <w:r>
        <w:rPr>
          <w:rFonts w:ascii="Arial" w:cs="Arial" w:eastAsia="Arial" w:hAnsi="Arial"/>
          <w:sz w:val="19"/>
          <w:szCs w:val="19"/>
          <w:color w:val="auto"/>
        </w:rPr>
        <w:t>” means, with respect to a Licensed Product in any country or jurisdiction in the Territory,</w:t>
      </w:r>
      <w:r>
        <w:rPr>
          <w:rFonts w:ascii="Arial" w:cs="Arial" w:eastAsia="Arial" w:hAnsi="Arial"/>
          <w:sz w:val="19"/>
          <w:szCs w:val="19"/>
          <w:b w:val="1"/>
          <w:bCs w:val="1"/>
          <w:color w:val="auto"/>
        </w:rPr>
        <w:t xml:space="preserve"> </w:t>
      </w:r>
      <w:r>
        <w:rPr>
          <w:rFonts w:ascii="Arial" w:cs="Arial" w:eastAsia="Arial" w:hAnsi="Arial"/>
          <w:sz w:val="19"/>
          <w:szCs w:val="19"/>
          <w:color w:val="auto"/>
        </w:rPr>
        <w:t>the first sale of such Licensed Product by Jazz, its Affiliates, or sublicensees to a Third Party in such country or jurisdiction after Regulatory Approvals, as applicable, have been obtained for such Licensed Product in such country or jurisdiction; [***].</w:t>
      </w:r>
    </w:p>
    <w:p>
      <w:pPr>
        <w:spacing w:after="0" w:line="124" w:lineRule="exact"/>
        <w:rPr>
          <w:sz w:val="20"/>
          <w:szCs w:val="20"/>
          <w:color w:val="auto"/>
        </w:rPr>
      </w:pPr>
    </w:p>
    <w:p>
      <w:pPr>
        <w:jc w:val="both"/>
        <w:ind w:right="20" w:firstLine="648"/>
        <w:spacing w:after="0" w:line="225" w:lineRule="auto"/>
        <w:rPr>
          <w:sz w:val="20"/>
          <w:szCs w:val="20"/>
          <w:color w:val="auto"/>
        </w:rPr>
      </w:pPr>
      <w:r>
        <w:rPr>
          <w:rFonts w:ascii="Arial" w:cs="Arial" w:eastAsia="Arial" w:hAnsi="Arial"/>
          <w:sz w:val="22"/>
          <w:szCs w:val="22"/>
          <w:b w:val="1"/>
          <w:bCs w:val="1"/>
          <w:color w:val="auto"/>
        </w:rPr>
        <w:t xml:space="preserve">1.33 </w:t>
      </w:r>
      <w:r>
        <w:rPr>
          <w:rFonts w:ascii="Arial" w:cs="Arial" w:eastAsia="Arial" w:hAnsi="Arial"/>
          <w:sz w:val="22"/>
          <w:szCs w:val="22"/>
          <w:color w:val="auto"/>
        </w:rPr>
        <w:t>“</w:t>
      </w:r>
      <w:r>
        <w:rPr>
          <w:rFonts w:ascii="Arial" w:cs="Arial" w:eastAsia="Arial" w:hAnsi="Arial"/>
          <w:sz w:val="22"/>
          <w:szCs w:val="22"/>
          <w:b w:val="1"/>
          <w:bCs w:val="1"/>
          <w:color w:val="auto"/>
        </w:rPr>
        <w:t>FTE</w:t>
      </w:r>
      <w:r>
        <w:rPr>
          <w:rFonts w:ascii="Arial" w:cs="Arial" w:eastAsia="Arial" w:hAnsi="Arial"/>
          <w:sz w:val="22"/>
          <w:szCs w:val="22"/>
          <w:color w:val="auto"/>
        </w:rPr>
        <w:t>” means the equivalent of the work of a full-time individual for a 12-month period, which shall not be less</w:t>
      </w:r>
      <w:r>
        <w:rPr>
          <w:rFonts w:ascii="Arial" w:cs="Arial" w:eastAsia="Arial" w:hAnsi="Arial"/>
          <w:sz w:val="22"/>
          <w:szCs w:val="22"/>
          <w:b w:val="1"/>
          <w:bCs w:val="1"/>
          <w:color w:val="auto"/>
        </w:rPr>
        <w:t xml:space="preserve"> </w:t>
      </w:r>
      <w:r>
        <w:rPr>
          <w:rFonts w:ascii="Arial" w:cs="Arial" w:eastAsia="Arial" w:hAnsi="Arial"/>
          <w:sz w:val="22"/>
          <w:szCs w:val="22"/>
          <w:color w:val="auto"/>
        </w:rPr>
        <w:t>than [***]. No individual shall be counted as more than one FTE for any 12-month period, regardless of the number of hours that such individual works in such period.</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FTE Rate</w:t>
      </w:r>
      <w:r>
        <w:rPr>
          <w:rFonts w:ascii="Arial" w:cs="Arial" w:eastAsia="Arial" w:hAnsi="Arial"/>
          <w:sz w:val="19"/>
          <w:szCs w:val="19"/>
          <w:color w:val="auto"/>
        </w:rPr>
        <w:t>” means a rate of [***] per FTE per year, to be pro-rated on an hourly basis of [***] per FTE per hour.</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1.35 </w:t>
      </w:r>
      <w:r>
        <w:rPr>
          <w:rFonts w:ascii="Arial" w:cs="Arial" w:eastAsia="Arial" w:hAnsi="Arial"/>
          <w:sz w:val="22"/>
          <w:szCs w:val="22"/>
          <w:color w:val="auto"/>
        </w:rPr>
        <w:t>“</w:t>
      </w:r>
      <w:r>
        <w:rPr>
          <w:rFonts w:ascii="Arial" w:cs="Arial" w:eastAsia="Arial" w:hAnsi="Arial"/>
          <w:sz w:val="22"/>
          <w:szCs w:val="22"/>
          <w:b w:val="1"/>
          <w:bCs w:val="1"/>
          <w:color w:val="auto"/>
        </w:rPr>
        <w:t>Fully Burdened Manufacturing Cost</w:t>
      </w:r>
      <w:r>
        <w:rPr>
          <w:rFonts w:ascii="Arial" w:cs="Arial" w:eastAsia="Arial" w:hAnsi="Arial"/>
          <w:sz w:val="22"/>
          <w:szCs w:val="22"/>
          <w:color w:val="auto"/>
        </w:rPr>
        <w:t>” means, with respect to any quantity of Licensed Antibody or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supplied by or on behalf of Zymeworks to Jazz hereunder:</w:t>
      </w:r>
    </w:p>
    <w:p>
      <w:pPr>
        <w:spacing w:after="0" w:line="159" w:lineRule="exact"/>
        <w:rPr>
          <w:sz w:val="20"/>
          <w:szCs w:val="20"/>
          <w:color w:val="auto"/>
        </w:rPr>
      </w:pPr>
    </w:p>
    <w:p>
      <w:pPr>
        <w:jc w:val="both"/>
        <w:ind w:firstLine="1304"/>
        <w:spacing w:after="0" w:line="229" w:lineRule="auto"/>
        <w:tabs>
          <w:tab w:leader="none" w:pos="1939" w:val="left"/>
        </w:tabs>
        <w:numPr>
          <w:ilvl w:val="0"/>
          <w:numId w:val="89"/>
        </w:numPr>
        <w:rPr>
          <w:rFonts w:ascii="Arial" w:cs="Arial" w:eastAsia="Arial" w:hAnsi="Arial"/>
          <w:sz w:val="21"/>
          <w:szCs w:val="21"/>
          <w:b w:val="1"/>
          <w:bCs w:val="1"/>
          <w:color w:val="auto"/>
        </w:rPr>
      </w:pPr>
      <w:r>
        <w:rPr>
          <w:rFonts w:ascii="Arial" w:cs="Arial" w:eastAsia="Arial" w:hAnsi="Arial"/>
          <w:sz w:val="21"/>
          <w:szCs w:val="21"/>
          <w:color w:val="auto"/>
        </w:rPr>
        <w:t>if such quantity of Licensed Antibody or Licensed Product (or any precursor or intermediate thereof) is manufactured by a Third Party manufacturer, (i) the actual, documented and verifiable external out-of-pocket Third Party costs of such supply of such Licensed Antibody or Licensed Product (or precursor or intermediate) incurred by Zymeworks, to the extent allocable or identifiable to the supply of such Licensed Antibody or Licensed Product [***]; or</w:t>
      </w:r>
    </w:p>
    <w:p>
      <w:pPr>
        <w:spacing w:after="0" w:line="158" w:lineRule="exact"/>
        <w:rPr>
          <w:rFonts w:ascii="Arial" w:cs="Arial" w:eastAsia="Arial" w:hAnsi="Arial"/>
          <w:sz w:val="21"/>
          <w:szCs w:val="21"/>
          <w:b w:val="1"/>
          <w:bCs w:val="1"/>
          <w:color w:val="auto"/>
        </w:rPr>
      </w:pPr>
    </w:p>
    <w:p>
      <w:pPr>
        <w:jc w:val="both"/>
        <w:ind w:firstLine="1304"/>
        <w:spacing w:after="0" w:line="218" w:lineRule="auto"/>
        <w:tabs>
          <w:tab w:leader="none" w:pos="1938" w:val="left"/>
        </w:tabs>
        <w:numPr>
          <w:ilvl w:val="0"/>
          <w:numId w:val="89"/>
        </w:numPr>
        <w:rPr>
          <w:rFonts w:ascii="Arial" w:cs="Arial" w:eastAsia="Arial" w:hAnsi="Arial"/>
          <w:sz w:val="22"/>
          <w:szCs w:val="22"/>
          <w:b w:val="1"/>
          <w:bCs w:val="1"/>
          <w:color w:val="auto"/>
        </w:rPr>
      </w:pPr>
      <w:r>
        <w:rPr>
          <w:rFonts w:ascii="Arial" w:cs="Arial" w:eastAsia="Arial" w:hAnsi="Arial"/>
          <w:sz w:val="22"/>
          <w:szCs w:val="22"/>
          <w:color w:val="auto"/>
        </w:rPr>
        <w:t>if such quantity of Licensed Antibody or Licensed Product (or any precursor or intermediate thereof, including cell lines and resins used in the production of the foregoing) is manufactured by Zymeworks or an Affiliate of Zymeworks, the actual, fully burdened documented and verifiable direct and indirect costs and expenses incurred and recorded in manufacturing such quantity of Licensed Antibody or Licensed Product [***].</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United States generally accepted accounting principles, consistently applied.</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b w:val="1"/>
          <w:bCs w:val="1"/>
          <w:color w:val="auto"/>
        </w:rPr>
        <w:t xml:space="preserve">1.37 </w:t>
      </w:r>
      <w:r>
        <w:rPr>
          <w:rFonts w:ascii="Arial" w:cs="Arial" w:eastAsia="Arial" w:hAnsi="Arial"/>
          <w:sz w:val="19"/>
          <w:szCs w:val="19"/>
          <w:color w:val="auto"/>
        </w:rPr>
        <w:t>“</w:t>
      </w:r>
      <w:r>
        <w:rPr>
          <w:rFonts w:ascii="Arial" w:cs="Arial" w:eastAsia="Arial" w:hAnsi="Arial"/>
          <w:sz w:val="19"/>
          <w:szCs w:val="19"/>
          <w:b w:val="1"/>
          <w:bCs w:val="1"/>
          <w:color w:val="auto"/>
        </w:rPr>
        <w:t>GCP</w:t>
      </w:r>
      <w:r>
        <w:rPr>
          <w:rFonts w:ascii="Arial" w:cs="Arial" w:eastAsia="Arial" w:hAnsi="Arial"/>
          <w:sz w:val="19"/>
          <w:szCs w:val="19"/>
          <w:color w:val="auto"/>
        </w:rPr>
        <w:t>” means all applicable Good Clinical Practice standards for the design, conduct, performance, monitoring,</w:t>
      </w:r>
      <w:r>
        <w:rPr>
          <w:rFonts w:ascii="Arial" w:cs="Arial" w:eastAsia="Arial" w:hAnsi="Arial"/>
          <w:sz w:val="19"/>
          <w:szCs w:val="19"/>
          <w:b w:val="1"/>
          <w:bCs w:val="1"/>
          <w:color w:val="auto"/>
        </w:rPr>
        <w:t xml:space="preserve"> </w:t>
      </w:r>
      <w:r>
        <w:rPr>
          <w:rFonts w:ascii="Arial" w:cs="Arial" w:eastAsia="Arial" w:hAnsi="Arial"/>
          <w:sz w:val="19"/>
          <w:szCs w:val="19"/>
          <w:color w:val="auto"/>
        </w:rPr>
        <w:t>auditing, recording, analyses and reporting of Clinical Trials, including, as applicable (a) as set forth in the International Conference on Harmonization of Technical Requirements for Registration of Pharmaceuticals for Human Use Harmonized Tripartite Guideline for Good Clinical Practice (CPMP/ICH/135/95) (the “</w:t>
      </w:r>
      <w:r>
        <w:rPr>
          <w:rFonts w:ascii="Arial" w:cs="Arial" w:eastAsia="Arial" w:hAnsi="Arial"/>
          <w:sz w:val="19"/>
          <w:szCs w:val="19"/>
          <w:b w:val="1"/>
          <w:bCs w:val="1"/>
          <w:color w:val="auto"/>
        </w:rPr>
        <w:t>ICH Guidelines</w:t>
      </w:r>
      <w:r>
        <w:rPr>
          <w:rFonts w:ascii="Arial" w:cs="Arial" w:eastAsia="Arial" w:hAnsi="Arial"/>
          <w:sz w:val="19"/>
          <w:szCs w:val="19"/>
          <w:color w:val="auto"/>
        </w:rPr>
        <w:t>”) and any other guidelines for good clinical practice for trials on medicinal products in the Territory, (b) the Declaration of Helsinki (2004) as last amended at the 52nd World Medical Association in October 2000 and any further amendments or clarifications thereto, (c) U.S. Code of Federal Regulations Title 21, Parts 50 (Protection of Human Subjects), 56 (Institutional Review Boards) and 312 (Investigational New Drug Application), as may be amended from time to time, and (d) the equivalent Applicable Laws in the region in the Territory, each as may be amended and applicable from time to time and in each case, that provide for, among other things, assurance that the clinical data and reported results are credible and accurate and protect the rights, integrity, and confidentiality of trial subjects.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GEA</w:t>
      </w:r>
      <w:r>
        <w:rPr>
          <w:rFonts w:ascii="Arial" w:cs="Arial" w:eastAsia="Arial" w:hAnsi="Arial"/>
          <w:sz w:val="19"/>
          <w:szCs w:val="19"/>
          <w:color w:val="auto"/>
        </w:rPr>
        <w:t>” means gastroesophageal adenocarcinoma,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395" w:right="339" w:bottom="1440" w:gutter="0" w:footer="0" w:header="0"/>
        </w:sectPr>
      </w:pPr>
    </w:p>
    <w:bookmarkStart w:id="175" w:name="page176"/>
    <w:bookmarkEnd w:id="175"/>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1.39 </w:t>
      </w:r>
      <w:r>
        <w:rPr>
          <w:rFonts w:ascii="Arial" w:cs="Arial" w:eastAsia="Arial" w:hAnsi="Arial"/>
          <w:sz w:val="19"/>
          <w:szCs w:val="19"/>
          <w:color w:val="auto"/>
        </w:rPr>
        <w:t>“</w:t>
      </w:r>
      <w:r>
        <w:rPr>
          <w:rFonts w:ascii="Arial" w:cs="Arial" w:eastAsia="Arial" w:hAnsi="Arial"/>
          <w:sz w:val="19"/>
          <w:szCs w:val="19"/>
          <w:b w:val="1"/>
          <w:bCs w:val="1"/>
          <w:color w:val="auto"/>
        </w:rPr>
        <w:t>GLP</w:t>
      </w:r>
      <w:r>
        <w:rPr>
          <w:rFonts w:ascii="Arial" w:cs="Arial" w:eastAsia="Arial" w:hAnsi="Arial"/>
          <w:sz w:val="19"/>
          <w:szCs w:val="19"/>
          <w:color w:val="auto"/>
        </w:rPr>
        <w:t>” means all applicable Good Laboratory Practice standards, including, as applicable, as set forth in the then-current good laboratory practice standards promulgated or endorsed by the U.S. Food and Drug Administration, as defined in 21 C.F.R. Part 58, and the equivalent Applicable Laws in the Territory, each as may be amended and applicable from time to time.</w:t>
      </w:r>
    </w:p>
    <w:p>
      <w:pPr>
        <w:spacing w:after="0" w:line="124"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1.40 </w:t>
      </w: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federal, state, national, state, provincial or local government, or political</w:t>
      </w:r>
      <w:r>
        <w:rPr>
          <w:rFonts w:ascii="Arial" w:cs="Arial" w:eastAsia="Arial" w:hAnsi="Arial"/>
          <w:sz w:val="22"/>
          <w:szCs w:val="22"/>
          <w:b w:val="1"/>
          <w:bCs w:val="1"/>
          <w:color w:val="auto"/>
        </w:rPr>
        <w:t xml:space="preserve"> </w:t>
      </w:r>
      <w:r>
        <w:rPr>
          <w:rFonts w:ascii="Arial" w:cs="Arial" w:eastAsia="Arial" w:hAnsi="Arial"/>
          <w:sz w:val="22"/>
          <w:szCs w:val="22"/>
          <w:color w:val="auto"/>
        </w:rPr>
        <w:t>subdivision thereof, or any multinational organization or any authority, agency or commission entitled to exercise any administrative, executive, judicial, legislative, police, regulatory or taxing authority or power, or any court or tribunal (or any department, bureau or division thereof, or any governmental arbitrator or arbitral body).</w:t>
      </w:r>
    </w:p>
    <w:p>
      <w:pPr>
        <w:spacing w:after="0" w:line="15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1.41 </w:t>
      </w: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means the United States Hart-Scott-Rodino Antitrust Improvements Act of 1976, as amended,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rules and regulations promulgated thereunder.</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1.42 </w:t>
      </w:r>
      <w:r>
        <w:rPr>
          <w:rFonts w:ascii="Arial" w:cs="Arial" w:eastAsia="Arial" w:hAnsi="Arial"/>
          <w:sz w:val="22"/>
          <w:szCs w:val="22"/>
          <w:color w:val="auto"/>
        </w:rPr>
        <w:t>“</w:t>
      </w:r>
      <w:r>
        <w:rPr>
          <w:rFonts w:ascii="Arial" w:cs="Arial" w:eastAsia="Arial" w:hAnsi="Arial"/>
          <w:sz w:val="22"/>
          <w:szCs w:val="22"/>
          <w:b w:val="1"/>
          <w:bCs w:val="1"/>
          <w:color w:val="auto"/>
        </w:rPr>
        <w:t>HSR Clearance Date</w:t>
      </w:r>
      <w:r>
        <w:rPr>
          <w:rFonts w:ascii="Arial" w:cs="Arial" w:eastAsia="Arial" w:hAnsi="Arial"/>
          <w:sz w:val="22"/>
          <w:szCs w:val="22"/>
          <w:color w:val="auto"/>
        </w:rPr>
        <w:t>” means the earliest date on which the Parties have actual knowledge that all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waiting periods have expired or have been terminated under the HSR Act, with respect to the transactions contemplated under this Agreement.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Indication</w:t>
      </w:r>
      <w:r>
        <w:rPr>
          <w:rFonts w:ascii="Arial" w:cs="Arial" w:eastAsia="Arial" w:hAnsi="Arial"/>
          <w:sz w:val="19"/>
          <w:szCs w:val="19"/>
          <w:color w:val="auto"/>
        </w:rPr>
        <w:t>” means a generally acknowledged disease or condition.</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1.44 </w:t>
      </w:r>
      <w:r>
        <w:rPr>
          <w:rFonts w:ascii="Arial" w:cs="Arial" w:eastAsia="Arial" w:hAnsi="Arial"/>
          <w:sz w:val="22"/>
          <w:szCs w:val="22"/>
          <w:color w:val="auto"/>
        </w:rPr>
        <w:t>“</w:t>
      </w:r>
      <w:r>
        <w:rPr>
          <w:rFonts w:ascii="Arial" w:cs="Arial" w:eastAsia="Arial" w:hAnsi="Arial"/>
          <w:sz w:val="22"/>
          <w:szCs w:val="22"/>
          <w:b w:val="1"/>
          <w:bCs w:val="1"/>
          <w:color w:val="auto"/>
        </w:rPr>
        <w:t>Invention</w:t>
      </w:r>
      <w:r>
        <w:rPr>
          <w:rFonts w:ascii="Arial" w:cs="Arial" w:eastAsia="Arial" w:hAnsi="Arial"/>
          <w:sz w:val="22"/>
          <w:szCs w:val="22"/>
          <w:color w:val="auto"/>
        </w:rPr>
        <w:t>” means any Know-How, composition of matter, article of manufacture or other subject matter, whether</w:t>
      </w:r>
      <w:r>
        <w:rPr>
          <w:rFonts w:ascii="Arial" w:cs="Arial" w:eastAsia="Arial" w:hAnsi="Arial"/>
          <w:sz w:val="22"/>
          <w:szCs w:val="22"/>
          <w:b w:val="1"/>
          <w:bCs w:val="1"/>
          <w:color w:val="auto"/>
        </w:rPr>
        <w:t xml:space="preserve"> </w:t>
      </w:r>
      <w:r>
        <w:rPr>
          <w:rFonts w:ascii="Arial" w:cs="Arial" w:eastAsia="Arial" w:hAnsi="Arial"/>
          <w:sz w:val="22"/>
          <w:szCs w:val="22"/>
          <w:color w:val="auto"/>
        </w:rPr>
        <w:t>patentable or not, that is conceived or reduced to practice under this Agreement and as a result of the Development, manufacture, or Commercialization of a Licensed Product under this Agreement.</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1.45 </w:t>
      </w:r>
      <w:r>
        <w:rPr>
          <w:rFonts w:ascii="Arial" w:cs="Arial" w:eastAsia="Arial" w:hAnsi="Arial"/>
          <w:sz w:val="22"/>
          <w:szCs w:val="22"/>
          <w:color w:val="auto"/>
        </w:rPr>
        <w:t>“</w:t>
      </w:r>
      <w:r>
        <w:rPr>
          <w:rFonts w:ascii="Arial" w:cs="Arial" w:eastAsia="Arial" w:hAnsi="Arial"/>
          <w:sz w:val="22"/>
          <w:szCs w:val="22"/>
          <w:b w:val="1"/>
          <w:bCs w:val="1"/>
          <w:color w:val="auto"/>
        </w:rPr>
        <w:t>Jazz IP</w:t>
      </w:r>
      <w:r>
        <w:rPr>
          <w:rFonts w:ascii="Arial" w:cs="Arial" w:eastAsia="Arial" w:hAnsi="Arial"/>
          <w:sz w:val="22"/>
          <w:szCs w:val="22"/>
          <w:color w:val="auto"/>
        </w:rPr>
        <w:t>” means all Patent Rights and Know-How that (a) are Controlled by Jazz as of the Execution Date or (b)</w:t>
      </w:r>
      <w:r>
        <w:rPr>
          <w:rFonts w:ascii="Arial" w:cs="Arial" w:eastAsia="Arial" w:hAnsi="Arial"/>
          <w:sz w:val="22"/>
          <w:szCs w:val="22"/>
          <w:b w:val="1"/>
          <w:bCs w:val="1"/>
          <w:color w:val="auto"/>
        </w:rPr>
        <w:t xml:space="preserve"> </w:t>
      </w:r>
      <w:r>
        <w:rPr>
          <w:rFonts w:ascii="Arial" w:cs="Arial" w:eastAsia="Arial" w:hAnsi="Arial"/>
          <w:sz w:val="22"/>
          <w:szCs w:val="22"/>
          <w:color w:val="auto"/>
        </w:rPr>
        <w:t>thereafter during the Term come into Jazz’s Control independent of this Agreement, and in each case (a) and (b), that are used or applied by or on behalf of Jazz or its Affiliates or sublicensees in the Development, or Commercialization of Licensed Products, but excluding any Jazz Manufacturing IP; [***].</w:t>
      </w:r>
    </w:p>
    <w:p>
      <w:pPr>
        <w:spacing w:after="0" w:line="15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 xml:space="preserve">1.46 </w:t>
      </w:r>
      <w:r>
        <w:rPr>
          <w:rFonts w:ascii="Arial" w:cs="Arial" w:eastAsia="Arial" w:hAnsi="Arial"/>
          <w:sz w:val="22"/>
          <w:szCs w:val="22"/>
          <w:color w:val="auto"/>
        </w:rPr>
        <w:t>“</w:t>
      </w:r>
      <w:r>
        <w:rPr>
          <w:rFonts w:ascii="Arial" w:cs="Arial" w:eastAsia="Arial" w:hAnsi="Arial"/>
          <w:sz w:val="22"/>
          <w:szCs w:val="22"/>
          <w:b w:val="1"/>
          <w:bCs w:val="1"/>
          <w:color w:val="auto"/>
        </w:rPr>
        <w:t>Jazz Manufacturing IP</w:t>
      </w:r>
      <w:r>
        <w:rPr>
          <w:rFonts w:ascii="Arial" w:cs="Arial" w:eastAsia="Arial" w:hAnsi="Arial"/>
          <w:sz w:val="22"/>
          <w:szCs w:val="22"/>
          <w:color w:val="auto"/>
        </w:rPr>
        <w:t>” means (a) all Patent Rights and Know-How that (i) are Controlled by Jazz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Execution Date or (ii) thereafter during the Term come into Jazz’s Control independent of this Agreement, and in each case (i) and (ii), that are used or applied by or on behalf of Jazz or its Affiliates or sublicensees in the manufacture of Licensed Antibody or Licensed Products and that [***] and (b) all Inventions that are owned solely by Jazz pursuant to Section 14.1(a) to the extent they are [***].</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Jazz Patent Rights</w:t>
      </w:r>
      <w:r>
        <w:rPr>
          <w:rFonts w:ascii="Arial" w:cs="Arial" w:eastAsia="Arial" w:hAnsi="Arial"/>
          <w:sz w:val="19"/>
          <w:szCs w:val="19"/>
          <w:color w:val="auto"/>
        </w:rPr>
        <w:t>” means all Patent Rights in the Jazz IP.</w:t>
      </w:r>
    </w:p>
    <w:p>
      <w:pPr>
        <w:spacing w:after="0" w:line="17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b w:val="1"/>
          <w:bCs w:val="1"/>
          <w:color w:val="auto"/>
        </w:rPr>
        <w:t xml:space="preserve">1.48 </w:t>
      </w:r>
      <w:r>
        <w:rPr>
          <w:rFonts w:ascii="Arial" w:cs="Arial" w:eastAsia="Arial" w:hAnsi="Arial"/>
          <w:sz w:val="22"/>
          <w:szCs w:val="22"/>
          <w:color w:val="auto"/>
        </w:rPr>
        <w:t>“</w:t>
      </w:r>
      <w:r>
        <w:rPr>
          <w:rFonts w:ascii="Arial" w:cs="Arial" w:eastAsia="Arial" w:hAnsi="Arial"/>
          <w:sz w:val="22"/>
          <w:szCs w:val="22"/>
          <w:b w:val="1"/>
          <w:bCs w:val="1"/>
          <w:color w:val="auto"/>
        </w:rPr>
        <w:t>Know-How</w:t>
      </w:r>
      <w:r>
        <w:rPr>
          <w:rFonts w:ascii="Arial" w:cs="Arial" w:eastAsia="Arial" w:hAnsi="Arial"/>
          <w:sz w:val="22"/>
          <w:szCs w:val="22"/>
          <w:color w:val="auto"/>
        </w:rPr>
        <w:t>” means all technical information, know-how, data, inventions, discoveries, trade secrets,</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specifications, instructions, processes, formulae, methods, protocols, expertise and other technology applicable to formulations, compositions or products or to their manufacture, development, registration, use or marketing or to methods of assaying or testing them, and all biological, chemical, pharmacological, biochemical, toxicological, pharmaceutical, physical and analytical, safety, quality control, manufacturing, preclinical and clinical data relevant to any of the foregoing. For clarity, Know-How excludes Patent Rights and physical substances.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Knowledge</w:t>
      </w:r>
      <w:r>
        <w:rPr>
          <w:rFonts w:ascii="Arial" w:cs="Arial" w:eastAsia="Arial" w:hAnsi="Arial"/>
          <w:sz w:val="19"/>
          <w:szCs w:val="19"/>
          <w:color w:val="auto"/>
        </w:rPr>
        <w:t>” means, with respect to Zymeworks, [***].</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1.50 </w:t>
      </w:r>
      <w:r>
        <w:rPr>
          <w:rFonts w:ascii="Arial" w:cs="Arial" w:eastAsia="Arial" w:hAnsi="Arial"/>
          <w:sz w:val="22"/>
          <w:szCs w:val="22"/>
          <w:color w:val="auto"/>
        </w:rPr>
        <w:t>“</w:t>
      </w:r>
      <w:r>
        <w:rPr>
          <w:rFonts w:ascii="Arial" w:cs="Arial" w:eastAsia="Arial" w:hAnsi="Arial"/>
          <w:sz w:val="22"/>
          <w:szCs w:val="22"/>
          <w:b w:val="1"/>
          <w:bCs w:val="1"/>
          <w:color w:val="auto"/>
        </w:rPr>
        <w:t>Licensed Antibody</w:t>
      </w:r>
      <w:r>
        <w:rPr>
          <w:rFonts w:ascii="Arial" w:cs="Arial" w:eastAsia="Arial" w:hAnsi="Arial"/>
          <w:sz w:val="22"/>
          <w:szCs w:val="22"/>
          <w:color w:val="auto"/>
        </w:rPr>
        <w:t>” means (a) Zymeworks’ proprietary bispecific antibody, zanidatamab, [***]</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Zanidatamab</w:t>
      </w:r>
      <w:r>
        <w:rPr>
          <w:rFonts w:ascii="Arial" w:cs="Arial" w:eastAsia="Arial" w:hAnsi="Arial"/>
          <w:sz w:val="22"/>
          <w:szCs w:val="22"/>
          <w:color w:val="auto"/>
        </w:rPr>
        <w:t>”) or [***]. Notwithstanding the foregoing,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395" w:right="339" w:bottom="1440" w:gutter="0" w:footer="0" w:header="0"/>
        </w:sectPr>
      </w:pPr>
    </w:p>
    <w:bookmarkStart w:id="176" w:name="page177"/>
    <w:bookmarkEnd w:id="176"/>
    <w:p>
      <w:pPr>
        <w:jc w:val="both"/>
        <w:spacing w:after="0" w:line="232" w:lineRule="auto"/>
        <w:rPr>
          <w:sz w:val="20"/>
          <w:szCs w:val="20"/>
          <w:color w:val="auto"/>
        </w:rPr>
      </w:pPr>
      <w:r>
        <w:rPr>
          <w:rFonts w:ascii="Arial" w:cs="Arial" w:eastAsia="Arial" w:hAnsi="Arial"/>
          <w:sz w:val="22"/>
          <w:szCs w:val="22"/>
          <w:color w:val="auto"/>
        </w:rPr>
        <w:t>Antibody expressly excludes all antibody-drug conjugates of the foregoing, including Zymeworks’ proprietary antibody-drug conjugate, ZW49 (or Zanidatamab Zovodotin).</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1.51 </w:t>
      </w:r>
      <w:r>
        <w:rPr>
          <w:rFonts w:ascii="Arial" w:cs="Arial" w:eastAsia="Arial" w:hAnsi="Arial"/>
          <w:sz w:val="22"/>
          <w:szCs w:val="22"/>
          <w:color w:val="auto"/>
        </w:rPr>
        <w:t>“</w:t>
      </w:r>
      <w:r>
        <w:rPr>
          <w:rFonts w:ascii="Arial" w:cs="Arial" w:eastAsia="Arial" w:hAnsi="Arial"/>
          <w:sz w:val="22"/>
          <w:szCs w:val="22"/>
          <w:b w:val="1"/>
          <w:bCs w:val="1"/>
          <w:color w:val="auto"/>
        </w:rPr>
        <w:t>Licensed Product</w:t>
      </w:r>
      <w:r>
        <w:rPr>
          <w:rFonts w:ascii="Arial" w:cs="Arial" w:eastAsia="Arial" w:hAnsi="Arial"/>
          <w:sz w:val="22"/>
          <w:szCs w:val="22"/>
          <w:color w:val="auto"/>
        </w:rPr>
        <w:t>” means any pharmaceutical product that contains, incorporates or comprises a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Antibody, alone or in combination with one or more Active Ingredients, in any presentation, formulation or dosage form; provided that Licensed Products expressly exclude antibody-drug conjugates incorporating any Licensed Antibody, including Zymeworks’ proprietary antibody-drug conjugate, ZW49 (or Zanidatamab Zovodotin).</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Major European Market</w:t>
      </w:r>
      <w:r>
        <w:rPr>
          <w:rFonts w:ascii="Arial" w:cs="Arial" w:eastAsia="Arial" w:hAnsi="Arial"/>
          <w:sz w:val="21"/>
          <w:szCs w:val="21"/>
          <w:color w:val="auto"/>
        </w:rPr>
        <w:t>” means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1.53</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Major Market Country</w:t>
      </w:r>
      <w:r>
        <w:rPr>
          <w:rFonts w:ascii="Arial" w:cs="Arial" w:eastAsia="Arial" w:hAnsi="Arial"/>
          <w:sz w:val="21"/>
          <w:szCs w:val="21"/>
          <w:color w:val="auto"/>
        </w:rPr>
        <w:t>” means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means the gross amount invoiced [***]</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of the foregoing deductions shall be determined in accordance with applicable accounting requirements [***].</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purposes of this Agreement, a “sale” or “transfer” shall mean any transfer or other distribution or disposition [***].</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Net Sales for a Combination Product in a country shall be calculated as follows:</w:t>
      </w:r>
    </w:p>
    <w:p>
      <w:pPr>
        <w:spacing w:after="0" w:line="179" w:lineRule="exact"/>
        <w:rPr>
          <w:sz w:val="20"/>
          <w:szCs w:val="20"/>
          <w:color w:val="auto"/>
        </w:rPr>
      </w:pPr>
    </w:p>
    <w:p>
      <w:pPr>
        <w:jc w:val="both"/>
        <w:ind w:firstLine="656"/>
        <w:spacing w:after="0" w:line="216" w:lineRule="auto"/>
        <w:tabs>
          <w:tab w:leader="none" w:pos="1100" w:val="left"/>
        </w:tabs>
        <w:numPr>
          <w:ilvl w:val="0"/>
          <w:numId w:val="90"/>
        </w:numPr>
        <w:rPr>
          <w:rFonts w:ascii="Arial" w:cs="Arial" w:eastAsia="Arial" w:hAnsi="Arial"/>
          <w:sz w:val="22"/>
          <w:szCs w:val="22"/>
          <w:color w:val="auto"/>
        </w:rPr>
      </w:pPr>
      <w:r>
        <w:rPr>
          <w:rFonts w:ascii="Arial" w:cs="Arial" w:eastAsia="Arial" w:hAnsi="Arial"/>
          <w:sz w:val="22"/>
          <w:szCs w:val="22"/>
          <w:color w:val="auto"/>
        </w:rPr>
        <w:t>If the Licensed Product and Additional Active each are sold separately in such country, Net Sales will be calculated by multiplying the total Net Sales (as described above) of the Combination Product by the fraction A/(A+B), where A is the public or list price in such country of the Licensed Product sold separately in the same formulation and dosage, and B is the (sum of the) public or list price(s) in such country of the Additional Active sold separately in the same formulation and dosage, during the applicable Calendar Year.</w:t>
      </w:r>
    </w:p>
    <w:p>
      <w:pPr>
        <w:spacing w:after="0" w:line="157" w:lineRule="exact"/>
        <w:rPr>
          <w:rFonts w:ascii="Arial" w:cs="Arial" w:eastAsia="Arial" w:hAnsi="Arial"/>
          <w:sz w:val="22"/>
          <w:szCs w:val="22"/>
          <w:color w:val="auto"/>
        </w:rPr>
      </w:pPr>
    </w:p>
    <w:p>
      <w:pPr>
        <w:jc w:val="both"/>
        <w:ind w:firstLine="656"/>
        <w:spacing w:after="0" w:line="229" w:lineRule="auto"/>
        <w:tabs>
          <w:tab w:leader="none" w:pos="1144" w:val="left"/>
        </w:tabs>
        <w:numPr>
          <w:ilvl w:val="0"/>
          <w:numId w:val="90"/>
        </w:numPr>
        <w:rPr>
          <w:rFonts w:ascii="Arial" w:cs="Arial" w:eastAsia="Arial" w:hAnsi="Arial"/>
          <w:sz w:val="21"/>
          <w:szCs w:val="21"/>
          <w:color w:val="auto"/>
        </w:rPr>
      </w:pPr>
      <w:r>
        <w:rPr>
          <w:rFonts w:ascii="Arial" w:cs="Arial" w:eastAsia="Arial" w:hAnsi="Arial"/>
          <w:sz w:val="21"/>
          <w:szCs w:val="21"/>
          <w:color w:val="auto"/>
        </w:rPr>
        <w:t>If the Licensed Product is sold independently of the Additional Active in such country, but the public or list price of the Additional Active cannot be determined, Net Sales will be calculated by multiplying the total Net Sales (as described above) of such Combination Product by the fraction A/C, where A is the public or list price in such country of such Licensed Product sold independently and C is the public or list price in such country of the Combination Product.</w:t>
      </w:r>
    </w:p>
    <w:p>
      <w:pPr>
        <w:spacing w:after="0" w:line="158" w:lineRule="exact"/>
        <w:rPr>
          <w:rFonts w:ascii="Arial" w:cs="Arial" w:eastAsia="Arial" w:hAnsi="Arial"/>
          <w:sz w:val="21"/>
          <w:szCs w:val="21"/>
          <w:color w:val="auto"/>
        </w:rPr>
      </w:pPr>
    </w:p>
    <w:p>
      <w:pPr>
        <w:jc w:val="both"/>
        <w:ind w:firstLine="656"/>
        <w:spacing w:after="0" w:line="229" w:lineRule="auto"/>
        <w:tabs>
          <w:tab w:leader="none" w:pos="1204" w:val="left"/>
        </w:tabs>
        <w:numPr>
          <w:ilvl w:val="0"/>
          <w:numId w:val="90"/>
        </w:numPr>
        <w:rPr>
          <w:rFonts w:ascii="Arial" w:cs="Arial" w:eastAsia="Arial" w:hAnsi="Arial"/>
          <w:sz w:val="21"/>
          <w:szCs w:val="21"/>
          <w:color w:val="auto"/>
        </w:rPr>
      </w:pPr>
      <w:r>
        <w:rPr>
          <w:rFonts w:ascii="Arial" w:cs="Arial" w:eastAsia="Arial" w:hAnsi="Arial"/>
          <w:sz w:val="21"/>
          <w:szCs w:val="21"/>
          <w:color w:val="auto"/>
        </w:rPr>
        <w:t>If the Additional Active is sold independently of the Licensed Product therein in such country, but the public or list price of such Licensed Product cannot be determined, Net Sales will be calculated by multiplying the total Net Sales (as described above) of such Combination Product by the fraction 1-B/C, where B is the (sum of the) public or list price in such country of the Additional Active and C is the public or list price in such country of the Combination Product.</w:t>
      </w:r>
    </w:p>
    <w:p>
      <w:pPr>
        <w:spacing w:after="0" w:line="158" w:lineRule="exact"/>
        <w:rPr>
          <w:rFonts w:ascii="Arial" w:cs="Arial" w:eastAsia="Arial" w:hAnsi="Arial"/>
          <w:sz w:val="21"/>
          <w:szCs w:val="21"/>
          <w:color w:val="auto"/>
        </w:rPr>
      </w:pPr>
    </w:p>
    <w:p>
      <w:pPr>
        <w:ind w:firstLine="656"/>
        <w:spacing w:after="0" w:line="247" w:lineRule="auto"/>
        <w:tabs>
          <w:tab w:leader="none" w:pos="1322" w:val="left"/>
        </w:tabs>
        <w:numPr>
          <w:ilvl w:val="0"/>
          <w:numId w:val="90"/>
        </w:numPr>
        <w:rPr>
          <w:rFonts w:ascii="Arial" w:cs="Arial" w:eastAsia="Arial" w:hAnsi="Arial"/>
          <w:sz w:val="21"/>
          <w:szCs w:val="21"/>
          <w:color w:val="auto"/>
        </w:rPr>
      </w:pPr>
      <w:r>
        <w:rPr>
          <w:rFonts w:ascii="Arial" w:cs="Arial" w:eastAsia="Arial" w:hAnsi="Arial"/>
          <w:sz w:val="21"/>
          <w:szCs w:val="21"/>
          <w:color w:val="auto"/>
        </w:rPr>
        <w:t>If the Licensed Product and Additional Active are not sold independently in such country, Net Sales will be calculated by multiplying the total Net Sales (as described above) of such Combination Product by a fraction [***]. If [***].</w:t>
      </w:r>
    </w:p>
    <w:p>
      <w:pPr>
        <w:spacing w:after="0" w:line="14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1.55 </w:t>
      </w:r>
      <w:r>
        <w:rPr>
          <w:rFonts w:ascii="Arial" w:cs="Arial" w:eastAsia="Arial" w:hAnsi="Arial"/>
          <w:sz w:val="19"/>
          <w:szCs w:val="19"/>
          <w:color w:val="auto"/>
        </w:rPr>
        <w:t>“</w:t>
      </w:r>
      <w:r>
        <w:rPr>
          <w:rFonts w:ascii="Arial" w:cs="Arial" w:eastAsia="Arial" w:hAnsi="Arial"/>
          <w:sz w:val="19"/>
          <w:szCs w:val="19"/>
          <w:b w:val="1"/>
          <w:bCs w:val="1"/>
          <w:color w:val="auto"/>
        </w:rPr>
        <w:t>Patent Prosecution</w:t>
      </w:r>
      <w:r>
        <w:rPr>
          <w:rFonts w:ascii="Arial" w:cs="Arial" w:eastAsia="Arial" w:hAnsi="Arial"/>
          <w:sz w:val="19"/>
          <w:szCs w:val="19"/>
          <w:color w:val="auto"/>
        </w:rPr>
        <w:t>” means activities directed to (a) preparing, filing and prosecuting applications (of all types)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 any Patent Rights, (b) managing any interference, opposition, re-issue, reexamination, supplemental examination, administrative invalidation proceedings (including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or post-grant review proceedings), revocation, nullification,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177" w:name="page178"/>
    <w:bookmarkEnd w:id="177"/>
    <w:p>
      <w:pPr>
        <w:jc w:val="both"/>
        <w:spacing w:after="0" w:line="223" w:lineRule="auto"/>
        <w:rPr>
          <w:sz w:val="20"/>
          <w:szCs w:val="20"/>
          <w:color w:val="auto"/>
        </w:rPr>
      </w:pPr>
      <w:r>
        <w:rPr>
          <w:rFonts w:ascii="Arial" w:cs="Arial" w:eastAsia="Arial" w:hAnsi="Arial"/>
          <w:sz w:val="22"/>
          <w:szCs w:val="22"/>
          <w:color w:val="auto"/>
        </w:rPr>
        <w:t>or cancellation proceeding relating to the foregoing, (c) abandoning or maintaining Patent Rights, and (d) settling any interference, opposition, reexamination, administrative invalidation, revocation, nullification or cancellation proceeding, and any appeals therefrom. [***]</w:t>
      </w:r>
    </w:p>
    <w:p>
      <w:pPr>
        <w:spacing w:after="0" w:line="153"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1"/>
          <w:szCs w:val="21"/>
          <w:b w:val="1"/>
          <w:bCs w:val="1"/>
          <w:color w:val="auto"/>
        </w:rPr>
        <w:t xml:space="preserve">1.56 </w:t>
      </w:r>
      <w:r>
        <w:rPr>
          <w:rFonts w:ascii="Arial" w:cs="Arial" w:eastAsia="Arial" w:hAnsi="Arial"/>
          <w:sz w:val="21"/>
          <w:szCs w:val="21"/>
          <w:color w:val="auto"/>
        </w:rPr>
        <w:t>“</w:t>
      </w:r>
      <w:r>
        <w:rPr>
          <w:rFonts w:ascii="Arial" w:cs="Arial" w:eastAsia="Arial" w:hAnsi="Arial"/>
          <w:sz w:val="21"/>
          <w:szCs w:val="21"/>
          <w:b w:val="1"/>
          <w:bCs w:val="1"/>
          <w:color w:val="auto"/>
        </w:rPr>
        <w:t>Patent Rights</w:t>
      </w:r>
      <w:r>
        <w:rPr>
          <w:rFonts w:ascii="Arial" w:cs="Arial" w:eastAsia="Arial" w:hAnsi="Arial"/>
          <w:sz w:val="21"/>
          <w:szCs w:val="21"/>
          <w:color w:val="auto"/>
        </w:rPr>
        <w:t>” means the rights and interests in and to issued patents and pending patent applications (which, for</w:t>
      </w:r>
      <w:r>
        <w:rPr>
          <w:rFonts w:ascii="Arial" w:cs="Arial" w:eastAsia="Arial" w:hAnsi="Arial"/>
          <w:sz w:val="21"/>
          <w:szCs w:val="21"/>
          <w:b w:val="1"/>
          <w:bCs w:val="1"/>
          <w:color w:val="auto"/>
        </w:rPr>
        <w:t xml:space="preserve"> </w:t>
      </w:r>
      <w:r>
        <w:rPr>
          <w:rFonts w:ascii="Arial" w:cs="Arial" w:eastAsia="Arial" w:hAnsi="Arial"/>
          <w:sz w:val="21"/>
          <w:szCs w:val="21"/>
          <w:color w:val="auto"/>
        </w:rPr>
        <w:t>purposes of this Agreement, include certificates of invention, applications for certificates of invention and priority rights) in any country or region, including all provisional applications, substitutions, continuations, continuations-in-part, continued prosecution applications including requests for continued examination, divisional applications and renewals, and all letters patent or certificates of invention granted thereon, and all reissues, reexaminations, extensions (including pediatric exclusivity patent extensions), term restorations, renewals, substitutions, confirmations, registrations, revalidations, revisions and additions of or to any of the foregoing, in each case, in any country.</w:t>
      </w:r>
    </w:p>
    <w:p>
      <w:pPr>
        <w:spacing w:after="0" w:line="157"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 xml:space="preserve">1.57 </w:t>
      </w: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company, partnership, association, joint-stock company, trust,</w:t>
      </w:r>
      <w:r>
        <w:rPr>
          <w:rFonts w:ascii="Arial" w:cs="Arial" w:eastAsia="Arial" w:hAnsi="Arial"/>
          <w:sz w:val="22"/>
          <w:szCs w:val="22"/>
          <w:b w:val="1"/>
          <w:bCs w:val="1"/>
          <w:color w:val="auto"/>
        </w:rPr>
        <w:t xml:space="preserve"> </w:t>
      </w:r>
      <w:r>
        <w:rPr>
          <w:rFonts w:ascii="Arial" w:cs="Arial" w:eastAsia="Arial" w:hAnsi="Arial"/>
          <w:sz w:val="22"/>
          <w:szCs w:val="22"/>
          <w:color w:val="auto"/>
        </w:rPr>
        <w:t>unincorporated organization or government or political subdivision thereof.</w:t>
      </w:r>
    </w:p>
    <w:p>
      <w:pPr>
        <w:spacing w:after="0" w:line="153"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 xml:space="preserve">1.58 </w:t>
      </w:r>
      <w:r>
        <w:rPr>
          <w:rFonts w:ascii="Arial" w:cs="Arial" w:eastAsia="Arial" w:hAnsi="Arial"/>
          <w:sz w:val="22"/>
          <w:szCs w:val="22"/>
          <w:color w:val="auto"/>
        </w:rPr>
        <w:t>“</w:t>
      </w:r>
      <w:r>
        <w:rPr>
          <w:rFonts w:ascii="Arial" w:cs="Arial" w:eastAsia="Arial" w:hAnsi="Arial"/>
          <w:sz w:val="22"/>
          <w:szCs w:val="22"/>
          <w:b w:val="1"/>
          <w:bCs w:val="1"/>
          <w:color w:val="auto"/>
        </w:rPr>
        <w:t>PMDA</w:t>
      </w:r>
      <w:r>
        <w:rPr>
          <w:rFonts w:ascii="Arial" w:cs="Arial" w:eastAsia="Arial" w:hAnsi="Arial"/>
          <w:sz w:val="22"/>
          <w:szCs w:val="22"/>
          <w:color w:val="auto"/>
        </w:rPr>
        <w:t>” means the Pharmaceuticals and Medical Devices Agency (of Japan), or any successor agency thereto</w:t>
      </w:r>
      <w:r>
        <w:rPr>
          <w:rFonts w:ascii="Arial" w:cs="Arial" w:eastAsia="Arial" w:hAnsi="Arial"/>
          <w:sz w:val="22"/>
          <w:szCs w:val="22"/>
          <w:b w:val="1"/>
          <w:bCs w:val="1"/>
          <w:color w:val="auto"/>
        </w:rPr>
        <w:t xml:space="preserve"> </w:t>
      </w:r>
      <w:r>
        <w:rPr>
          <w:rFonts w:ascii="Arial" w:cs="Arial" w:eastAsia="Arial" w:hAnsi="Arial"/>
          <w:sz w:val="22"/>
          <w:szCs w:val="22"/>
          <w:color w:val="auto"/>
        </w:rPr>
        <w:t>performing similar functions.</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1.59 </w:t>
      </w:r>
      <w:r>
        <w:rPr>
          <w:rFonts w:ascii="Arial" w:cs="Arial" w:eastAsia="Arial" w:hAnsi="Arial"/>
          <w:sz w:val="22"/>
          <w:szCs w:val="22"/>
          <w:color w:val="auto"/>
        </w:rPr>
        <w:t>“</w:t>
      </w:r>
      <w:r>
        <w:rPr>
          <w:rFonts w:ascii="Arial" w:cs="Arial" w:eastAsia="Arial" w:hAnsi="Arial"/>
          <w:sz w:val="22"/>
          <w:szCs w:val="22"/>
          <w:b w:val="1"/>
          <w:bCs w:val="1"/>
          <w:color w:val="auto"/>
        </w:rPr>
        <w:t>PRC</w:t>
      </w:r>
      <w:r>
        <w:rPr>
          <w:rFonts w:ascii="Arial" w:cs="Arial" w:eastAsia="Arial" w:hAnsi="Arial"/>
          <w:sz w:val="22"/>
          <w:szCs w:val="22"/>
          <w:color w:val="auto"/>
        </w:rPr>
        <w:t>” means the People’s Republic of China, which for the purposes of this Agreement shall exclude Hong</w:t>
      </w:r>
      <w:r>
        <w:rPr>
          <w:rFonts w:ascii="Arial" w:cs="Arial" w:eastAsia="Arial" w:hAnsi="Arial"/>
          <w:sz w:val="22"/>
          <w:szCs w:val="22"/>
          <w:b w:val="1"/>
          <w:bCs w:val="1"/>
          <w:color w:val="auto"/>
        </w:rPr>
        <w:t xml:space="preserve"> </w:t>
      </w:r>
      <w:r>
        <w:rPr>
          <w:rFonts w:ascii="Arial" w:cs="Arial" w:eastAsia="Arial" w:hAnsi="Arial"/>
          <w:sz w:val="22"/>
          <w:szCs w:val="22"/>
          <w:color w:val="auto"/>
        </w:rPr>
        <w:t>Kong, Macau and Taiwan.</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1.60</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Region</w:t>
      </w:r>
      <w:r>
        <w:rPr>
          <w:rFonts w:ascii="Arial" w:cs="Arial" w:eastAsia="Arial" w:hAnsi="Arial"/>
          <w:sz w:val="21"/>
          <w:szCs w:val="21"/>
          <w:color w:val="auto"/>
        </w:rPr>
        <w:t>” means [***].</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1.61 </w:t>
      </w:r>
      <w:r>
        <w:rPr>
          <w:rFonts w:ascii="Arial" w:cs="Arial" w:eastAsia="Arial" w:hAnsi="Arial"/>
          <w:sz w:val="22"/>
          <w:szCs w:val="22"/>
          <w:color w:val="auto"/>
        </w:rPr>
        <w:t>“</w:t>
      </w:r>
      <w:r>
        <w:rPr>
          <w:rFonts w:ascii="Arial" w:cs="Arial" w:eastAsia="Arial" w:hAnsi="Arial"/>
          <w:sz w:val="22"/>
          <w:szCs w:val="22"/>
          <w:b w:val="1"/>
          <w:bCs w:val="1"/>
          <w:color w:val="auto"/>
        </w:rPr>
        <w:t>Regulatory Approval</w:t>
      </w:r>
      <w:r>
        <w:rPr>
          <w:rFonts w:ascii="Arial" w:cs="Arial" w:eastAsia="Arial" w:hAnsi="Arial"/>
          <w:sz w:val="22"/>
          <w:szCs w:val="22"/>
          <w:color w:val="auto"/>
        </w:rPr>
        <w:t>” means all approvals from the relevant Regulatory Authority necessary to initiate</w:t>
      </w:r>
      <w:r>
        <w:rPr>
          <w:rFonts w:ascii="Arial" w:cs="Arial" w:eastAsia="Arial" w:hAnsi="Arial"/>
          <w:sz w:val="22"/>
          <w:szCs w:val="22"/>
          <w:b w:val="1"/>
          <w:bCs w:val="1"/>
          <w:color w:val="auto"/>
        </w:rPr>
        <w:t xml:space="preserve"> </w:t>
      </w:r>
      <w:r>
        <w:rPr>
          <w:rFonts w:ascii="Arial" w:cs="Arial" w:eastAsia="Arial" w:hAnsi="Arial"/>
          <w:sz w:val="22"/>
          <w:szCs w:val="22"/>
          <w:color w:val="auto"/>
        </w:rPr>
        <w:t>marketing and selling a product (including Licensed Product) in any country.</w:t>
      </w:r>
    </w:p>
    <w:p>
      <w:pPr>
        <w:spacing w:after="0" w:line="153"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 xml:space="preserve">1.62 </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any competent Governmental Authority with authority over the authorization,</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distribution, importation, exportation, manufacture, production, use, storage, transport, clinical testing, promotion or sale of a pharmaceutical product (including any Licensed Product) and over interactions with healthcare professionals and healthcare organizations, which may include the authority to grant the required reimbursement and pricing approvals for such sale.</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b w:val="1"/>
          <w:bCs w:val="1"/>
          <w:color w:val="auto"/>
        </w:rPr>
        <w:t xml:space="preserve">1.63 </w:t>
      </w:r>
      <w:r>
        <w:rPr>
          <w:rFonts w:ascii="Arial" w:cs="Arial" w:eastAsia="Arial" w:hAnsi="Arial"/>
          <w:sz w:val="19"/>
          <w:szCs w:val="19"/>
          <w:color w:val="auto"/>
        </w:rPr>
        <w:t>“</w:t>
      </w:r>
      <w:r>
        <w:rPr>
          <w:rFonts w:ascii="Arial" w:cs="Arial" w:eastAsia="Arial" w:hAnsi="Arial"/>
          <w:sz w:val="19"/>
          <w:szCs w:val="19"/>
          <w:b w:val="1"/>
          <w:bCs w:val="1"/>
          <w:color w:val="auto"/>
        </w:rPr>
        <w:t>Regulatory Exclusivity</w:t>
      </w:r>
      <w:r>
        <w:rPr>
          <w:rFonts w:ascii="Arial" w:cs="Arial" w:eastAsia="Arial" w:hAnsi="Arial"/>
          <w:sz w:val="19"/>
          <w:szCs w:val="19"/>
          <w:color w:val="auto"/>
        </w:rPr>
        <w:t>” means any exclusive marketing rights or data exclusivity rights conferred by any</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Regulatory Authority with respect to a Licensed Product in a country, other than an issued and unexpired Patent Right,</w:t>
      </w:r>
    </w:p>
    <w:p>
      <w:pPr>
        <w:spacing w:after="0" w:line="1" w:lineRule="exact"/>
        <w:rPr>
          <w:sz w:val="20"/>
          <w:szCs w:val="20"/>
          <w:color w:val="auto"/>
        </w:rPr>
      </w:pPr>
    </w:p>
    <w:p>
      <w:pPr>
        <w:ind w:firstLine="8"/>
        <w:spacing w:after="0" w:line="224" w:lineRule="auto"/>
        <w:tabs>
          <w:tab w:leader="none" w:pos="522" w:val="left"/>
        </w:tabs>
        <w:numPr>
          <w:ilvl w:val="0"/>
          <w:numId w:val="91"/>
        </w:numPr>
        <w:rPr>
          <w:rFonts w:ascii="Arial" w:cs="Arial" w:eastAsia="Arial" w:hAnsi="Arial"/>
          <w:sz w:val="22"/>
          <w:szCs w:val="22"/>
          <w:color w:val="auto"/>
        </w:rPr>
      </w:pPr>
      <w:r>
        <w:rPr>
          <w:rFonts w:ascii="Arial" w:cs="Arial" w:eastAsia="Arial" w:hAnsi="Arial"/>
          <w:sz w:val="22"/>
          <w:szCs w:val="22"/>
          <w:color w:val="auto"/>
        </w:rPr>
        <w:t>which grant an exclusive commercialization period during which Jazz, its Affiliates or sublicensees have the exclusive right to market and sell such Licensed Product in such country.</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1.64 </w:t>
      </w:r>
      <w:r>
        <w:rPr>
          <w:rFonts w:ascii="Arial" w:cs="Arial" w:eastAsia="Arial" w:hAnsi="Arial"/>
          <w:sz w:val="22"/>
          <w:szCs w:val="22"/>
          <w:color w:val="auto"/>
        </w:rPr>
        <w:t>“</w:t>
      </w:r>
      <w:r>
        <w:rPr>
          <w:rFonts w:ascii="Arial" w:cs="Arial" w:eastAsia="Arial" w:hAnsi="Arial"/>
          <w:sz w:val="22"/>
          <w:szCs w:val="22"/>
          <w:b w:val="1"/>
          <w:bCs w:val="1"/>
          <w:color w:val="auto"/>
        </w:rPr>
        <w:t xml:space="preserve">Regulatory Submissions </w:t>
      </w:r>
      <w:r>
        <w:rPr>
          <w:rFonts w:ascii="Arial" w:cs="Arial" w:eastAsia="Arial" w:hAnsi="Arial"/>
          <w:sz w:val="22"/>
          <w:szCs w:val="22"/>
          <w:color w:val="auto"/>
        </w:rPr>
        <w:t>” means any filing, application or submission with any Regulatory Authority,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authorizations, approvals or clearances arising from the foregoing, including Regulatory Approvals and any pricing or reimbursement approvals, as applicable.</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1.65 </w:t>
      </w:r>
      <w:r>
        <w:rPr>
          <w:rFonts w:ascii="Arial" w:cs="Arial" w:eastAsia="Arial" w:hAnsi="Arial"/>
          <w:sz w:val="22"/>
          <w:szCs w:val="22"/>
          <w:color w:val="auto"/>
        </w:rPr>
        <w:t>“</w:t>
      </w:r>
      <w:r>
        <w:rPr>
          <w:rFonts w:ascii="Arial" w:cs="Arial" w:eastAsia="Arial" w:hAnsi="Arial"/>
          <w:sz w:val="22"/>
          <w:szCs w:val="22"/>
          <w:b w:val="1"/>
          <w:bCs w:val="1"/>
          <w:color w:val="auto"/>
        </w:rPr>
        <w:t>Second Payment Trigger</w:t>
      </w:r>
      <w:r>
        <w:rPr>
          <w:rFonts w:ascii="Arial" w:cs="Arial" w:eastAsia="Arial" w:hAnsi="Arial"/>
          <w:sz w:val="22"/>
          <w:szCs w:val="22"/>
          <w:color w:val="auto"/>
        </w:rPr>
        <w:t>” means the later of the (a) HSR Clearance Date and (b) the date on which Zymeworks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delivers to Jazz a data package that includes (i) the top-line data from the locked and cleaned trial database for the Zymeworks Ongoing Study known as ZWI-ZW25-203 as well as all data, analyses and other information set forth on </w:t>
      </w:r>
      <w:r>
        <w:rPr>
          <w:rFonts w:ascii="Arial" w:cs="Arial" w:eastAsia="Arial" w:hAnsi="Arial"/>
          <w:sz w:val="22"/>
          <w:szCs w:val="22"/>
          <w:b w:val="1"/>
          <w:bCs w:val="1"/>
          <w:color w:val="auto"/>
        </w:rPr>
        <w:t>Exhibit 1.65</w:t>
      </w:r>
      <w:r>
        <w:rPr>
          <w:rFonts w:ascii="Arial" w:cs="Arial" w:eastAsia="Arial" w:hAnsi="Arial"/>
          <w:sz w:val="22"/>
          <w:szCs w:val="22"/>
          <w:color w:val="auto"/>
        </w:rPr>
        <w:t xml:space="preserve"> (the “</w:t>
      </w:r>
      <w:r>
        <w:rPr>
          <w:rFonts w:ascii="Arial" w:cs="Arial" w:eastAsia="Arial" w:hAnsi="Arial"/>
          <w:sz w:val="22"/>
          <w:szCs w:val="22"/>
          <w:b w:val="1"/>
          <w:bCs w:val="1"/>
          <w:color w:val="auto"/>
        </w:rPr>
        <w:t>BTC</w:t>
      </w:r>
      <w:r>
        <w:rPr>
          <w:rFonts w:ascii="Arial" w:cs="Arial" w:eastAsia="Arial" w:hAnsi="Arial"/>
          <w:sz w:val="22"/>
          <w:szCs w:val="22"/>
          <w:color w:val="auto"/>
        </w:rPr>
        <w:t xml:space="preserve"> </w:t>
      </w:r>
      <w:r>
        <w:rPr>
          <w:rFonts w:ascii="Arial" w:cs="Arial" w:eastAsia="Arial" w:hAnsi="Arial"/>
          <w:sz w:val="22"/>
          <w:szCs w:val="22"/>
          <w:b w:val="1"/>
          <w:bCs w:val="1"/>
          <w:color w:val="auto"/>
        </w:rPr>
        <w:t>Data Package</w:t>
      </w:r>
      <w:r>
        <w:rPr>
          <w:rFonts w:ascii="Arial" w:cs="Arial" w:eastAsia="Arial" w:hAnsi="Arial"/>
          <w:sz w:val="22"/>
          <w:szCs w:val="22"/>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178" w:name="page179"/>
    <w:bookmarkEnd w:id="178"/>
    <w:p>
      <w:pPr>
        <w:ind w:left="660"/>
        <w:spacing w:after="0"/>
        <w:tabs>
          <w:tab w:leader="none" w:pos="1280" w:val="left"/>
        </w:tabs>
        <w:rPr>
          <w:sz w:val="20"/>
          <w:szCs w:val="20"/>
          <w:color w:val="auto"/>
        </w:rPr>
      </w:pPr>
      <w:r>
        <w:rPr>
          <w:rFonts w:ascii="Arial" w:cs="Arial" w:eastAsia="Arial" w:hAnsi="Arial"/>
          <w:sz w:val="22"/>
          <w:szCs w:val="22"/>
          <w:b w:val="1"/>
          <w:bCs w:val="1"/>
          <w:color w:val="auto"/>
        </w:rPr>
        <w:t>1.66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Segregate</w:t>
      </w:r>
      <w:r>
        <w:rPr>
          <w:rFonts w:ascii="Arial" w:cs="Arial" w:eastAsia="Arial" w:hAnsi="Arial"/>
          <w:sz w:val="19"/>
          <w:szCs w:val="19"/>
          <w:color w:val="auto"/>
        </w:rPr>
        <w:t>” means, with respect to a Jazz Competing Product or a Zymeworks Competing Product, [***].</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1.67 </w:t>
      </w: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the world, excluding PRC, Australia, New Zealand, Kazakhstan, Kyrgyzstan, Tajikistan,</w:t>
      </w:r>
      <w:r>
        <w:rPr>
          <w:rFonts w:ascii="Arial" w:cs="Arial" w:eastAsia="Arial" w:hAnsi="Arial"/>
          <w:sz w:val="22"/>
          <w:szCs w:val="22"/>
          <w:b w:val="1"/>
          <w:bCs w:val="1"/>
          <w:color w:val="auto"/>
        </w:rPr>
        <w:t xml:space="preserve"> </w:t>
      </w:r>
      <w:r>
        <w:rPr>
          <w:rFonts w:ascii="Arial" w:cs="Arial" w:eastAsia="Arial" w:hAnsi="Arial"/>
          <w:sz w:val="22"/>
          <w:szCs w:val="22"/>
          <w:color w:val="auto"/>
        </w:rPr>
        <w:t>Turkmenistan, Uzbekistan, Hong Kong, Taiwan, Macau, Mongolia, South Korea, Brunei Darussalam, Cambodia, Indonesia, Papua New Guinea, Lao People’s Democratic Republic, Malaysia, Myanmar, Philippines, Singapore, Thailand, Timor-Leste, and Vietnam (such excluded countries, the “</w:t>
      </w:r>
      <w:r>
        <w:rPr>
          <w:rFonts w:ascii="Arial" w:cs="Arial" w:eastAsia="Arial" w:hAnsi="Arial"/>
          <w:sz w:val="22"/>
          <w:szCs w:val="22"/>
          <w:b w:val="1"/>
          <w:bCs w:val="1"/>
          <w:color w:val="auto"/>
        </w:rPr>
        <w:t>Ex-Territory</w:t>
      </w:r>
      <w:r>
        <w:rPr>
          <w:rFonts w:ascii="Arial" w:cs="Arial" w:eastAsia="Arial" w:hAnsi="Arial"/>
          <w:sz w:val="22"/>
          <w:szCs w:val="22"/>
          <w:color w:val="auto"/>
        </w:rPr>
        <w: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1.68</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Third Indication</w:t>
      </w:r>
      <w:r>
        <w:rPr>
          <w:rFonts w:ascii="Arial" w:cs="Arial" w:eastAsia="Arial" w:hAnsi="Arial"/>
          <w:sz w:val="22"/>
          <w:szCs w:val="22"/>
          <w:color w:val="auto"/>
        </w:rPr>
        <w:t>”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a Party or an Affiliate of a Party.</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1.70 </w:t>
      </w:r>
      <w:r>
        <w:rPr>
          <w:rFonts w:ascii="Arial" w:cs="Arial" w:eastAsia="Arial" w:hAnsi="Arial"/>
          <w:sz w:val="22"/>
          <w:szCs w:val="22"/>
          <w:color w:val="auto"/>
        </w:rPr>
        <w:t>“</w:t>
      </w:r>
      <w:r>
        <w:rPr>
          <w:rFonts w:ascii="Arial" w:cs="Arial" w:eastAsia="Arial" w:hAnsi="Arial"/>
          <w:sz w:val="22"/>
          <w:szCs w:val="22"/>
          <w:b w:val="1"/>
          <w:bCs w:val="1"/>
          <w:color w:val="auto"/>
        </w:rPr>
        <w:t>Third Party In-License Agreements</w:t>
      </w:r>
      <w:r>
        <w:rPr>
          <w:rFonts w:ascii="Arial" w:cs="Arial" w:eastAsia="Arial" w:hAnsi="Arial"/>
          <w:sz w:val="22"/>
          <w:szCs w:val="22"/>
          <w:color w:val="auto"/>
        </w:rPr>
        <w:t>” means the license agreements between Zymeworks and Third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listed on </w:t>
      </w:r>
      <w:r>
        <w:rPr>
          <w:rFonts w:ascii="Arial" w:cs="Arial" w:eastAsia="Arial" w:hAnsi="Arial"/>
          <w:sz w:val="22"/>
          <w:szCs w:val="22"/>
          <w:u w:val="single" w:color="auto"/>
          <w:color w:val="auto"/>
        </w:rPr>
        <w:t>Schedule 1.70</w:t>
      </w:r>
      <w:r>
        <w:rPr>
          <w:rFonts w:ascii="Arial" w:cs="Arial" w:eastAsia="Arial" w:hAnsi="Arial"/>
          <w:sz w:val="22"/>
          <w:szCs w:val="22"/>
          <w:color w:val="auto"/>
        </w:rPr>
        <w: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United States</w:t>
      </w:r>
      <w:r>
        <w:rPr>
          <w:rFonts w:ascii="Arial" w:cs="Arial" w:eastAsia="Arial" w:hAnsi="Arial"/>
          <w:sz w:val="19"/>
          <w:szCs w:val="19"/>
          <w:color w:val="auto"/>
        </w:rPr>
        <w:t>” or “</w:t>
      </w:r>
      <w:r>
        <w:rPr>
          <w:rFonts w:ascii="Arial" w:cs="Arial" w:eastAsia="Arial" w:hAnsi="Arial"/>
          <w:sz w:val="19"/>
          <w:szCs w:val="19"/>
          <w:b w:val="1"/>
          <w:bCs w:val="1"/>
          <w:color w:val="auto"/>
        </w:rPr>
        <w:t>US</w:t>
      </w:r>
      <w:r>
        <w:rPr>
          <w:rFonts w:ascii="Arial" w:cs="Arial" w:eastAsia="Arial" w:hAnsi="Arial"/>
          <w:sz w:val="19"/>
          <w:szCs w:val="19"/>
          <w:color w:val="auto"/>
        </w:rPr>
        <w:t>” means the United States of America and its territories and possessions.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USD</w:t>
      </w:r>
      <w:r>
        <w:rPr>
          <w:rFonts w:ascii="Arial" w:cs="Arial" w:eastAsia="Arial" w:hAnsi="Arial"/>
          <w:sz w:val="19"/>
          <w:szCs w:val="19"/>
          <w:color w:val="auto"/>
        </w:rPr>
        <w:t>” means United States dollars.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 xml:space="preserve">1.73 </w:t>
      </w:r>
      <w:r>
        <w:rPr>
          <w:rFonts w:ascii="Arial" w:cs="Arial" w:eastAsia="Arial" w:hAnsi="Arial"/>
          <w:sz w:val="19"/>
          <w:szCs w:val="19"/>
          <w:color w:val="auto"/>
        </w:rPr>
        <w:t>“</w:t>
      </w:r>
      <w:r>
        <w:rPr>
          <w:rFonts w:ascii="Arial" w:cs="Arial" w:eastAsia="Arial" w:hAnsi="Arial"/>
          <w:sz w:val="19"/>
          <w:szCs w:val="19"/>
          <w:b w:val="1"/>
          <w:bCs w:val="1"/>
          <w:color w:val="auto"/>
        </w:rPr>
        <w:t>Valid Claim</w:t>
      </w:r>
      <w:r>
        <w:rPr>
          <w:rFonts w:ascii="Arial" w:cs="Arial" w:eastAsia="Arial" w:hAnsi="Arial"/>
          <w:sz w:val="19"/>
          <w:szCs w:val="19"/>
          <w:color w:val="auto"/>
        </w:rPr>
        <w:t>” means any claim of (a) an issued and unexpired patent or (b) a pending patent application, [***];</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that such claim has not been abandoned, revoked, or held unenforceable, invalid or unpatentable by a court or other government body of competent jurisdiction with no further possibility of appeal and which claim has not been disclaimed, denied or admitted to be invalid or unenforceable through reissue, re-examination or disclaimer or otherwise[***].</w:t>
      </w:r>
    </w:p>
    <w:p>
      <w:pPr>
        <w:spacing w:after="0" w:line="13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Zanidatamab Collaboration IP</w:t>
      </w:r>
      <w:r>
        <w:rPr>
          <w:rFonts w:ascii="Arial" w:cs="Arial" w:eastAsia="Arial" w:hAnsi="Arial"/>
          <w:sz w:val="19"/>
          <w:szCs w:val="19"/>
          <w:color w:val="auto"/>
        </w:rPr>
        <w:t>” means all Inventions that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Zymeworks IP</w:t>
      </w:r>
      <w:r>
        <w:rPr>
          <w:rFonts w:ascii="Arial" w:cs="Arial" w:eastAsia="Arial" w:hAnsi="Arial"/>
          <w:sz w:val="19"/>
          <w:szCs w:val="19"/>
          <w:color w:val="auto"/>
        </w:rPr>
        <w:t>” means, collectively, Zymeworks Know-How and Zymeworks Patent Rights.</w:t>
      </w:r>
    </w:p>
    <w:p>
      <w:pPr>
        <w:spacing w:after="0" w:line="17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1"/>
          <w:szCs w:val="21"/>
          <w:b w:val="1"/>
          <w:bCs w:val="1"/>
          <w:color w:val="auto"/>
        </w:rPr>
        <w:t xml:space="preserve">1.76 </w:t>
      </w:r>
      <w:r>
        <w:rPr>
          <w:rFonts w:ascii="Arial" w:cs="Arial" w:eastAsia="Arial" w:hAnsi="Arial"/>
          <w:sz w:val="21"/>
          <w:szCs w:val="21"/>
          <w:color w:val="auto"/>
        </w:rPr>
        <w:t>“</w:t>
      </w:r>
      <w:r>
        <w:rPr>
          <w:rFonts w:ascii="Arial" w:cs="Arial" w:eastAsia="Arial" w:hAnsi="Arial"/>
          <w:sz w:val="21"/>
          <w:szCs w:val="21"/>
          <w:b w:val="1"/>
          <w:bCs w:val="1"/>
          <w:color w:val="auto"/>
        </w:rPr>
        <w:t>Zymeworks Know-How</w:t>
      </w:r>
      <w:r>
        <w:rPr>
          <w:rFonts w:ascii="Arial" w:cs="Arial" w:eastAsia="Arial" w:hAnsi="Arial"/>
          <w:sz w:val="21"/>
          <w:szCs w:val="21"/>
          <w:color w:val="auto"/>
        </w:rPr>
        <w:t>” means all Know-How, which: (a) is Controlled by Zymeworks or any of its Affiliates</w:t>
      </w:r>
      <w:r>
        <w:rPr>
          <w:rFonts w:ascii="Arial" w:cs="Arial" w:eastAsia="Arial" w:hAnsi="Arial"/>
          <w:sz w:val="21"/>
          <w:szCs w:val="21"/>
          <w:b w:val="1"/>
          <w:bCs w:val="1"/>
          <w:color w:val="auto"/>
        </w:rPr>
        <w:t xml:space="preserve"> </w:t>
      </w:r>
      <w:r>
        <w:rPr>
          <w:rFonts w:ascii="Arial" w:cs="Arial" w:eastAsia="Arial" w:hAnsi="Arial"/>
          <w:sz w:val="21"/>
          <w:szCs w:val="21"/>
          <w:color w:val="auto"/>
        </w:rPr>
        <w:t>as of the Execution Date, between the Execution Date and the Closing Date, or during the Term of this Agreement and (b) is necessary or useful for the research, Development, manufacture or Commercialization of Licensed Antibody or Licensed Products in the Field, including (i) all Know-How included as part of Zymeworks Collaboration IP or the Zanidatamab Collaboration IP, (ii) Zymeworks’ interest in the Joint Collaboration IP, and [***].</w:t>
      </w:r>
    </w:p>
    <w:p>
      <w:pPr>
        <w:spacing w:after="0" w:line="15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1.77 </w:t>
      </w:r>
      <w:r>
        <w:rPr>
          <w:rFonts w:ascii="Arial" w:cs="Arial" w:eastAsia="Arial" w:hAnsi="Arial"/>
          <w:sz w:val="22"/>
          <w:szCs w:val="22"/>
          <w:color w:val="auto"/>
        </w:rPr>
        <w:t>“</w:t>
      </w:r>
      <w:r>
        <w:rPr>
          <w:rFonts w:ascii="Arial" w:cs="Arial" w:eastAsia="Arial" w:hAnsi="Arial"/>
          <w:sz w:val="22"/>
          <w:szCs w:val="22"/>
          <w:b w:val="1"/>
          <w:bCs w:val="1"/>
          <w:color w:val="auto"/>
        </w:rPr>
        <w:t>Zymeworks Korean Studies</w:t>
      </w:r>
      <w:r>
        <w:rPr>
          <w:rFonts w:ascii="Arial" w:cs="Arial" w:eastAsia="Arial" w:hAnsi="Arial"/>
          <w:sz w:val="22"/>
          <w:szCs w:val="22"/>
          <w:color w:val="auto"/>
        </w:rPr>
        <w:t>” means any and all Clinical Trials initiated by Zymeworks in South Korea prior to</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Execution Date, pursuant to rights granted to Zymeworks under the ELA.</w:t>
      </w:r>
    </w:p>
    <w:p>
      <w:pPr>
        <w:spacing w:after="0" w:line="153"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 xml:space="preserve">1.78 </w:t>
      </w:r>
      <w:r>
        <w:rPr>
          <w:rFonts w:ascii="Arial" w:cs="Arial" w:eastAsia="Arial" w:hAnsi="Arial"/>
          <w:sz w:val="22"/>
          <w:szCs w:val="22"/>
          <w:color w:val="auto"/>
        </w:rPr>
        <w:t>“</w:t>
      </w:r>
      <w:r>
        <w:rPr>
          <w:rFonts w:ascii="Arial" w:cs="Arial" w:eastAsia="Arial" w:hAnsi="Arial"/>
          <w:sz w:val="22"/>
          <w:szCs w:val="22"/>
          <w:b w:val="1"/>
          <w:bCs w:val="1"/>
          <w:color w:val="auto"/>
        </w:rPr>
        <w:t>Zymeworks Ongoing Studies</w:t>
      </w:r>
      <w:r>
        <w:rPr>
          <w:rFonts w:ascii="Arial" w:cs="Arial" w:eastAsia="Arial" w:hAnsi="Arial"/>
          <w:sz w:val="22"/>
          <w:szCs w:val="22"/>
          <w:color w:val="auto"/>
        </w:rPr>
        <w:t>” means any and all Clinical Trials that were initiated by Zymeworks prior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Execution Date, other than the Zymeworks Korean Studies.</w:t>
      </w:r>
    </w:p>
    <w:p>
      <w:pPr>
        <w:spacing w:after="0" w:line="153"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 xml:space="preserve">1.79 </w:t>
      </w:r>
      <w:r>
        <w:rPr>
          <w:rFonts w:ascii="Arial" w:cs="Arial" w:eastAsia="Arial" w:hAnsi="Arial"/>
          <w:sz w:val="22"/>
          <w:szCs w:val="22"/>
          <w:color w:val="auto"/>
        </w:rPr>
        <w:t>“</w:t>
      </w:r>
      <w:r>
        <w:rPr>
          <w:rFonts w:ascii="Arial" w:cs="Arial" w:eastAsia="Arial" w:hAnsi="Arial"/>
          <w:sz w:val="22"/>
          <w:szCs w:val="22"/>
          <w:b w:val="1"/>
          <w:bCs w:val="1"/>
          <w:color w:val="auto"/>
        </w:rPr>
        <w:t xml:space="preserve">Zymeworks Patent Rights </w:t>
      </w:r>
      <w:r>
        <w:rPr>
          <w:rFonts w:ascii="Arial" w:cs="Arial" w:eastAsia="Arial" w:hAnsi="Arial"/>
          <w:sz w:val="22"/>
          <w:szCs w:val="22"/>
          <w:color w:val="auto"/>
        </w:rPr>
        <w:t>” means all Patent Rights which (a) are Controlled by Zymeworks or any of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as of the Execution Date, between the Execution Date and the Closing Date, or at any time during the Term and (b) are necessary or useful (or, with respect to patent applications, would be necessary or useful if such patent applications were to issue as patents) for the research, Development, manufacture or Commercialization of Licensed Antibody or Licensed Products in the Field, including (i) all Patent Rights in the Territory claiming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395" w:right="339" w:bottom="1440" w:gutter="0" w:footer="0" w:header="0"/>
        </w:sectPr>
      </w:pPr>
    </w:p>
    <w:bookmarkStart w:id="179" w:name="page180"/>
    <w:bookmarkEnd w:id="179"/>
    <w:p>
      <w:pPr>
        <w:spacing w:after="0"/>
        <w:rPr>
          <w:sz w:val="20"/>
          <w:szCs w:val="20"/>
          <w:color w:val="auto"/>
        </w:rPr>
      </w:pPr>
      <w:r>
        <w:rPr>
          <w:rFonts w:ascii="Arial" w:cs="Arial" w:eastAsia="Arial" w:hAnsi="Arial"/>
          <w:sz w:val="19"/>
          <w:szCs w:val="19"/>
          <w:color w:val="auto"/>
        </w:rPr>
        <w:t>Zanidatamab Collaboration IP or the Zymeworks Collaboration IP and (ii) Zymeworks’ interest in the Joint Patent Rights; [***].</w:t>
      </w:r>
    </w:p>
    <w:p>
      <w:pPr>
        <w:spacing w:after="0" w:line="2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Zymeworks Platform</w:t>
      </w:r>
      <w:r>
        <w:rPr>
          <w:rFonts w:ascii="Arial" w:cs="Arial" w:eastAsia="Arial" w:hAnsi="Arial"/>
          <w:sz w:val="19"/>
          <w:szCs w:val="19"/>
          <w:color w:val="auto"/>
        </w:rPr>
        <w:t>” means Zymeworks’ proprietary Azymetric™ platform.</w:t>
      </w:r>
    </w:p>
    <w:p>
      <w:pPr>
        <w:spacing w:after="0" w:line="179" w:lineRule="exact"/>
        <w:rPr>
          <w:sz w:val="20"/>
          <w:szCs w:val="20"/>
          <w:color w:val="auto"/>
        </w:rPr>
      </w:pPr>
    </w:p>
    <w:p>
      <w:pPr>
        <w:jc w:val="both"/>
        <w:ind w:right="20" w:firstLine="648"/>
        <w:spacing w:after="0" w:line="225" w:lineRule="auto"/>
        <w:rPr>
          <w:sz w:val="20"/>
          <w:szCs w:val="20"/>
          <w:color w:val="auto"/>
        </w:rPr>
      </w:pPr>
      <w:r>
        <w:rPr>
          <w:rFonts w:ascii="Arial" w:cs="Arial" w:eastAsia="Arial" w:hAnsi="Arial"/>
          <w:sz w:val="22"/>
          <w:szCs w:val="22"/>
          <w:b w:val="1"/>
          <w:bCs w:val="1"/>
          <w:color w:val="auto"/>
        </w:rPr>
        <w:t xml:space="preserve">1.81 </w:t>
      </w:r>
      <w:r>
        <w:rPr>
          <w:rFonts w:ascii="Arial" w:cs="Arial" w:eastAsia="Arial" w:hAnsi="Arial"/>
          <w:sz w:val="22"/>
          <w:szCs w:val="22"/>
          <w:color w:val="auto"/>
        </w:rPr>
        <w:t>“</w:t>
      </w:r>
      <w:r>
        <w:rPr>
          <w:rFonts w:ascii="Arial" w:cs="Arial" w:eastAsia="Arial" w:hAnsi="Arial"/>
          <w:sz w:val="22"/>
          <w:szCs w:val="22"/>
          <w:b w:val="1"/>
          <w:bCs w:val="1"/>
          <w:color w:val="auto"/>
        </w:rPr>
        <w:t>Zymeworks Trademarks</w:t>
      </w:r>
      <w:r>
        <w:rPr>
          <w:rFonts w:ascii="Arial" w:cs="Arial" w:eastAsia="Arial" w:hAnsi="Arial"/>
          <w:sz w:val="22"/>
          <w:szCs w:val="22"/>
          <w:color w:val="auto"/>
        </w:rPr>
        <w:t>” means the trademarks specific to the Licensed Product that are Controlled by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Zymeworks or its Affiliates, whether registered or unregistered in any country in the Territory, including the trademarks set forth on </w:t>
      </w:r>
      <w:r>
        <w:rPr>
          <w:rFonts w:ascii="Arial" w:cs="Arial" w:eastAsia="Arial" w:hAnsi="Arial"/>
          <w:sz w:val="22"/>
          <w:szCs w:val="22"/>
          <w:b w:val="1"/>
          <w:bCs w:val="1"/>
          <w:color w:val="auto"/>
        </w:rPr>
        <w:t>Exhibit C</w:t>
      </w:r>
      <w:r>
        <w:rPr>
          <w:rFonts w:ascii="Arial" w:cs="Arial" w:eastAsia="Arial" w:hAnsi="Arial"/>
          <w:sz w:val="22"/>
          <w:szCs w:val="22"/>
          <w:color w:val="auto"/>
        </w:rPr>
        <w:t xml:space="preserve"> hereto.</w:t>
      </w:r>
    </w:p>
    <w:p>
      <w:pPr>
        <w:spacing w:after="0" w:line="153" w:lineRule="exact"/>
        <w:rPr>
          <w:sz w:val="20"/>
          <w:szCs w:val="20"/>
          <w:color w:val="auto"/>
        </w:rPr>
      </w:pPr>
    </w:p>
    <w:p>
      <w:pPr>
        <w:jc w:val="both"/>
        <w:ind w:right="40" w:firstLine="648"/>
        <w:spacing w:after="0" w:line="235" w:lineRule="auto"/>
        <w:rPr>
          <w:sz w:val="20"/>
          <w:szCs w:val="20"/>
          <w:color w:val="auto"/>
        </w:rPr>
      </w:pPr>
      <w:r>
        <w:rPr>
          <w:rFonts w:ascii="Arial" w:cs="Arial" w:eastAsia="Arial" w:hAnsi="Arial"/>
          <w:sz w:val="22"/>
          <w:szCs w:val="22"/>
          <w:b w:val="1"/>
          <w:bCs w:val="1"/>
          <w:color w:val="auto"/>
        </w:rPr>
        <w:t xml:space="preserve">1.82 Additional Definitions. </w:t>
      </w:r>
      <w:r>
        <w:rPr>
          <w:rFonts w:ascii="Arial" w:cs="Arial" w:eastAsia="Arial" w:hAnsi="Arial"/>
          <w:sz w:val="22"/>
          <w:szCs w:val="22"/>
          <w:color w:val="auto"/>
        </w:rPr>
        <w:t>The following table identifies the location of definitions set forth in various Sections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46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22"/>
                <w:szCs w:val="22"/>
                <w:b w:val="1"/>
                <w:bCs w:val="1"/>
                <w:color w:val="auto"/>
              </w:rPr>
              <w:t>Definition</w:t>
            </w:r>
          </w:p>
        </w:tc>
        <w:tc>
          <w:tcPr>
            <w:tcW w:w="508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Section</w:t>
            </w:r>
          </w:p>
        </w:tc>
      </w:tr>
      <w:tr>
        <w:trPr>
          <w:trHeight w:val="264"/>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Accounting Firm</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9.10(b)(i)</w:t>
            </w:r>
          </w:p>
        </w:tc>
      </w:tr>
      <w:tr>
        <w:trPr>
          <w:trHeight w:val="263"/>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ADC Infringement</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14.4(b)(iii)</w:t>
            </w:r>
          </w:p>
        </w:tc>
      </w:tr>
      <w:tr>
        <w:trPr>
          <w:trHeight w:val="263"/>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Additional Active</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1.16</w:t>
            </w:r>
          </w:p>
        </w:tc>
      </w:tr>
      <w:tr>
        <w:trPr>
          <w:trHeight w:val="263"/>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Agreement</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Preamble</w:t>
            </w:r>
          </w:p>
        </w:tc>
      </w:tr>
      <w:tr>
        <w:trPr>
          <w:trHeight w:val="263"/>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Alliance Manager</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3.1</w:t>
            </w:r>
          </w:p>
        </w:tc>
      </w:tr>
      <w:tr>
        <w:trPr>
          <w:trHeight w:val="264"/>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Anti-Corruption Laws</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12.7(a)(i)</w:t>
            </w:r>
          </w:p>
        </w:tc>
      </w:tr>
      <w:tr>
        <w:trPr>
          <w:trHeight w:val="263"/>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Audited Party</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9.10(b)(i)</w:t>
            </w:r>
          </w:p>
        </w:tc>
      </w:tr>
      <w:tr>
        <w:trPr>
          <w:trHeight w:val="263"/>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Auditing Party</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9.10(b)(i)</w:t>
            </w:r>
          </w:p>
        </w:tc>
      </w:tr>
      <w:tr>
        <w:trPr>
          <w:trHeight w:val="263"/>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Breach Notification</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15.2(b)(i)</w:t>
            </w:r>
          </w:p>
        </w:tc>
      </w:tr>
      <w:tr>
        <w:trPr>
          <w:trHeight w:val="263"/>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BTC Data Package</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1.65</w:t>
            </w:r>
          </w:p>
        </w:tc>
      </w:tr>
      <w:tr>
        <w:trPr>
          <w:trHeight w:val="264"/>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Claims</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13.1</w:t>
            </w:r>
          </w:p>
        </w:tc>
      </w:tr>
      <w:tr>
        <w:trPr>
          <w:trHeight w:val="263"/>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Clinical Supply Agreement</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7.3(b)</w:t>
            </w:r>
          </w:p>
        </w:tc>
      </w:tr>
      <w:tr>
        <w:trPr>
          <w:trHeight w:val="263"/>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CMO</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7.2</w:t>
            </w:r>
          </w:p>
        </w:tc>
      </w:tr>
      <w:tr>
        <w:trPr>
          <w:trHeight w:val="264"/>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Commercial Supply Agreement</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7.3(c)</w:t>
            </w:r>
          </w:p>
        </w:tc>
      </w:tr>
      <w:tr>
        <w:trPr>
          <w:trHeight w:val="263"/>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Commercialization Milestone Event</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9.4</w:t>
            </w:r>
          </w:p>
        </w:tc>
      </w:tr>
      <w:tr>
        <w:trPr>
          <w:trHeight w:val="264"/>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Commercialization Milestone Payment</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9.4</w:t>
            </w:r>
          </w:p>
        </w:tc>
      </w:tr>
      <w:tr>
        <w:trPr>
          <w:trHeight w:val="263"/>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Commitments Log</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4.1</w:t>
            </w:r>
          </w:p>
        </w:tc>
      </w:tr>
      <w:tr>
        <w:trPr>
          <w:trHeight w:val="263"/>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Confidentiality Agreement</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17.11</w:t>
            </w:r>
          </w:p>
        </w:tc>
      </w:tr>
      <w:tr>
        <w:trPr>
          <w:trHeight w:val="264"/>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Continuing Technology Transfer</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4.1</w:t>
            </w:r>
          </w:p>
        </w:tc>
      </w:tr>
      <w:tr>
        <w:trPr>
          <w:trHeight w:val="263"/>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Disclosing Party</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1.21</w:t>
            </w:r>
          </w:p>
        </w:tc>
      </w:tr>
      <w:tr>
        <w:trPr>
          <w:trHeight w:val="263"/>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Dispute</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17.5(a)</w:t>
            </w:r>
          </w:p>
        </w:tc>
      </w:tr>
      <w:tr>
        <w:trPr>
          <w:trHeight w:val="264"/>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DMF</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6.3</w:t>
            </w:r>
          </w:p>
        </w:tc>
      </w:tr>
      <w:tr>
        <w:trPr>
          <w:trHeight w:val="263"/>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DOJ</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16.2(a)</w:t>
            </w:r>
          </w:p>
        </w:tc>
      </w:tr>
      <w:tr>
        <w:trPr>
          <w:trHeight w:val="263"/>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Excluded Claim</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1.1(e)</w:t>
            </w:r>
          </w:p>
        </w:tc>
      </w:tr>
      <w:tr>
        <w:trPr>
          <w:trHeight w:val="264"/>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Execution Date</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Preamble</w:t>
            </w:r>
          </w:p>
        </w:tc>
      </w:tr>
      <w:tr>
        <w:trPr>
          <w:trHeight w:val="263"/>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Executive Officers</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17.5(a)</w:t>
            </w:r>
          </w:p>
        </w:tc>
      </w:tr>
      <w:tr>
        <w:trPr>
          <w:trHeight w:val="264"/>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Executive Sponsors</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3.2(f)</w:t>
            </w:r>
          </w:p>
        </w:tc>
      </w:tr>
      <w:tr>
        <w:trPr>
          <w:trHeight w:val="263"/>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Existing Regulatory Materials</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12.2(s)</w:t>
            </w:r>
          </w:p>
        </w:tc>
      </w:tr>
      <w:tr>
        <w:trPr>
          <w:trHeight w:val="264"/>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Ex-Territory</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1.67</w:t>
            </w:r>
          </w:p>
        </w:tc>
      </w:tr>
      <w:tr>
        <w:trPr>
          <w:trHeight w:val="264"/>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Ex-Territory Infringement</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14.4(a)</w:t>
            </w:r>
          </w:p>
        </w:tc>
      </w:tr>
      <w:tr>
        <w:trPr>
          <w:trHeight w:val="264"/>
        </w:trPr>
        <w:tc>
          <w:tcPr>
            <w:tcW w:w="4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First BLA</w:t>
            </w:r>
          </w:p>
        </w:tc>
        <w:tc>
          <w:tcPr>
            <w:tcW w:w="50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6.2(b)</w:t>
            </w:r>
          </w:p>
        </w:tc>
      </w:tr>
      <w:tr>
        <w:trPr>
          <w:trHeight w:val="1016"/>
        </w:trPr>
        <w:tc>
          <w:tcPr>
            <w:tcW w:w="4460" w:type="dxa"/>
            <w:vAlign w:val="bottom"/>
          </w:tcPr>
          <w:p>
            <w:pPr>
              <w:spacing w:after="0"/>
              <w:rPr>
                <w:sz w:val="24"/>
                <w:szCs w:val="24"/>
                <w:color w:val="auto"/>
              </w:rPr>
            </w:pPr>
          </w:p>
        </w:tc>
        <w:tc>
          <w:tcPr>
            <w:tcW w:w="5080" w:type="dxa"/>
            <w:vAlign w:val="bottom"/>
          </w:tcPr>
          <w:p>
            <w:pPr>
              <w:jc w:val="right"/>
              <w:ind w:right="3632"/>
              <w:spacing w:after="0"/>
              <w:rPr>
                <w:sz w:val="20"/>
                <w:szCs w:val="20"/>
                <w:color w:val="auto"/>
              </w:rPr>
            </w:pPr>
            <w:r>
              <w:rPr>
                <w:rFonts w:ascii="Arial" w:cs="Arial" w:eastAsia="Arial" w:hAnsi="Arial"/>
                <w:sz w:val="22"/>
                <w:szCs w:val="22"/>
                <w:color w:val="auto"/>
              </w:rPr>
              <w:t>-10-</w:t>
            </w:r>
          </w:p>
        </w:tc>
        <w:tc>
          <w:tcPr>
            <w:tcW w:w="1720" w:type="dxa"/>
            <w:vAlign w:val="bottom"/>
          </w:tcPr>
          <w:p>
            <w:pPr>
              <w:spacing w:after="0"/>
              <w:rPr>
                <w:sz w:val="24"/>
                <w:szCs w:val="24"/>
                <w:color w:val="auto"/>
              </w:rPr>
            </w:pPr>
          </w:p>
        </w:tc>
      </w:tr>
    </w:tbl>
    <w:p>
      <w:pPr>
        <w:sectPr>
          <w:pgSz w:w="11900" w:h="16838" w:orient="portrait"/>
          <w:cols w:equalWidth="0" w:num="1">
            <w:col w:w="11260"/>
          </w:cols>
          <w:pgMar w:left="320" w:top="1401" w:right="319" w:bottom="1440" w:gutter="0" w:footer="0" w:header="0"/>
        </w:sectPr>
      </w:pPr>
    </w:p>
    <w:bookmarkStart w:id="180" w:name="page181"/>
    <w:bookmarkEnd w:id="18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456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FTC</w:t>
            </w:r>
          </w:p>
        </w:tc>
        <w:tc>
          <w:tcPr>
            <w:tcW w:w="498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16.2(b)</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Global Brand Elements</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8.3(c)</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HSR Filing</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16.1(a)</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ICH Guidelines</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1.37</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Indemnified Party</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13.3</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Indemnifying Party</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13.3</w:t>
            </w:r>
          </w:p>
        </w:tc>
      </w:tr>
      <w:tr>
        <w:trPr>
          <w:trHeight w:val="264"/>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Initial Technology Transfer</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4.1</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Jazz</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Preamble</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Jazz Collaboration IP</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14.1(a)</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Jazz Collaboration Patent Rights</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14.3(d)</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Jazz Competing Product</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1.1(a)</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Jazz Indemnitee(s)</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13.2</w:t>
            </w:r>
          </w:p>
        </w:tc>
      </w:tr>
      <w:tr>
        <w:trPr>
          <w:trHeight w:val="264"/>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Jazz Publication</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11.1(b)</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Joint Collaboration IP</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14.1(a)</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Joint Patent Rights</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14.1(d)</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JSC</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3.2(a)</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License</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2.1(b)</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Losses</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13.1</w:t>
            </w:r>
          </w:p>
        </w:tc>
      </w:tr>
      <w:tr>
        <w:trPr>
          <w:trHeight w:val="264"/>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Manufacturing Technology Transfer</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7.2</w:t>
            </w:r>
          </w:p>
        </w:tc>
      </w:tr>
      <w:tr>
        <w:trPr>
          <w:trHeight w:val="264"/>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Manufacturing Technology Transfer Plan</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7.2</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Manufacturing Transition Date</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7.3(a)</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Manufacturing Working Group</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3.2(g)(ii)</w:t>
            </w:r>
          </w:p>
        </w:tc>
      </w:tr>
      <w:tr>
        <w:trPr>
          <w:trHeight w:val="264"/>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Negotiation Period</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2.8</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Notice of Dispute</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17.5(a)</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Offered Rights</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2.8</w:t>
            </w:r>
          </w:p>
        </w:tc>
      </w:tr>
      <w:tr>
        <w:trPr>
          <w:trHeight w:val="264"/>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Parties</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Preamble</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Party</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Preamble</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Patent Liaison</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14.2</w:t>
            </w:r>
          </w:p>
        </w:tc>
      </w:tr>
      <w:tr>
        <w:trPr>
          <w:trHeight w:val="264"/>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Post-Approval Commitments</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6.7(b)</w:t>
            </w:r>
          </w:p>
        </w:tc>
      </w:tr>
      <w:tr>
        <w:trPr>
          <w:trHeight w:val="264"/>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PPQ</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7.4(a)</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Product Infringement</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14.4(a)</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Product Marks</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14.9(a)</w:t>
            </w:r>
          </w:p>
        </w:tc>
      </w:tr>
      <w:tr>
        <w:trPr>
          <w:trHeight w:val="264"/>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Public Official</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12.7(d)</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Publication</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11.1(c)</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Quality Technical Agreement</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7.3(d)</w:t>
            </w:r>
          </w:p>
        </w:tc>
      </w:tr>
      <w:tr>
        <w:trPr>
          <w:trHeight w:val="264"/>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Receiving Party</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1.21</w:t>
            </w:r>
          </w:p>
        </w:tc>
      </w:tr>
      <w:tr>
        <w:trPr>
          <w:trHeight w:val="264"/>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Regulatory Milestone Event</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9.3</w:t>
            </w:r>
          </w:p>
        </w:tc>
      </w:tr>
      <w:tr>
        <w:trPr>
          <w:trHeight w:val="264"/>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Regulatory Milestone Payment</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9.3</w:t>
            </w:r>
          </w:p>
        </w:tc>
      </w:tr>
      <w:tr>
        <w:trPr>
          <w:trHeight w:val="263"/>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Regulatory Working Group</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3.2(g)(iii)</w:t>
            </w:r>
          </w:p>
        </w:tc>
      </w:tr>
      <w:tr>
        <w:trPr>
          <w:trHeight w:val="264"/>
        </w:trPr>
        <w:tc>
          <w:tcPr>
            <w:tcW w:w="45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Request Period</w:t>
            </w:r>
          </w:p>
        </w:tc>
        <w:tc>
          <w:tcPr>
            <w:tcW w:w="498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2.8</w:t>
            </w:r>
          </w:p>
        </w:tc>
      </w:tr>
      <w:tr>
        <w:trPr>
          <w:trHeight w:val="1016"/>
        </w:trPr>
        <w:tc>
          <w:tcPr>
            <w:tcW w:w="4560" w:type="dxa"/>
            <w:vAlign w:val="bottom"/>
          </w:tcPr>
          <w:p>
            <w:pPr>
              <w:spacing w:after="0"/>
              <w:rPr>
                <w:sz w:val="24"/>
                <w:szCs w:val="24"/>
                <w:color w:val="auto"/>
              </w:rPr>
            </w:pPr>
          </w:p>
        </w:tc>
        <w:tc>
          <w:tcPr>
            <w:tcW w:w="4980" w:type="dxa"/>
            <w:vAlign w:val="bottom"/>
          </w:tcPr>
          <w:p>
            <w:pPr>
              <w:jc w:val="right"/>
              <w:ind w:right="3632"/>
              <w:spacing w:after="0"/>
              <w:rPr>
                <w:sz w:val="20"/>
                <w:szCs w:val="20"/>
                <w:color w:val="auto"/>
              </w:rPr>
            </w:pPr>
            <w:r>
              <w:rPr>
                <w:rFonts w:ascii="Arial" w:cs="Arial" w:eastAsia="Arial" w:hAnsi="Arial"/>
                <w:sz w:val="22"/>
                <w:szCs w:val="22"/>
                <w:color w:val="auto"/>
              </w:rPr>
              <w:t>-11-</w:t>
            </w:r>
          </w:p>
        </w:tc>
        <w:tc>
          <w:tcPr>
            <w:tcW w:w="1720" w:type="dxa"/>
            <w:vAlign w:val="bottom"/>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181" w:name="page182"/>
    <w:bookmarkEnd w:id="18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95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Review Period</w:t>
            </w:r>
          </w:p>
        </w:tc>
        <w:tc>
          <w:tcPr>
            <w:tcW w:w="17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11.1(b)</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Royalty Floor</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9.6(c)(iii)</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Royalty Term</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9.6(b)</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Safety Working Group</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3.2(g)(iv)</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SDEA Agreement</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6.4</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SEC</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11.3(c)</w:t>
            </w:r>
          </w:p>
        </w:tc>
      </w:tr>
      <w:tr>
        <w:trPr>
          <w:trHeight w:val="264"/>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Second Payment</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9.1(b)</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Second Payment Due Date</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9.1(b)</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Second Request</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16.1(b)</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Securities Regulators</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11.3(c)</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Technology Transfer</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4.1</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Term</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15.1</w:t>
            </w:r>
          </w:p>
        </w:tc>
      </w:tr>
      <w:tr>
        <w:trPr>
          <w:trHeight w:val="264"/>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Territory Development Plan</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5.4</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Upfront Payment</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9.1(a)</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Western Europe</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1.60</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Working Group</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3.2(g)(i)</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w:t>
            </w:r>
          </w:p>
        </w:tc>
      </w:tr>
      <w:tr>
        <w:trPr>
          <w:trHeight w:val="264"/>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Zanidatamab</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1.50</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Zymeworks</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Preamble</w:t>
            </w:r>
          </w:p>
        </w:tc>
      </w:tr>
      <w:tr>
        <w:trPr>
          <w:trHeight w:val="264"/>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Zymeworks Collaboration IP</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14.1(a)</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Zymeworks Competing Product</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1.1(b)</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Zymeworks Development Plan</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5.2(a)</w:t>
            </w:r>
          </w:p>
        </w:tc>
      </w:tr>
      <w:tr>
        <w:trPr>
          <w:trHeight w:val="264"/>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Zymeworks Domain Names</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14.9(b)(v)</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Zymeworks Indemnitee(s)</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13.1</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Zymeworks Manufacturing IP</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7.2</w:t>
            </w:r>
          </w:p>
        </w:tc>
      </w:tr>
      <w:tr>
        <w:trPr>
          <w:trHeight w:val="264"/>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Zymeworks Platform Patents</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1.79</w:t>
            </w:r>
          </w:p>
        </w:tc>
      </w:tr>
      <w:tr>
        <w:trPr>
          <w:trHeight w:val="263"/>
        </w:trPr>
        <w:tc>
          <w:tcPr>
            <w:tcW w:w="9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Zymeworks Publication</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11.1(c)</w:t>
            </w:r>
          </w:p>
        </w:tc>
      </w:tr>
    </w:tbl>
    <w:p>
      <w:pPr>
        <w:spacing w:after="0" w:line="297"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9"/>
          <w:szCs w:val="19"/>
          <w:b w:val="1"/>
          <w:bCs w:val="1"/>
          <w:color w:val="auto"/>
        </w:rPr>
        <w:t xml:space="preserve">1.83 </w:t>
      </w:r>
      <w:r>
        <w:rPr>
          <w:rFonts w:ascii="Arial" w:cs="Arial" w:eastAsia="Arial" w:hAnsi="Arial"/>
          <w:sz w:val="19"/>
          <w:szCs w:val="19"/>
          <w:b w:val="1"/>
          <w:bCs w:val="1"/>
          <w:u w:val="single" w:color="auto"/>
          <w:color w:val="auto"/>
        </w:rPr>
        <w:t>Interpretation</w:t>
      </w:r>
      <w:r>
        <w:rPr>
          <w:rFonts w:ascii="Arial" w:cs="Arial" w:eastAsia="Arial" w:hAnsi="Arial"/>
          <w:sz w:val="19"/>
          <w:szCs w:val="19"/>
          <w:color w:val="auto"/>
        </w:rPr>
        <w:t>. The captions and headings to this Agreement are for convenience only, and are to be of no force</w:t>
      </w:r>
      <w:r>
        <w:rPr>
          <w:rFonts w:ascii="Arial" w:cs="Arial" w:eastAsia="Arial" w:hAnsi="Arial"/>
          <w:sz w:val="19"/>
          <w:szCs w:val="19"/>
          <w:b w:val="1"/>
          <w:bCs w:val="1"/>
          <w:color w:val="auto"/>
        </w:rPr>
        <w:t xml:space="preserve"> </w:t>
      </w:r>
      <w:r>
        <w:rPr>
          <w:rFonts w:ascii="Arial" w:cs="Arial" w:eastAsia="Arial" w:hAnsi="Arial"/>
          <w:sz w:val="19"/>
          <w:szCs w:val="19"/>
          <w:color w:val="auto"/>
        </w:rPr>
        <w:t>or effect in construing or interpreting any of the provisions of this Agreement. Unless specified to the contrary, references to Articles, Sections or Exhibits mean the particular Articles, Sections or Exhibits to this Agreement and references to this Agreement include all Exhibits hereto. In the event of any conflict between the main body of this Agreement and any Exhibit hereto, the main body of this Agreement shall prevail. Unless context otherwise clearly requires, whenever used in this Agreement: (a) the words “include” or “including” shall be construed as incorporating, also, “but not limited to” or “without limitation;” (b) the word “day” or “year” means a calendar day or year unless otherwise specified; (c) the word “notice” shall mean notice in writing (whether or not specifically stated) and shall include notices, consents, approvals and other written communications contemplated under this Agreement; (d) the words “hereof,” “herein,” “hereby” and derivative or similar words refer to this Agreement as a whole and not merely to the particular provision in which such words appear; (e) the words “shall” and “will” have interchangeable meanings for purposes of this Agreement; (f) the word “or” shall have the inclusive meaning commonly associated with “and/or”; (g) provisions that require that a Party, the Parties or a committee hereunder “agree,” “consent” or “approve” or the like shall require that such agreement, consent or approval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60"/>
          </w:cols>
          <w:pgMar w:left="320" w:top="1440" w:right="319" w:bottom="1440" w:gutter="0" w:footer="0" w:header="0"/>
        </w:sectPr>
      </w:pPr>
    </w:p>
    <w:bookmarkStart w:id="182" w:name="page183"/>
    <w:bookmarkEnd w:id="182"/>
    <w:p>
      <w:pPr>
        <w:jc w:val="both"/>
        <w:spacing w:after="0" w:line="226" w:lineRule="auto"/>
        <w:rPr>
          <w:sz w:val="20"/>
          <w:szCs w:val="20"/>
          <w:color w:val="auto"/>
        </w:rPr>
      </w:pPr>
      <w:r>
        <w:rPr>
          <w:rFonts w:ascii="Arial" w:cs="Arial" w:eastAsia="Arial" w:hAnsi="Arial"/>
          <w:sz w:val="21"/>
          <w:szCs w:val="21"/>
          <w:color w:val="auto"/>
        </w:rPr>
        <w:t>specific and in writing, whether by written agreement, letter, approved minutes or otherwise; (h) words of any gender include the other gender; (i) words using the singular or plural number also include the plural or singular number, respectively; (j) references to any specific law, rule or regulation, or article, section or other division thereof, shall be deemed to include the then-current amendments thereto or any replacement law, rule or regulation thereof; (k) neither Party or its Affiliates shall be deemed to be acting “under authority of” or “on behalf of” the other Party.</w:t>
      </w:r>
    </w:p>
    <w:p>
      <w:pPr>
        <w:spacing w:after="0" w:line="15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2</w:t>
      </w:r>
    </w:p>
    <w:p>
      <w:pPr>
        <w:spacing w:after="0" w:line="179"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LICENSE</w:t>
      </w:r>
    </w:p>
    <w:p>
      <w:pPr>
        <w:spacing w:after="0" w:line="179"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 xml:space="preserve">2.1 License Grants to Jazz. </w:t>
      </w:r>
      <w:r>
        <w:rPr>
          <w:rFonts w:ascii="Arial" w:cs="Arial" w:eastAsia="Arial" w:hAnsi="Arial"/>
          <w:sz w:val="22"/>
          <w:szCs w:val="22"/>
          <w:color w:val="auto"/>
        </w:rPr>
        <w:t>Subject to the terms and conditions of this Agreement and effective on the Closing Date,</w:t>
      </w:r>
      <w:r>
        <w:rPr>
          <w:rFonts w:ascii="Arial" w:cs="Arial" w:eastAsia="Arial" w:hAnsi="Arial"/>
          <w:sz w:val="22"/>
          <w:szCs w:val="22"/>
          <w:b w:val="1"/>
          <w:bCs w:val="1"/>
          <w:color w:val="auto"/>
        </w:rPr>
        <w:t xml:space="preserve"> </w:t>
      </w:r>
      <w:r>
        <w:rPr>
          <w:rFonts w:ascii="Arial" w:cs="Arial" w:eastAsia="Arial" w:hAnsi="Arial"/>
          <w:sz w:val="22"/>
          <w:szCs w:val="22"/>
          <w:color w:val="auto"/>
        </w:rPr>
        <w:t>Zymeworks hereby grants to Jazz:</w:t>
      </w:r>
    </w:p>
    <w:p>
      <w:pPr>
        <w:spacing w:after="0" w:line="159" w:lineRule="exact"/>
        <w:rPr>
          <w:sz w:val="20"/>
          <w:szCs w:val="20"/>
          <w:color w:val="auto"/>
        </w:rPr>
      </w:pPr>
    </w:p>
    <w:p>
      <w:pPr>
        <w:jc w:val="both"/>
        <w:ind w:firstLine="1304"/>
        <w:spacing w:after="0" w:line="244" w:lineRule="auto"/>
        <w:tabs>
          <w:tab w:leader="none" w:pos="1939" w:val="left"/>
        </w:tabs>
        <w:numPr>
          <w:ilvl w:val="0"/>
          <w:numId w:val="92"/>
        </w:numPr>
        <w:rPr>
          <w:rFonts w:ascii="Arial" w:cs="Arial" w:eastAsia="Arial" w:hAnsi="Arial"/>
          <w:sz w:val="19"/>
          <w:szCs w:val="19"/>
          <w:b w:val="1"/>
          <w:bCs w:val="1"/>
          <w:color w:val="auto"/>
        </w:rPr>
      </w:pPr>
      <w:r>
        <w:rPr>
          <w:rFonts w:ascii="Arial" w:cs="Arial" w:eastAsia="Arial" w:hAnsi="Arial"/>
          <w:sz w:val="19"/>
          <w:szCs w:val="19"/>
          <w:color w:val="auto"/>
        </w:rPr>
        <w:t>an exclusive (subject to Zymeworks’ retained rights as set forth in Section 2.3), royalty-bearing license, with the right to grant sublicenses solely in accordance with Section 2.2, under the Zymeworks IP and (subject to Section 14.9(b)) the Zymeworks Trademarks, to (i) research, Develop, make and have made (subject to Zymeworks’ right to make and have made Licensed Antibodies and Licensed Products pursuant to Article 7), use, and import Licensed Antibodies in the Field in the Territory solely for incorporation into Licensed Products, (ii) research, Develop, distribute, make and have made (subject to Zymeworks’ right to make and have made Licensed Antibodies and Licensed Products pursuant to Article 7), use, sell, offer for sale, import and otherwise Commercialize Licensed Products in the Field in the Territory and (iii) to make and have made (subject to Zymeworks’ right to make and have made the Licensed Antibody and Licensed Product pursuant to Article 7) Licensed Antibodies and Licensed Products outside of the Territory, solely for research, Development, distribution, use, sale, offering for sale, importation or other Commercialization in the Field in the Territory; and</w:t>
      </w:r>
    </w:p>
    <w:p>
      <w:pPr>
        <w:spacing w:after="0" w:line="154" w:lineRule="exact"/>
        <w:rPr>
          <w:rFonts w:ascii="Arial" w:cs="Arial" w:eastAsia="Arial" w:hAnsi="Arial"/>
          <w:sz w:val="19"/>
          <w:szCs w:val="19"/>
          <w:b w:val="1"/>
          <w:bCs w:val="1"/>
          <w:color w:val="auto"/>
        </w:rPr>
      </w:pPr>
    </w:p>
    <w:p>
      <w:pPr>
        <w:jc w:val="both"/>
        <w:ind w:firstLine="1304"/>
        <w:spacing w:after="0" w:line="257" w:lineRule="auto"/>
        <w:tabs>
          <w:tab w:leader="none" w:pos="1938" w:val="left"/>
        </w:tabs>
        <w:numPr>
          <w:ilvl w:val="0"/>
          <w:numId w:val="92"/>
        </w:numPr>
        <w:rPr>
          <w:rFonts w:ascii="Arial" w:cs="Arial" w:eastAsia="Arial" w:hAnsi="Arial"/>
          <w:sz w:val="19"/>
          <w:szCs w:val="19"/>
          <w:b w:val="1"/>
          <w:bCs w:val="1"/>
          <w:color w:val="auto"/>
        </w:rPr>
      </w:pPr>
      <w:r>
        <w:rPr>
          <w:rFonts w:ascii="Arial" w:cs="Arial" w:eastAsia="Arial" w:hAnsi="Arial"/>
          <w:sz w:val="19"/>
          <w:szCs w:val="19"/>
          <w:color w:val="auto"/>
        </w:rPr>
        <w:t>a non-exclusive license, with the right to grant sublicenses solely in accordance with Section 2.2, under the Zymeworks IP, to research and preclinically Develop Licensed Antibodies and Licensed Products in the Field outside of the Territory, solely for the furtherance of Development and Commercialization of Licensed Antibodies and Licensed Products in the Field in the Territory, in accordance with the Territory Development Plan ((a) and (b), the “</w:t>
      </w:r>
      <w:r>
        <w:rPr>
          <w:rFonts w:ascii="Arial" w:cs="Arial" w:eastAsia="Arial" w:hAnsi="Arial"/>
          <w:sz w:val="19"/>
          <w:szCs w:val="19"/>
          <w:b w:val="1"/>
          <w:bCs w:val="1"/>
          <w:color w:val="auto"/>
        </w:rPr>
        <w:t>License</w:t>
      </w:r>
      <w:r>
        <w:rPr>
          <w:rFonts w:ascii="Arial" w:cs="Arial" w:eastAsia="Arial" w:hAnsi="Arial"/>
          <w:sz w:val="19"/>
          <w:szCs w:val="19"/>
          <w:color w:val="auto"/>
        </w:rPr>
        <w:t>”).</w:t>
      </w:r>
    </w:p>
    <w:p>
      <w:pPr>
        <w:spacing w:after="0" w:line="144"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 xml:space="preserve">Notwithstanding the foregoing, (i) the License, to the extent granted under certain Patent Rights and Know-How that Zymeworks Controls pursuant to Third Party In-License Agreements, is (1) subject to the terms and conditions of separate sublicense agreements that are set forth on </w:t>
      </w:r>
      <w:r>
        <w:rPr>
          <w:rFonts w:ascii="Arial" w:cs="Arial" w:eastAsia="Arial" w:hAnsi="Arial"/>
          <w:sz w:val="22"/>
          <w:szCs w:val="22"/>
          <w:b w:val="1"/>
          <w:bCs w:val="1"/>
          <w:color w:val="auto"/>
        </w:rPr>
        <w:t>Exhibit 2.1</w:t>
      </w:r>
      <w:r>
        <w:rPr>
          <w:rFonts w:ascii="Arial" w:cs="Arial" w:eastAsia="Arial" w:hAnsi="Arial"/>
          <w:sz w:val="22"/>
          <w:szCs w:val="22"/>
          <w:color w:val="auto"/>
        </w:rPr>
        <w:t xml:space="preserve"> hereto and (2) exclusive under Zymeworks’ rights to such Patent Rights and Know-How, even if such rights, as between Zymeworks and the applicable Third Party, are non-exclusive and (ii) the License, with respect to any Patent Rights and Know-How to which Zymeworks or its Affiliates obtained a sublicensable license pursuant to the ELA, shall [***]. For clarity, Jazz is not granted any rights hereunder to Commercialize Licensed Antibodies or Licensed Products outside of the Territory.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Right to Sublicense</w:t>
      </w:r>
      <w:r>
        <w:rPr>
          <w:rFonts w:ascii="Arial" w:cs="Arial" w:eastAsia="Arial" w:hAnsi="Arial"/>
          <w:sz w:val="19"/>
          <w:szCs w:val="19"/>
          <w:color w:val="auto"/>
        </w:rPr>
        <w:t>.</w:t>
      </w:r>
    </w:p>
    <w:p>
      <w:pPr>
        <w:spacing w:after="0" w:line="185" w:lineRule="exact"/>
        <w:rPr>
          <w:sz w:val="20"/>
          <w:szCs w:val="20"/>
          <w:color w:val="auto"/>
        </w:rPr>
      </w:pPr>
    </w:p>
    <w:p>
      <w:pPr>
        <w:ind w:firstLine="1304"/>
        <w:spacing w:after="0" w:line="232" w:lineRule="auto"/>
        <w:tabs>
          <w:tab w:leader="none" w:pos="1939" w:val="left"/>
        </w:tabs>
        <w:numPr>
          <w:ilvl w:val="0"/>
          <w:numId w:val="93"/>
        </w:numPr>
        <w:rPr>
          <w:rFonts w:ascii="Arial" w:cs="Arial" w:eastAsia="Arial" w:hAnsi="Arial"/>
          <w:sz w:val="22"/>
          <w:szCs w:val="22"/>
          <w:b w:val="1"/>
          <w:bCs w:val="1"/>
          <w:color w:val="auto"/>
        </w:rPr>
      </w:pPr>
      <w:r>
        <w:rPr>
          <w:rFonts w:ascii="Arial" w:cs="Arial" w:eastAsia="Arial" w:hAnsi="Arial"/>
          <w:sz w:val="22"/>
          <w:szCs w:val="22"/>
          <w:color w:val="auto"/>
        </w:rPr>
        <w:t>Subject to the terms and conditions of this Agreement (including Section 2.2(b)), Jazz shall have the right to grant sublicenses under the License through multiple tiers to its Affiliates and to Third Parties.</w:t>
      </w:r>
    </w:p>
    <w:p>
      <w:pPr>
        <w:spacing w:after="0" w:line="158" w:lineRule="exact"/>
        <w:rPr>
          <w:rFonts w:ascii="Arial" w:cs="Arial" w:eastAsia="Arial" w:hAnsi="Arial"/>
          <w:sz w:val="22"/>
          <w:szCs w:val="22"/>
          <w:b w:val="1"/>
          <w:bCs w:val="1"/>
          <w:color w:val="auto"/>
        </w:rPr>
      </w:pPr>
    </w:p>
    <w:p>
      <w:pPr>
        <w:ind w:firstLine="1304"/>
        <w:spacing w:after="0" w:line="232" w:lineRule="auto"/>
        <w:tabs>
          <w:tab w:leader="none" w:pos="1938" w:val="left"/>
        </w:tabs>
        <w:numPr>
          <w:ilvl w:val="0"/>
          <w:numId w:val="93"/>
        </w:numPr>
        <w:rPr>
          <w:rFonts w:ascii="Arial" w:cs="Arial" w:eastAsia="Arial" w:hAnsi="Arial"/>
          <w:sz w:val="22"/>
          <w:szCs w:val="22"/>
          <w:b w:val="1"/>
          <w:bCs w:val="1"/>
          <w:color w:val="auto"/>
        </w:rPr>
      </w:pPr>
      <w:r>
        <w:rPr>
          <w:rFonts w:ascii="Arial" w:cs="Arial" w:eastAsia="Arial" w:hAnsi="Arial"/>
          <w:sz w:val="22"/>
          <w:szCs w:val="22"/>
          <w:color w:val="auto"/>
        </w:rPr>
        <w:t>Each sublicense shall be subject to a written agreement that is consistent with the terms and conditions of this Agreement, and Jazz shall ensure that its sublicensees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183" w:name="page184"/>
    <w:bookmarkEnd w:id="183"/>
    <w:p>
      <w:pPr>
        <w:jc w:val="both"/>
        <w:spacing w:after="0" w:line="223" w:lineRule="auto"/>
        <w:rPr>
          <w:sz w:val="20"/>
          <w:szCs w:val="20"/>
          <w:color w:val="auto"/>
        </w:rPr>
      </w:pPr>
      <w:r>
        <w:rPr>
          <w:rFonts w:ascii="Arial" w:cs="Arial" w:eastAsia="Arial" w:hAnsi="Arial"/>
          <w:sz w:val="22"/>
          <w:szCs w:val="22"/>
          <w:color w:val="auto"/>
        </w:rPr>
        <w:t>comply with the terms and conditions of such agreement. Jazz will remain directly responsible for all its obligations under this Agreement, regardless of whether any such obligation is delegated, subcontracted or sublicensed to any of its Affiliates or sublicensees. [***]</w:t>
      </w:r>
    </w:p>
    <w:p>
      <w:pPr>
        <w:spacing w:after="0" w:line="15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b w:val="1"/>
          <w:bCs w:val="1"/>
          <w:color w:val="auto"/>
        </w:rPr>
        <w:t xml:space="preserve">2.3 Zymeworks Retained Rights. </w:t>
      </w:r>
      <w:r>
        <w:rPr>
          <w:rFonts w:ascii="Arial" w:cs="Arial" w:eastAsia="Arial" w:hAnsi="Arial"/>
          <w:sz w:val="19"/>
          <w:szCs w:val="19"/>
          <w:color w:val="auto"/>
        </w:rPr>
        <w:t>Notwithstanding the exclusive nature of the License granted pursuant to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2.1(a), Zymeworks expressly retains the rights to use the Zymeworks IP and the Zymeworks Trademarks in the Field in the Territory in order to (a) perform its obligations under this Agreement, which for clarity do not include Commercialization of Licensed Antibodies or Licensed Products in the Territory, (b) to conduct the Zymeworks Ongoing Studies, and (c) to make and have made Licensed Antibody and Licensed Product, in the Territory or outside of the Territory, in each case whether directly or through its Affiliates, licensees or contractors, which rights shall be exclusive with respect to (c) for purposes of clinically Developing and Commercializing Licensed Products outside the Territory, and which rights shall be non-exclusive and subject to Article 7 for purposes of Developing and Commercializing Licensed Products in the Territory and for purposes of researching and preclinically Developing Licensed Antibody and Licensed Products outside of the Territory. For clarity, Zymeworks retains the exclusive right to practice, license and otherwise exploit the Zymeworks IP outside the scope of the License.</w:t>
      </w:r>
    </w:p>
    <w:p>
      <w:pPr>
        <w:spacing w:after="0" w:line="1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 xml:space="preserve">License Grants to Zymeworks. </w:t>
      </w:r>
      <w:r>
        <w:rPr>
          <w:rFonts w:ascii="Arial" w:cs="Arial" w:eastAsia="Arial" w:hAnsi="Arial"/>
          <w:sz w:val="19"/>
          <w:szCs w:val="19"/>
          <w:color w:val="auto"/>
        </w:rPr>
        <w:t>Subject to the terms and conditions of this Agreement and effective on the</w:t>
      </w:r>
    </w:p>
    <w:p>
      <w:pPr>
        <w:spacing w:after="0"/>
        <w:rPr>
          <w:sz w:val="20"/>
          <w:szCs w:val="20"/>
          <w:color w:val="auto"/>
        </w:rPr>
      </w:pPr>
      <w:r>
        <w:rPr>
          <w:rFonts w:ascii="Arial" w:cs="Arial" w:eastAsia="Arial" w:hAnsi="Arial"/>
          <w:sz w:val="22"/>
          <w:szCs w:val="22"/>
          <w:color w:val="auto"/>
        </w:rPr>
        <w:t>Closing Date, Jazz hereby grants to Zymeworks:</w:t>
      </w:r>
    </w:p>
    <w:p>
      <w:pPr>
        <w:spacing w:after="0" w:line="161" w:lineRule="exact"/>
        <w:rPr>
          <w:sz w:val="20"/>
          <w:szCs w:val="20"/>
          <w:color w:val="auto"/>
        </w:rPr>
      </w:pPr>
    </w:p>
    <w:p>
      <w:pPr>
        <w:jc w:val="both"/>
        <w:ind w:firstLine="1304"/>
        <w:spacing w:after="0" w:line="246" w:lineRule="auto"/>
        <w:tabs>
          <w:tab w:leader="none" w:pos="1939" w:val="left"/>
        </w:tabs>
        <w:numPr>
          <w:ilvl w:val="0"/>
          <w:numId w:val="94"/>
        </w:numPr>
        <w:rPr>
          <w:rFonts w:ascii="Arial" w:cs="Arial" w:eastAsia="Arial" w:hAnsi="Arial"/>
          <w:sz w:val="19"/>
          <w:szCs w:val="19"/>
          <w:b w:val="1"/>
          <w:bCs w:val="1"/>
          <w:color w:val="auto"/>
        </w:rPr>
      </w:pPr>
      <w:r>
        <w:rPr>
          <w:rFonts w:ascii="Arial" w:cs="Arial" w:eastAsia="Arial" w:hAnsi="Arial"/>
          <w:sz w:val="19"/>
          <w:szCs w:val="19"/>
          <w:color w:val="auto"/>
        </w:rPr>
        <w:t>a non-exclusive, fully-paid, royalty-free, and sublicensable (through multiple tiers) license, under the Jazz IP, solely to (i) Develop, make, have made, and Commercialize Licensed Antibodies and Licensed Products (A) outside the Territory and (B) in the Territory solely as necessary for Zymeworks to perform its obligations under this Agreement (including pursuant to Article 7) and to conduct research and Development activities under the Zymeworks Development Plan, (ii) otherwise make and have made Licensed Antibodies and Licensed Products in the Territory solely for Development and Commercialization of the Licensed Product outside of the Territory, and (iii) make, have made, use, sell, import and otherwise exploit ZW49 (or Zanidatamab Zovodotin), including to make and have made Zanidatamab for incorporation into ZW49 (or Zanidatamab Zovodotin) for development and commercialization in and outside of the Territory;</w:t>
      </w:r>
    </w:p>
    <w:p>
      <w:pPr>
        <w:spacing w:after="0" w:line="152" w:lineRule="exact"/>
        <w:rPr>
          <w:rFonts w:ascii="Arial" w:cs="Arial" w:eastAsia="Arial" w:hAnsi="Arial"/>
          <w:sz w:val="19"/>
          <w:szCs w:val="19"/>
          <w:b w:val="1"/>
          <w:bCs w:val="1"/>
          <w:color w:val="auto"/>
        </w:rPr>
      </w:pPr>
    </w:p>
    <w:p>
      <w:pPr>
        <w:jc w:val="both"/>
        <w:ind w:firstLine="1304"/>
        <w:spacing w:after="0" w:line="212" w:lineRule="auto"/>
        <w:tabs>
          <w:tab w:leader="none" w:pos="1938" w:val="left"/>
        </w:tabs>
        <w:numPr>
          <w:ilvl w:val="0"/>
          <w:numId w:val="94"/>
        </w:numPr>
        <w:rPr>
          <w:rFonts w:ascii="Arial" w:cs="Arial" w:eastAsia="Arial" w:hAnsi="Arial"/>
          <w:sz w:val="22"/>
          <w:szCs w:val="22"/>
          <w:b w:val="1"/>
          <w:bCs w:val="1"/>
          <w:color w:val="auto"/>
        </w:rPr>
      </w:pPr>
      <w:r>
        <w:rPr>
          <w:rFonts w:ascii="Arial" w:cs="Arial" w:eastAsia="Arial" w:hAnsi="Arial"/>
          <w:sz w:val="22"/>
          <w:szCs w:val="22"/>
          <w:color w:val="auto"/>
        </w:rPr>
        <w:t>an exclusive, fully-paid, royalty-free and sublicensable (through multiple tiers) license, under the Jazz Collaboration IP (excluding Jazz Manufacturing IP) and Jazz’s interest in the Joint Collaboration IP, solely to Develop, make, have made and Commercialize Licensed Antibodies and Licensed Products outside the Territory; provided, however, that Jazz expressly retains (on behalf of itself, its Affiliates and its licensees) the right under the Jazz Collaboration IP (excluding Jazz Manufacturing IP) and Jazz’s interest in the Joint Collaboration IP to research, preclinically Develop, make and have made Licensed Products outside of the Territory solely for the furtherance of Development and Commercialization of Licensed Antibodies and Licensed Products in the Territory;</w:t>
      </w:r>
    </w:p>
    <w:p>
      <w:pPr>
        <w:spacing w:after="0" w:line="163" w:lineRule="exact"/>
        <w:rPr>
          <w:rFonts w:ascii="Arial" w:cs="Arial" w:eastAsia="Arial" w:hAnsi="Arial"/>
          <w:sz w:val="22"/>
          <w:szCs w:val="22"/>
          <w:b w:val="1"/>
          <w:bCs w:val="1"/>
          <w:color w:val="auto"/>
        </w:rPr>
      </w:pPr>
    </w:p>
    <w:p>
      <w:pPr>
        <w:jc w:val="both"/>
        <w:ind w:firstLine="1304"/>
        <w:spacing w:after="0" w:line="222" w:lineRule="auto"/>
        <w:tabs>
          <w:tab w:leader="none" w:pos="1941" w:val="left"/>
        </w:tabs>
        <w:numPr>
          <w:ilvl w:val="0"/>
          <w:numId w:val="94"/>
        </w:numPr>
        <w:rPr>
          <w:rFonts w:ascii="Arial" w:cs="Arial" w:eastAsia="Arial" w:hAnsi="Arial"/>
          <w:sz w:val="21"/>
          <w:szCs w:val="21"/>
          <w:b w:val="1"/>
          <w:bCs w:val="1"/>
          <w:color w:val="auto"/>
        </w:rPr>
      </w:pPr>
      <w:r>
        <w:rPr>
          <w:rFonts w:ascii="Arial" w:cs="Arial" w:eastAsia="Arial" w:hAnsi="Arial"/>
          <w:sz w:val="21"/>
          <w:szCs w:val="21"/>
          <w:color w:val="auto"/>
        </w:rPr>
        <w:t>a non-exclusive, fully-paid, royalty-free and sublicensable (through multiple tiers) license, under the Jazz Collaboration IP (excluding Jazz Manufacturing IP), solely (i) to Develop, use, make and have made, and import Licensed Antibodies and Licensed Products in the Territory solely as necessary for Zymeworks to perform its obligations under this Agreement (including pursuant to Article 7), (ii) to conduct Development activities under the Zymeworks Development Plan, (iii) to make and have made Licensed Antibodies and Licensed Product in the Territory or the outside the Territory solely for Development and Commercialization of the Licensed Product outside of the Territory, and (iv) make, have made, use, sell, import and otherwise exploit ZW49 (or Zanidatamab Zovodotin), including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184" w:name="page185"/>
    <w:bookmarkEnd w:id="184"/>
    <w:p>
      <w:pPr>
        <w:spacing w:after="0" w:line="232" w:lineRule="auto"/>
        <w:rPr>
          <w:sz w:val="20"/>
          <w:szCs w:val="20"/>
          <w:color w:val="auto"/>
        </w:rPr>
      </w:pPr>
      <w:r>
        <w:rPr>
          <w:rFonts w:ascii="Arial" w:cs="Arial" w:eastAsia="Arial" w:hAnsi="Arial"/>
          <w:sz w:val="22"/>
          <w:szCs w:val="22"/>
          <w:color w:val="auto"/>
        </w:rPr>
        <w:t>and have made Zanidatamab for incorporation into ZW49 (or Zanidatamab Zovodotin) for development and commercialization in and outside of the Territory; and</w:t>
      </w:r>
    </w:p>
    <w:p>
      <w:pPr>
        <w:spacing w:after="0" w:line="159" w:lineRule="exact"/>
        <w:rPr>
          <w:sz w:val="20"/>
          <w:szCs w:val="20"/>
          <w:color w:val="auto"/>
        </w:rPr>
      </w:pPr>
    </w:p>
    <w:p>
      <w:pPr>
        <w:ind w:firstLine="1304"/>
        <w:spacing w:after="0" w:line="247" w:lineRule="auto"/>
        <w:tabs>
          <w:tab w:leader="none" w:pos="1938" w:val="left"/>
        </w:tabs>
        <w:numPr>
          <w:ilvl w:val="0"/>
          <w:numId w:val="95"/>
        </w:numPr>
        <w:rPr>
          <w:rFonts w:ascii="Arial" w:cs="Arial" w:eastAsia="Arial" w:hAnsi="Arial"/>
          <w:sz w:val="21"/>
          <w:szCs w:val="21"/>
          <w:b w:val="1"/>
          <w:bCs w:val="1"/>
          <w:color w:val="auto"/>
        </w:rPr>
      </w:pPr>
      <w:r>
        <w:rPr>
          <w:rFonts w:ascii="Arial" w:cs="Arial" w:eastAsia="Arial" w:hAnsi="Arial"/>
          <w:sz w:val="21"/>
          <w:szCs w:val="21"/>
          <w:color w:val="auto"/>
        </w:rPr>
        <w:t>a non-exclusive, fully-paid, royalty-free and sublicensable (through multiple tiers) license, under the Global Brand Elements, to Develop, make, have made, and Commercialize Licensed Products outside of the Territory.</w:t>
      </w:r>
    </w:p>
    <w:p>
      <w:pPr>
        <w:spacing w:after="0" w:line="14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2.5 No Implied Licenses. </w:t>
      </w:r>
      <w:r>
        <w:rPr>
          <w:rFonts w:ascii="Arial" w:cs="Arial" w:eastAsia="Arial" w:hAnsi="Arial"/>
          <w:sz w:val="22"/>
          <w:szCs w:val="22"/>
          <w:color w:val="auto"/>
        </w:rPr>
        <w:t>Except as expressly set forth herein, neither Party shall acquire any license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intellectual property interest, by implication or otherwise, under any trademarks, Patent Rights, Know-How or other intellectual property of the other Party.</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Non-Compete</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14" w:lineRule="auto"/>
        <w:tabs>
          <w:tab w:leader="none" w:pos="1939" w:val="left"/>
        </w:tabs>
        <w:numPr>
          <w:ilvl w:val="0"/>
          <w:numId w:val="96"/>
        </w:numPr>
        <w:rPr>
          <w:rFonts w:ascii="Arial" w:cs="Arial" w:eastAsia="Arial" w:hAnsi="Arial"/>
          <w:sz w:val="22"/>
          <w:szCs w:val="22"/>
          <w:b w:val="1"/>
          <w:bCs w:val="1"/>
          <w:color w:val="auto"/>
        </w:rPr>
      </w:pPr>
      <w:r>
        <w:rPr>
          <w:rFonts w:ascii="Arial" w:cs="Arial" w:eastAsia="Arial" w:hAnsi="Arial"/>
          <w:sz w:val="22"/>
          <w:szCs w:val="22"/>
          <w:color w:val="auto"/>
        </w:rPr>
        <w:t>Subject to Section 2.7 and except as otherwise agreed by the Parties, during the Term, Jazz shall not, and shall ensure that its Affiliates do not and shall include in its sublicense agreements executed pursuant to Section 2.2 an obligation (and enforce such obligation) to not, independently or for or with any Third Party, perform any clinical development of, or commercialize, any pharmaceutical product containing a bispecific antibody Directed To the ECD2 and ECD4 domains of HER2 (each, a “</w:t>
      </w:r>
      <w:r>
        <w:rPr>
          <w:rFonts w:ascii="Arial" w:cs="Arial" w:eastAsia="Arial" w:hAnsi="Arial"/>
          <w:sz w:val="22"/>
          <w:szCs w:val="22"/>
          <w:b w:val="1"/>
          <w:bCs w:val="1"/>
          <w:color w:val="auto"/>
        </w:rPr>
        <w:t>Jazz Competing Product</w:t>
      </w:r>
      <w:r>
        <w:rPr>
          <w:rFonts w:ascii="Arial" w:cs="Arial" w:eastAsia="Arial" w:hAnsi="Arial"/>
          <w:sz w:val="22"/>
          <w:szCs w:val="22"/>
          <w:color w:val="auto"/>
        </w:rPr>
        <w:t>”) in the Territory, other than Licensed Products as expressly permitted in and in accordance with this Agreement.</w:t>
      </w:r>
    </w:p>
    <w:p>
      <w:pPr>
        <w:spacing w:after="0" w:line="158" w:lineRule="exact"/>
        <w:rPr>
          <w:rFonts w:ascii="Arial" w:cs="Arial" w:eastAsia="Arial" w:hAnsi="Arial"/>
          <w:sz w:val="22"/>
          <w:szCs w:val="22"/>
          <w:b w:val="1"/>
          <w:bCs w:val="1"/>
          <w:color w:val="auto"/>
        </w:rPr>
      </w:pPr>
    </w:p>
    <w:p>
      <w:pPr>
        <w:jc w:val="both"/>
        <w:ind w:firstLine="1304"/>
        <w:spacing w:after="0"/>
        <w:tabs>
          <w:tab w:leader="none" w:pos="1938" w:val="left"/>
        </w:tabs>
        <w:numPr>
          <w:ilvl w:val="0"/>
          <w:numId w:val="96"/>
        </w:numPr>
        <w:rPr>
          <w:rFonts w:ascii="Arial" w:cs="Arial" w:eastAsia="Arial" w:hAnsi="Arial"/>
          <w:sz w:val="19"/>
          <w:szCs w:val="19"/>
          <w:b w:val="1"/>
          <w:bCs w:val="1"/>
          <w:color w:val="auto"/>
        </w:rPr>
      </w:pPr>
      <w:r>
        <w:rPr>
          <w:rFonts w:ascii="Arial" w:cs="Arial" w:eastAsia="Arial" w:hAnsi="Arial"/>
          <w:sz w:val="19"/>
          <w:szCs w:val="19"/>
          <w:color w:val="auto"/>
        </w:rPr>
        <w:t>Subject to Section 2.7 and except as otherwise agreed by the Parties, during the Term, Zymeworks shall not, and shall ensure that its Affiliates do not, independently or for, with or through any Third Party, whether directly or indirectly, perform any pre-clinical development (except for independent, internal pre-clinical development by Zymeworks or its Affiliates that is not for, with or through any Third Party other than any contract research organization or contract manufacturing organization working on behalf of Zymeworks or its Affiliate) or clinical development of, or commercialize, any pharmaceutical product that is Directed To HER2 (each, a “</w:t>
      </w:r>
      <w:r>
        <w:rPr>
          <w:rFonts w:ascii="Arial" w:cs="Arial" w:eastAsia="Arial" w:hAnsi="Arial"/>
          <w:sz w:val="19"/>
          <w:szCs w:val="19"/>
          <w:b w:val="1"/>
          <w:bCs w:val="1"/>
          <w:color w:val="auto"/>
        </w:rPr>
        <w:t>Zymeworks Competing Product</w:t>
      </w:r>
      <w:r>
        <w:rPr>
          <w:rFonts w:ascii="Arial" w:cs="Arial" w:eastAsia="Arial" w:hAnsi="Arial"/>
          <w:sz w:val="19"/>
          <w:szCs w:val="19"/>
          <w:color w:val="auto"/>
        </w:rPr>
        <w:t>”) in the Field in the Territory, other than Licensed Products as expressly permitted in and in accordance with this Agreement, provided that, for purposes of this Section 2.6(b), Zymeworks’ proprietary antibody-drug conjugate ZW49 (or Zanidatamab Zovodotin) shall not be a Zymeworks Competing Product. Notwithstanding the foregoing, this Section 2.6(b) shall not limit Zymeworks’ ability to (i) grant Third Parties rights to apply any or all of the Zymeworks platforms to derive or generate, without any assistance from Zymeworks, antibodies Directed To any biological target wherein Zymeworks is not aware of the identity of any such target or (ii) fulfill its obligations, under any agreement with a Third Party that is in effect as of the Execution Date, to apply any or all of the Zymeworks platforms to derive or generate antibodies from complementarity determining region (CDR) sequences provided to Zymeworks by a Third Party for purposes of further development and commercialization by such Third Party[***]. Zymeworks shall ensure that all agreements with Third Parties relating to the use of any Zymeworks platform that are entered into, extended or renewed after the Execution Date do not (with respect to agreements entered into after the Execution Date) require or permit, or (with respect to agreements entered into prior to the Execution Date and extended or renewed after the Execution Date) add, pursuant to such extension or renewal, requirements or permissions for, Zymeworks to generate antibodies that are Zymeworks Competing Products or to grant development or commercialization licenses with respect to antibodies that are Zymeworks Competing Products.</w:t>
      </w:r>
    </w:p>
    <w:p>
      <w:pPr>
        <w:spacing w:after="0" w:line="1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Section 2.6, if at any time during the Term:</w:t>
      </w:r>
    </w:p>
    <w:p>
      <w:pPr>
        <w:spacing w:after="0" w:line="185" w:lineRule="exact"/>
        <w:rPr>
          <w:sz w:val="20"/>
          <w:szCs w:val="20"/>
          <w:color w:val="auto"/>
        </w:rPr>
      </w:pPr>
    </w:p>
    <w:p>
      <w:pPr>
        <w:jc w:val="both"/>
        <w:ind w:firstLine="1304"/>
        <w:spacing w:after="0" w:line="223" w:lineRule="auto"/>
        <w:tabs>
          <w:tab w:leader="none" w:pos="1939" w:val="left"/>
        </w:tabs>
        <w:numPr>
          <w:ilvl w:val="0"/>
          <w:numId w:val="97"/>
        </w:numPr>
        <w:rPr>
          <w:rFonts w:ascii="Arial" w:cs="Arial" w:eastAsia="Arial" w:hAnsi="Arial"/>
          <w:sz w:val="22"/>
          <w:szCs w:val="22"/>
          <w:b w:val="1"/>
          <w:bCs w:val="1"/>
          <w:color w:val="auto"/>
        </w:rPr>
      </w:pPr>
      <w:r>
        <w:rPr>
          <w:rFonts w:ascii="Arial" w:cs="Arial" w:eastAsia="Arial" w:hAnsi="Arial"/>
          <w:sz w:val="22"/>
          <w:szCs w:val="22"/>
          <w:color w:val="auto"/>
        </w:rPr>
        <w:t>a Party or any of its Affiliates [***] through the acquisition of a Third Party (whether by merger or acquisition of all or substantially all of the stock or assets of a Third Party or of any operating or business division of a Third Party or similar transaction),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185" w:name="page186"/>
    <w:bookmarkEnd w:id="185"/>
    <w:p>
      <w:pPr>
        <w:spacing w:after="0"/>
        <w:rPr>
          <w:sz w:val="20"/>
          <w:szCs w:val="20"/>
          <w:color w:val="auto"/>
        </w:rPr>
      </w:pPr>
      <w:r>
        <w:rPr>
          <w:rFonts w:ascii="Arial" w:cs="Arial" w:eastAsia="Arial" w:hAnsi="Arial"/>
          <w:sz w:val="21"/>
          <w:szCs w:val="21"/>
          <w:color w:val="auto"/>
        </w:rPr>
        <w:t>acquisition, and [***] thereafter, shall not constitute a breach of [***] if such Party or such Affiliate, as applicable, [***]; or</w:t>
      </w:r>
    </w:p>
    <w:p>
      <w:pPr>
        <w:spacing w:after="0" w:line="191" w:lineRule="exact"/>
        <w:rPr>
          <w:sz w:val="20"/>
          <w:szCs w:val="20"/>
          <w:color w:val="auto"/>
        </w:rPr>
      </w:pPr>
    </w:p>
    <w:p>
      <w:pPr>
        <w:jc w:val="both"/>
        <w:ind w:firstLine="1304"/>
        <w:spacing w:after="0" w:line="216" w:lineRule="auto"/>
        <w:tabs>
          <w:tab w:leader="none" w:pos="1938" w:val="left"/>
        </w:tabs>
        <w:numPr>
          <w:ilvl w:val="0"/>
          <w:numId w:val="98"/>
        </w:numPr>
        <w:rPr>
          <w:rFonts w:ascii="Arial" w:cs="Arial" w:eastAsia="Arial" w:hAnsi="Arial"/>
          <w:sz w:val="22"/>
          <w:szCs w:val="22"/>
          <w:b w:val="1"/>
          <w:bCs w:val="1"/>
          <w:color w:val="auto"/>
        </w:rPr>
      </w:pPr>
      <w:r>
        <w:rPr>
          <w:rFonts w:ascii="Arial" w:cs="Arial" w:eastAsia="Arial" w:hAnsi="Arial"/>
          <w:sz w:val="22"/>
          <w:szCs w:val="22"/>
          <w:color w:val="auto"/>
        </w:rPr>
        <w:t>a Third Party, that is (at the time of such acquisition or thereafter) [***] acquires Zymeworks, or [***] acquires Jazz, (in each case whether by merger or acquisition of all or substantially all of the stock or of all or substantially all of the assets of such Party or of any operating or business division of such Party or similar transaction), such acquisition, [***] by such relevant acquiring Third Party or any of its Affiliates shall not constitute a breach of Section 2.6(a) or 2.6(b), as applicable; provided that [***].</w:t>
      </w:r>
    </w:p>
    <w:p>
      <w:pPr>
        <w:spacing w:after="0" w:line="15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b w:val="1"/>
          <w:bCs w:val="1"/>
          <w:color w:val="auto"/>
        </w:rPr>
        <w:t>2.8 Right of Negotiation</w:t>
      </w:r>
      <w:r>
        <w:rPr>
          <w:rFonts w:ascii="Arial" w:cs="Arial" w:eastAsia="Arial" w:hAnsi="Arial"/>
          <w:sz w:val="21"/>
          <w:szCs w:val="21"/>
          <w:color w:val="auto"/>
        </w:rPr>
        <w:t>. Zymeworks shall promptly notify Jazz if the ELA is terminated in whole or in part. If</w:t>
      </w:r>
      <w:r>
        <w:rPr>
          <w:rFonts w:ascii="Arial" w:cs="Arial" w:eastAsia="Arial" w:hAnsi="Arial"/>
          <w:sz w:val="21"/>
          <w:szCs w:val="21"/>
          <w:b w:val="1"/>
          <w:bCs w:val="1"/>
          <w:color w:val="auto"/>
        </w:rPr>
        <w:t xml:space="preserve"> </w:t>
      </w:r>
      <w:r>
        <w:rPr>
          <w:rFonts w:ascii="Arial" w:cs="Arial" w:eastAsia="Arial" w:hAnsi="Arial"/>
          <w:sz w:val="21"/>
          <w:szCs w:val="21"/>
          <w:color w:val="auto"/>
        </w:rPr>
        <w:t>Zymeworks or its Affiliate subsequently decides to initiate a process, or otherwise engages in discussions or negotiations, regarding the grant to a Third Party of a license or other right to Develop or Commercialize any Licensed Product in any country in the Ex-Territory (the “</w:t>
      </w:r>
      <w:r>
        <w:rPr>
          <w:rFonts w:ascii="Arial" w:cs="Arial" w:eastAsia="Arial" w:hAnsi="Arial"/>
          <w:sz w:val="21"/>
          <w:szCs w:val="21"/>
          <w:b w:val="1"/>
          <w:bCs w:val="1"/>
          <w:color w:val="auto"/>
        </w:rPr>
        <w:t>Offered Rights</w:t>
      </w:r>
      <w:r>
        <w:rPr>
          <w:rFonts w:ascii="Arial" w:cs="Arial" w:eastAsia="Arial" w:hAnsi="Arial"/>
          <w:sz w:val="21"/>
          <w:szCs w:val="21"/>
          <w:color w:val="auto"/>
        </w:rPr>
        <w:t>”), then Zymeworks shall notify Jazz within [***] of such decision or initial engagement, whichever is sooner. Upon Jazz’s written request that is provided within [***] after Jazz’s receipt of such notice (the “</w:t>
      </w:r>
      <w:r>
        <w:rPr>
          <w:rFonts w:ascii="Arial" w:cs="Arial" w:eastAsia="Arial" w:hAnsi="Arial"/>
          <w:sz w:val="21"/>
          <w:szCs w:val="21"/>
          <w:b w:val="1"/>
          <w:bCs w:val="1"/>
          <w:color w:val="auto"/>
        </w:rPr>
        <w:t>Request Period</w:t>
      </w:r>
      <w:r>
        <w:rPr>
          <w:rFonts w:ascii="Arial" w:cs="Arial" w:eastAsia="Arial" w:hAnsi="Arial"/>
          <w:sz w:val="21"/>
          <w:szCs w:val="21"/>
          <w:color w:val="auto"/>
        </w:rPr>
        <w:t>”), Zymeworks will engage in exclusive, good faith negotiations with Jazz for a period of [***] after such request (which may be extended by mutual agreement of the Parties) (the “</w:t>
      </w:r>
      <w:r>
        <w:rPr>
          <w:rFonts w:ascii="Arial" w:cs="Arial" w:eastAsia="Arial" w:hAnsi="Arial"/>
          <w:sz w:val="21"/>
          <w:szCs w:val="21"/>
          <w:b w:val="1"/>
          <w:bCs w:val="1"/>
          <w:color w:val="auto"/>
        </w:rPr>
        <w:t>Negotiation Period</w:t>
      </w:r>
      <w:r>
        <w:rPr>
          <w:rFonts w:ascii="Arial" w:cs="Arial" w:eastAsia="Arial" w:hAnsi="Arial"/>
          <w:sz w:val="21"/>
          <w:szCs w:val="21"/>
          <w:color w:val="auto"/>
        </w:rPr>
        <w:t>”) regarding an agreement (or amendment hereto) setting forth the commercially reasonable terms for Jazz to obtain an exclusive license to Develop, manufacture and Commercialize the Licensed Products in the Ex-Territory (or, if the ELA has been terminated in part, the countries of the Ex-Territory to which such termination applied), consistent with the scope of the Offered Rights. If Jazz fails to request such a negotiation during the Request Period, or the Parties fail to execute an agreement or amendment governing the Offered Rights during the Negotiation Period, then Zymeworks shall have no further obligation, and Jazz shall have no further rights, under this Section 2.8.</w:t>
      </w:r>
    </w:p>
    <w:p>
      <w:pPr>
        <w:spacing w:after="0" w:line="15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3</w:t>
      </w:r>
    </w:p>
    <w:p>
      <w:pPr>
        <w:spacing w:after="0" w:line="179"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GOVERNANCE</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b w:val="1"/>
          <w:bCs w:val="1"/>
          <w:color w:val="auto"/>
        </w:rPr>
        <w:t xml:space="preserve">3.1 Alliance Managers. </w:t>
      </w:r>
      <w:r>
        <w:rPr>
          <w:rFonts w:ascii="Arial" w:cs="Arial" w:eastAsia="Arial" w:hAnsi="Arial"/>
          <w:sz w:val="19"/>
          <w:szCs w:val="19"/>
          <w:color w:val="auto"/>
        </w:rPr>
        <w:t>Each Party shall appoint an individual, who is an employee or consultant of such Party or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 to act as its alliance manager under this Agreement as soon as practicable after the Closing Date (the “</w:t>
      </w:r>
      <w:r>
        <w:rPr>
          <w:rFonts w:ascii="Arial" w:cs="Arial" w:eastAsia="Arial" w:hAnsi="Arial"/>
          <w:sz w:val="19"/>
          <w:szCs w:val="19"/>
          <w:b w:val="1"/>
          <w:bCs w:val="1"/>
          <w:color w:val="auto"/>
        </w:rPr>
        <w:t>Alliance</w:t>
      </w:r>
      <w:r>
        <w:rPr>
          <w:rFonts w:ascii="Arial" w:cs="Arial" w:eastAsia="Arial" w:hAnsi="Arial"/>
          <w:sz w:val="19"/>
          <w:szCs w:val="19"/>
          <w:color w:val="auto"/>
        </w:rPr>
        <w:t xml:space="preserve"> </w:t>
      </w:r>
      <w:r>
        <w:rPr>
          <w:rFonts w:ascii="Arial" w:cs="Arial" w:eastAsia="Arial" w:hAnsi="Arial"/>
          <w:sz w:val="19"/>
          <w:szCs w:val="19"/>
          <w:b w:val="1"/>
          <w:bCs w:val="1"/>
          <w:color w:val="auto"/>
        </w:rPr>
        <w:t>Manager</w:t>
      </w:r>
      <w:r>
        <w:rPr>
          <w:rFonts w:ascii="Arial" w:cs="Arial" w:eastAsia="Arial" w:hAnsi="Arial"/>
          <w:sz w:val="19"/>
          <w:szCs w:val="19"/>
          <w:color w:val="auto"/>
        </w:rPr>
        <w:t>”). The Alliance Managers shall: (a) serve as the primary points of contact between the Parties for the purpose of</w:t>
      </w:r>
      <w:r>
        <w:rPr>
          <w:rFonts w:ascii="Arial" w:cs="Arial" w:eastAsia="Arial" w:hAnsi="Arial"/>
          <w:sz w:val="19"/>
          <w:szCs w:val="19"/>
          <w:b w:val="1"/>
          <w:bCs w:val="1"/>
          <w:color w:val="auto"/>
        </w:rPr>
        <w:t xml:space="preserve"> </w:t>
      </w:r>
      <w:r>
        <w:rPr>
          <w:rFonts w:ascii="Arial" w:cs="Arial" w:eastAsia="Arial" w:hAnsi="Arial"/>
          <w:sz w:val="19"/>
          <w:szCs w:val="19"/>
          <w:color w:val="auto"/>
        </w:rPr>
        <w:t>providing the other Party with information on the progress of a Party’s activities under this Agreement; (b) be responsible for facilitating the flow of information and otherwise promoting communication, coordination and collaboration between the Parties;</w:t>
      </w:r>
    </w:p>
    <w:p>
      <w:pPr>
        <w:spacing w:after="0" w:line="2" w:lineRule="exact"/>
        <w:rPr>
          <w:sz w:val="20"/>
          <w:szCs w:val="20"/>
          <w:color w:val="auto"/>
        </w:rPr>
      </w:pPr>
    </w:p>
    <w:p>
      <w:pPr>
        <w:jc w:val="both"/>
        <w:ind w:firstLine="8"/>
        <w:spacing w:after="0" w:line="258" w:lineRule="auto"/>
        <w:tabs>
          <w:tab w:leader="none" w:pos="332" w:val="left"/>
        </w:tabs>
        <w:numPr>
          <w:ilvl w:val="0"/>
          <w:numId w:val="99"/>
        </w:numPr>
        <w:rPr>
          <w:rFonts w:ascii="Arial" w:cs="Arial" w:eastAsia="Arial" w:hAnsi="Arial"/>
          <w:sz w:val="19"/>
          <w:szCs w:val="19"/>
          <w:color w:val="auto"/>
        </w:rPr>
      </w:pPr>
      <w:r>
        <w:rPr>
          <w:rFonts w:ascii="Arial" w:cs="Arial" w:eastAsia="Arial" w:hAnsi="Arial"/>
          <w:sz w:val="19"/>
          <w:szCs w:val="19"/>
          <w:color w:val="auto"/>
        </w:rPr>
        <w:t>facilitate the prompt resolution of any disputes; and (d) attend JSC (as a non-voting participant) meetings. An Alliance Manager may also bring any matter to the attention of the JSC, if such Alliance Manager reasonably believes that such matter warrants such attention. Each Party may replace its Alliance Manager at any time upon written notice to the other Party.</w:t>
      </w:r>
    </w:p>
    <w:p>
      <w:pPr>
        <w:spacing w:after="0" w:line="13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Joint Steering Committee</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50" w:lineRule="auto"/>
        <w:tabs>
          <w:tab w:leader="none" w:pos="1939" w:val="left"/>
        </w:tabs>
        <w:numPr>
          <w:ilvl w:val="0"/>
          <w:numId w:val="10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Formation. </w:t>
      </w:r>
      <w:r>
        <w:rPr>
          <w:rFonts w:ascii="Arial" w:cs="Arial" w:eastAsia="Arial" w:hAnsi="Arial"/>
          <w:sz w:val="19"/>
          <w:szCs w:val="19"/>
          <w:color w:val="auto"/>
        </w:rPr>
        <w:t>No later than [***] following the Closing Date, the Parties shall establish a joint steering</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(the “</w:t>
      </w:r>
      <w:r>
        <w:rPr>
          <w:rFonts w:ascii="Arial" w:cs="Arial" w:eastAsia="Arial" w:hAnsi="Arial"/>
          <w:sz w:val="19"/>
          <w:szCs w:val="19"/>
          <w:b w:val="1"/>
          <w:bCs w:val="1"/>
          <w:color w:val="auto"/>
        </w:rPr>
        <w:t>JSC</w:t>
      </w:r>
      <w:r>
        <w:rPr>
          <w:rFonts w:ascii="Arial" w:cs="Arial" w:eastAsia="Arial" w:hAnsi="Arial"/>
          <w:sz w:val="19"/>
          <w:szCs w:val="19"/>
          <w:color w:val="auto"/>
        </w:rPr>
        <w:t>”) to (i) monitor and coordinate the Development of Licensed Products in the Field in the Territory and the Development outside of the Territory [***] pursuant to the Zymeworks Development Plan and (ii) provide a forum for Zymeworks to provide updates with respect to the Commercialization of Licensed Products by the Ex-Territory Partner in the Ex-Territory to the extent necessary or useful for Jazz in its Commercialization of Licensed Products in the Field in the Territory. The JSC will be composed of an equal number of representatives from each Party and a minimum of [***] and no more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186" w:name="page187"/>
    <w:bookmarkEnd w:id="186"/>
    <w:p>
      <w:pPr>
        <w:ind w:firstLine="8"/>
        <w:spacing w:after="0" w:line="232" w:lineRule="auto"/>
        <w:tabs>
          <w:tab w:leader="none" w:pos="53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representatives of each Party. Each representative to the JSC shall be an employee or consultant of the applicable Party or its Affiliate, unless otherwise agreed by both Parties.</w:t>
      </w:r>
    </w:p>
    <w:p>
      <w:pPr>
        <w:spacing w:after="0" w:line="152" w:lineRule="exact"/>
        <w:rPr>
          <w:rFonts w:ascii="Arial" w:cs="Arial" w:eastAsia="Arial" w:hAnsi="Arial"/>
          <w:sz w:val="22"/>
          <w:szCs w:val="22"/>
          <w:color w:val="auto"/>
        </w:rPr>
      </w:pPr>
    </w:p>
    <w:p>
      <w:pPr>
        <w:jc w:val="both"/>
        <w:ind w:firstLine="1304"/>
        <w:spacing w:after="0" w:line="242" w:lineRule="auto"/>
        <w:tabs>
          <w:tab w:leader="none" w:pos="1938" w:val="left"/>
        </w:tabs>
        <w:numPr>
          <w:ilvl w:val="1"/>
          <w:numId w:val="10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Role. </w:t>
      </w:r>
      <w:r>
        <w:rPr>
          <w:rFonts w:ascii="Arial" w:cs="Arial" w:eastAsia="Arial" w:hAnsi="Arial"/>
          <w:sz w:val="19"/>
          <w:szCs w:val="19"/>
          <w:color w:val="auto"/>
        </w:rPr>
        <w:t>The JSC shall (i) provide a forum for the discussion of the Parties’ activities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(ii) review and discuss the overall strategy for the Development of Licensed Products in the Field in the Territory; (iii) review, discuss and approve any amendments to the Zymeworks Development Plan, including the budget set forth therein; (iv) monitor and coordinate manufacture and supply of Licensed Antibodies and Licensed Product in accordance with Article 7; (v) establish and oversee the Working Groups as necessary or advisable to further the purpose of this Agreement; (vi) provide a forum for discussion of Development and clinical trial activities by Zymeworks and its Affiliates and Ex-Territory Partner for the Licensed Product outside of the Territory; (vii) review, discuss, coordinate and share information regarding the progress of the Regulatory Approvals and Regulatory Submissions for Licensed Products in the Territory and outside the Territory, including discussing relevant CMC information; (viii) provide a forum for discussion of safety governance matters relating to Licensed Products and resolve disputes referred to it by the Safety Working Group; (ix) review, discuss and share information regarding (1) Commercialization of Licensed Products in the Territory; and (2) commercial issues relevant to the Commercialization of Licensed Products in the Territory and Zymeworks’ or its Ex-Territory Partner’s commercialization of Licensed Products outside of the Territory and global harmonization of such activities; (x) review, discuss and approve the Manufacturing Technology Transfer Plan; (xi) foster a collaborative environment between the Parties; and (xii) perform such other functions as expressly set forth in this Agreement or allocated to the JSC by the Parties’ written agreement. [***]</w:t>
      </w:r>
    </w:p>
    <w:p>
      <w:pPr>
        <w:spacing w:after="0" w:line="151" w:lineRule="exact"/>
        <w:rPr>
          <w:rFonts w:ascii="Arial" w:cs="Arial" w:eastAsia="Arial" w:hAnsi="Arial"/>
          <w:sz w:val="19"/>
          <w:szCs w:val="19"/>
          <w:b w:val="1"/>
          <w:bCs w:val="1"/>
          <w:color w:val="auto"/>
        </w:rPr>
      </w:pPr>
    </w:p>
    <w:p>
      <w:pPr>
        <w:jc w:val="both"/>
        <w:ind w:firstLine="1304"/>
        <w:spacing w:after="0" w:line="220" w:lineRule="auto"/>
        <w:tabs>
          <w:tab w:leader="none" w:pos="1941" w:val="left"/>
        </w:tabs>
        <w:numPr>
          <w:ilvl w:val="1"/>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Limitation of Authority. </w:t>
      </w:r>
      <w:r>
        <w:rPr>
          <w:rFonts w:ascii="Arial" w:cs="Arial" w:eastAsia="Arial" w:hAnsi="Arial"/>
          <w:sz w:val="22"/>
          <w:szCs w:val="22"/>
          <w:color w:val="auto"/>
        </w:rPr>
        <w:t>The JSC shall only have the powers expressly assigned to it in this Article 3 and</w:t>
      </w:r>
      <w:r>
        <w:rPr>
          <w:rFonts w:ascii="Arial" w:cs="Arial" w:eastAsia="Arial" w:hAnsi="Arial"/>
          <w:sz w:val="22"/>
          <w:szCs w:val="22"/>
          <w:b w:val="1"/>
          <w:bCs w:val="1"/>
          <w:color w:val="auto"/>
        </w:rPr>
        <w:t xml:space="preserve"> </w:t>
      </w:r>
      <w:r>
        <w:rPr>
          <w:rFonts w:ascii="Arial" w:cs="Arial" w:eastAsia="Arial" w:hAnsi="Arial"/>
          <w:sz w:val="22"/>
          <w:szCs w:val="22"/>
          <w:color w:val="auto"/>
        </w:rPr>
        <w:t>elsewhere in this Agreement and shall not have the authority to: (i) modify or amend the terms and conditions of this Agreement; (ii) waive either Party’s compliance with the terms and conditions of this Agreement; or (iii) determine any issue in a manner that would conflict with the express terms and conditions of this Agreement.</w:t>
      </w:r>
    </w:p>
    <w:p>
      <w:pPr>
        <w:spacing w:after="0" w:line="152" w:lineRule="exact"/>
        <w:rPr>
          <w:rFonts w:ascii="Arial" w:cs="Arial" w:eastAsia="Arial" w:hAnsi="Arial"/>
          <w:sz w:val="22"/>
          <w:szCs w:val="22"/>
          <w:b w:val="1"/>
          <w:bCs w:val="1"/>
          <w:color w:val="auto"/>
        </w:rPr>
      </w:pPr>
    </w:p>
    <w:p>
      <w:pPr>
        <w:jc w:val="both"/>
        <w:ind w:firstLine="1304"/>
        <w:spacing w:after="0" w:line="244" w:lineRule="auto"/>
        <w:tabs>
          <w:tab w:leader="none" w:pos="1938" w:val="left"/>
        </w:tabs>
        <w:numPr>
          <w:ilvl w:val="1"/>
          <w:numId w:val="10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Meetings. </w:t>
      </w:r>
      <w:r>
        <w:rPr>
          <w:rFonts w:ascii="Arial" w:cs="Arial" w:eastAsia="Arial" w:hAnsi="Arial"/>
          <w:sz w:val="19"/>
          <w:szCs w:val="19"/>
          <w:color w:val="auto"/>
        </w:rPr>
        <w:t>The JSC shall hold meetings at such times as it elects to do so, but shall meet no less frequently</w:t>
      </w:r>
      <w:r>
        <w:rPr>
          <w:rFonts w:ascii="Arial" w:cs="Arial" w:eastAsia="Arial" w:hAnsi="Arial"/>
          <w:sz w:val="19"/>
          <w:szCs w:val="19"/>
          <w:b w:val="1"/>
          <w:bCs w:val="1"/>
          <w:color w:val="auto"/>
        </w:rPr>
        <w:t xml:space="preserve"> </w:t>
      </w:r>
      <w:r>
        <w:rPr>
          <w:rFonts w:ascii="Arial" w:cs="Arial" w:eastAsia="Arial" w:hAnsi="Arial"/>
          <w:sz w:val="19"/>
          <w:szCs w:val="19"/>
          <w:color w:val="auto"/>
        </w:rPr>
        <w:t>than [***], unless otherwise agreed by the Parties. In addition, special meetings of the JSC may be convened by either Alliance Manager upon not less than [***] (or, if such meeting is proposed to be conducted by teleconference, as soon as reasonably practicable) written notice to the other Alliance Manager. The JSC may meet in person or by means of teleconference, Internet conference, videoconference or other similar communication method; provided that [***], such meetings will be conducted in person at locations selected alternatively by Zymeworks and Jazz or such other location as the Parties may agree. Each Party shall bear its own expenses related to participation in and attendance at such meetings by its respective JSC representatives. The Alliance Managers shall jointly prepare and circulate minutes for each JSC meeting within [***] of each such meeting and shall ensure that such minutes are reviewed and approved by their respective companies within [***] thereafter; provided that such minutes will be deemed to be accepted if a Party does not object in writing to such minutes within such [***].</w:t>
      </w:r>
    </w:p>
    <w:p>
      <w:pPr>
        <w:spacing w:after="0" w:line="154" w:lineRule="exact"/>
        <w:rPr>
          <w:rFonts w:ascii="Arial" w:cs="Arial" w:eastAsia="Arial" w:hAnsi="Arial"/>
          <w:sz w:val="19"/>
          <w:szCs w:val="19"/>
          <w:b w:val="1"/>
          <w:bCs w:val="1"/>
          <w:color w:val="auto"/>
        </w:rPr>
      </w:pPr>
    </w:p>
    <w:p>
      <w:pPr>
        <w:jc w:val="both"/>
        <w:ind w:firstLine="1304"/>
        <w:spacing w:after="0" w:line="250" w:lineRule="auto"/>
        <w:tabs>
          <w:tab w:leader="none" w:pos="1941" w:val="left"/>
        </w:tabs>
        <w:numPr>
          <w:ilvl w:val="1"/>
          <w:numId w:val="10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Non-Member Attendance. </w:t>
      </w:r>
      <w:r>
        <w:rPr>
          <w:rFonts w:ascii="Arial" w:cs="Arial" w:eastAsia="Arial" w:hAnsi="Arial"/>
          <w:sz w:val="19"/>
          <w:szCs w:val="19"/>
          <w:color w:val="auto"/>
        </w:rPr>
        <w:t>Each Party may from time to time invite a reasonable number of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in addition to its representatives, to attend a meeting of the JSC (in a non-voting capacity) or Working Group in the event that the planned agenda for such JSC or Working Group meeting would require such participants’ expertise; provided that if either Party intends to have any Third Party (including any consultant (other than a consultant then serving as such Party’s Alliance Manager or representative on the JSC or a Working Group)) attend such a meeting, such Party shall provide prior written notice to the other Party, shall obtain approval from such other Party for such Third Party to attend, and shall ensure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01" w:right="33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color w:val="auto"/>
        </w:rPr>
        <w:t>Third Party is bound by confidentiality and non-use obligations consistent with the terms of this Agreement.</w:t>
      </w:r>
    </w:p>
    <w:p>
      <w:pPr>
        <w:spacing w:after="0" w:line="173" w:lineRule="exact"/>
        <w:rPr>
          <w:sz w:val="20"/>
          <w:szCs w:val="20"/>
          <w:color w:val="auto"/>
        </w:rPr>
      </w:pPr>
    </w:p>
    <w:p>
      <w:pPr>
        <w:jc w:val="both"/>
        <w:ind w:firstLine="1304"/>
        <w:spacing w:after="0" w:line="248" w:lineRule="auto"/>
        <w:tabs>
          <w:tab w:leader="none" w:pos="1944" w:val="left"/>
        </w:tabs>
        <w:numPr>
          <w:ilvl w:val="0"/>
          <w:numId w:val="10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Decision-Making. </w:t>
      </w:r>
      <w:r>
        <w:rPr>
          <w:rFonts w:ascii="Arial" w:cs="Arial" w:eastAsia="Arial" w:hAnsi="Arial"/>
          <w:sz w:val="19"/>
          <w:szCs w:val="19"/>
          <w:color w:val="auto"/>
        </w:rPr>
        <w:t>All decisions of the JSC shall be made by consensus, with each Party’s representatives</w:t>
      </w:r>
      <w:r>
        <w:rPr>
          <w:rFonts w:ascii="Arial" w:cs="Arial" w:eastAsia="Arial" w:hAnsi="Arial"/>
          <w:sz w:val="19"/>
          <w:szCs w:val="19"/>
          <w:b w:val="1"/>
          <w:bCs w:val="1"/>
          <w:color w:val="auto"/>
        </w:rPr>
        <w:t xml:space="preserve"> </w:t>
      </w:r>
      <w:r>
        <w:rPr>
          <w:rFonts w:ascii="Arial" w:cs="Arial" w:eastAsia="Arial" w:hAnsi="Arial"/>
          <w:sz w:val="19"/>
          <w:szCs w:val="19"/>
          <w:color w:val="auto"/>
        </w:rPr>
        <w:t>having, collectively, one vote. If after reasonable discussion and good faith consideration of each Party’s view on a particular matter before the JSC, the JSC cannot reach consensus as to such matter within [***] after such matter was brought to the JSC for resolution (or [***] if the particular matter is with respect to any issue under consideration by the JSC pursuant to Sections 3.2(b)(iii), (iv) or (v)), such matter shall be referred to a representative of each Party, reporting directly to such Party’s Executive Officer, who has the power and authority to resolve such matter (collectively, the “</w:t>
      </w:r>
      <w:r>
        <w:rPr>
          <w:rFonts w:ascii="Arial" w:cs="Arial" w:eastAsia="Arial" w:hAnsi="Arial"/>
          <w:sz w:val="19"/>
          <w:szCs w:val="19"/>
          <w:b w:val="1"/>
          <w:bCs w:val="1"/>
          <w:color w:val="auto"/>
        </w:rPr>
        <w:t>Executive Sponsors</w:t>
      </w:r>
      <w:r>
        <w:rPr>
          <w:rFonts w:ascii="Arial" w:cs="Arial" w:eastAsia="Arial" w:hAnsi="Arial"/>
          <w:sz w:val="19"/>
          <w:szCs w:val="19"/>
          <w:color w:val="auto"/>
        </w:rPr>
        <w:t>”) for resolution. If the Executive Sponsors cannot resolve such matter within [***] after such matter has been referred to them, then:</w:t>
      </w:r>
    </w:p>
    <w:p>
      <w:pPr>
        <w:spacing w:after="0" w:line="153" w:lineRule="exact"/>
        <w:rPr>
          <w:rFonts w:ascii="Arial" w:cs="Arial" w:eastAsia="Arial" w:hAnsi="Arial"/>
          <w:sz w:val="19"/>
          <w:szCs w:val="19"/>
          <w:b w:val="1"/>
          <w:bCs w:val="1"/>
          <w:color w:val="auto"/>
        </w:rPr>
      </w:pPr>
    </w:p>
    <w:p>
      <w:pPr>
        <w:ind w:left="2580" w:hanging="628"/>
        <w:spacing w:after="0"/>
        <w:tabs>
          <w:tab w:leader="none" w:pos="2580" w:val="left"/>
        </w:tabs>
        <w:numPr>
          <w:ilvl w:val="1"/>
          <w:numId w:val="102"/>
        </w:numPr>
        <w:rPr>
          <w:rFonts w:ascii="Arial" w:cs="Arial" w:eastAsia="Arial" w:hAnsi="Arial"/>
          <w:sz w:val="22"/>
          <w:szCs w:val="22"/>
          <w:b w:val="1"/>
          <w:bCs w:val="1"/>
          <w:color w:val="auto"/>
        </w:rPr>
      </w:pPr>
      <w:r>
        <w:rPr>
          <w:rFonts w:ascii="Arial" w:cs="Arial" w:eastAsia="Arial" w:hAnsi="Arial"/>
          <w:sz w:val="22"/>
          <w:szCs w:val="22"/>
          <w:color w:val="auto"/>
        </w:rPr>
        <w:t>Jazz shall have the final decision-making authority for matters [***].</w:t>
      </w:r>
    </w:p>
    <w:p>
      <w:pPr>
        <w:spacing w:after="0" w:line="179" w:lineRule="exact"/>
        <w:rPr>
          <w:rFonts w:ascii="Arial" w:cs="Arial" w:eastAsia="Arial" w:hAnsi="Arial"/>
          <w:sz w:val="22"/>
          <w:szCs w:val="22"/>
          <w:b w:val="1"/>
          <w:bCs w:val="1"/>
          <w:color w:val="auto"/>
        </w:rPr>
      </w:pPr>
    </w:p>
    <w:p>
      <w:pPr>
        <w:ind w:left="2600" w:hanging="648"/>
        <w:spacing w:after="0"/>
        <w:tabs>
          <w:tab w:leader="none" w:pos="2600" w:val="left"/>
        </w:tabs>
        <w:numPr>
          <w:ilvl w:val="1"/>
          <w:numId w:val="102"/>
        </w:numPr>
        <w:rPr>
          <w:rFonts w:ascii="Arial" w:cs="Arial" w:eastAsia="Arial" w:hAnsi="Arial"/>
          <w:sz w:val="22"/>
          <w:szCs w:val="22"/>
          <w:b w:val="1"/>
          <w:bCs w:val="1"/>
          <w:color w:val="auto"/>
        </w:rPr>
      </w:pPr>
      <w:r>
        <w:rPr>
          <w:rFonts w:ascii="Arial" w:cs="Arial" w:eastAsia="Arial" w:hAnsi="Arial"/>
          <w:sz w:val="22"/>
          <w:szCs w:val="22"/>
          <w:color w:val="auto"/>
        </w:rPr>
        <w:t>Zymeworks shall have the final decision-making authority for matters [***].</w:t>
      </w:r>
    </w:p>
    <w:p>
      <w:pPr>
        <w:spacing w:after="0" w:line="179" w:lineRule="exact"/>
        <w:rPr>
          <w:rFonts w:ascii="Arial" w:cs="Arial" w:eastAsia="Arial" w:hAnsi="Arial"/>
          <w:sz w:val="22"/>
          <w:szCs w:val="22"/>
          <w:b w:val="1"/>
          <w:bCs w:val="1"/>
          <w:color w:val="auto"/>
        </w:rPr>
      </w:pPr>
    </w:p>
    <w:p>
      <w:pPr>
        <w:ind w:left="2600" w:hanging="648"/>
        <w:spacing w:after="0"/>
        <w:tabs>
          <w:tab w:leader="none" w:pos="2600" w:val="left"/>
        </w:tabs>
        <w:numPr>
          <w:ilvl w:val="1"/>
          <w:numId w:val="102"/>
        </w:numPr>
        <w:rPr>
          <w:rFonts w:ascii="Arial" w:cs="Arial" w:eastAsia="Arial" w:hAnsi="Arial"/>
          <w:sz w:val="22"/>
          <w:szCs w:val="22"/>
          <w:b w:val="1"/>
          <w:bCs w:val="1"/>
          <w:color w:val="auto"/>
        </w:rPr>
      </w:pPr>
      <w:r>
        <w:rPr>
          <w:rFonts w:ascii="Arial" w:cs="Arial" w:eastAsia="Arial" w:hAnsi="Arial"/>
          <w:sz w:val="22"/>
          <w:szCs w:val="22"/>
          <w:color w:val="auto"/>
        </w:rPr>
        <w:t>Neither Party shall have final decision-making authority for matters [***].</w:t>
      </w:r>
    </w:p>
    <w:p>
      <w:pPr>
        <w:spacing w:after="0" w:line="173" w:lineRule="exact"/>
        <w:rPr>
          <w:rFonts w:ascii="Arial" w:cs="Arial" w:eastAsia="Arial" w:hAnsi="Arial"/>
          <w:sz w:val="22"/>
          <w:szCs w:val="22"/>
          <w:b w:val="1"/>
          <w:bCs w:val="1"/>
          <w:color w:val="auto"/>
        </w:rPr>
      </w:pPr>
    </w:p>
    <w:p>
      <w:pPr>
        <w:ind w:left="1940" w:hanging="636"/>
        <w:spacing w:after="0"/>
        <w:tabs>
          <w:tab w:leader="none" w:pos="194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Working Groups</w:t>
      </w:r>
      <w:r>
        <w:rPr>
          <w:rFonts w:ascii="Arial" w:cs="Arial" w:eastAsia="Arial" w:hAnsi="Arial"/>
          <w:sz w:val="22"/>
          <w:szCs w:val="22"/>
          <w:color w:val="auto"/>
        </w:rPr>
        <w:t>.</w:t>
      </w:r>
    </w:p>
    <w:p>
      <w:pPr>
        <w:spacing w:after="0" w:line="179" w:lineRule="exact"/>
        <w:rPr>
          <w:rFonts w:ascii="Arial" w:cs="Arial" w:eastAsia="Arial" w:hAnsi="Arial"/>
          <w:sz w:val="22"/>
          <w:szCs w:val="22"/>
          <w:b w:val="1"/>
          <w:bCs w:val="1"/>
          <w:color w:val="auto"/>
        </w:rPr>
      </w:pPr>
    </w:p>
    <w:p>
      <w:pPr>
        <w:jc w:val="both"/>
        <w:ind w:firstLine="1952"/>
        <w:spacing w:after="0" w:line="246" w:lineRule="auto"/>
        <w:tabs>
          <w:tab w:leader="none" w:pos="2580" w:val="left"/>
        </w:tabs>
        <w:numPr>
          <w:ilvl w:val="1"/>
          <w:numId w:val="102"/>
        </w:numPr>
        <w:rPr>
          <w:rFonts w:ascii="Arial" w:cs="Arial" w:eastAsia="Arial" w:hAnsi="Arial"/>
          <w:sz w:val="19"/>
          <w:szCs w:val="19"/>
          <w:b w:val="1"/>
          <w:bCs w:val="1"/>
          <w:color w:val="auto"/>
        </w:rPr>
      </w:pPr>
      <w:r>
        <w:rPr>
          <w:rFonts w:ascii="Arial" w:cs="Arial" w:eastAsia="Arial" w:hAnsi="Arial"/>
          <w:sz w:val="19"/>
          <w:szCs w:val="19"/>
          <w:color w:val="auto"/>
        </w:rPr>
        <w:t>From time to time, the JSC may establish one (1) or more joint working groups (each, a “</w:t>
      </w:r>
      <w:r>
        <w:rPr>
          <w:rFonts w:ascii="Arial" w:cs="Arial" w:eastAsia="Arial" w:hAnsi="Arial"/>
          <w:sz w:val="19"/>
          <w:szCs w:val="19"/>
          <w:b w:val="1"/>
          <w:bCs w:val="1"/>
          <w:color w:val="auto"/>
        </w:rPr>
        <w:t>Working</w:t>
      </w:r>
      <w:r>
        <w:rPr>
          <w:rFonts w:ascii="Arial" w:cs="Arial" w:eastAsia="Arial" w:hAnsi="Arial"/>
          <w:sz w:val="19"/>
          <w:szCs w:val="19"/>
          <w:color w:val="auto"/>
        </w:rPr>
        <w:t xml:space="preserve"> </w:t>
      </w:r>
      <w:r>
        <w:rPr>
          <w:rFonts w:ascii="Arial" w:cs="Arial" w:eastAsia="Arial" w:hAnsi="Arial"/>
          <w:sz w:val="19"/>
          <w:szCs w:val="19"/>
          <w:b w:val="1"/>
          <w:bCs w:val="1"/>
          <w:color w:val="auto"/>
        </w:rPr>
        <w:t>Group</w:t>
      </w:r>
      <w:r>
        <w:rPr>
          <w:rFonts w:ascii="Arial" w:cs="Arial" w:eastAsia="Arial" w:hAnsi="Arial"/>
          <w:sz w:val="19"/>
          <w:szCs w:val="19"/>
          <w:color w:val="auto"/>
        </w:rPr>
        <w:t>”) on an “as-needed” basis to oversee specific functional areas or activities and coordinate the day-to-day performance of</w:t>
      </w:r>
      <w:r>
        <w:rPr>
          <w:rFonts w:ascii="Arial" w:cs="Arial" w:eastAsia="Arial" w:hAnsi="Arial"/>
          <w:sz w:val="19"/>
          <w:szCs w:val="19"/>
          <w:b w:val="1"/>
          <w:bCs w:val="1"/>
          <w:color w:val="auto"/>
        </w:rPr>
        <w:t xml:space="preserve"> </w:t>
      </w:r>
      <w:r>
        <w:rPr>
          <w:rFonts w:ascii="Arial" w:cs="Arial" w:eastAsia="Arial" w:hAnsi="Arial"/>
          <w:sz w:val="19"/>
          <w:szCs w:val="19"/>
          <w:color w:val="auto"/>
        </w:rPr>
        <w:t>such activities under this Agreement, which establishment of Working Groups shall be reflected in the minutes of the meetings of the JSC. Each such Working Group shall be constituted, shall meet as frequently and in such manner as, and shall operate as, the JSC may determine. Each Working Group and its activities shall be subject to the oversight of, and shall report to, the JSC, and the JSC shall resolve all disputes that arise within a Working Group within [***] after any such matter is brought to the JSC for resolution. In no event shall the authority of any Working Group exceed the authority of the JSC. Each Party shall be responsible for all of its own expenses of participating in any Working Group.</w:t>
      </w:r>
    </w:p>
    <w:p>
      <w:pPr>
        <w:spacing w:after="0" w:line="158" w:lineRule="exact"/>
        <w:rPr>
          <w:rFonts w:ascii="Arial" w:cs="Arial" w:eastAsia="Arial" w:hAnsi="Arial"/>
          <w:sz w:val="19"/>
          <w:szCs w:val="19"/>
          <w:b w:val="1"/>
          <w:bCs w:val="1"/>
          <w:color w:val="auto"/>
        </w:rPr>
      </w:pPr>
    </w:p>
    <w:p>
      <w:pPr>
        <w:jc w:val="both"/>
        <w:ind w:firstLine="1952"/>
        <w:spacing w:after="0" w:line="242" w:lineRule="auto"/>
        <w:tabs>
          <w:tab w:leader="none" w:pos="2586" w:val="left"/>
        </w:tabs>
        <w:numPr>
          <w:ilvl w:val="1"/>
          <w:numId w:val="102"/>
        </w:numPr>
        <w:rPr>
          <w:rFonts w:ascii="Arial" w:cs="Arial" w:eastAsia="Arial" w:hAnsi="Arial"/>
          <w:sz w:val="19"/>
          <w:szCs w:val="19"/>
          <w:b w:val="1"/>
          <w:bCs w:val="1"/>
          <w:color w:val="auto"/>
        </w:rPr>
      </w:pPr>
      <w:r>
        <w:rPr>
          <w:rFonts w:ascii="Arial" w:cs="Arial" w:eastAsia="Arial" w:hAnsi="Arial"/>
          <w:sz w:val="19"/>
          <w:szCs w:val="19"/>
          <w:color w:val="auto"/>
        </w:rPr>
        <w:t>Within [***] after formation of the JSC, the JSC shall establish a manufacturing working group (the “</w:t>
      </w:r>
      <w:r>
        <w:rPr>
          <w:rFonts w:ascii="Arial" w:cs="Arial" w:eastAsia="Arial" w:hAnsi="Arial"/>
          <w:sz w:val="19"/>
          <w:szCs w:val="19"/>
          <w:b w:val="1"/>
          <w:bCs w:val="1"/>
          <w:color w:val="auto"/>
        </w:rPr>
        <w:t>Manufacturing Working Group</w:t>
      </w:r>
      <w:r>
        <w:rPr>
          <w:rFonts w:ascii="Arial" w:cs="Arial" w:eastAsia="Arial" w:hAnsi="Arial"/>
          <w:sz w:val="19"/>
          <w:szCs w:val="19"/>
          <w:color w:val="auto"/>
        </w:rPr>
        <w:t>”) to oversee the management of, and regulatory compliance relating to, the supply of Licensed Antibody and Licensed Product. The Manufacturing Working Group will include an equal number of representatives of each Party and shall meet at least [***]. The Manufacturing Working Group will serve as a forum (A) to review and discuss (1) Commercialization plans and forecasts for the Licensed Antibody and Licensed Products, (2) actions by or notices from any Regulatory Authority relating to the manufacture and supply of Licensed Antibody and Licensed Product (including any post-approval changes to CMC required or requested by any Regulatory Authority) and (3) any other event that would reasonably be expected to have manufacturing compliance or quality consequences for Licensed Antibody or Licensed Products that will be made by or on behalf of either Party or for which Jazz will need to interact with Regulatory Authorities, (B) to review and discuss any material changes proposed by a Party to its Licensed Antibody or Licensed Product manufacturing process [***], (C) to address potential risks to quality or supply impacting either Party and (D) to develop remediation programs as a result of any inspection or audit of a manufacturing facility (whether by a Regulatory Authority or by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1" w:right="339" w:bottom="1440" w:gutter="0" w:footer="0" w:header="0"/>
        </w:sectPr>
      </w:pPr>
    </w:p>
    <w:bookmarkStart w:id="188" w:name="page189"/>
    <w:bookmarkEnd w:id="188"/>
    <w:p>
      <w:pPr>
        <w:jc w:val="both"/>
        <w:ind w:firstLine="1952"/>
        <w:spacing w:after="0" w:line="214" w:lineRule="auto"/>
        <w:tabs>
          <w:tab w:leader="none" w:pos="2592" w:val="left"/>
        </w:tabs>
        <w:numPr>
          <w:ilvl w:val="2"/>
          <w:numId w:val="103"/>
        </w:numPr>
        <w:rPr>
          <w:rFonts w:ascii="Arial" w:cs="Arial" w:eastAsia="Arial" w:hAnsi="Arial"/>
          <w:sz w:val="22"/>
          <w:szCs w:val="22"/>
          <w:b w:val="1"/>
          <w:bCs w:val="1"/>
          <w:color w:val="auto"/>
        </w:rPr>
      </w:pPr>
      <w:r>
        <w:rPr>
          <w:rFonts w:ascii="Arial" w:cs="Arial" w:eastAsia="Arial" w:hAnsi="Arial"/>
          <w:sz w:val="22"/>
          <w:szCs w:val="22"/>
          <w:color w:val="auto"/>
        </w:rPr>
        <w:t>Within [***] after formation of the JSC, the JSC shall establish a regulatory working group (“</w:t>
      </w:r>
      <w:r>
        <w:rPr>
          <w:rFonts w:ascii="Arial" w:cs="Arial" w:eastAsia="Arial" w:hAnsi="Arial"/>
          <w:sz w:val="22"/>
          <w:szCs w:val="22"/>
          <w:b w:val="1"/>
          <w:bCs w:val="1"/>
          <w:color w:val="auto"/>
        </w:rPr>
        <w:t>Regulatory Working Group</w:t>
      </w:r>
      <w:r>
        <w:rPr>
          <w:rFonts w:ascii="Arial" w:cs="Arial" w:eastAsia="Arial" w:hAnsi="Arial"/>
          <w:sz w:val="22"/>
          <w:szCs w:val="22"/>
          <w:color w:val="auto"/>
        </w:rPr>
        <w:t>”) to facilitate (A) planning for preparation of the First BLA, (B) preparation for interactions with the FDA in connection the First BLA, (C) planning for any supplemental Biologics License Application to the First BLA, (D) Zymeworks’ assistance in connection with any other applications for Regulatory Approval pursuant to Section 6.2(b), and (E) any other matter assigned to it in this Agreement. The Regulatory Working Group will include an equal number of representatives of each Party and shall meet at least [***].</w:t>
      </w:r>
    </w:p>
    <w:p>
      <w:pPr>
        <w:spacing w:after="0" w:line="158" w:lineRule="exact"/>
        <w:rPr>
          <w:rFonts w:ascii="Arial" w:cs="Arial" w:eastAsia="Arial" w:hAnsi="Arial"/>
          <w:sz w:val="22"/>
          <w:szCs w:val="22"/>
          <w:b w:val="1"/>
          <w:bCs w:val="1"/>
          <w:color w:val="auto"/>
        </w:rPr>
      </w:pPr>
    </w:p>
    <w:p>
      <w:pPr>
        <w:jc w:val="both"/>
        <w:ind w:firstLine="1952"/>
        <w:spacing w:after="0" w:line="218" w:lineRule="auto"/>
        <w:tabs>
          <w:tab w:leader="none" w:pos="2580" w:val="left"/>
        </w:tabs>
        <w:numPr>
          <w:ilvl w:val="2"/>
          <w:numId w:val="103"/>
        </w:numPr>
        <w:rPr>
          <w:rFonts w:ascii="Arial" w:cs="Arial" w:eastAsia="Arial" w:hAnsi="Arial"/>
          <w:sz w:val="22"/>
          <w:szCs w:val="22"/>
          <w:b w:val="1"/>
          <w:bCs w:val="1"/>
          <w:color w:val="auto"/>
        </w:rPr>
      </w:pPr>
      <w:r>
        <w:rPr>
          <w:rFonts w:ascii="Arial" w:cs="Arial" w:eastAsia="Arial" w:hAnsi="Arial"/>
          <w:sz w:val="22"/>
          <w:szCs w:val="22"/>
          <w:color w:val="auto"/>
        </w:rPr>
        <w:t>Within [***] after formation of the JSC, the JSC shall establish a pharmacovigilance and drug safety working group (the “</w:t>
      </w:r>
      <w:r>
        <w:rPr>
          <w:rFonts w:ascii="Arial" w:cs="Arial" w:eastAsia="Arial" w:hAnsi="Arial"/>
          <w:sz w:val="22"/>
          <w:szCs w:val="22"/>
          <w:b w:val="1"/>
          <w:bCs w:val="1"/>
          <w:color w:val="auto"/>
        </w:rPr>
        <w:t>Safety Working Group</w:t>
      </w:r>
      <w:r>
        <w:rPr>
          <w:rFonts w:ascii="Arial" w:cs="Arial" w:eastAsia="Arial" w:hAnsi="Arial"/>
          <w:sz w:val="22"/>
          <w:szCs w:val="22"/>
          <w:color w:val="auto"/>
        </w:rPr>
        <w:t>”) to address safety governance issues arising in connection with the Zymeworks Ongoing Studies. The Safety Working Group will include an equal number of representatives of each Party and shall meet at least [***].</w:t>
      </w:r>
    </w:p>
    <w:p>
      <w:pPr>
        <w:spacing w:after="0" w:line="154" w:lineRule="exact"/>
        <w:rPr>
          <w:rFonts w:ascii="Arial" w:cs="Arial" w:eastAsia="Arial" w:hAnsi="Arial"/>
          <w:sz w:val="22"/>
          <w:szCs w:val="22"/>
          <w:b w:val="1"/>
          <w:bCs w:val="1"/>
          <w:color w:val="auto"/>
        </w:rPr>
      </w:pPr>
    </w:p>
    <w:p>
      <w:pPr>
        <w:jc w:val="both"/>
        <w:ind w:firstLine="1304"/>
        <w:spacing w:after="0" w:line="243" w:lineRule="auto"/>
        <w:tabs>
          <w:tab w:leader="none" w:pos="1938" w:val="left"/>
        </w:tabs>
        <w:numPr>
          <w:ilvl w:val="1"/>
          <w:numId w:val="10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Discontinuation of JSC. </w:t>
      </w:r>
      <w:r>
        <w:rPr>
          <w:rFonts w:ascii="Arial" w:cs="Arial" w:eastAsia="Arial" w:hAnsi="Arial"/>
          <w:sz w:val="19"/>
          <w:szCs w:val="19"/>
          <w:color w:val="auto"/>
        </w:rPr>
        <w:t>The activities to be performed by the JSC shall solely relate to governance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are not intended to be or involve the delivery of services. The JSC shall continue to exist until the Parties mutually agree to disband the JSC or Zymeworks terminates its participation in the JSC, which it may do at any time following [***]; provided that, following disbandment of the JSC, (i) the Manufacturing Working Group shall continue to meet at least</w:t>
      </w:r>
    </w:p>
    <w:p>
      <w:pPr>
        <w:spacing w:after="0" w:line="3" w:lineRule="exact"/>
        <w:rPr>
          <w:rFonts w:ascii="Arial" w:cs="Arial" w:eastAsia="Arial" w:hAnsi="Arial"/>
          <w:sz w:val="19"/>
          <w:szCs w:val="19"/>
          <w:b w:val="1"/>
          <w:bCs w:val="1"/>
          <w:color w:val="auto"/>
        </w:rPr>
      </w:pPr>
    </w:p>
    <w:p>
      <w:pPr>
        <w:jc w:val="both"/>
        <w:ind w:firstLine="8"/>
        <w:spacing w:after="0" w:line="244" w:lineRule="auto"/>
        <w:tabs>
          <w:tab w:leader="none" w:pos="535" w:val="left"/>
        </w:tabs>
        <w:numPr>
          <w:ilvl w:val="0"/>
          <w:numId w:val="104"/>
        </w:numPr>
        <w:rPr>
          <w:rFonts w:ascii="Arial" w:cs="Arial" w:eastAsia="Arial" w:hAnsi="Arial"/>
          <w:sz w:val="19"/>
          <w:szCs w:val="19"/>
          <w:color w:val="auto"/>
        </w:rPr>
      </w:pPr>
      <w:r>
        <w:rPr>
          <w:rFonts w:ascii="Arial" w:cs="Arial" w:eastAsia="Arial" w:hAnsi="Arial"/>
          <w:sz w:val="19"/>
          <w:szCs w:val="19"/>
          <w:color w:val="auto"/>
        </w:rPr>
        <w:t>until Jazz terminates its participation in the Manufacturing Working Group, which it may do at any time following [***], and (ii) the Parties will continue to exchange information as previously exchanged under the JSC and Working Groups. Once the JSC is disbanded, the JSC shall have no further obligations under this Agreement and, thereafter, the Alliance Managers shall be the points of contact for the exchange of information under this Agreement and decisions of the JSC shall be decisions between the Parties, subject to the same respective decision-making rights and limitations set forth in Section 3.2(f) and the other terms and conditions of this Agreement. With the exception of the Manufacturing Working Group, any Working Groups shall disband upon the disbandment of the JSC or earlier, as determined by the JSC.</w:t>
      </w:r>
    </w:p>
    <w:p>
      <w:pPr>
        <w:spacing w:after="0" w:line="149" w:lineRule="exact"/>
        <w:rPr>
          <w:rFonts w:ascii="Arial" w:cs="Arial" w:eastAsia="Arial" w:hAnsi="Arial"/>
          <w:sz w:val="19"/>
          <w:szCs w:val="19"/>
          <w:color w:val="auto"/>
        </w:rPr>
      </w:pPr>
    </w:p>
    <w:p>
      <w:pPr>
        <w:ind w:left="1940" w:hanging="636"/>
        <w:spacing w:after="0"/>
        <w:tabs>
          <w:tab w:leader="none" w:pos="1940" w:val="left"/>
        </w:tabs>
        <w:numPr>
          <w:ilvl w:val="1"/>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 Meeting</w:t>
      </w:r>
      <w:r>
        <w:rPr>
          <w:rFonts w:ascii="Arial" w:cs="Arial" w:eastAsia="Arial" w:hAnsi="Arial"/>
          <w:sz w:val="19"/>
          <w:szCs w:val="19"/>
          <w:color w:val="auto"/>
        </w:rPr>
        <w:t>. Without limiting any of the foregoing in this Article 3, the Executive Sponsors shall meet</w:t>
      </w:r>
    </w:p>
    <w:p>
      <w:pPr>
        <w:spacing w:after="0" w:line="21" w:lineRule="exact"/>
        <w:rPr>
          <w:rFonts w:ascii="Arial" w:cs="Arial" w:eastAsia="Arial" w:hAnsi="Arial"/>
          <w:sz w:val="19"/>
          <w:szCs w:val="19"/>
          <w:b w:val="1"/>
          <w:bCs w:val="1"/>
          <w:color w:val="auto"/>
        </w:rPr>
      </w:pPr>
    </w:p>
    <w:p>
      <w:pPr>
        <w:ind w:firstLine="8"/>
        <w:spacing w:after="0" w:line="224" w:lineRule="auto"/>
        <w:tabs>
          <w:tab w:leader="none" w:pos="52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during the Term for purposes of [***]. Each such meeting may be conducted in person, by telephone or videoconference as agreed by the Executive Sponsors.</w:t>
      </w:r>
    </w:p>
    <w:p>
      <w:pPr>
        <w:spacing w:after="0" w:line="15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4</w:t>
      </w:r>
    </w:p>
    <w:p>
      <w:pPr>
        <w:spacing w:after="0" w:line="179"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TECHNOLOGY TRANSFER</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b w:val="1"/>
          <w:bCs w:val="1"/>
          <w:color w:val="auto"/>
        </w:rPr>
        <w:t>4.1 Technology Transfer</w:t>
      </w:r>
      <w:r>
        <w:rPr>
          <w:rFonts w:ascii="Arial" w:cs="Arial" w:eastAsia="Arial" w:hAnsi="Arial"/>
          <w:sz w:val="21"/>
          <w:szCs w:val="21"/>
          <w:color w:val="auto"/>
        </w:rPr>
        <w:t>. Within [***] after the Closing Date, Zymeworks will make the contents of all data rooms</w:t>
      </w:r>
      <w:r>
        <w:rPr>
          <w:rFonts w:ascii="Arial" w:cs="Arial" w:eastAsia="Arial" w:hAnsi="Arial"/>
          <w:sz w:val="21"/>
          <w:szCs w:val="21"/>
          <w:b w:val="1"/>
          <w:bCs w:val="1"/>
          <w:color w:val="auto"/>
        </w:rPr>
        <w:t xml:space="preserve"> </w:t>
      </w:r>
      <w:r>
        <w:rPr>
          <w:rFonts w:ascii="Arial" w:cs="Arial" w:eastAsia="Arial" w:hAnsi="Arial"/>
          <w:sz w:val="21"/>
          <w:szCs w:val="21"/>
          <w:color w:val="auto"/>
        </w:rPr>
        <w:t>generated by or on behalf of Zymeworks to which it provided Third Parties access prior to the Closing Date, [***] with respect to the Licensed Product for any transaction in the Territory, available to Jazz for downloading. In addition, within [***] after the Closing Date, Zymeworks will provide and transfer to Jazz[***] the Zymeworks Know-How that exists on the Closing Date and was not previously provided to Jazz or included in the data rooms described above (including all non-clinical data and Clinical Data regarding the Licensed Product that is included in the Zymeworks Know-How that exists as of the Closing Date) (the “</w:t>
      </w:r>
      <w:r>
        <w:rPr>
          <w:rFonts w:ascii="Arial" w:cs="Arial" w:eastAsia="Arial" w:hAnsi="Arial"/>
          <w:sz w:val="21"/>
          <w:szCs w:val="21"/>
          <w:b w:val="1"/>
          <w:bCs w:val="1"/>
          <w:color w:val="auto"/>
        </w:rPr>
        <w:t>Initial Technology Transfer</w:t>
      </w:r>
      <w:r>
        <w:rPr>
          <w:rFonts w:ascii="Arial" w:cs="Arial" w:eastAsia="Arial" w:hAnsi="Arial"/>
          <w:sz w:val="21"/>
          <w:szCs w:val="21"/>
          <w:color w:val="auto"/>
        </w:rPr>
        <w:t>”). [***] As part of the Initial Technology Transfer, Zymeworks shall provide Jazz with [***] (the “</w:t>
      </w:r>
      <w:r>
        <w:rPr>
          <w:rFonts w:ascii="Arial" w:cs="Arial" w:eastAsia="Arial" w:hAnsi="Arial"/>
          <w:sz w:val="21"/>
          <w:szCs w:val="21"/>
          <w:b w:val="1"/>
          <w:bCs w:val="1"/>
          <w:color w:val="auto"/>
        </w:rPr>
        <w:t>Commitments Log</w:t>
      </w:r>
      <w:r>
        <w:rPr>
          <w:rFonts w:ascii="Arial" w:cs="Arial" w:eastAsia="Arial" w:hAnsi="Arial"/>
          <w:sz w:val="21"/>
          <w:szCs w:val="21"/>
          <w:color w:val="auto"/>
        </w:rPr>
        <w:t>”); Zymeworks shall fulfill any outstanding commitments that are or should have been set forth on the Commitments Log in accordance with Section 7.4(b). In addition, during the Term, Zymeworks shall (a) at each meeting of the JSC [***], provide Jazz with a summary of additional Zymeworks Know-How or materials, if any, developed since the last meeting of the JSC,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1" w:right="339" w:bottom="1440" w:gutter="0" w:footer="0" w:header="0"/>
        </w:sectPr>
      </w:pPr>
    </w:p>
    <w:bookmarkStart w:id="189" w:name="page190"/>
    <w:bookmarkEnd w:id="189"/>
    <w:p>
      <w:pPr>
        <w:jc w:val="both"/>
        <w:spacing w:after="0" w:line="214" w:lineRule="auto"/>
        <w:rPr>
          <w:sz w:val="20"/>
          <w:szCs w:val="20"/>
          <w:color w:val="auto"/>
        </w:rPr>
      </w:pPr>
      <w:r>
        <w:rPr>
          <w:rFonts w:ascii="Arial" w:cs="Arial" w:eastAsia="Arial" w:hAnsi="Arial"/>
          <w:sz w:val="22"/>
          <w:szCs w:val="22"/>
          <w:color w:val="auto"/>
        </w:rPr>
        <w:t>transfer any such Zymeworks Know-How to Jazz promptly following Jazz’s reasonable request, (c) provide Jazz with a [***] summary of material manufacturing or materials changes Zymeworks anticipates will be required for the manufacture of Licensed Antibody and Licensed Products for discussion by the Manufacturing Working Group [***], and (d) provide Jazz with reasonable access to Zymeworks personnel involved in the research and Development of Licensed Products, either in-person at Zymeworks’ facility or by teleconference (the “</w:t>
      </w:r>
      <w:r>
        <w:rPr>
          <w:rFonts w:ascii="Arial" w:cs="Arial" w:eastAsia="Arial" w:hAnsi="Arial"/>
          <w:sz w:val="22"/>
          <w:szCs w:val="22"/>
          <w:b w:val="1"/>
          <w:bCs w:val="1"/>
          <w:color w:val="auto"/>
        </w:rPr>
        <w:t>Continuing Technology Transfer</w:t>
      </w:r>
      <w:r>
        <w:rPr>
          <w:rFonts w:ascii="Arial" w:cs="Arial" w:eastAsia="Arial" w:hAnsi="Arial"/>
          <w:sz w:val="22"/>
          <w:szCs w:val="22"/>
          <w:color w:val="auto"/>
        </w:rPr>
        <w:t>,” and together with the Initial Technology Transfer, the “</w:t>
      </w:r>
      <w:r>
        <w:rPr>
          <w:rFonts w:ascii="Arial" w:cs="Arial" w:eastAsia="Arial" w:hAnsi="Arial"/>
          <w:sz w:val="22"/>
          <w:szCs w:val="22"/>
          <w:b w:val="1"/>
          <w:bCs w:val="1"/>
          <w:color w:val="auto"/>
        </w:rPr>
        <w:t>Technology Transfer</w:t>
      </w:r>
      <w:r>
        <w:rPr>
          <w:rFonts w:ascii="Arial" w:cs="Arial" w:eastAsia="Arial" w:hAnsi="Arial"/>
          <w:sz w:val="22"/>
          <w:szCs w:val="22"/>
          <w:color w:val="auto"/>
        </w:rPr>
        <w:t>”). [***]</w:t>
      </w:r>
    </w:p>
    <w:p>
      <w:pPr>
        <w:spacing w:after="0" w:line="15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b w:val="1"/>
          <w:bCs w:val="1"/>
          <w:color w:val="auto"/>
        </w:rPr>
        <w:t>4.2 Updates by Jazz</w:t>
      </w:r>
      <w:r>
        <w:rPr>
          <w:rFonts w:ascii="Arial" w:cs="Arial" w:eastAsia="Arial" w:hAnsi="Arial"/>
          <w:sz w:val="22"/>
          <w:szCs w:val="22"/>
          <w:color w:val="auto"/>
        </w:rPr>
        <w:t>. During the Term, Jazz shall (a) at each meeting of the JSC [***], provide Zymeworks with a</w:t>
      </w:r>
      <w:r>
        <w:rPr>
          <w:rFonts w:ascii="Arial" w:cs="Arial" w:eastAsia="Arial" w:hAnsi="Arial"/>
          <w:sz w:val="22"/>
          <w:szCs w:val="22"/>
          <w:b w:val="1"/>
          <w:bCs w:val="1"/>
          <w:color w:val="auto"/>
        </w:rPr>
        <w:t xml:space="preserve"> </w:t>
      </w:r>
      <w:r>
        <w:rPr>
          <w:rFonts w:ascii="Arial" w:cs="Arial" w:eastAsia="Arial" w:hAnsi="Arial"/>
          <w:sz w:val="22"/>
          <w:szCs w:val="22"/>
          <w:color w:val="auto"/>
        </w:rPr>
        <w:t>summary of any Jazz Collaboration IP (excluding Jazz Manufacturing IP), Joint Collaboration IP and the Jazz IP, if any, developed since the last meeting of the JSC, (b) transfer any Know-How within such Jazz Collaboration IP (excluding Jazz Manufacturing IP), Joint Collaboration IP and the Jazz IP to Zymeworks promptly following Zymeworks’ reasonable request, and (c) provide Zymeworks with reasonable access to Jazz personnel involved in the research and Development of Licensed Products, either in-person at Jazz’s facility or by teleconference. [***]</w:t>
      </w:r>
    </w:p>
    <w:p>
      <w:pPr>
        <w:spacing w:after="0" w:line="15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5</w:t>
      </w:r>
    </w:p>
    <w:p>
      <w:pPr>
        <w:spacing w:after="0" w:line="179"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DEVELOPMENT PROGRAM</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Diligence and Responsibilities.</w:t>
      </w:r>
    </w:p>
    <w:p>
      <w:pPr>
        <w:spacing w:after="0" w:line="185" w:lineRule="exact"/>
        <w:rPr>
          <w:sz w:val="20"/>
          <w:szCs w:val="20"/>
          <w:color w:val="auto"/>
        </w:rPr>
      </w:pPr>
    </w:p>
    <w:p>
      <w:pPr>
        <w:jc w:val="both"/>
        <w:ind w:firstLine="1304"/>
        <w:spacing w:after="0" w:line="224" w:lineRule="auto"/>
        <w:tabs>
          <w:tab w:leader="none" w:pos="1939" w:val="left"/>
        </w:tabs>
        <w:numPr>
          <w:ilvl w:val="0"/>
          <w:numId w:val="106"/>
        </w:numPr>
        <w:rPr>
          <w:rFonts w:ascii="Arial" w:cs="Arial" w:eastAsia="Arial" w:hAnsi="Arial"/>
          <w:sz w:val="21"/>
          <w:szCs w:val="21"/>
          <w:b w:val="1"/>
          <w:bCs w:val="1"/>
          <w:color w:val="auto"/>
        </w:rPr>
      </w:pPr>
      <w:r>
        <w:rPr>
          <w:rFonts w:ascii="Arial" w:cs="Arial" w:eastAsia="Arial" w:hAnsi="Arial"/>
          <w:sz w:val="21"/>
          <w:szCs w:val="21"/>
          <w:color w:val="auto"/>
        </w:rPr>
        <w:t>Except for the Zymeworks Ongoing Studies, Jazz shall be responsible for the Development of the Licensed Products in the Field in the Territory in accordance with this Article 5. Jazz shall use Commercially Reasonable Efforts to (i) Develop a Licensed Product in the Field in each of the Major Market Countries, and (ii) seek to obtain Regulatory Approval for a Licensed Product in the Field in each of the Major Market Countries, in each case of (i) and (ii) for the treatment of [***]. Jazz shall conduct such tasks in a timely, professional manner and in compliance with the Territory Development Plan, as applicable, and all Applicable Laws, including GLP and GCP.</w:t>
      </w:r>
    </w:p>
    <w:p>
      <w:pPr>
        <w:spacing w:after="0" w:line="159" w:lineRule="exact"/>
        <w:rPr>
          <w:rFonts w:ascii="Arial" w:cs="Arial" w:eastAsia="Arial" w:hAnsi="Arial"/>
          <w:sz w:val="21"/>
          <w:szCs w:val="21"/>
          <w:b w:val="1"/>
          <w:bCs w:val="1"/>
          <w:color w:val="auto"/>
        </w:rPr>
      </w:pPr>
    </w:p>
    <w:p>
      <w:pPr>
        <w:jc w:val="both"/>
        <w:ind w:firstLine="1304"/>
        <w:spacing w:after="0" w:line="249" w:lineRule="auto"/>
        <w:tabs>
          <w:tab w:leader="none" w:pos="1938" w:val="left"/>
        </w:tabs>
        <w:numPr>
          <w:ilvl w:val="0"/>
          <w:numId w:val="106"/>
        </w:numPr>
        <w:rPr>
          <w:rFonts w:ascii="Arial" w:cs="Arial" w:eastAsia="Arial" w:hAnsi="Arial"/>
          <w:sz w:val="19"/>
          <w:szCs w:val="19"/>
          <w:b w:val="1"/>
          <w:bCs w:val="1"/>
          <w:color w:val="auto"/>
        </w:rPr>
      </w:pPr>
      <w:r>
        <w:rPr>
          <w:rFonts w:ascii="Arial" w:cs="Arial" w:eastAsia="Arial" w:hAnsi="Arial"/>
          <w:sz w:val="19"/>
          <w:szCs w:val="19"/>
          <w:color w:val="auto"/>
        </w:rPr>
        <w:t>Zymeworks shall be responsible for conducting the Zymeworks Ongoing Studies and the Zymeworks Korean Studies in accordance with this Article 5, at Jazz’s cost and expense as specified in Sections 5.5 and 9.2. Zymeworks shall complete the Zymeworks Ongoing Studies and Zymeworks Korean Studies in accordance with the Zymeworks Development Plan[***]. [***] Zymeworks shall conduct such tasks in a timely, professional manner and in compliance with the Zymeworks Development Plan and all Applicable Laws, including GCP and cGMP. Jazz shall not amend the Zymeworks Development Plan to remove any of the Zymeworks Ongoing Studies or Zymeworks Korean Studies[***].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Zymeworks Development Plan.</w:t>
      </w:r>
    </w:p>
    <w:p>
      <w:pPr>
        <w:spacing w:after="0" w:line="185" w:lineRule="exact"/>
        <w:rPr>
          <w:sz w:val="20"/>
          <w:szCs w:val="20"/>
          <w:color w:val="auto"/>
        </w:rPr>
      </w:pPr>
    </w:p>
    <w:p>
      <w:pPr>
        <w:jc w:val="both"/>
        <w:ind w:firstLine="1304"/>
        <w:spacing w:after="0" w:line="221" w:lineRule="auto"/>
        <w:tabs>
          <w:tab w:leader="none" w:pos="1939" w:val="left"/>
        </w:tabs>
        <w:numPr>
          <w:ilvl w:val="0"/>
          <w:numId w:val="107"/>
        </w:numPr>
        <w:rPr>
          <w:rFonts w:ascii="Arial" w:cs="Arial" w:eastAsia="Arial" w:hAnsi="Arial"/>
          <w:sz w:val="21"/>
          <w:szCs w:val="21"/>
          <w:b w:val="1"/>
          <w:bCs w:val="1"/>
          <w:color w:val="auto"/>
        </w:rPr>
      </w:pPr>
      <w:r>
        <w:rPr>
          <w:rFonts w:ascii="Arial" w:cs="Arial" w:eastAsia="Arial" w:hAnsi="Arial"/>
          <w:sz w:val="21"/>
          <w:szCs w:val="21"/>
          <w:color w:val="auto"/>
        </w:rPr>
        <w:t>The Zymeworks Ongoing Studies and Zymeworks Korean Studies will be conducted pursuant to a written development plan (as amended from time to time in accordance with this Section 5.2, the “</w:t>
      </w:r>
      <w:r>
        <w:rPr>
          <w:rFonts w:ascii="Arial" w:cs="Arial" w:eastAsia="Arial" w:hAnsi="Arial"/>
          <w:sz w:val="21"/>
          <w:szCs w:val="21"/>
          <w:b w:val="1"/>
          <w:bCs w:val="1"/>
          <w:color w:val="auto"/>
        </w:rPr>
        <w:t>Zymeworks Development Plan</w:t>
      </w:r>
      <w:r>
        <w:rPr>
          <w:rFonts w:ascii="Arial" w:cs="Arial" w:eastAsia="Arial" w:hAnsi="Arial"/>
          <w:sz w:val="21"/>
          <w:szCs w:val="21"/>
          <w:color w:val="auto"/>
        </w:rPr>
        <w:t xml:space="preserve">”). The Zymeworks Development Plan shall include [***]. The initial Zymeworks Development Plan is attached hereto as </w:t>
      </w:r>
      <w:r>
        <w:rPr>
          <w:rFonts w:ascii="Arial" w:cs="Arial" w:eastAsia="Arial" w:hAnsi="Arial"/>
          <w:sz w:val="21"/>
          <w:szCs w:val="21"/>
          <w:b w:val="1"/>
          <w:bCs w:val="1"/>
          <w:color w:val="auto"/>
        </w:rPr>
        <w:t>Exhibit</w:t>
      </w:r>
      <w:r>
        <w:rPr>
          <w:rFonts w:ascii="Arial" w:cs="Arial" w:eastAsia="Arial" w:hAnsi="Arial"/>
          <w:sz w:val="21"/>
          <w:szCs w:val="21"/>
          <w:color w:val="auto"/>
        </w:rPr>
        <w:t xml:space="preserve"> </w:t>
      </w:r>
      <w:r>
        <w:rPr>
          <w:rFonts w:ascii="Arial" w:cs="Arial" w:eastAsia="Arial" w:hAnsi="Arial"/>
          <w:sz w:val="21"/>
          <w:szCs w:val="21"/>
          <w:b w:val="1"/>
          <w:bCs w:val="1"/>
          <w:color w:val="auto"/>
        </w:rPr>
        <w:t>5.2</w:t>
      </w:r>
      <w:r>
        <w:rPr>
          <w:rFonts w:ascii="Arial" w:cs="Arial" w:eastAsia="Arial" w:hAnsi="Arial"/>
          <w:sz w:val="21"/>
          <w:szCs w:val="21"/>
          <w:color w:val="auto"/>
        </w:rPr>
        <w:t>. From time to time, either Party may propose amendments to the then-current Zymeworks Development Plan, by submitting</w:t>
      </w:r>
      <w:r>
        <w:rPr>
          <w:rFonts w:ascii="Arial" w:cs="Arial" w:eastAsia="Arial" w:hAnsi="Arial"/>
          <w:sz w:val="21"/>
          <w:szCs w:val="21"/>
          <w:b w:val="1"/>
          <w:bCs w:val="1"/>
          <w:color w:val="auto"/>
        </w:rPr>
        <w:t xml:space="preserve"> </w:t>
      </w:r>
      <w:r>
        <w:rPr>
          <w:rFonts w:ascii="Arial" w:cs="Arial" w:eastAsia="Arial" w:hAnsi="Arial"/>
          <w:sz w:val="21"/>
          <w:szCs w:val="21"/>
          <w:color w:val="auto"/>
        </w:rPr>
        <w:t>such proposed amendment to the JSC. Except as set forth in the Zymeworks Development Plan or otherwise agreed in writing by the Parties, Zymeworks will not conduct any Development activities with respect to the Licensed Products in the Territory. Except as agreed in writing by the Parties, Jazz will not conduct any clinical Development activities with respect to the Licensed Products outside of the Territory.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01" w:right="339" w:bottom="1440" w:gutter="0" w:footer="0" w:header="0"/>
        </w:sectPr>
      </w:pPr>
    </w:p>
    <w:bookmarkStart w:id="190" w:name="page191"/>
    <w:bookmarkEnd w:id="190"/>
    <w:p>
      <w:pPr>
        <w:jc w:val="both"/>
        <w:ind w:firstLine="1304"/>
        <w:spacing w:after="0" w:line="224" w:lineRule="auto"/>
        <w:tabs>
          <w:tab w:leader="none" w:pos="1938" w:val="left"/>
        </w:tabs>
        <w:numPr>
          <w:ilvl w:val="0"/>
          <w:numId w:val="108"/>
        </w:numPr>
        <w:rPr>
          <w:rFonts w:ascii="Arial" w:cs="Arial" w:eastAsia="Arial" w:hAnsi="Arial"/>
          <w:sz w:val="21"/>
          <w:szCs w:val="21"/>
          <w:b w:val="1"/>
          <w:bCs w:val="1"/>
          <w:color w:val="auto"/>
        </w:rPr>
      </w:pPr>
      <w:r>
        <w:rPr>
          <w:rFonts w:ascii="Arial" w:cs="Arial" w:eastAsia="Arial" w:hAnsi="Arial"/>
          <w:sz w:val="21"/>
          <w:szCs w:val="21"/>
          <w:color w:val="auto"/>
        </w:rPr>
        <w:t>Except as set forth below in this Section 5.2(b), Zymeworks will have the sole right to conduct (and manufacture Licensed Product for) the Zymeworks Ongoing Studies and the Zymeworks Korean Studies, in accordance with the Zymeworks Development Plan, at Jazz’s cost and expense as specified in Sections 5.5 and 9.2. As between the Parties, Zymeworks, or its designee [***], will hold or be responsible for all Regulatory Submissions for the Zymeworks Ongoing Studies and Zymeworks Korean Studies, and will be responsible for all correspondence and interactions with Regulatory Authorities with respect thereto, in each case in accordance with Section 6.2[***]. [***]</w:t>
      </w:r>
    </w:p>
    <w:p>
      <w:pPr>
        <w:spacing w:after="0" w:line="159" w:lineRule="exact"/>
        <w:rPr>
          <w:rFonts w:ascii="Arial" w:cs="Arial" w:eastAsia="Arial" w:hAnsi="Arial"/>
          <w:sz w:val="21"/>
          <w:szCs w:val="21"/>
          <w:b w:val="1"/>
          <w:bCs w:val="1"/>
          <w:color w:val="auto"/>
        </w:rPr>
      </w:pPr>
    </w:p>
    <w:p>
      <w:pPr>
        <w:jc w:val="both"/>
        <w:ind w:firstLine="1304"/>
        <w:spacing w:after="0" w:line="216" w:lineRule="auto"/>
        <w:tabs>
          <w:tab w:leader="none" w:pos="1941" w:val="left"/>
        </w:tabs>
        <w:numPr>
          <w:ilvl w:val="0"/>
          <w:numId w:val="108"/>
        </w:numPr>
        <w:rPr>
          <w:rFonts w:ascii="Arial" w:cs="Arial" w:eastAsia="Arial" w:hAnsi="Arial"/>
          <w:sz w:val="22"/>
          <w:szCs w:val="22"/>
          <w:b w:val="1"/>
          <w:bCs w:val="1"/>
          <w:color w:val="auto"/>
        </w:rPr>
      </w:pPr>
      <w:r>
        <w:rPr>
          <w:rFonts w:ascii="Arial" w:cs="Arial" w:eastAsia="Arial" w:hAnsi="Arial"/>
          <w:sz w:val="22"/>
          <w:szCs w:val="22"/>
          <w:color w:val="auto"/>
        </w:rPr>
        <w:t>Jazz acknowledges and agrees that the Ex-Territory Partner will perform certain activities in connection with the Zymeworks Ongoing Studies to support the global Development and registration of Licensed Products, including by engaging Clinical Trial sites and recruiting patients in the Ex-Territory as set forth in the Zymeworks Development Plan. Upon Zymeworks’ request, Jazz will [***]. Notwithstanding anything herein to the contrary, Jazz’s obligations to reimburse costs [***]. Zymeworks will, in a timely manner, [***].</w:t>
      </w:r>
    </w:p>
    <w:p>
      <w:pPr>
        <w:spacing w:after="0" w:line="15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b w:val="1"/>
          <w:bCs w:val="1"/>
          <w:color w:val="auto"/>
        </w:rPr>
        <w:t>5.3 Companion Diagnostics</w:t>
      </w:r>
      <w:r>
        <w:rPr>
          <w:rFonts w:ascii="Arial" w:cs="Arial" w:eastAsia="Arial" w:hAnsi="Arial"/>
          <w:sz w:val="21"/>
          <w:szCs w:val="21"/>
          <w:color w:val="auto"/>
        </w:rPr>
        <w:t>. With respect to the Third Party engaged by Zymeworks or its Affiliates as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Execution Date to develop and commercialize a Companion Diagnostic, Zymeworks[***] shall use reasonable efforts to cause such Third Party [***]. In addition, upon Jazz’s request, Zymeworks shall introduce Jazz to such Third Party [***].</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b w:val="1"/>
          <w:bCs w:val="1"/>
          <w:color w:val="auto"/>
        </w:rPr>
        <w:t xml:space="preserve">5.4 Territory Development Plan. </w:t>
      </w:r>
      <w:r>
        <w:rPr>
          <w:rFonts w:ascii="Arial" w:cs="Arial" w:eastAsia="Arial" w:hAnsi="Arial"/>
          <w:sz w:val="19"/>
          <w:szCs w:val="19"/>
          <w:color w:val="auto"/>
        </w:rPr>
        <w:t>Except for the activities to be conducted by Zymeworks pursuant to Sections 5.1(b)</w:t>
      </w:r>
      <w:r>
        <w:rPr>
          <w:rFonts w:ascii="Arial" w:cs="Arial" w:eastAsia="Arial" w:hAnsi="Arial"/>
          <w:sz w:val="19"/>
          <w:szCs w:val="19"/>
          <w:b w:val="1"/>
          <w:bCs w:val="1"/>
          <w:color w:val="auto"/>
        </w:rPr>
        <w:t xml:space="preserve"> </w:t>
      </w:r>
      <w:r>
        <w:rPr>
          <w:rFonts w:ascii="Arial" w:cs="Arial" w:eastAsia="Arial" w:hAnsi="Arial"/>
          <w:sz w:val="19"/>
          <w:szCs w:val="19"/>
          <w:color w:val="auto"/>
        </w:rPr>
        <w:t>and 5.2, as between the Parties, all Development of Licensed Products in the Territory shall be conducted by Jazz. Promptly after Jazz prepares[***] a written plan for its Development of Licensed Products in the Territory and, if applicable, outside the Territory (as amended from time to time in accordance with this Section 5.4 and Section 3.2, the “</w:t>
      </w:r>
      <w:r>
        <w:rPr>
          <w:rFonts w:ascii="Arial" w:cs="Arial" w:eastAsia="Arial" w:hAnsi="Arial"/>
          <w:sz w:val="19"/>
          <w:szCs w:val="19"/>
          <w:b w:val="1"/>
          <w:bCs w:val="1"/>
          <w:color w:val="auto"/>
        </w:rPr>
        <w:t>Territory Development</w:t>
      </w:r>
      <w:r>
        <w:rPr>
          <w:rFonts w:ascii="Arial" w:cs="Arial" w:eastAsia="Arial" w:hAnsi="Arial"/>
          <w:sz w:val="19"/>
          <w:szCs w:val="19"/>
          <w:color w:val="auto"/>
        </w:rPr>
        <w:t xml:space="preserve"> </w:t>
      </w:r>
      <w:r>
        <w:rPr>
          <w:rFonts w:ascii="Arial" w:cs="Arial" w:eastAsia="Arial" w:hAnsi="Arial"/>
          <w:sz w:val="19"/>
          <w:szCs w:val="19"/>
          <w:b w:val="1"/>
          <w:bCs w:val="1"/>
          <w:color w:val="auto"/>
        </w:rPr>
        <w:t>Plan</w:t>
      </w:r>
      <w:r>
        <w:rPr>
          <w:rFonts w:ascii="Arial" w:cs="Arial" w:eastAsia="Arial" w:hAnsi="Arial"/>
          <w:sz w:val="19"/>
          <w:szCs w:val="19"/>
          <w:color w:val="auto"/>
        </w:rPr>
        <w:t>”), Jazz shall provide Zymeworks with a copy of such plan. From time to time thereafter[***] Jazz shall propose</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amendments to the Territory Development Plan in consultation with Zymeworks and submit such proposed updated or amended Territory Development Plan to the JSC for review and discussion. Once reviewed by the JSC, the amended Territory Development Plan shall become effective. The Territory Development Plan must include, without limitation, [***].</w:t>
      </w:r>
    </w:p>
    <w:p>
      <w:pPr>
        <w:spacing w:after="0" w:line="152"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b w:val="1"/>
          <w:bCs w:val="1"/>
          <w:color w:val="auto"/>
        </w:rPr>
        <w:t xml:space="preserve">5.5 Development Costs. </w:t>
      </w:r>
      <w:r>
        <w:rPr>
          <w:rFonts w:ascii="Arial" w:cs="Arial" w:eastAsia="Arial" w:hAnsi="Arial"/>
          <w:sz w:val="22"/>
          <w:szCs w:val="22"/>
          <w:color w:val="auto"/>
        </w:rPr>
        <w:t>As between the Parties, Jazz shall be solely responsible for the costs and expenses incurred</w:t>
      </w:r>
      <w:r>
        <w:rPr>
          <w:rFonts w:ascii="Arial" w:cs="Arial" w:eastAsia="Arial" w:hAnsi="Arial"/>
          <w:sz w:val="22"/>
          <w:szCs w:val="22"/>
          <w:b w:val="1"/>
          <w:bCs w:val="1"/>
          <w:color w:val="auto"/>
        </w:rPr>
        <w:t xml:space="preserve"> </w:t>
      </w:r>
      <w:r>
        <w:rPr>
          <w:rFonts w:ascii="Arial" w:cs="Arial" w:eastAsia="Arial" w:hAnsi="Arial"/>
          <w:sz w:val="22"/>
          <w:szCs w:val="22"/>
          <w:color w:val="auto"/>
        </w:rPr>
        <w:t>by Jazz, its Affiliates and sublicensees in the Development of Licensed Products in the Territory, including in the performance of the Development activities under the Territory Development Plan. Jazz shall also be responsible for reimbursing Zymeworks for the FTE costs and out-of-pocket expenses incurred by Zymeworks in the performance of the Zymeworks Ongoing Studies and the Zymeworks Korean Studies, and in preparing the First BLA, in each case in accordance with the Zymeworks Development Plan, including the budgets set forth therein. Zymeworks will invoice Jazz, and Jazz will reimburse Zymeworks[***] for such amounts incurred by or on behalf of Zymeworks or its Affiliates in conducting such activities in accordance with Section 9.2. [***]</w:t>
      </w:r>
    </w:p>
    <w:p>
      <w:pPr>
        <w:spacing w:after="0" w:line="156"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b w:val="1"/>
          <w:bCs w:val="1"/>
          <w:color w:val="auto"/>
        </w:rPr>
        <w:t xml:space="preserve">5.6 Development Records. </w:t>
      </w:r>
      <w:r>
        <w:rPr>
          <w:rFonts w:ascii="Arial" w:cs="Arial" w:eastAsia="Arial" w:hAnsi="Arial"/>
          <w:sz w:val="21"/>
          <w:szCs w:val="21"/>
          <w:color w:val="auto"/>
        </w:rPr>
        <w:t>Each Party shall maintain reasonably complete, current and accurate records of all</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activities conducted by or on behalf of such Party, its Affiliates or (with respect to Jazz) its sublicensees pursuant to this Agreement and all data and other information resulting from such activities, in each case in accordance with all Applicable Laws. Each Party shall maintain such records during the Term and for a period of time after the Term consistent with Applicable Laws and reasonable industry practices on record retention and destruction (which shall not be less than [***] following completion of the applicable Development activities). Such records shall fully and properly reflect all work done and results achieved by or on behalf of such Party in the performance of the Development activities in the Territory hereunder, in good scientific manner appropriate for regulatory and patent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01" w:right="339" w:bottom="1440" w:gutter="0" w:footer="0" w:header="0"/>
        </w:sectPr>
      </w:pPr>
    </w:p>
    <w:bookmarkStart w:id="191" w:name="page192"/>
    <w:bookmarkEnd w:id="191"/>
    <w:p>
      <w:pPr>
        <w:jc w:val="both"/>
        <w:spacing w:after="0" w:line="229" w:lineRule="auto"/>
        <w:rPr>
          <w:sz w:val="20"/>
          <w:szCs w:val="20"/>
          <w:color w:val="auto"/>
        </w:rPr>
      </w:pPr>
      <w:r>
        <w:rPr>
          <w:rFonts w:ascii="Arial" w:cs="Arial" w:eastAsia="Arial" w:hAnsi="Arial"/>
          <w:sz w:val="21"/>
          <w:szCs w:val="21"/>
          <w:color w:val="auto"/>
        </w:rPr>
        <w:t>Each Party shall document all non-clinical studies and Clinical Trials of the Licensed Product in formal written study reports in accordance with Applicable Laws and national and international guidelines (</w:t>
      </w:r>
      <w:r>
        <w:rPr>
          <w:rFonts w:ascii="Arial" w:cs="Arial" w:eastAsia="Arial" w:hAnsi="Arial"/>
          <w:sz w:val="21"/>
          <w:szCs w:val="21"/>
          <w:i w:val="1"/>
          <w:iCs w:val="1"/>
          <w:color w:val="auto"/>
        </w:rPr>
        <w:t>e.g.</w:t>
      </w:r>
      <w:r>
        <w:rPr>
          <w:rFonts w:ascii="Arial" w:cs="Arial" w:eastAsia="Arial" w:hAnsi="Arial"/>
          <w:sz w:val="21"/>
          <w:szCs w:val="21"/>
          <w:color w:val="auto"/>
        </w:rPr>
        <w:t>, GCP, GLP and cGMP). Upon a Party’s request, the other Party and its Affiliates shall, and shall use reasonable efforts to cause its (sub)licensees to, provide the requesting Party with copies of or access to such records maintained by the other Party.</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5.7</w:t>
      </w:r>
      <w:r>
        <w:rPr>
          <w:sz w:val="20"/>
          <w:szCs w:val="20"/>
          <w:color w:val="auto"/>
        </w:rPr>
        <w:tab/>
      </w:r>
      <w:r>
        <w:rPr>
          <w:rFonts w:ascii="Arial" w:cs="Arial" w:eastAsia="Arial" w:hAnsi="Arial"/>
          <w:sz w:val="19"/>
          <w:szCs w:val="19"/>
          <w:b w:val="1"/>
          <w:bCs w:val="1"/>
          <w:color w:val="auto"/>
        </w:rPr>
        <w:t>Clinical Trial Audit Rights.</w:t>
      </w:r>
    </w:p>
    <w:p>
      <w:pPr>
        <w:spacing w:after="0" w:line="185" w:lineRule="exact"/>
        <w:rPr>
          <w:sz w:val="20"/>
          <w:szCs w:val="20"/>
          <w:color w:val="auto"/>
        </w:rPr>
      </w:pPr>
    </w:p>
    <w:p>
      <w:pPr>
        <w:jc w:val="both"/>
        <w:ind w:firstLine="1304"/>
        <w:spacing w:after="0" w:line="241" w:lineRule="auto"/>
        <w:tabs>
          <w:tab w:leader="none" w:pos="1939" w:val="left"/>
        </w:tabs>
        <w:numPr>
          <w:ilvl w:val="0"/>
          <w:numId w:val="109"/>
        </w:numPr>
        <w:rPr>
          <w:rFonts w:ascii="Arial" w:cs="Arial" w:eastAsia="Arial" w:hAnsi="Arial"/>
          <w:sz w:val="19"/>
          <w:szCs w:val="19"/>
          <w:b w:val="1"/>
          <w:bCs w:val="1"/>
          <w:color w:val="auto"/>
        </w:rPr>
      </w:pPr>
      <w:r>
        <w:rPr>
          <w:rFonts w:ascii="Arial" w:cs="Arial" w:eastAsia="Arial" w:hAnsi="Arial"/>
          <w:sz w:val="19"/>
          <w:szCs w:val="19"/>
          <w:color w:val="auto"/>
        </w:rPr>
        <w:t>Upon reasonable request by Jazz [***], Zymeworks will exercise its rights to conduct, or if requested by Jazz, will use reasonable efforts to obtain the right for Jazz to conduct (which may be a joint audit with Zymeworks), an audit of any Clinical Trial sites engaged, or other facilities used, by Zymeworks or its Affiliates or the Ex-Territory Partner, to conduct the Zymeworks Development Plan, to ensure that such Clinical Trials are conducted in compliance with the Zymeworks Development Plan and all Applicable Laws, including GCP[***]. No later than [***] following the completion of any such audit and receipt of the resulting audit report (if provided by a Third Party), the Party conducting such audit will provide the other Party with a written summary of such Party’s findings, including any deficiencies or other areas of remediation that such Party reasonably identifies during such audit, and the Parties shall promptly meet to discuss any such deficiencies or other areas of remediation identified by such other Party. Zymeworks will use reasonable efforts[***] to remediate such deficiencies promptly following receipt of such report. Any such remediation done by or on behalf of Zymeworks or its Affiliates will be [***]. [***] If Zymeworks does not remediate such deficiencies within [***] of Jazz’s written request to do so, and Jazz reasonably determines, based on such deficiencies, that the continuation of any Clinical Trial activities at such site would reasonably be expected to have an adverse effect on the continued Development or Commercialization of Licensed Products in the Territory, then Zymeworks will wind-down, or will use reasonable efforts to cause the Ex-Territory Partner to wind-down, as applicable, such Clinical Trial at such site as promptly as practicable following Jazz’s notice of such determination.</w:t>
      </w:r>
    </w:p>
    <w:p>
      <w:pPr>
        <w:spacing w:after="0" w:line="165" w:lineRule="exact"/>
        <w:rPr>
          <w:rFonts w:ascii="Arial" w:cs="Arial" w:eastAsia="Arial" w:hAnsi="Arial"/>
          <w:sz w:val="19"/>
          <w:szCs w:val="19"/>
          <w:b w:val="1"/>
          <w:bCs w:val="1"/>
          <w:color w:val="auto"/>
        </w:rPr>
      </w:pPr>
    </w:p>
    <w:p>
      <w:pPr>
        <w:jc w:val="both"/>
        <w:ind w:firstLine="1304"/>
        <w:spacing w:after="0" w:line="216" w:lineRule="auto"/>
        <w:tabs>
          <w:tab w:leader="none" w:pos="1938" w:val="left"/>
        </w:tabs>
        <w:numPr>
          <w:ilvl w:val="0"/>
          <w:numId w:val="109"/>
        </w:numPr>
        <w:rPr>
          <w:rFonts w:ascii="Arial" w:cs="Arial" w:eastAsia="Arial" w:hAnsi="Arial"/>
          <w:sz w:val="22"/>
          <w:szCs w:val="22"/>
          <w:b w:val="1"/>
          <w:bCs w:val="1"/>
          <w:color w:val="auto"/>
        </w:rPr>
      </w:pPr>
      <w:r>
        <w:rPr>
          <w:rFonts w:ascii="Arial" w:cs="Arial" w:eastAsia="Arial" w:hAnsi="Arial"/>
          <w:sz w:val="22"/>
          <w:szCs w:val="22"/>
          <w:color w:val="auto"/>
        </w:rPr>
        <w:t>Zymeworks will provide Jazz with copies of all quality oversight or audit reports prepared in connection with any audit that Zymeworks, its Affiliates or (sub)licensees (including the Ex-Territory Partner) conduct of a Clinical Trial site that Zymeworks or its Affiliates, or (subject to confidentiality obligations) the Ex-Territory Partner have engaged or are evaluating to potentially engage under the Zymeworks Development Plan no later than [***] after Zymeworks’ receiving or preparing, as applicable, any such report.</w:t>
      </w:r>
    </w:p>
    <w:p>
      <w:pPr>
        <w:spacing w:after="0" w:line="15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b w:val="1"/>
          <w:bCs w:val="1"/>
          <w:color w:val="auto"/>
        </w:rPr>
        <w:t xml:space="preserve">5.8 Development Reports. </w:t>
      </w:r>
      <w:r>
        <w:rPr>
          <w:rFonts w:ascii="Arial" w:cs="Arial" w:eastAsia="Arial" w:hAnsi="Arial"/>
          <w:sz w:val="19"/>
          <w:szCs w:val="19"/>
          <w:color w:val="auto"/>
        </w:rPr>
        <w:t>Zymeworks shall provide Jazz with [***] written reports, at each JSC meeting [***],</w:t>
      </w:r>
      <w:r>
        <w:rPr>
          <w:rFonts w:ascii="Arial" w:cs="Arial" w:eastAsia="Arial" w:hAnsi="Arial"/>
          <w:sz w:val="19"/>
          <w:szCs w:val="19"/>
          <w:b w:val="1"/>
          <w:bCs w:val="1"/>
          <w:color w:val="auto"/>
        </w:rPr>
        <w:t xml:space="preserve"> </w:t>
      </w:r>
      <w:r>
        <w:rPr>
          <w:rFonts w:ascii="Arial" w:cs="Arial" w:eastAsia="Arial" w:hAnsi="Arial"/>
          <w:sz w:val="19"/>
          <w:szCs w:val="19"/>
          <w:color w:val="auto"/>
        </w:rPr>
        <w:t>summarizing its, its Affiliates’ and the Ex-Territory Partner’s Development of Licensed Products, including a summary of the results of such Development. Without limiting the foregoing, such reports shall contain sufficient detail to enable Jazz to assess Zymeworks’ compliance with its Development obligations hereunder. Zymeworks shall promptly respond to Jazz’s reasonable requests from time to time for additional information regarding material Development activities. Jazz shall provide Zymeworks with [***] written reports summarizing its, its Affiliates and its sublicensees Development of Licensed Products in the Territory, including a summary of the results of such Development [***]. Without limiting the foregoing Jazz shall keep Zymeworks reasonably informed, through the JSC, as to any material developments with respect to the Development of Licensed Products in the Territory. The Parties shall discuss the status, progress and results of Development activities at JSC meetings, and Zymeworks shall keep Jazz reasonably informed through the JSC (or Alliance Managers following any discontinuation of the JSC) as to any material developments with respect to the Development of Licensed Products outside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01" w:right="339" w:bottom="1440" w:gutter="0" w:footer="0" w:header="0"/>
        </w:sectPr>
      </w:pPr>
    </w:p>
    <w:bookmarkStart w:id="192" w:name="page193"/>
    <w:bookmarkEnd w:id="192"/>
    <w:p>
      <w:pPr>
        <w:jc w:val="both"/>
        <w:ind w:firstLine="648"/>
        <w:spacing w:after="0"/>
        <w:rPr>
          <w:sz w:val="20"/>
          <w:szCs w:val="20"/>
          <w:color w:val="auto"/>
        </w:rPr>
      </w:pPr>
      <w:r>
        <w:rPr>
          <w:rFonts w:ascii="Arial" w:cs="Arial" w:eastAsia="Arial" w:hAnsi="Arial"/>
          <w:sz w:val="19"/>
          <w:szCs w:val="19"/>
          <w:b w:val="1"/>
          <w:bCs w:val="1"/>
          <w:color w:val="auto"/>
        </w:rPr>
        <w:t>5.9 Data Exchange and Use</w:t>
      </w:r>
      <w:r>
        <w:rPr>
          <w:rFonts w:ascii="Arial" w:cs="Arial" w:eastAsia="Arial" w:hAnsi="Arial"/>
          <w:sz w:val="19"/>
          <w:szCs w:val="19"/>
          <w:color w:val="auto"/>
        </w:rPr>
        <w:t>. In addition to its adverse event and safety data reporting obligations pursuant to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6.4, each Party shall promptly (but in any event no later than [***] from the other Party’s request) provide the other Party with copies of all data and results, including all Clinical Data, and all supporting documentation (e.g. protocols, CRFs, analysis plans) Controlled by such Party or its Affiliates that are generated by or on behalf of such Party or its Affiliates or (sub)licensees (including, with respect to Zymeworks, the Ex-Territory Partner), if applicable, in the Development of Licensed Products; provided that Jazz shall only be required to provide Zymeworks such data, results and documentation to the extent it is reasonably necessary or useful for Zymeworks or its Affiliate or (sub)licensees’ (including the Ex-Territory Partner’s) Development or Commercialization of the Licensed Products in the Field outside the Territory[***]; and provided further that Zymeworks will provide any other such data, results or documentation Controlled by Zymeworks or its Affiliates that is requested by Jazz and reasonably necessary or useful for the Development or Commercialization of the Licensed Products in the Field in the Territory[***]. Jazz shall have the right to use and reference such data and results provided by Zymeworks, pursuant to the licenses granted under Section 2.1, including for the purpose of filing Patent Rights covering Jazz Collaboration IP and Joint Collaboration IP, obtaining and maintaining Regulatory Approval and any pricing or reimbursement approvals, as applicable, of Licensed Products in the Field in the Territory. Zymeworks and its designees shall have the right to use and reference such data and results provided by Jazz, without additional consideration, for the purpose of Developing, manufacturing and Commercializing Licensed Products in accordance with the licenses granted under Section 2.4, including filing Patent Rights covering Zymeworks Collaboration IP, Joint Collaboration IP and Zanidatamab Collaboration IP, obtaining and maintaining Regulatory Approval and any pricing or reimbursement approvals, as applicable, of Licensed Products outside of the Territory. For clarity, any such data or results that are Inventions will be owned in accordance with Section 14.1 and subject to the licenses, rights and obligations set forth herein. The Parties shall adhere to the terms and conditions of the Data Processing Addendum, which is attached hereto as </w:t>
      </w:r>
      <w:r>
        <w:rPr>
          <w:rFonts w:ascii="Arial" w:cs="Arial" w:eastAsia="Arial" w:hAnsi="Arial"/>
          <w:sz w:val="19"/>
          <w:szCs w:val="19"/>
          <w:b w:val="1"/>
          <w:bCs w:val="1"/>
          <w:color w:val="auto"/>
        </w:rPr>
        <w:t>Exhibit 5.9</w:t>
      </w:r>
      <w:r>
        <w:rPr>
          <w:rFonts w:ascii="Arial" w:cs="Arial" w:eastAsia="Arial" w:hAnsi="Arial"/>
          <w:sz w:val="19"/>
          <w:szCs w:val="19"/>
          <w:color w:val="auto"/>
        </w:rPr>
        <w:t xml:space="preserve"> and incorporated by reference, in relation to data protection.</w:t>
      </w:r>
    </w:p>
    <w:p>
      <w:pPr>
        <w:spacing w:after="0" w:line="38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b w:val="1"/>
          <w:bCs w:val="1"/>
          <w:color w:val="auto"/>
        </w:rPr>
        <w:t>5.10 Subcontractors</w:t>
      </w:r>
      <w:r>
        <w:rPr>
          <w:rFonts w:ascii="Arial" w:cs="Arial" w:eastAsia="Arial" w:hAnsi="Arial"/>
          <w:sz w:val="19"/>
          <w:szCs w:val="19"/>
          <w:color w:val="auto"/>
        </w:rPr>
        <w:t>. Each Party shall have the right to engage subcontractors for purposes of conducting activities</w:t>
      </w:r>
      <w:r>
        <w:rPr>
          <w:rFonts w:ascii="Arial" w:cs="Arial" w:eastAsia="Arial" w:hAnsi="Arial"/>
          <w:sz w:val="19"/>
          <w:szCs w:val="19"/>
          <w:b w:val="1"/>
          <w:bCs w:val="1"/>
          <w:color w:val="auto"/>
        </w:rPr>
        <w:t xml:space="preserve"> </w:t>
      </w:r>
      <w:r>
        <w:rPr>
          <w:rFonts w:ascii="Arial" w:cs="Arial" w:eastAsia="Arial" w:hAnsi="Arial"/>
          <w:sz w:val="19"/>
          <w:szCs w:val="19"/>
          <w:color w:val="auto"/>
        </w:rPr>
        <w:t>assigned to it under this Agreement or for which it is responsible under this Agreement; provided that Zymeworks obtains Jazz’s written consent, such consent not to be unreasonably withheld, conditioned or delayed, prior to engaging any subcontractor not identified in the Zymeworks Development Plan. Each Party shall cause any subcontractor engaged by it to be bound by written obligations of confidentiality and non-use consistent with this Agreement prior to performing any activities. Each Party shall cause its subcontractors to assign to such Party (or, in the case of academic institutions and Third Party manufacturers, use reasonable efforts to cause such subcontractor to so assign and, if such efforts do not result in obtaining an assignment, such Party shall obtain a fully sublicensable license thereto or, in the case of an academic institution, an exclusive option to obtain such a license) all intellectual property made by such subcontractor in the course of performing such subcontracted work. Each Party shall remain directly responsible for any of its obligations under this Agreement that have been delegated or subcontracted to any subcontractor and shall be directly responsible for the performance of its subcontractors.</w:t>
      </w:r>
    </w:p>
    <w:p>
      <w:pPr>
        <w:spacing w:after="0" w:line="14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6</w:t>
      </w:r>
    </w:p>
    <w:p>
      <w:pPr>
        <w:spacing w:after="0" w:line="179"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REGULATORY</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6.1 Holder of Regulatory Approvals and Regulatory Submissions</w:t>
      </w:r>
      <w:r>
        <w:rPr>
          <w:rFonts w:ascii="Arial" w:cs="Arial" w:eastAsia="Arial" w:hAnsi="Arial"/>
          <w:sz w:val="19"/>
          <w:szCs w:val="19"/>
          <w:color w:val="auto"/>
        </w:rPr>
        <w:t>. As between the Parties, Jazz shall be the holder</w:t>
      </w:r>
      <w:r>
        <w:rPr>
          <w:rFonts w:ascii="Arial" w:cs="Arial" w:eastAsia="Arial" w:hAnsi="Arial"/>
          <w:sz w:val="19"/>
          <w:szCs w:val="19"/>
          <w:b w:val="1"/>
          <w:bCs w:val="1"/>
          <w:color w:val="auto"/>
        </w:rPr>
        <w:t xml:space="preserve"> </w:t>
      </w:r>
      <w:r>
        <w:rPr>
          <w:rFonts w:ascii="Arial" w:cs="Arial" w:eastAsia="Arial" w:hAnsi="Arial"/>
          <w:sz w:val="19"/>
          <w:szCs w:val="19"/>
          <w:color w:val="auto"/>
        </w:rPr>
        <w:t>of Regulatory Approvals and Regulatory Submission for Licensed Products in the Field in the Territory, except as expressly set forth in Section 5.2(b) with respect to the Zymeworks Ongoing Studies or in Section 6.2(b) with respect to the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395" w:right="339" w:bottom="1440" w:gutter="0" w:footer="0" w:header="0"/>
        </w:sectPr>
      </w:pPr>
    </w:p>
    <w:bookmarkStart w:id="193" w:name="page194"/>
    <w:bookmarkEnd w:id="193"/>
    <w:p>
      <w:pPr>
        <w:ind w:right="20"/>
        <w:spacing w:after="0" w:line="232" w:lineRule="auto"/>
        <w:rPr>
          <w:sz w:val="20"/>
          <w:szCs w:val="20"/>
          <w:color w:val="auto"/>
        </w:rPr>
      </w:pPr>
      <w:r>
        <w:rPr>
          <w:rFonts w:ascii="Arial" w:cs="Arial" w:eastAsia="Arial" w:hAnsi="Arial"/>
          <w:sz w:val="22"/>
          <w:szCs w:val="22"/>
          <w:color w:val="auto"/>
        </w:rPr>
        <w:t>BLA. At Jazz’s reasonable request [***], Zymeworks shall cooperate with Jazz to enable Jazz to obtain any or all such Regulatory Approvals and Regulatory Submissions.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Review of Regulatory Submissions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tabs>
          <w:tab w:leader="none" w:pos="1939" w:val="left"/>
        </w:tabs>
        <w:numPr>
          <w:ilvl w:val="0"/>
          <w:numId w:val="110"/>
        </w:numPr>
        <w:rPr>
          <w:rFonts w:ascii="Arial" w:cs="Arial" w:eastAsia="Arial" w:hAnsi="Arial"/>
          <w:sz w:val="19"/>
          <w:szCs w:val="19"/>
          <w:b w:val="1"/>
          <w:bCs w:val="1"/>
          <w:color w:val="auto"/>
        </w:rPr>
      </w:pPr>
      <w:r>
        <w:rPr>
          <w:rFonts w:ascii="Arial" w:cs="Arial" w:eastAsia="Arial" w:hAnsi="Arial"/>
          <w:sz w:val="19"/>
          <w:szCs w:val="19"/>
          <w:color w:val="auto"/>
        </w:rPr>
        <w:t>Zymeworks shall provide to Jazz (i) all material Regulatory Submissions prepared by or on behalf of Zymeworks with respect to the Zymeworks Ongoing Studies at least [***] prior to submission (or such shorter time period required for timely response to a Regulatory Authority) and shall incorporate reasonable comments received from Jazz with respect thereto, (ii) all material correspondence or communication between Zymeworks and a Regulatory Authority in the Territory with respect to the Zymeworks Ongoing Studies, as well as minutes of any material meetings, telephone conferences or discussions that Zymeworks has with such Regulatory Authority, in each case, with respect to a Licensed Product (and Zymeworks shall provide Jazz with material correspondence or communications from a Regulatory Authority, including, without limitation, any communications or correspondence relating to label requirements, within [***] of Zymeworks’ receipt of such correspondence or communications) and (iii) permission for [***] mutually acceptable representatives of Jazz, including representatives from the relevant functional areas, to attend and participate in any meetings and briefings with a Regulatory Authority in the Territory relating to the Zymeworks Ongoing Studies; provided that attendance and participation by a representative of Jazz is permitted by the applicable Regulatory Authority and the attendance of a representative of Jazz [***]. In addition, Zymeworks shall provide to Jazz all material Regulatory Submissions (including any certified English translations) prepared by or on behalf of the Ex-Territory Partner with respect to the Zymeworks Ongoing Studies or the Licensed Product in the Ex-Territory within [***] after receipt of such Regulatory Submission by Zymeworks, and to the extent that Zymeworks has access and the right to share with Jazz, all material correspondence or communication, as well as minutes of any material meetings, telephone conferences or discussions, between the Ex-Territory Partner and any Regulatory Authority in the Ex-Territory with respect to any Licensed Product and shall provide to the Ex-Territory Partner, for consideration, any reasonable comments received from Jazz with respect thereto.</w:t>
      </w:r>
    </w:p>
    <w:p>
      <w:pPr>
        <w:spacing w:after="0" w:line="387" w:lineRule="exact"/>
        <w:rPr>
          <w:rFonts w:ascii="Arial" w:cs="Arial" w:eastAsia="Arial" w:hAnsi="Arial"/>
          <w:sz w:val="19"/>
          <w:szCs w:val="19"/>
          <w:b w:val="1"/>
          <w:bCs w:val="1"/>
          <w:color w:val="auto"/>
        </w:rPr>
      </w:pPr>
    </w:p>
    <w:p>
      <w:pPr>
        <w:jc w:val="both"/>
        <w:ind w:firstLine="1304"/>
        <w:spacing w:after="0" w:line="218" w:lineRule="auto"/>
        <w:tabs>
          <w:tab w:leader="none" w:pos="1938" w:val="left"/>
        </w:tabs>
        <w:numPr>
          <w:ilvl w:val="0"/>
          <w:numId w:val="110"/>
        </w:numPr>
        <w:rPr>
          <w:rFonts w:ascii="Arial" w:cs="Arial" w:eastAsia="Arial" w:hAnsi="Arial"/>
          <w:sz w:val="21"/>
          <w:szCs w:val="21"/>
          <w:b w:val="1"/>
          <w:bCs w:val="1"/>
          <w:color w:val="auto"/>
        </w:rPr>
      </w:pPr>
      <w:r>
        <w:rPr>
          <w:rFonts w:ascii="Arial" w:cs="Arial" w:eastAsia="Arial" w:hAnsi="Arial"/>
          <w:sz w:val="21"/>
          <w:szCs w:val="21"/>
          <w:color w:val="auto"/>
        </w:rPr>
        <w:t>Zymeworks shall prepare the first Biologics License Application for Regulatory Approval for the Licensed Product for submission to the FDA (the “</w:t>
      </w:r>
      <w:r>
        <w:rPr>
          <w:rFonts w:ascii="Arial" w:cs="Arial" w:eastAsia="Arial" w:hAnsi="Arial"/>
          <w:sz w:val="21"/>
          <w:szCs w:val="21"/>
          <w:b w:val="1"/>
          <w:bCs w:val="1"/>
          <w:color w:val="auto"/>
        </w:rPr>
        <w:t>First BLA</w:t>
      </w:r>
      <w:r>
        <w:rPr>
          <w:rFonts w:ascii="Arial" w:cs="Arial" w:eastAsia="Arial" w:hAnsi="Arial"/>
          <w:sz w:val="21"/>
          <w:szCs w:val="21"/>
          <w:color w:val="auto"/>
        </w:rPr>
        <w:t>”), in accordance with the Zymeworks Development Plan (including the budget identified therein) and at Jazz’s cost and expense as specified in Section 9.2, subject to successful completion of the applicable Zymeworks Ongoing Studies. Zymeworks will provide Jazz with each draft of the First BLA for Jazz’s review and comment, which drafts shall include, [***]. Zymeworks shall incorporate all comments from Jazz with respect to the First BLA, and upon Jazz’s final approval and instructions, submit the First BLA to the FDA. Zymeworks shall notify Jazz of any correspondence from and meetings with the FDA regarding the First BLA in accordance with the terms of this Section 6.2. Zymeworks shall provide Jazz with copies of proposed responses to such correspondence at least [***] prior to submission (or such shorter time period required for timely response to the FDA), Zymeworks shall incorporate all comments from Jazz with respect to such responses. Following Regulatory Approval of the First BLA or earlier upon Jazz’s written request, Zymeworks will promptly transfer the First BLA to Jazz. The foregoing preparation and transfer of the First BLA shall be completed in accordance with the timeline set forth in the Zymeworks Development Plan. Jazz will cooperate in good faith with, and provide reasonable assistance to, Zymeworks in Zymeworks’ preparation of the First BLA, at Zymeworks’ request and Jazz’s expense. Zymeworks will cooperate in good faith with, and provide reasonable assistance to, Jazz in Jazz’s preparation of any other applications for Regulatory Approval that are based on substantially similar Clinical Data as included in the First BLA, at Jazz’s request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01" w:right="339" w:bottom="1440" w:gutter="0" w:footer="0" w:header="0"/>
        </w:sectPr>
      </w:pPr>
    </w:p>
    <w:bookmarkStart w:id="194" w:name="page195"/>
    <w:bookmarkEnd w:id="194"/>
    <w:p>
      <w:pPr>
        <w:jc w:val="both"/>
        <w:ind w:firstLine="1304"/>
        <w:spacing w:after="0" w:line="246" w:lineRule="auto"/>
        <w:tabs>
          <w:tab w:leader="none" w:pos="1941" w:val="left"/>
        </w:tabs>
        <w:numPr>
          <w:ilvl w:val="0"/>
          <w:numId w:val="111"/>
        </w:numPr>
        <w:rPr>
          <w:rFonts w:ascii="Arial" w:cs="Arial" w:eastAsia="Arial" w:hAnsi="Arial"/>
          <w:sz w:val="19"/>
          <w:szCs w:val="19"/>
          <w:b w:val="1"/>
          <w:bCs w:val="1"/>
          <w:color w:val="auto"/>
        </w:rPr>
      </w:pPr>
      <w:r>
        <w:rPr>
          <w:rFonts w:ascii="Arial" w:cs="Arial" w:eastAsia="Arial" w:hAnsi="Arial"/>
          <w:sz w:val="19"/>
          <w:szCs w:val="19"/>
          <w:color w:val="auto"/>
        </w:rPr>
        <w:t>In addition, (i) Jazz shall notify Zymeworks of any material correspondence regarding any Regulatory Submissions that are received by Jazz from any Regulatory Authority in the Territory, (ii) Zymeworks shall notify Jazz of any material correspondence regarding any Regulatory Submissions that are received by Zymeworks from a Regulatory Authority or the Ex-Territory Partner with respect to Clinical Trials conducted pursuant to the Zymeworks Development Plan or outside the Territory, and, in each case (i) and (ii) shall provide the other Party with copies thereof as soon as reasonably practicable, but in all events within [***] of receipt. Each Party will provide [***] updates, at each JSC meeting, regarding its material activities and progress with respect to all Clinical Trials conducted or on behalf of the reporting Party or its Affiliates, (with respect to Zymeworks) the Ex-Territory Partner, or (with respect to Jazz) sublicensees.</w:t>
      </w:r>
    </w:p>
    <w:p>
      <w:pPr>
        <w:spacing w:after="0" w:line="152" w:lineRule="exact"/>
        <w:rPr>
          <w:rFonts w:ascii="Arial" w:cs="Arial" w:eastAsia="Arial" w:hAnsi="Arial"/>
          <w:sz w:val="19"/>
          <w:szCs w:val="19"/>
          <w:b w:val="1"/>
          <w:bCs w:val="1"/>
          <w:color w:val="auto"/>
        </w:rPr>
      </w:pPr>
    </w:p>
    <w:p>
      <w:pPr>
        <w:jc w:val="both"/>
        <w:ind w:firstLine="1304"/>
        <w:spacing w:after="0" w:line="218" w:lineRule="auto"/>
        <w:tabs>
          <w:tab w:leader="none" w:pos="1938" w:val="left"/>
        </w:tabs>
        <w:numPr>
          <w:ilvl w:val="0"/>
          <w:numId w:val="111"/>
        </w:numPr>
        <w:rPr>
          <w:rFonts w:ascii="Arial" w:cs="Arial" w:eastAsia="Arial" w:hAnsi="Arial"/>
          <w:sz w:val="22"/>
          <w:szCs w:val="22"/>
          <w:b w:val="1"/>
          <w:bCs w:val="1"/>
          <w:color w:val="auto"/>
        </w:rPr>
      </w:pPr>
      <w:r>
        <w:rPr>
          <w:rFonts w:ascii="Arial" w:cs="Arial" w:eastAsia="Arial" w:hAnsi="Arial"/>
          <w:sz w:val="22"/>
          <w:szCs w:val="22"/>
          <w:color w:val="auto"/>
        </w:rPr>
        <w:t>Each Party shall keep the other Party reasonably informed of regulatory developments related to Licensed Products in the Field in the Territory and outside the Territory of which it becomes aware and shall promptly notify the other Party in writing of any material decision by any Regulatory Authority in the Field, in the Territory or outside the Territory, of which it becomes aware regarding any Licensed Product.</w:t>
      </w:r>
    </w:p>
    <w:p>
      <w:pPr>
        <w:spacing w:after="0" w:line="160" w:lineRule="exact"/>
        <w:rPr>
          <w:rFonts w:ascii="Arial" w:cs="Arial" w:eastAsia="Arial" w:hAnsi="Arial"/>
          <w:sz w:val="22"/>
          <w:szCs w:val="22"/>
          <w:b w:val="1"/>
          <w:bCs w:val="1"/>
          <w:color w:val="auto"/>
        </w:rPr>
      </w:pPr>
    </w:p>
    <w:p>
      <w:pPr>
        <w:jc w:val="both"/>
        <w:ind w:firstLine="1304"/>
        <w:spacing w:after="0" w:line="249" w:lineRule="auto"/>
        <w:tabs>
          <w:tab w:leader="none" w:pos="1941" w:val="left"/>
        </w:tabs>
        <w:numPr>
          <w:ilvl w:val="0"/>
          <w:numId w:val="111"/>
        </w:numPr>
        <w:rPr>
          <w:rFonts w:ascii="Arial" w:cs="Arial" w:eastAsia="Arial" w:hAnsi="Arial"/>
          <w:sz w:val="19"/>
          <w:szCs w:val="19"/>
          <w:b w:val="1"/>
          <w:bCs w:val="1"/>
          <w:color w:val="auto"/>
        </w:rPr>
      </w:pPr>
      <w:r>
        <w:rPr>
          <w:rFonts w:ascii="Arial" w:cs="Arial" w:eastAsia="Arial" w:hAnsi="Arial"/>
          <w:sz w:val="19"/>
          <w:szCs w:val="19"/>
          <w:color w:val="auto"/>
        </w:rPr>
        <w:t>Jazz shall provide Zymeworks with notice no later than [***] after receiving notice of any meeting or discussion with any Regulatory Authority in the Territory related to any Licensed Product in the Field, such notice to include a summary of the topic of such meeting or discussion and relevant background. Jazz shall provide Zymeworks with a written summary of each such meeting or discussion (including the outcome and major actions) promptly following such meeting or discussion. Upon Jazz’s reasonable request and notice[***] Zymeworks will attend, or assist Jazz in its preparation for, any meeting or discussion that Jazz has with any Regulatory Authority in the Territory related to any Licensed Product in the Field.</w:t>
      </w:r>
    </w:p>
    <w:p>
      <w:pPr>
        <w:spacing w:after="0" w:line="151" w:lineRule="exact"/>
        <w:rPr>
          <w:rFonts w:ascii="Arial" w:cs="Arial" w:eastAsia="Arial" w:hAnsi="Arial"/>
          <w:sz w:val="19"/>
          <w:szCs w:val="19"/>
          <w:b w:val="1"/>
          <w:bCs w:val="1"/>
          <w:color w:val="auto"/>
        </w:rPr>
      </w:pPr>
    </w:p>
    <w:p>
      <w:pPr>
        <w:jc w:val="both"/>
        <w:ind w:firstLine="1304"/>
        <w:spacing w:after="0" w:line="226" w:lineRule="auto"/>
        <w:tabs>
          <w:tab w:leader="none" w:pos="1944" w:val="left"/>
        </w:tabs>
        <w:numPr>
          <w:ilvl w:val="0"/>
          <w:numId w:val="111"/>
        </w:numPr>
        <w:rPr>
          <w:rFonts w:ascii="Arial" w:cs="Arial" w:eastAsia="Arial" w:hAnsi="Arial"/>
          <w:sz w:val="21"/>
          <w:szCs w:val="21"/>
          <w:b w:val="1"/>
          <w:bCs w:val="1"/>
          <w:color w:val="auto"/>
        </w:rPr>
      </w:pPr>
      <w:r>
        <w:rPr>
          <w:rFonts w:ascii="Arial" w:cs="Arial" w:eastAsia="Arial" w:hAnsi="Arial"/>
          <w:sz w:val="21"/>
          <w:szCs w:val="21"/>
          <w:color w:val="auto"/>
        </w:rPr>
        <w:t>Zymeworks will provide Jazz with reasonable advance notice [***] of all substantive meetings pertaining to each Licensed Product with a Regulatory Authority outside of the Territory of which Zymeworks becomes aware through use of reasonable efforts. Zymeworks will use reasonable efforts to obtain the right to permit Jazz to have[***] mutually acceptable representative of Jazz attend, solely as a non-participating observer, key substantive meetings pertaining to such Licensed Product with any Regulatory Authorities outside of the Territory.</w:t>
      </w:r>
    </w:p>
    <w:p>
      <w:pPr>
        <w:spacing w:after="0" w:line="153"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1"/>
          <w:szCs w:val="21"/>
          <w:b w:val="1"/>
          <w:bCs w:val="1"/>
          <w:color w:val="auto"/>
        </w:rPr>
        <w:t xml:space="preserve">6.3 Right of Reference. </w:t>
      </w:r>
      <w:r>
        <w:rPr>
          <w:rFonts w:ascii="Arial" w:cs="Arial" w:eastAsia="Arial" w:hAnsi="Arial"/>
          <w:sz w:val="21"/>
          <w:szCs w:val="21"/>
          <w:color w:val="auto"/>
        </w:rPr>
        <w:t>Each Party hereby grants to the other Party the right of reference to all Regulatory</w:t>
      </w:r>
      <w:r>
        <w:rPr>
          <w:rFonts w:ascii="Arial" w:cs="Arial" w:eastAsia="Arial" w:hAnsi="Arial"/>
          <w:sz w:val="21"/>
          <w:szCs w:val="21"/>
          <w:b w:val="1"/>
          <w:bCs w:val="1"/>
          <w:color w:val="auto"/>
        </w:rPr>
        <w:t xml:space="preserve"> </w:t>
      </w:r>
      <w:r>
        <w:rPr>
          <w:rFonts w:ascii="Arial" w:cs="Arial" w:eastAsia="Arial" w:hAnsi="Arial"/>
          <w:sz w:val="21"/>
          <w:szCs w:val="21"/>
          <w:color w:val="auto"/>
        </w:rPr>
        <w:t>Submissions pertaining to Licensed Products in the Field submitted by or on behalf of such Party or its Affiliates or, with respect to Jazz, sublicensees, solely to the extent reasonably necessary for the purposes set forth in this Section 6.3 and requested by such other Party. Without limiting the foregoing, Zymeworks may file a drug master file (“</w:t>
      </w:r>
      <w:r>
        <w:rPr>
          <w:rFonts w:ascii="Arial" w:cs="Arial" w:eastAsia="Arial" w:hAnsi="Arial"/>
          <w:sz w:val="21"/>
          <w:szCs w:val="21"/>
          <w:b w:val="1"/>
          <w:bCs w:val="1"/>
          <w:color w:val="auto"/>
        </w:rPr>
        <w:t>DMF</w:t>
      </w:r>
      <w:r>
        <w:rPr>
          <w:rFonts w:ascii="Arial" w:cs="Arial" w:eastAsia="Arial" w:hAnsi="Arial"/>
          <w:sz w:val="21"/>
          <w:szCs w:val="21"/>
          <w:color w:val="auto"/>
        </w:rPr>
        <w:t>”) with the FDA or other Regulatory Authorities in the Territory, setting forth the Zymeworks Know-How related to the manufacture of the Licensed Antibody and such DMF shall be a Regulatory Submission subject to the right of reference granted to Jazz in the foregoing sentence, and, upon Jazz’s written request, Zymeworks will provide Jazz with a right to reference and full access to such DMF[***]. Upon Jazz’s reasonable written request [***], Zymeworks shall [***] a right of reference to (i) Regulatory Submissions pertaining to Licensed Products in the Field submitted by or on behalf of the Ex-Territory Partner in the Ex-Territory (including Regulatory Submissions for combination studies of Licensed Products) and (ii) Regulatory Submissions pertaining to Companion Diagnostics submitted by or on behalf of any Third Party engaged by Zymeworks or its Affiliates to develop such Companion Diagnostics. Jazz may use such right of reference to Zymeworks’ Regulatory Submissions or, if applicable, the Ex-Territory Partner’s Regulatory Submissions or other Third Party solely for the purpose of seeking, obtaining and maintaining Regulatory Approval and any pricing or reimbursement approvals, as applicable, of Licensed Products in the Field in the Territory. Zymeworks, or its Ex-Territory Partner, may use the right of reference to Jazz’s Regulatory Submissions and Regulatory Approvals solely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01" w:right="339" w:bottom="1440" w:gutter="0" w:footer="0" w:header="0"/>
        </w:sectPr>
      </w:pPr>
    </w:p>
    <w:bookmarkStart w:id="195" w:name="page196"/>
    <w:bookmarkEnd w:id="195"/>
    <w:p>
      <w:pPr>
        <w:jc w:val="both"/>
        <w:spacing w:after="0" w:line="252" w:lineRule="auto"/>
        <w:rPr>
          <w:sz w:val="20"/>
          <w:szCs w:val="20"/>
          <w:color w:val="auto"/>
        </w:rPr>
      </w:pPr>
      <w:r>
        <w:rPr>
          <w:rFonts w:ascii="Arial" w:cs="Arial" w:eastAsia="Arial" w:hAnsi="Arial"/>
          <w:sz w:val="19"/>
          <w:szCs w:val="19"/>
          <w:color w:val="auto"/>
        </w:rPr>
        <w:t>purpose of seeking, obtaining and maintaining Regulatory Approval and any pricing or reimbursement approvals, as applicable, of Licensed Products outside the Territory or, to the extent permitted pursuant to this Agreement, in the Territory. [***] Each Party will take such actions as may be reasonably requested by the other Party to give effect to the intent of this Section 6.3 and to give the other Party, its Affiliates, licensees (including the Ex-Territory Partner) and sublicensees the benefit of the rights of reference to the granting Party’s Regulatory Submissions in the other Party’s territory as provided herein.</w:t>
      </w:r>
    </w:p>
    <w:p>
      <w:pPr>
        <w:spacing w:after="0" w:line="143" w:lineRule="exact"/>
        <w:rPr>
          <w:sz w:val="20"/>
          <w:szCs w:val="20"/>
          <w:color w:val="auto"/>
        </w:rPr>
      </w:pPr>
    </w:p>
    <w:p>
      <w:pPr>
        <w:jc w:val="both"/>
        <w:ind w:firstLine="648"/>
        <w:spacing w:after="0"/>
        <w:rPr>
          <w:sz w:val="20"/>
          <w:szCs w:val="20"/>
          <w:color w:val="auto"/>
        </w:rPr>
      </w:pPr>
      <w:r>
        <w:rPr>
          <w:rFonts w:ascii="Arial" w:cs="Arial" w:eastAsia="Arial" w:hAnsi="Arial"/>
          <w:sz w:val="19"/>
          <w:szCs w:val="19"/>
          <w:b w:val="1"/>
          <w:bCs w:val="1"/>
          <w:color w:val="auto"/>
        </w:rPr>
        <w:t xml:space="preserve">6.4 Adverse Events Reporting. </w:t>
      </w:r>
      <w:r>
        <w:rPr>
          <w:rFonts w:ascii="Arial" w:cs="Arial" w:eastAsia="Arial" w:hAnsi="Arial"/>
          <w:sz w:val="19"/>
          <w:szCs w:val="19"/>
          <w:color w:val="auto"/>
        </w:rPr>
        <w:t>Within [***] after the Closing Date, but in no event later than any Regulatory</w:t>
      </w:r>
      <w:r>
        <w:rPr>
          <w:rFonts w:ascii="Arial" w:cs="Arial" w:eastAsia="Arial" w:hAnsi="Arial"/>
          <w:sz w:val="19"/>
          <w:szCs w:val="19"/>
          <w:b w:val="1"/>
          <w:bCs w:val="1"/>
          <w:color w:val="auto"/>
        </w:rPr>
        <w:t xml:space="preserve"> </w:t>
      </w:r>
      <w:r>
        <w:rPr>
          <w:rFonts w:ascii="Arial" w:cs="Arial" w:eastAsia="Arial" w:hAnsi="Arial"/>
          <w:sz w:val="19"/>
          <w:szCs w:val="19"/>
          <w:color w:val="auto"/>
        </w:rPr>
        <w:t>Submission to be made by or on behalf of Jazz in the Territory to conduct a Clinical Trial or for Regulatory Approval of the Licensed Product, Jazz and Zymeworks shall develop and agree in a written agreement to worldwide safety and pharmacovigilance procedures for the Parties with respect to Licensed Products, such as safety data sharing and exchange, adverse events reporting and prescription events monitoring (the “</w:t>
      </w:r>
      <w:r>
        <w:rPr>
          <w:rFonts w:ascii="Arial" w:cs="Arial" w:eastAsia="Arial" w:hAnsi="Arial"/>
          <w:sz w:val="19"/>
          <w:szCs w:val="19"/>
          <w:b w:val="1"/>
          <w:bCs w:val="1"/>
          <w:color w:val="auto"/>
        </w:rPr>
        <w:t>SDEA Agreement</w:t>
      </w:r>
      <w:r>
        <w:rPr>
          <w:rFonts w:ascii="Arial" w:cs="Arial" w:eastAsia="Arial" w:hAnsi="Arial"/>
          <w:sz w:val="19"/>
          <w:szCs w:val="19"/>
          <w:color w:val="auto"/>
        </w:rPr>
        <w:t>”). Such SDEA Agreement shall (a) describe the obligations of both Parties with respect to the coordination of collection, investigation, reporting and exchange of information between the Parties concerning adverse events or any other safety issue of any significance, in each case with respect to Licensed Products and sufficient to permit each Party and its Affiliates, licensees or sublicensees to comply with Applicable Laws and, with respect to Zymeworks, its obligations to the Ex-Territory Partner; (b) be promptly updated if required by changes in Applicable Law; (c) provide that (i) Jazz shall maintain a safety database for Clinical Trials conducted in the Territory, other than those conducted under the Zymeworks Development Plan, at its sole cost and expense; (ii) Jazz shall be responsible for (A) reporting to the applicable Regulatory Authorities in the Territory, all required adverse events and safety data related to Licensed Products for all Clinical Trials conducted in the Territory, other than those conducted under the Zymeworks Development Plan for which Zymeworks is required to make such reports under Applicable Laws and (B) responding to safety issues and to all requests of Regulatory Authorities related to such safety issues with respect to the Licensed Products in the Field in the Territory, in each case ((A) and (B)), other than the Zymeworks Ongoing Studies, with respect to which Zymeworks will retain such responsibilities and will keep Jazz reasonably informed through the JSC and (C) making final decisions with respect to any safety governance issues with respect to the Licensed Products in the Territory after transfer of the First BLA by Zymeworks to Jazz (or, in the event Jazz initiates a Clinical Trial prior to the transfer of the First BLA by Zymeworks to Jazz, after such initiation); (iii) Jazz shall provide to Zymeworks access to Jazz’s safety database for the Licensed Product in the Territory; (iv) Zymeworks shall maintain the global safety database for the Licensed Products, including with respect to Clinical Trials conducted under the Zymeworks Development Plan; and (v) Zymeworks will provide Jazz with safety information regarding the Licensed Products in accordance with the SDEA Agreement; and (d) use the definitions relating to “adverse events” and “adverse drug experiences” as set forth in 21 C.F.R. 312.32 and 21 C.F.R. 314.80. Upon the earlier of completion of the Zymeworks Ongoing Studies and Zymeworks Korean Studies or Jazz’s written request, the Parties will cooperate in good faith to transfer of the global safety database for the Licensed Products to Jazz[***]. [***]</w:t>
      </w:r>
    </w:p>
    <w:p>
      <w:pPr>
        <w:spacing w:after="0" w:line="370"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b w:val="1"/>
          <w:bCs w:val="1"/>
          <w:color w:val="auto"/>
        </w:rPr>
        <w:t xml:space="preserve">6.5 No Harmful Actions. </w:t>
      </w:r>
      <w:r>
        <w:rPr>
          <w:rFonts w:ascii="Arial" w:cs="Arial" w:eastAsia="Arial" w:hAnsi="Arial"/>
          <w:sz w:val="21"/>
          <w:szCs w:val="21"/>
          <w:color w:val="auto"/>
        </w:rPr>
        <w:t>If either Party reasonably believes that the other Party is taking or intends to take any action</w:t>
      </w:r>
      <w:r>
        <w:rPr>
          <w:rFonts w:ascii="Arial" w:cs="Arial" w:eastAsia="Arial" w:hAnsi="Arial"/>
          <w:sz w:val="21"/>
          <w:szCs w:val="21"/>
          <w:b w:val="1"/>
          <w:bCs w:val="1"/>
          <w:color w:val="auto"/>
        </w:rPr>
        <w:t xml:space="preserve"> </w:t>
      </w:r>
      <w:r>
        <w:rPr>
          <w:rFonts w:ascii="Arial" w:cs="Arial" w:eastAsia="Arial" w:hAnsi="Arial"/>
          <w:sz w:val="21"/>
          <w:szCs w:val="21"/>
          <w:color w:val="auto"/>
        </w:rPr>
        <w:t>with respect to a Licensed Product in such other Party’s territory (i.e., the Territory with respect to Jazz, and outside the Territory with respect to Zymeworks) that would reasonably be expected to have a material adverse impact upon the regulatory status or Commercialization of any Licensed Product in the Field in its respective territory, then such Party shall have the right to bring the matter to the attention of the JSC, and the Parties shall discuss in good faith a resolution to such concern. Without limiting the foregoing, unless the Parties otherwise agree (or unless otherwise set forth herein or in the Zymeworks Development Plan or Territory Development Plan): (a) neither Party shall communicate with any Regulatory Authority having jurisdiction outside of its respective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01" w:right="339" w:bottom="1440" w:gutter="0" w:footer="0" w:header="0"/>
        </w:sectPr>
      </w:pPr>
    </w:p>
    <w:bookmarkStart w:id="196" w:name="page197"/>
    <w:bookmarkEnd w:id="196"/>
    <w:p>
      <w:pPr>
        <w:jc w:val="both"/>
        <w:spacing w:after="0" w:line="216" w:lineRule="auto"/>
        <w:rPr>
          <w:sz w:val="20"/>
          <w:szCs w:val="20"/>
          <w:color w:val="auto"/>
        </w:rPr>
      </w:pPr>
      <w:r>
        <w:rPr>
          <w:rFonts w:ascii="Arial" w:cs="Arial" w:eastAsia="Arial" w:hAnsi="Arial"/>
          <w:sz w:val="22"/>
          <w:szCs w:val="22"/>
          <w:color w:val="auto"/>
        </w:rPr>
        <w:t>with respect to any Licensed Product, unless required by such Regulatory Authority, in which case such Party shall notify the other Party of such order within [***] of such communication; and (b) neither Party shall submit any Regulatory Submissions or seek Regulatory Approvals for any Licensed Product in the other Party’s respective territory; provided that Zymeworks may communicate with Regulatory Authorities in the Territory as is reasonably necessary in connection with its manufacture of the Licensed Products.</w:t>
      </w:r>
    </w:p>
    <w:p>
      <w:pPr>
        <w:spacing w:after="0" w:line="15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 xml:space="preserve">6.6 Notice of Regulatory Action. </w:t>
      </w:r>
      <w:r>
        <w:rPr>
          <w:rFonts w:ascii="Arial" w:cs="Arial" w:eastAsia="Arial" w:hAnsi="Arial"/>
          <w:sz w:val="22"/>
          <w:szCs w:val="22"/>
          <w:color w:val="auto"/>
        </w:rPr>
        <w:t>Each Party shall promptly notify the other Party of any information it receives</w:t>
      </w:r>
      <w:r>
        <w:rPr>
          <w:rFonts w:ascii="Arial" w:cs="Arial" w:eastAsia="Arial" w:hAnsi="Arial"/>
          <w:sz w:val="22"/>
          <w:szCs w:val="22"/>
          <w:b w:val="1"/>
          <w:bCs w:val="1"/>
          <w:color w:val="auto"/>
        </w:rPr>
        <w:t xml:space="preserve"> </w:t>
      </w:r>
      <w:r>
        <w:rPr>
          <w:rFonts w:ascii="Arial" w:cs="Arial" w:eastAsia="Arial" w:hAnsi="Arial"/>
          <w:sz w:val="22"/>
          <w:szCs w:val="22"/>
          <w:color w:val="auto"/>
        </w:rPr>
        <w:t>regarding any threatened or pending action, inspection or communication by or from a Third Party that, in the case of notice to Zymeworks, would reasonably be expected to materially affect the Development or Commercialization of the Licensed Products, and in the case of notice to Jazz, would reasonably be expected to materially affect the Development or Commercialization of the Licensed Products in the Field in the Territory.</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6.7</w:t>
      </w:r>
      <w:r>
        <w:rPr>
          <w:sz w:val="20"/>
          <w:szCs w:val="20"/>
          <w:color w:val="auto"/>
        </w:rPr>
        <w:tab/>
      </w:r>
      <w:r>
        <w:rPr>
          <w:rFonts w:ascii="Arial" w:cs="Arial" w:eastAsia="Arial" w:hAnsi="Arial"/>
          <w:sz w:val="19"/>
          <w:szCs w:val="19"/>
          <w:b w:val="1"/>
          <w:bCs w:val="1"/>
          <w:color w:val="auto"/>
        </w:rPr>
        <w:t>Post-Approval Support</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5" w:lineRule="auto"/>
        <w:tabs>
          <w:tab w:leader="none" w:pos="1939" w:val="left"/>
        </w:tabs>
        <w:numPr>
          <w:ilvl w:val="0"/>
          <w:numId w:val="112"/>
        </w:numPr>
        <w:rPr>
          <w:rFonts w:ascii="Arial" w:cs="Arial" w:eastAsia="Arial" w:hAnsi="Arial"/>
          <w:sz w:val="21"/>
          <w:szCs w:val="21"/>
          <w:b w:val="1"/>
          <w:bCs w:val="1"/>
          <w:color w:val="auto"/>
        </w:rPr>
      </w:pPr>
      <w:r>
        <w:rPr>
          <w:rFonts w:ascii="Arial" w:cs="Arial" w:eastAsia="Arial" w:hAnsi="Arial"/>
          <w:sz w:val="21"/>
          <w:szCs w:val="21"/>
          <w:b w:val="1"/>
          <w:bCs w:val="1"/>
          <w:color w:val="auto"/>
        </w:rPr>
        <w:t>Safety Monitoring</w:t>
      </w:r>
      <w:r>
        <w:rPr>
          <w:rFonts w:ascii="Arial" w:cs="Arial" w:eastAsia="Arial" w:hAnsi="Arial"/>
          <w:sz w:val="21"/>
          <w:szCs w:val="21"/>
          <w:color w:val="auto"/>
        </w:rPr>
        <w:t>. Zymeworks shall conduct all post-marketing safety surveillance required by a</w:t>
      </w:r>
      <w:r>
        <w:rPr>
          <w:rFonts w:ascii="Arial" w:cs="Arial" w:eastAsia="Arial" w:hAnsi="Arial"/>
          <w:sz w:val="21"/>
          <w:szCs w:val="21"/>
          <w:b w:val="1"/>
          <w:bCs w:val="1"/>
          <w:color w:val="auto"/>
        </w:rPr>
        <w:t xml:space="preserve"> </w:t>
      </w:r>
      <w:r>
        <w:rPr>
          <w:rFonts w:ascii="Arial" w:cs="Arial" w:eastAsia="Arial" w:hAnsi="Arial"/>
          <w:sz w:val="21"/>
          <w:szCs w:val="21"/>
          <w:color w:val="auto"/>
        </w:rPr>
        <w:t>Regulatory Authority in the Territory for Licensed Products in connection with the Zymeworks Ongoing Studies, at Jazz’s cost and expense in accordance with a budget mutually agreed to by the Parties. Zymeworks shall provide the results of any such post-marketing safety surveillance to Jazz for Jazz’s submission of such results to the applicable Regulatory Authority. Otherwise, Jazz shall be responsible for all post-marketing safety surveillance and reporting required in the Territory for Licensed Products, and such responsibility shall be included in the SDEA Agreement.</w:t>
      </w:r>
    </w:p>
    <w:p>
      <w:pPr>
        <w:spacing w:after="0" w:line="153" w:lineRule="exact"/>
        <w:rPr>
          <w:rFonts w:ascii="Arial" w:cs="Arial" w:eastAsia="Arial" w:hAnsi="Arial"/>
          <w:sz w:val="21"/>
          <w:szCs w:val="21"/>
          <w:b w:val="1"/>
          <w:bCs w:val="1"/>
          <w:color w:val="auto"/>
        </w:rPr>
      </w:pPr>
    </w:p>
    <w:p>
      <w:pPr>
        <w:jc w:val="both"/>
        <w:ind w:firstLine="1304"/>
        <w:spacing w:after="0" w:line="223" w:lineRule="auto"/>
        <w:tabs>
          <w:tab w:leader="none" w:pos="1938" w:val="left"/>
        </w:tabs>
        <w:numPr>
          <w:ilvl w:val="0"/>
          <w:numId w:val="112"/>
        </w:numPr>
        <w:rPr>
          <w:rFonts w:ascii="Arial" w:cs="Arial" w:eastAsia="Arial" w:hAnsi="Arial"/>
          <w:sz w:val="21"/>
          <w:szCs w:val="21"/>
          <w:b w:val="1"/>
          <w:bCs w:val="1"/>
          <w:color w:val="auto"/>
        </w:rPr>
      </w:pPr>
      <w:r>
        <w:rPr>
          <w:rFonts w:ascii="Arial" w:cs="Arial" w:eastAsia="Arial" w:hAnsi="Arial"/>
          <w:sz w:val="21"/>
          <w:szCs w:val="21"/>
          <w:b w:val="1"/>
          <w:bCs w:val="1"/>
          <w:color w:val="auto"/>
        </w:rPr>
        <w:t>Post-Approval Commitments</w:t>
      </w:r>
      <w:r>
        <w:rPr>
          <w:rFonts w:ascii="Arial" w:cs="Arial" w:eastAsia="Arial" w:hAnsi="Arial"/>
          <w:sz w:val="21"/>
          <w:szCs w:val="21"/>
          <w:color w:val="auto"/>
        </w:rPr>
        <w:t>. Jazz shall be solely responsible for conducting, at its sole expense, any</w:t>
      </w:r>
      <w:r>
        <w:rPr>
          <w:rFonts w:ascii="Arial" w:cs="Arial" w:eastAsia="Arial" w:hAnsi="Arial"/>
          <w:sz w:val="21"/>
          <w:szCs w:val="21"/>
          <w:b w:val="1"/>
          <w:bCs w:val="1"/>
          <w:color w:val="auto"/>
        </w:rPr>
        <w:t xml:space="preserve"> </w:t>
      </w:r>
      <w:r>
        <w:rPr>
          <w:rFonts w:ascii="Arial" w:cs="Arial" w:eastAsia="Arial" w:hAnsi="Arial"/>
          <w:sz w:val="21"/>
          <w:szCs w:val="21"/>
          <w:color w:val="auto"/>
        </w:rPr>
        <w:t>post-approval commitment or requirement studies or Clinical Trials (collectively, “</w:t>
      </w:r>
      <w:r>
        <w:rPr>
          <w:rFonts w:ascii="Arial" w:cs="Arial" w:eastAsia="Arial" w:hAnsi="Arial"/>
          <w:sz w:val="21"/>
          <w:szCs w:val="21"/>
          <w:b w:val="1"/>
          <w:bCs w:val="1"/>
          <w:color w:val="auto"/>
        </w:rPr>
        <w:t>Post-Approval Commitments</w:t>
      </w:r>
      <w:r>
        <w:rPr>
          <w:rFonts w:ascii="Arial" w:cs="Arial" w:eastAsia="Arial" w:hAnsi="Arial"/>
          <w:sz w:val="21"/>
          <w:szCs w:val="21"/>
          <w:color w:val="auto"/>
        </w:rPr>
        <w:t>”) that are requested or required by any Regulatory Authority in the Territory with respect to any Regulatory Approval of a Licensed Product based on the Zymeworks Ongoing Studies. Zymeworks shall (i) upon Jazz’s request and expense, reasonably cooperate with Jazz to prepare a Clinical Trial design, protocol and schedule that satisfies the applicable Regulatory Authority’s requests or requirements with respect to the Post-Approval Commitments and (ii) supply Licensed Antibody and Licensed Product to Jazz for use in such Post-Approval Commitments, in accordance with Article 7.</w:t>
      </w:r>
    </w:p>
    <w:p>
      <w:pPr>
        <w:spacing w:after="0" w:line="157" w:lineRule="exact"/>
        <w:rPr>
          <w:rFonts w:ascii="Arial" w:cs="Arial" w:eastAsia="Arial" w:hAnsi="Arial"/>
          <w:sz w:val="21"/>
          <w:szCs w:val="21"/>
          <w:b w:val="1"/>
          <w:bCs w:val="1"/>
          <w:color w:val="auto"/>
        </w:rPr>
      </w:pPr>
    </w:p>
    <w:p>
      <w:pPr>
        <w:jc w:val="both"/>
        <w:ind w:firstLine="1304"/>
        <w:spacing w:after="0" w:line="220" w:lineRule="auto"/>
        <w:tabs>
          <w:tab w:leader="none" w:pos="1941"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Manufacturing</w:t>
      </w:r>
      <w:r>
        <w:rPr>
          <w:rFonts w:ascii="Arial" w:cs="Arial" w:eastAsia="Arial" w:hAnsi="Arial"/>
          <w:sz w:val="22"/>
          <w:szCs w:val="22"/>
          <w:color w:val="auto"/>
        </w:rPr>
        <w:t>. Zymeworks shall be responsible [***] for correcting all CMC or other manufacturing</w:t>
      </w:r>
      <w:r>
        <w:rPr>
          <w:rFonts w:ascii="Arial" w:cs="Arial" w:eastAsia="Arial" w:hAnsi="Arial"/>
          <w:sz w:val="22"/>
          <w:szCs w:val="22"/>
          <w:b w:val="1"/>
          <w:bCs w:val="1"/>
          <w:color w:val="auto"/>
        </w:rPr>
        <w:t xml:space="preserve"> </w:t>
      </w:r>
      <w:r>
        <w:rPr>
          <w:rFonts w:ascii="Arial" w:cs="Arial" w:eastAsia="Arial" w:hAnsi="Arial"/>
          <w:sz w:val="22"/>
          <w:szCs w:val="22"/>
          <w:color w:val="auto"/>
        </w:rPr>
        <w:t>deficiencies with respect to Licensed Antibody and Licensed Product manufactured by or on behalf of Zymeworks for Jazz, as required by any Regulatory Authority in the Territory after Regulatory Approval but prior to the Manufacturing Transition Date, and shall correct such deficiencies.</w:t>
      </w:r>
    </w:p>
    <w:p>
      <w:pPr>
        <w:spacing w:after="0" w:line="15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7</w:t>
      </w:r>
    </w:p>
    <w:p>
      <w:pPr>
        <w:spacing w:after="0" w:line="179"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MANUFACTURING</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b w:val="1"/>
          <w:bCs w:val="1"/>
          <w:color w:val="auto"/>
        </w:rPr>
        <w:t>7.1 Manufacture of Licensed Product for the Territory</w:t>
      </w:r>
      <w:r>
        <w:rPr>
          <w:rFonts w:ascii="Arial" w:cs="Arial" w:eastAsia="Arial" w:hAnsi="Arial"/>
          <w:sz w:val="19"/>
          <w:szCs w:val="19"/>
          <w:color w:val="auto"/>
        </w:rPr>
        <w:t>. Subject to the terms and conditions of this Article 7, Jazz</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right to (a) purchase Development supply of Licensed Antibody and Licensed Product from Zymeworks or Zymeworks’ CMO pursuant to the Clinical Supply Agreement, (b) exercise its license under Section 2.1(a) to (i) manufacture or have manufactured by a CMO clinical and/or commercial supply of Licensed Antibody and Licensed Product for the Territory itself or to have Licensed Antibody and Licensed Product manufactured by a CMO, in each case after successful completion of the Manufacturing Technology Transfer in accordance with Section 7.2 and (ii) package and label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01" w:right="339" w:bottom="1440" w:gutter="0" w:footer="0" w:header="0"/>
        </w:sectPr>
      </w:pPr>
    </w:p>
    <w:bookmarkStart w:id="197" w:name="page198"/>
    <w:bookmarkEnd w:id="197"/>
    <w:p>
      <w:pPr>
        <w:jc w:val="both"/>
        <w:spacing w:after="0" w:line="249" w:lineRule="auto"/>
        <w:rPr>
          <w:sz w:val="20"/>
          <w:szCs w:val="20"/>
          <w:color w:val="auto"/>
        </w:rPr>
      </w:pPr>
      <w:r>
        <w:rPr>
          <w:rFonts w:ascii="Arial" w:cs="Arial" w:eastAsia="Arial" w:hAnsi="Arial"/>
          <w:sz w:val="19"/>
          <w:szCs w:val="19"/>
          <w:color w:val="auto"/>
        </w:rPr>
        <w:t>supplied by Zymeworks or manufactured by or on behalf of Jazz, and (c) purchase commercial supply of Licensed Antibody and Licensed Product from Zymeworks or Zymeworks’ CMO pursuant to the Commercial Supply Agreement. As between the Parties, Jazz shall have the right and obligation to package and label all Licensed Product for Development conducted by or on behalf of Jazz, its Affiliate or sublicensee and Commercialization in the Field in the Territory, subject to Zymeworks’ right to make or have made the Licensed Antibody and Licensed Product for supply to Jazz in bright stock form for use in the Field in the Territory pursuant to the Clinical Supply Agreement and Commercial Supply Agreement.</w:t>
      </w:r>
    </w:p>
    <w:p>
      <w:pPr>
        <w:spacing w:after="0" w:line="146" w:lineRule="exact"/>
        <w:rPr>
          <w:sz w:val="20"/>
          <w:szCs w:val="20"/>
          <w:color w:val="auto"/>
        </w:rPr>
      </w:pPr>
    </w:p>
    <w:p>
      <w:pPr>
        <w:jc w:val="both"/>
        <w:ind w:firstLine="648"/>
        <w:spacing w:after="0"/>
        <w:rPr>
          <w:sz w:val="20"/>
          <w:szCs w:val="20"/>
          <w:color w:val="auto"/>
        </w:rPr>
      </w:pPr>
      <w:r>
        <w:rPr>
          <w:rFonts w:ascii="Arial" w:cs="Arial" w:eastAsia="Arial" w:hAnsi="Arial"/>
          <w:sz w:val="19"/>
          <w:szCs w:val="19"/>
          <w:b w:val="1"/>
          <w:bCs w:val="1"/>
          <w:color w:val="auto"/>
        </w:rPr>
        <w:t>7.2 Manufacturing Technology Transfer</w:t>
      </w:r>
      <w:r>
        <w:rPr>
          <w:rFonts w:ascii="Arial" w:cs="Arial" w:eastAsia="Arial" w:hAnsi="Arial"/>
          <w:sz w:val="19"/>
          <w:szCs w:val="19"/>
          <w:color w:val="auto"/>
        </w:rPr>
        <w:t>. In addition to the Zymeworks Know-How provided to Jazz pursuant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Initial Technology Transfer, upon Jazz’s written request, Zymeworks will promptly work with Jazz to prepare and submit to the JSC, for its review, a plan (“</w:t>
      </w:r>
      <w:r>
        <w:rPr>
          <w:rFonts w:ascii="Arial" w:cs="Arial" w:eastAsia="Arial" w:hAnsi="Arial"/>
          <w:sz w:val="19"/>
          <w:szCs w:val="19"/>
          <w:b w:val="1"/>
          <w:bCs w:val="1"/>
          <w:color w:val="auto"/>
        </w:rPr>
        <w:t>Manufacturing Technology Transfer Plan</w:t>
      </w:r>
      <w:r>
        <w:rPr>
          <w:rFonts w:ascii="Arial" w:cs="Arial" w:eastAsia="Arial" w:hAnsi="Arial"/>
          <w:sz w:val="19"/>
          <w:szCs w:val="19"/>
          <w:color w:val="auto"/>
        </w:rPr>
        <w:t>”) for the transfer to Jazz or its designee of all Zymeworks Know-How and certain biological materials Controlled by Zymeworks with respect to the manufacture of Licensed Antibody or Licensed Product (“</w:t>
      </w:r>
      <w:r>
        <w:rPr>
          <w:rFonts w:ascii="Arial" w:cs="Arial" w:eastAsia="Arial" w:hAnsi="Arial"/>
          <w:sz w:val="19"/>
          <w:szCs w:val="19"/>
          <w:b w:val="1"/>
          <w:bCs w:val="1"/>
          <w:color w:val="auto"/>
        </w:rPr>
        <w:t>Zymeworks Manufacturing IP</w:t>
      </w:r>
      <w:r>
        <w:rPr>
          <w:rFonts w:ascii="Arial" w:cs="Arial" w:eastAsia="Arial" w:hAnsi="Arial"/>
          <w:sz w:val="19"/>
          <w:szCs w:val="19"/>
          <w:color w:val="auto"/>
        </w:rPr>
        <w:t>”), including, without limitation, [***] and the conduct by Zymeworks of such consultation activities, as are necessary or useful to enable Jazz or any Third Party contract manufacturing organization (a “</w:t>
      </w:r>
      <w:r>
        <w:rPr>
          <w:rFonts w:ascii="Arial" w:cs="Arial" w:eastAsia="Arial" w:hAnsi="Arial"/>
          <w:sz w:val="19"/>
          <w:szCs w:val="19"/>
          <w:b w:val="1"/>
          <w:bCs w:val="1"/>
          <w:color w:val="auto"/>
        </w:rPr>
        <w:t>CMO</w:t>
      </w:r>
      <w:r>
        <w:rPr>
          <w:rFonts w:ascii="Arial" w:cs="Arial" w:eastAsia="Arial" w:hAnsi="Arial"/>
          <w:sz w:val="19"/>
          <w:szCs w:val="19"/>
          <w:color w:val="auto"/>
        </w:rPr>
        <w:t>”) designated by Jazz to manufacture for the Territory Licensed Antibody and Licensed Product (such actions, “</w:t>
      </w:r>
      <w:r>
        <w:rPr>
          <w:rFonts w:ascii="Arial" w:cs="Arial" w:eastAsia="Arial" w:hAnsi="Arial"/>
          <w:sz w:val="19"/>
          <w:szCs w:val="19"/>
          <w:b w:val="1"/>
          <w:bCs w:val="1"/>
          <w:color w:val="auto"/>
        </w:rPr>
        <w:t>Manufacturing Technology Transfer</w:t>
      </w:r>
      <w:r>
        <w:rPr>
          <w:rFonts w:ascii="Arial" w:cs="Arial" w:eastAsia="Arial" w:hAnsi="Arial"/>
          <w:sz w:val="19"/>
          <w:szCs w:val="19"/>
          <w:color w:val="auto"/>
        </w:rPr>
        <w:t>”). Jazz shall have the right to request a single Manufacturing Technology Transfer for both Licensed Antibody and Licensed Product or a single Manufacturing Technology Transfer for Licensed Product and a single, separate Manufacturing Technology Transfer for Licensed Antibody. Following the review and approval by the JSC of the applicable Manufacturing Technology Transfer Plan, Zymeworks will perform (or cause one or more applicable Third Parties (including, as applicable, any CMO engaged by Zymeworks to manufacture Licensed Antibody or Licensed Product) to perform) the requested Manufacturing Technology Transfer in accordance with such Manufacturing Technology Transfer Plan to Jazz or to a CMO designated by Jazz[***]. Zymeworks will complete the Manufacturing Technology Transfer promptly (and in any event within [***] after the Parties’ agreement on the Manufacturing Technology Transfer Plan) in accordance with the timeline agreed by the Parties, following Jazz’s request and in accordance with the applicable Manufacturing Technology Transfer Plan. Thereafter during the Term, Zymeworks will provide Jazz with additional Zymeworks Manufacturing IP as part of the Continuing Technology Transfer in accordance with Section 4.1, and Jazz shall disclose Jazz Manufacturing IP in accordance with Section 7.4(c). All Licensed Antibody and Licensed Product manufactured by or on behalf of Jazz or its CMO shall be manufactured in compliance with all Applicable Laws and applicable specifications for the Licensed Antibody and Licensed Product.</w:t>
      </w:r>
    </w:p>
    <w:p>
      <w:pPr>
        <w:spacing w:after="0" w:line="3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19"/>
          <w:szCs w:val="19"/>
          <w:b w:val="1"/>
          <w:bCs w:val="1"/>
          <w:color w:val="auto"/>
        </w:rPr>
        <w:t>Supply by Zymeworks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4" w:lineRule="auto"/>
        <w:tabs>
          <w:tab w:leader="none" w:pos="1939" w:val="left"/>
        </w:tabs>
        <w:numPr>
          <w:ilvl w:val="0"/>
          <w:numId w:val="113"/>
        </w:numPr>
        <w:rPr>
          <w:rFonts w:ascii="Arial" w:cs="Arial" w:eastAsia="Arial" w:hAnsi="Arial"/>
          <w:sz w:val="19"/>
          <w:szCs w:val="19"/>
          <w:b w:val="1"/>
          <w:bCs w:val="1"/>
          <w:color w:val="auto"/>
        </w:rPr>
      </w:pPr>
      <w:r>
        <w:rPr>
          <w:rFonts w:ascii="Arial" w:cs="Arial" w:eastAsia="Arial" w:hAnsi="Arial"/>
          <w:sz w:val="19"/>
          <w:szCs w:val="19"/>
          <w:b w:val="1"/>
          <w:bCs w:val="1"/>
          <w:color w:val="auto"/>
        </w:rPr>
        <w:t>Requirements</w:t>
      </w:r>
      <w:r>
        <w:rPr>
          <w:rFonts w:ascii="Arial" w:cs="Arial" w:eastAsia="Arial" w:hAnsi="Arial"/>
          <w:sz w:val="19"/>
          <w:szCs w:val="19"/>
          <w:color w:val="auto"/>
        </w:rPr>
        <w:t>. Subject to Section 7.2 and Section 7.3(e), and except as otherwise expressly set forth in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or the Clinical Supply Agreement or Commercial Supply Agreement, (i) Zymeworks shall manufacture and supply to Jazz, through Zymeworks’ CMOs [***], or another CMO of Zymeworks approved by Jazz (such approval not to be unreasonably withheld, conditioned or delayed), all Licensed Antibodies and Licensed Products required by Jazz for Development or Commercialization use in the Territory and required by Zymeworks for Zymeworks’ Development-related responsibilities under the Zymeworks Development Plan, (ii) Zymeworks shall not preferentially manufacture or allocate supply of Licensed Antibody or Licensed Product for its own account or that of the Ex-Territory Partner, including any for Development or Commercialization of (A) Licensed Products outside of the Territory or (B) ZW49 (or Zanidatamab Zovodotin) in or outside the Territory, and (iii) Jazz shall purchase its Development requirements for Licensed Antibodies and Licensed Products in the Territory from Zymeworks pursuant to the Clinical Supply Agreement and its commercial requirements for Licensed Antibodies and Licensed Products in the Territory from Zymeworks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01" w:right="339" w:bottom="1440" w:gutter="0" w:footer="0" w:header="0"/>
        </w:sectPr>
      </w:pPr>
    </w:p>
    <w:bookmarkStart w:id="198" w:name="page199"/>
    <w:bookmarkEnd w:id="198"/>
    <w:p>
      <w:pPr>
        <w:jc w:val="both"/>
        <w:spacing w:after="0" w:line="219" w:lineRule="auto"/>
        <w:rPr>
          <w:sz w:val="20"/>
          <w:szCs w:val="20"/>
          <w:color w:val="auto"/>
        </w:rPr>
      </w:pPr>
      <w:r>
        <w:rPr>
          <w:rFonts w:ascii="Arial" w:cs="Arial" w:eastAsia="Arial" w:hAnsi="Arial"/>
          <w:sz w:val="21"/>
          <w:szCs w:val="21"/>
          <w:color w:val="auto"/>
        </w:rPr>
        <w:t>pursuant to the Commercial Supply Agreement, in each case, until the later of (A) two (2) years after the Closing Date and (B) the date on which, following a Manufacturing Technology Transfer in accordance with Section 7.2, Jazz or Jazz’s CMO is approved to manufacture Licensed Antibody and Licensed Product, as applicable, by the relevant Regulatory Authority. Thereafter, Jazz may make or have made Licensed Antibody and Licensed Product, as applicable, and its obligations, if any, to obtain Licensed Antibody and Licensed Product from Zymeworks will be as specified in Section 7.3(b) or 7.3(c). Notwithstanding anything herein to the contrary, Zymeworks shall have no obligation to supply Jazz, its Affiliates or sublicensees with Licensed Antibody or Licensed Product after the date that is the earlier of (x) [***] and (y) three (3) years after the Closing Date (such date, the “</w:t>
      </w:r>
      <w:r>
        <w:rPr>
          <w:rFonts w:ascii="Arial" w:cs="Arial" w:eastAsia="Arial" w:hAnsi="Arial"/>
          <w:sz w:val="21"/>
          <w:szCs w:val="21"/>
          <w:b w:val="1"/>
          <w:bCs w:val="1"/>
          <w:color w:val="auto"/>
        </w:rPr>
        <w:t>Manufacturing Transition Date</w:t>
      </w:r>
      <w:r>
        <w:rPr>
          <w:rFonts w:ascii="Arial" w:cs="Arial" w:eastAsia="Arial" w:hAnsi="Arial"/>
          <w:sz w:val="21"/>
          <w:szCs w:val="21"/>
          <w:color w:val="auto"/>
        </w:rPr>
        <w:t>”), except for that Zymeworks shall remain obligated to fulfill all orders placed by Jazz on or before the Manufacturing Transition Date in accordance with the terms of the Clinical Supply Agreement and the Commercial Supply Agreement, unless otherwise agreed by the Parties, in their discretion, in writing. Jazz shall have the right to enter into an agreement directly with any of Zymeworks’ CMOs prior to the Manufacturing Transition Date to obtain supply of Licensed Antibodies and Licensed Products[***].</w:t>
      </w:r>
    </w:p>
    <w:p>
      <w:pPr>
        <w:spacing w:after="0" w:line="158" w:lineRule="exact"/>
        <w:rPr>
          <w:sz w:val="20"/>
          <w:szCs w:val="20"/>
          <w:color w:val="auto"/>
        </w:rPr>
      </w:pPr>
    </w:p>
    <w:p>
      <w:pPr>
        <w:jc w:val="both"/>
        <w:ind w:firstLine="1304"/>
        <w:spacing w:after="0" w:line="220" w:lineRule="auto"/>
        <w:tabs>
          <w:tab w:leader="none" w:pos="1938"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Development Supply. </w:t>
      </w:r>
      <w:r>
        <w:rPr>
          <w:rFonts w:ascii="Arial" w:cs="Arial" w:eastAsia="Arial" w:hAnsi="Arial"/>
          <w:sz w:val="22"/>
          <w:szCs w:val="22"/>
          <w:color w:val="auto"/>
        </w:rPr>
        <w:t>The Parties shall use reasonable efforts to enter into an agreement governing the</w:t>
      </w:r>
      <w:r>
        <w:rPr>
          <w:rFonts w:ascii="Arial" w:cs="Arial" w:eastAsia="Arial" w:hAnsi="Arial"/>
          <w:sz w:val="22"/>
          <w:szCs w:val="22"/>
          <w:b w:val="1"/>
          <w:bCs w:val="1"/>
          <w:color w:val="auto"/>
        </w:rPr>
        <w:t xml:space="preserve"> </w:t>
      </w:r>
      <w:r>
        <w:rPr>
          <w:rFonts w:ascii="Arial" w:cs="Arial" w:eastAsia="Arial" w:hAnsi="Arial"/>
          <w:sz w:val="22"/>
          <w:szCs w:val="22"/>
          <w:color w:val="auto"/>
        </w:rPr>
        <w:t>supply by Zymeworks of such Licensed Antibodies and Licensed Products for such Development use by Jazz (“</w:t>
      </w:r>
      <w:r>
        <w:rPr>
          <w:rFonts w:ascii="Arial" w:cs="Arial" w:eastAsia="Arial" w:hAnsi="Arial"/>
          <w:sz w:val="22"/>
          <w:szCs w:val="22"/>
          <w:b w:val="1"/>
          <w:bCs w:val="1"/>
          <w:color w:val="auto"/>
        </w:rPr>
        <w:t>Clinical Supply</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promptly after the Closing Date (and in any event, within [***] after the Closing Date), which will incorporate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terms set forth on </w:t>
      </w:r>
      <w:r>
        <w:rPr>
          <w:rFonts w:ascii="Arial" w:cs="Arial" w:eastAsia="Arial" w:hAnsi="Arial"/>
          <w:sz w:val="22"/>
          <w:szCs w:val="22"/>
          <w:b w:val="1"/>
          <w:bCs w:val="1"/>
          <w:color w:val="auto"/>
        </w:rPr>
        <w:t>Exhibit 7.3(b)</w:t>
      </w:r>
      <w:r>
        <w:rPr>
          <w:rFonts w:ascii="Arial" w:cs="Arial" w:eastAsia="Arial" w:hAnsi="Arial"/>
          <w:sz w:val="22"/>
          <w:szCs w:val="22"/>
          <w:color w:val="auto"/>
        </w:rPr>
        <w:t>, and, pursuant to which:</w:t>
      </w:r>
    </w:p>
    <w:p>
      <w:pPr>
        <w:spacing w:after="0" w:line="158" w:lineRule="exact"/>
        <w:rPr>
          <w:rFonts w:ascii="Arial" w:cs="Arial" w:eastAsia="Arial" w:hAnsi="Arial"/>
          <w:sz w:val="22"/>
          <w:szCs w:val="22"/>
          <w:b w:val="1"/>
          <w:bCs w:val="1"/>
          <w:color w:val="auto"/>
        </w:rPr>
      </w:pPr>
    </w:p>
    <w:p>
      <w:pPr>
        <w:jc w:val="both"/>
        <w:ind w:firstLine="1952"/>
        <w:spacing w:after="0" w:line="223" w:lineRule="auto"/>
        <w:tabs>
          <w:tab w:leader="none" w:pos="2580" w:val="left"/>
        </w:tabs>
        <w:numPr>
          <w:ilvl w:val="1"/>
          <w:numId w:val="114"/>
        </w:numPr>
        <w:rPr>
          <w:rFonts w:ascii="Arial" w:cs="Arial" w:eastAsia="Arial" w:hAnsi="Arial"/>
          <w:sz w:val="22"/>
          <w:szCs w:val="22"/>
          <w:b w:val="1"/>
          <w:bCs w:val="1"/>
          <w:color w:val="auto"/>
        </w:rPr>
      </w:pPr>
      <w:r>
        <w:rPr>
          <w:rFonts w:ascii="Arial" w:cs="Arial" w:eastAsia="Arial" w:hAnsi="Arial"/>
          <w:sz w:val="22"/>
          <w:szCs w:val="22"/>
          <w:color w:val="auto"/>
        </w:rPr>
        <w:t>Zymeworks shall supply the Licensed Antibodies and Licensed Product pursuant to the Clinical Supply Agreement as bright stock in unlabeled vials at a transfer price equal to Zymeworks’ Fully Burdened Manufacturing Cost. [***]</w:t>
      </w:r>
    </w:p>
    <w:p>
      <w:pPr>
        <w:spacing w:after="0" w:line="158" w:lineRule="exact"/>
        <w:rPr>
          <w:rFonts w:ascii="Arial" w:cs="Arial" w:eastAsia="Arial" w:hAnsi="Arial"/>
          <w:sz w:val="22"/>
          <w:szCs w:val="22"/>
          <w:b w:val="1"/>
          <w:bCs w:val="1"/>
          <w:color w:val="auto"/>
        </w:rPr>
      </w:pPr>
    </w:p>
    <w:p>
      <w:pPr>
        <w:jc w:val="both"/>
        <w:ind w:firstLine="1952"/>
        <w:spacing w:after="0" w:line="214" w:lineRule="auto"/>
        <w:tabs>
          <w:tab w:leader="none" w:pos="2586" w:val="left"/>
        </w:tabs>
        <w:numPr>
          <w:ilvl w:val="1"/>
          <w:numId w:val="114"/>
        </w:numPr>
        <w:rPr>
          <w:rFonts w:ascii="Arial" w:cs="Arial" w:eastAsia="Arial" w:hAnsi="Arial"/>
          <w:sz w:val="22"/>
          <w:szCs w:val="22"/>
          <w:b w:val="1"/>
          <w:bCs w:val="1"/>
          <w:color w:val="auto"/>
        </w:rPr>
      </w:pPr>
      <w:r>
        <w:rPr>
          <w:rFonts w:ascii="Arial" w:cs="Arial" w:eastAsia="Arial" w:hAnsi="Arial"/>
          <w:sz w:val="22"/>
          <w:szCs w:val="22"/>
          <w:color w:val="auto"/>
        </w:rPr>
        <w:t>Delivery of Licensed Antibody and Licensed Product supplied by Zymeworks for Development will be made [***]. Jazz shall be responsible for obtaining all licenses or other authorizations for the exportation and importation of such Licensed Antibody and Licensed Product, and Jazz shall contract for shipment and insurance of such Licensed Antibody and Licensed Product from Zymeworks’ or its contract manufacturer’s facility[***]. Jazz shall also be responsible for the clinical packaging, labeling, QC/QA/QP release, storage, customs clearance and distribution of such Licensed Antibody and Licensed Product[***].</w:t>
      </w:r>
    </w:p>
    <w:p>
      <w:pPr>
        <w:spacing w:after="0" w:line="158" w:lineRule="exact"/>
        <w:rPr>
          <w:rFonts w:ascii="Arial" w:cs="Arial" w:eastAsia="Arial" w:hAnsi="Arial"/>
          <w:sz w:val="22"/>
          <w:szCs w:val="22"/>
          <w:b w:val="1"/>
          <w:bCs w:val="1"/>
          <w:color w:val="auto"/>
        </w:rPr>
      </w:pPr>
    </w:p>
    <w:p>
      <w:pPr>
        <w:jc w:val="both"/>
        <w:ind w:firstLine="1952"/>
        <w:spacing w:after="0" w:line="220" w:lineRule="auto"/>
        <w:tabs>
          <w:tab w:leader="none" w:pos="2592" w:val="left"/>
        </w:tabs>
        <w:numPr>
          <w:ilvl w:val="1"/>
          <w:numId w:val="114"/>
        </w:numPr>
        <w:rPr>
          <w:rFonts w:ascii="Arial" w:cs="Arial" w:eastAsia="Arial" w:hAnsi="Arial"/>
          <w:sz w:val="21"/>
          <w:szCs w:val="21"/>
          <w:b w:val="1"/>
          <w:bCs w:val="1"/>
          <w:color w:val="auto"/>
        </w:rPr>
      </w:pPr>
      <w:r>
        <w:rPr>
          <w:rFonts w:ascii="Arial" w:cs="Arial" w:eastAsia="Arial" w:hAnsi="Arial"/>
          <w:sz w:val="21"/>
          <w:szCs w:val="21"/>
          <w:color w:val="auto"/>
        </w:rPr>
        <w:t>Following a Manufacturing Technology Transfer under Section 7.2 and receipt of approval from applicable Regulatory Authorities for Jazz or Jazz’s CMO to manufacture Licensed Antibody and Licensed Product, as applicable, Zymeworks shall continue to supply Jazz with, and Jazz shall continue to purchase from Zymeworks, Licensed Antibodies and Licensed Products, as applicable, as requested by Jazz in accordance with the Clinical Supply Agreement, until the Manufacturing Transition Date. The Clinical Supply Agreement shall set forth the minimum quantities of (or minimum percentages of Jazz’s requirements for) Licensed Antibody and Licensed Product that Jazz will be obligated to obtain from Zymeworks under the Clinical Supply Agreement following such Manufacturing Technology Transfer and approval, provided that Zymeworks remains in full compliance with its supply obligations under such agreement. Such minimum obligations shall not apply if Zymeworks materially breaches such obligations, subject to the terms and conditions of the Clinical Supply Agreement.</w:t>
      </w:r>
    </w:p>
    <w:p>
      <w:pPr>
        <w:spacing w:after="0" w:line="156" w:lineRule="exact"/>
        <w:rPr>
          <w:rFonts w:ascii="Arial" w:cs="Arial" w:eastAsia="Arial" w:hAnsi="Arial"/>
          <w:sz w:val="21"/>
          <w:szCs w:val="21"/>
          <w:b w:val="1"/>
          <w:bCs w:val="1"/>
          <w:color w:val="auto"/>
        </w:rPr>
      </w:pPr>
    </w:p>
    <w:p>
      <w:pPr>
        <w:jc w:val="both"/>
        <w:ind w:firstLine="1304"/>
        <w:spacing w:after="0" w:line="217" w:lineRule="auto"/>
        <w:tabs>
          <w:tab w:leader="none" w:pos="1941"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Commercial Supply</w:t>
      </w:r>
      <w:r>
        <w:rPr>
          <w:rFonts w:ascii="Arial" w:cs="Arial" w:eastAsia="Arial" w:hAnsi="Arial"/>
          <w:sz w:val="22"/>
          <w:szCs w:val="22"/>
          <w:color w:val="auto"/>
        </w:rPr>
        <w:t>. The Parties shall use reasonable efforts to enter into, not later than [***] after the</w:t>
      </w:r>
      <w:r>
        <w:rPr>
          <w:rFonts w:ascii="Arial" w:cs="Arial" w:eastAsia="Arial" w:hAnsi="Arial"/>
          <w:sz w:val="22"/>
          <w:szCs w:val="22"/>
          <w:b w:val="1"/>
          <w:bCs w:val="1"/>
          <w:color w:val="auto"/>
        </w:rPr>
        <w:t xml:space="preserve"> </w:t>
      </w:r>
      <w:r>
        <w:rPr>
          <w:rFonts w:ascii="Arial" w:cs="Arial" w:eastAsia="Arial" w:hAnsi="Arial"/>
          <w:sz w:val="22"/>
          <w:szCs w:val="22"/>
          <w:color w:val="auto"/>
        </w:rPr>
        <w:t>Closing Date, on a commercial supply agreement pursuant to which Jazz shall purchase commercial supply of a Licensed Antibody (bright stock in unlabeled vials) and Licensed Product for the Territory from Zymeworks (the “</w:t>
      </w:r>
      <w:r>
        <w:rPr>
          <w:rFonts w:ascii="Arial" w:cs="Arial" w:eastAsia="Arial" w:hAnsi="Arial"/>
          <w:sz w:val="22"/>
          <w:szCs w:val="22"/>
          <w:b w:val="1"/>
          <w:bCs w:val="1"/>
          <w:color w:val="auto"/>
        </w:rPr>
        <w:t>Commercial Supply</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The transfer price under the Commercial Supply Agreement shall be equal to Zymeworks’ Fully Burdened</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Manufacturing Cost. Following a Manufacturing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01" w:right="339" w:bottom="1440" w:gutter="0" w:footer="0" w:header="0"/>
        </w:sectPr>
      </w:pPr>
    </w:p>
    <w:bookmarkStart w:id="199" w:name="page200"/>
    <w:bookmarkEnd w:id="199"/>
    <w:p>
      <w:pPr>
        <w:jc w:val="both"/>
        <w:spacing w:after="0" w:line="242" w:lineRule="auto"/>
        <w:rPr>
          <w:sz w:val="20"/>
          <w:szCs w:val="20"/>
          <w:color w:val="auto"/>
        </w:rPr>
      </w:pPr>
      <w:r>
        <w:rPr>
          <w:rFonts w:ascii="Arial" w:cs="Arial" w:eastAsia="Arial" w:hAnsi="Arial"/>
          <w:sz w:val="19"/>
          <w:szCs w:val="19"/>
          <w:color w:val="auto"/>
        </w:rPr>
        <w:t xml:space="preserve">Transfer under Section 7.2 and receipt of approval from applicable Regulatory Authorities for Jazz or Jazz’s CMO to manufacture Licensed Antibody and Licensed Product, as applicable, Zymeworks shall continue to supply Jazz with, and Jazz shall continue to purchase from Zymeworks, Licensed Antibodies and Licensed Products as requested by Jazz in accordance with the Commercial Supply Agreement until the Manufacturing Transition Date. The Commercial Supply Agreement shall set forth the minimum quantities of (or minimum percentages of Jazz’s requirements for) Licensed Antibody and Licensed Product that Jazz will be obligated to obtain from Zymeworks under the Commercial Supply Agreement following such Manufacturing Technology Transfer and approval, provided that Zymeworks remains in full compliance with its supply obligations, including GMP compliance, under such agreement. Such minimum obligations shall not apply if Zymeworks materially breaches such obligations, subject to the terms and conditions of the Commercial Supply Agreement. The terms of the Commercial Supply Agreement shall be consistent with the terms and conditions of this Agreement, the applicable terms and conditions of Clinical Supply Agreement, and the terms and conditions of any agreement between Zymeworks and its Third Party manufacturing partner(s), to the extent applicable to commercial supply of Licensed Antibody and Licensed Product in the Field in the Territory. The Commercial Supply Agreement will incorporate the terms set forth on </w:t>
      </w:r>
      <w:r>
        <w:rPr>
          <w:rFonts w:ascii="Arial" w:cs="Arial" w:eastAsia="Arial" w:hAnsi="Arial"/>
          <w:sz w:val="19"/>
          <w:szCs w:val="19"/>
          <w:b w:val="1"/>
          <w:bCs w:val="1"/>
          <w:color w:val="auto"/>
        </w:rPr>
        <w:t>Exhibit 7.3(c)</w:t>
      </w:r>
      <w:r>
        <w:rPr>
          <w:rFonts w:ascii="Arial" w:cs="Arial" w:eastAsia="Arial" w:hAnsi="Arial"/>
          <w:sz w:val="19"/>
          <w:szCs w:val="19"/>
          <w:color w:val="auto"/>
        </w:rPr>
        <w:t>.</w:t>
      </w:r>
    </w:p>
    <w:p>
      <w:pPr>
        <w:spacing w:after="0" w:line="154" w:lineRule="exact"/>
        <w:rPr>
          <w:sz w:val="20"/>
          <w:szCs w:val="20"/>
          <w:color w:val="auto"/>
        </w:rPr>
      </w:pPr>
    </w:p>
    <w:p>
      <w:pPr>
        <w:jc w:val="both"/>
        <w:ind w:firstLine="1304"/>
        <w:spacing w:after="0" w:line="230" w:lineRule="auto"/>
        <w:tabs>
          <w:tab w:leader="none" w:pos="1938" w:val="left"/>
        </w:tabs>
        <w:numPr>
          <w:ilvl w:val="0"/>
          <w:numId w:val="115"/>
        </w:numPr>
        <w:rPr>
          <w:rFonts w:ascii="Arial" w:cs="Arial" w:eastAsia="Arial" w:hAnsi="Arial"/>
          <w:sz w:val="21"/>
          <w:szCs w:val="21"/>
          <w:b w:val="1"/>
          <w:bCs w:val="1"/>
          <w:color w:val="auto"/>
        </w:rPr>
      </w:pPr>
      <w:r>
        <w:rPr>
          <w:rFonts w:ascii="Arial" w:cs="Arial" w:eastAsia="Arial" w:hAnsi="Arial"/>
          <w:sz w:val="21"/>
          <w:szCs w:val="21"/>
          <w:b w:val="1"/>
          <w:bCs w:val="1"/>
          <w:color w:val="auto"/>
        </w:rPr>
        <w:t>Quality Agreement</w:t>
      </w:r>
      <w:r>
        <w:rPr>
          <w:rFonts w:ascii="Arial" w:cs="Arial" w:eastAsia="Arial" w:hAnsi="Arial"/>
          <w:sz w:val="21"/>
          <w:szCs w:val="21"/>
          <w:color w:val="auto"/>
        </w:rPr>
        <w:t>. Concurrently with entering into the Commercial Supply Agreement, the Parties will</w:t>
      </w:r>
      <w:r>
        <w:rPr>
          <w:rFonts w:ascii="Arial" w:cs="Arial" w:eastAsia="Arial" w:hAnsi="Arial"/>
          <w:sz w:val="21"/>
          <w:szCs w:val="21"/>
          <w:b w:val="1"/>
          <w:bCs w:val="1"/>
          <w:color w:val="auto"/>
        </w:rPr>
        <w:t xml:space="preserve"> </w:t>
      </w:r>
      <w:r>
        <w:rPr>
          <w:rFonts w:ascii="Arial" w:cs="Arial" w:eastAsia="Arial" w:hAnsi="Arial"/>
          <w:sz w:val="21"/>
          <w:szCs w:val="21"/>
          <w:color w:val="auto"/>
        </w:rPr>
        <w:t>enter into a quality technical agreement (“</w:t>
      </w:r>
      <w:r>
        <w:rPr>
          <w:rFonts w:ascii="Arial" w:cs="Arial" w:eastAsia="Arial" w:hAnsi="Arial"/>
          <w:sz w:val="21"/>
          <w:szCs w:val="21"/>
          <w:b w:val="1"/>
          <w:bCs w:val="1"/>
          <w:color w:val="auto"/>
        </w:rPr>
        <w:t>Quality Technical Agreement</w:t>
      </w:r>
      <w:r>
        <w:rPr>
          <w:rFonts w:ascii="Arial" w:cs="Arial" w:eastAsia="Arial" w:hAnsi="Arial"/>
          <w:sz w:val="21"/>
          <w:szCs w:val="21"/>
          <w:color w:val="auto"/>
        </w:rPr>
        <w:t>”) that allocates roles and responsibilities to each Party with respect to quality control and regulatory compliance with respect to the manufacture and supply of Licensed Antibody and Licensed Product under the Commercial Supply Agreement and the Clinical Supply Agreement.</w:t>
      </w:r>
    </w:p>
    <w:p>
      <w:pPr>
        <w:spacing w:after="0" w:line="154" w:lineRule="exact"/>
        <w:rPr>
          <w:rFonts w:ascii="Arial" w:cs="Arial" w:eastAsia="Arial" w:hAnsi="Arial"/>
          <w:sz w:val="21"/>
          <w:szCs w:val="21"/>
          <w:b w:val="1"/>
          <w:bCs w:val="1"/>
          <w:color w:val="auto"/>
        </w:rPr>
      </w:pPr>
    </w:p>
    <w:p>
      <w:pPr>
        <w:jc w:val="both"/>
        <w:ind w:firstLine="1304"/>
        <w:spacing w:after="0" w:line="215" w:lineRule="auto"/>
        <w:tabs>
          <w:tab w:leader="none" w:pos="1941"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Second Supply Source</w:t>
      </w:r>
      <w:r>
        <w:rPr>
          <w:rFonts w:ascii="Arial" w:cs="Arial" w:eastAsia="Arial" w:hAnsi="Arial"/>
          <w:sz w:val="22"/>
          <w:szCs w:val="22"/>
          <w:color w:val="auto"/>
        </w:rPr>
        <w:t>. Jazz shall have the right to secure a second source of Licensed Antibody and</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 Upon Jazz’s written request, Zymeworks shall promptly provide to such CMO, at Jazz’s expense, such technical assistance, as such CMO may require in order to manufacture Licensed Antibody and Licensed Product to the then-current specifications in accordance with the then-current manufacturing process for Licensed Antibody and Licensed Product, by performing the Manufacturing Technology Transfer in accordance with Section 7.2, solely for use by Jazz in accordance with the terms of this Agreement.</w:t>
      </w:r>
    </w:p>
    <w:p>
      <w:pPr>
        <w:spacing w:after="0" w:line="152" w:lineRule="exact"/>
        <w:rPr>
          <w:rFonts w:ascii="Arial" w:cs="Arial" w:eastAsia="Arial" w:hAnsi="Arial"/>
          <w:sz w:val="22"/>
          <w:szCs w:val="22"/>
          <w:b w:val="1"/>
          <w:bCs w:val="1"/>
          <w:color w:val="auto"/>
        </w:rPr>
      </w:pPr>
    </w:p>
    <w:p>
      <w:pPr>
        <w:jc w:val="both"/>
        <w:ind w:firstLine="1304"/>
        <w:spacing w:after="0" w:line="246" w:lineRule="auto"/>
        <w:tabs>
          <w:tab w:leader="none" w:pos="1944" w:val="left"/>
        </w:tabs>
        <w:numPr>
          <w:ilvl w:val="0"/>
          <w:numId w:val="115"/>
        </w:numPr>
        <w:rPr>
          <w:rFonts w:ascii="Arial" w:cs="Arial" w:eastAsia="Arial" w:hAnsi="Arial"/>
          <w:sz w:val="19"/>
          <w:szCs w:val="19"/>
          <w:b w:val="1"/>
          <w:bCs w:val="1"/>
          <w:color w:val="auto"/>
        </w:rPr>
      </w:pPr>
      <w:r>
        <w:rPr>
          <w:rFonts w:ascii="Arial" w:cs="Arial" w:eastAsia="Arial" w:hAnsi="Arial"/>
          <w:sz w:val="19"/>
          <w:szCs w:val="19"/>
          <w:b w:val="1"/>
          <w:bCs w:val="1"/>
          <w:color w:val="auto"/>
        </w:rPr>
        <w:t>Manufacturing Audits</w:t>
      </w:r>
      <w:r>
        <w:rPr>
          <w:rFonts w:ascii="Arial" w:cs="Arial" w:eastAsia="Arial" w:hAnsi="Arial"/>
          <w:sz w:val="19"/>
          <w:szCs w:val="19"/>
          <w:color w:val="auto"/>
        </w:rPr>
        <w:t>. At Jazz’s reasonable request [***], Zymeworks will exercise its right to inspect,</w:t>
      </w:r>
      <w:r>
        <w:rPr>
          <w:rFonts w:ascii="Arial" w:cs="Arial" w:eastAsia="Arial" w:hAnsi="Arial"/>
          <w:sz w:val="19"/>
          <w:szCs w:val="19"/>
          <w:b w:val="1"/>
          <w:bCs w:val="1"/>
          <w:color w:val="auto"/>
        </w:rPr>
        <w:t xml:space="preserve"> </w:t>
      </w:r>
      <w:r>
        <w:rPr>
          <w:rFonts w:ascii="Arial" w:cs="Arial" w:eastAsia="Arial" w:hAnsi="Arial"/>
          <w:sz w:val="19"/>
          <w:szCs w:val="19"/>
          <w:color w:val="auto"/>
        </w:rPr>
        <w:t>or will use reasonable efforts to obtain the right for Jazz to inspect (which may be a joint inspection with Zymeworks), Zymeworks’ CMO under the applicable agreement between Zymeworks and such CMO, to audit compliance with all Applicable Laws in the conduct of manufacturing activities hereunder, including GMP. No later than [***] following the completion of any such audit, the inspecting Party will provide the other Party and the Manufacturing Working Group with a written summary of the auditing Party’s findings, including any deficiencies or other areas of remediation that were identified during such audit, and the Manufacturing Working Group shall promptly meet to discuss any such deficiencies or other areas of remediation. Zymeworks will use reasonable efforts remediate such deficiencies[***].</w:t>
      </w:r>
    </w:p>
    <w:p>
      <w:pPr>
        <w:spacing w:after="0" w:line="152" w:lineRule="exact"/>
        <w:rPr>
          <w:rFonts w:ascii="Arial" w:cs="Arial" w:eastAsia="Arial" w:hAnsi="Arial"/>
          <w:sz w:val="19"/>
          <w:szCs w:val="19"/>
          <w:b w:val="1"/>
          <w:bCs w:val="1"/>
          <w:color w:val="auto"/>
        </w:rPr>
      </w:pPr>
    </w:p>
    <w:p>
      <w:pPr>
        <w:jc w:val="both"/>
        <w:ind w:firstLine="1304"/>
        <w:spacing w:after="0" w:line="213" w:lineRule="auto"/>
        <w:tabs>
          <w:tab w:leader="none" w:pos="1939"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Expiration of Supply Agreements</w:t>
      </w:r>
      <w:r>
        <w:rPr>
          <w:rFonts w:ascii="Arial" w:cs="Arial" w:eastAsia="Arial" w:hAnsi="Arial"/>
          <w:sz w:val="22"/>
          <w:szCs w:val="22"/>
          <w:color w:val="auto"/>
        </w:rPr>
        <w:t>. Unless otherwise agreed by the Parties in writing, the Clinical Supply</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Commercial Supply Agreement shall expire upon Zymeworks’ fulfillment of all orders placed by Jazz in accordance with the terms of the Clinical Supply Agreement and the Commercial Supply Agreement on or before the Manufacturing Transition Date, provided that Zymeworks’ obligations with respect to Licensed Antibodies and Licensed Products supplied to Jazz prior to such expiration shall survive expiration. Thereafter during the Term, Jazz shall have the sole responsibility to make or have made Licensed Antibody and Licensed Product for Development and Commercialization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01" w:right="339" w:bottom="1440" w:gutter="0" w:footer="0" w:header="0"/>
        </w:sectPr>
      </w:pPr>
    </w:p>
    <w:bookmarkStart w:id="200" w:name="page201"/>
    <w:bookmarkEnd w:id="200"/>
    <w:p>
      <w:pPr>
        <w:ind w:left="660"/>
        <w:spacing w:after="0"/>
        <w:tabs>
          <w:tab w:leader="none" w:pos="128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9"/>
          <w:szCs w:val="19"/>
          <w:b w:val="1"/>
          <w:bCs w:val="1"/>
          <w:color w:val="auto"/>
        </w:rPr>
        <w:t>Manufacturing Process Development and Validation; CMO Agreements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42" w:lineRule="auto"/>
        <w:tabs>
          <w:tab w:leader="none" w:pos="1939" w:val="left"/>
        </w:tabs>
        <w:numPr>
          <w:ilvl w:val="0"/>
          <w:numId w:val="116"/>
        </w:numPr>
        <w:rPr>
          <w:rFonts w:ascii="Arial" w:cs="Arial" w:eastAsia="Arial" w:hAnsi="Arial"/>
          <w:sz w:val="19"/>
          <w:szCs w:val="19"/>
          <w:b w:val="1"/>
          <w:bCs w:val="1"/>
          <w:color w:val="auto"/>
        </w:rPr>
      </w:pPr>
      <w:r>
        <w:rPr>
          <w:rFonts w:ascii="Arial" w:cs="Arial" w:eastAsia="Arial" w:hAnsi="Arial"/>
          <w:sz w:val="19"/>
          <w:szCs w:val="19"/>
          <w:color w:val="auto"/>
        </w:rPr>
        <w:t>Within [***] after the Closing Date the Parties shall discuss in good faith and agree whether Zymeworks will engage [***] to conduct process performance qualification (“</w:t>
      </w:r>
      <w:r>
        <w:rPr>
          <w:rFonts w:ascii="Arial" w:cs="Arial" w:eastAsia="Arial" w:hAnsi="Arial"/>
          <w:sz w:val="19"/>
          <w:szCs w:val="19"/>
          <w:b w:val="1"/>
          <w:bCs w:val="1"/>
          <w:color w:val="auto"/>
        </w:rPr>
        <w:t>PPQ</w:t>
      </w:r>
      <w:r>
        <w:rPr>
          <w:rFonts w:ascii="Arial" w:cs="Arial" w:eastAsia="Arial" w:hAnsi="Arial"/>
          <w:sz w:val="19"/>
          <w:szCs w:val="19"/>
          <w:color w:val="auto"/>
        </w:rPr>
        <w:t>”) manufacturing campaign for Licensed Antibody and Licensed Product and the timeline for such PPQ manufacturing campaign. If Jazz, in its sole discretion, determines to have a PPQ manufacturing campaign conducted [***], Zymeworks will engage [***] to conduct such campaign and the remainder of this Section 7.4(a) shall apply. [***] Zymeworks shall permit, and [***] to permit, Jazz to observe the manufacture of one or more PPQ batches of Licensed Antibody and one or more PPQ batches of Licensed Product. Zymeworks will keep Jazz informed of PPQ progress through the Manufacturing Working Group. Zymeworks will promptly provide all PPQ results to Jazz. Zymeworks will, if requested by Jazz, include the PPQ results in [***] the First BLA [***]. Zymeworks shall hold all quantities of Licensed Antibody and Licensed Product manufactured in the PPQ batches for Jazz’s benefit and shall not make them available to others or use them for purposes other than supplying Jazz, in each case without Jazz’s prior written consent. Zymeworks shall supply Jazz with such quantities of Licensed Antibody and Licensed Product manufactured in the PPQ batches in accordance with the Commercial Supply Agreement[***]. Such quantities shall count towards Jazz’s ordering obligations and, unless otherwise directed by Jazz in writing, Zymeworks shall supply any such quantities to Jazz before supplying Jazz with Licensed Products originating from other manufacturing runs.</w:t>
      </w:r>
    </w:p>
    <w:p>
      <w:pPr>
        <w:spacing w:after="0" w:line="375" w:lineRule="exact"/>
        <w:rPr>
          <w:rFonts w:ascii="Arial" w:cs="Arial" w:eastAsia="Arial" w:hAnsi="Arial"/>
          <w:sz w:val="19"/>
          <w:szCs w:val="19"/>
          <w:b w:val="1"/>
          <w:bCs w:val="1"/>
          <w:color w:val="auto"/>
        </w:rPr>
      </w:pPr>
    </w:p>
    <w:p>
      <w:pPr>
        <w:jc w:val="both"/>
        <w:ind w:firstLine="1304"/>
        <w:spacing w:after="0" w:line="246" w:lineRule="auto"/>
        <w:tabs>
          <w:tab w:leader="none" w:pos="1938" w:val="left"/>
        </w:tabs>
        <w:numPr>
          <w:ilvl w:val="0"/>
          <w:numId w:val="116"/>
        </w:numPr>
        <w:rPr>
          <w:rFonts w:ascii="Arial" w:cs="Arial" w:eastAsia="Arial" w:hAnsi="Arial"/>
          <w:sz w:val="19"/>
          <w:szCs w:val="19"/>
          <w:b w:val="1"/>
          <w:bCs w:val="1"/>
          <w:color w:val="auto"/>
        </w:rPr>
      </w:pPr>
      <w:r>
        <w:rPr>
          <w:rFonts w:ascii="Arial" w:cs="Arial" w:eastAsia="Arial" w:hAnsi="Arial"/>
          <w:sz w:val="19"/>
          <w:szCs w:val="19"/>
          <w:color w:val="auto"/>
        </w:rPr>
        <w:t>No later than the date on which Zymeworks provides Jazz with the first draft of the First BLA, Zymeworks shall have fulfilled or otherwise addressed as agreed in writing with Jazz, all manufacturing-related commitments set forth in the Commitments Log as well as any additional manufacturing-related commitments made by Zymeworks to the FDA after the Commitments Log was provided to Jazz in accordance with Section 4.1 (which commitments shall only be made with Jazz’s prior written consent and shall be included in all subsequent updates to the Commitment Log) and any commitments that should have been set forth in the Commitments Log (which commitments Zymeworks shall bring to Jazz’s attention by providing Jazz with an updated Commitments Log that includes them promptly after such oversight is identified), and shall provide Jazz with an updated Commitments Log identifying the date and method by which such manufacturing commitments were fulfilled. [***]</w:t>
      </w:r>
    </w:p>
    <w:p>
      <w:pPr>
        <w:spacing w:after="0" w:line="152" w:lineRule="exact"/>
        <w:rPr>
          <w:rFonts w:ascii="Arial" w:cs="Arial" w:eastAsia="Arial" w:hAnsi="Arial"/>
          <w:sz w:val="19"/>
          <w:szCs w:val="19"/>
          <w:b w:val="1"/>
          <w:bCs w:val="1"/>
          <w:color w:val="auto"/>
        </w:rPr>
      </w:pPr>
    </w:p>
    <w:p>
      <w:pPr>
        <w:jc w:val="both"/>
        <w:ind w:firstLine="1304"/>
        <w:spacing w:after="0" w:line="224" w:lineRule="auto"/>
        <w:tabs>
          <w:tab w:leader="none" w:pos="1941" w:val="left"/>
        </w:tabs>
        <w:numPr>
          <w:ilvl w:val="0"/>
          <w:numId w:val="116"/>
        </w:numPr>
        <w:rPr>
          <w:rFonts w:ascii="Arial" w:cs="Arial" w:eastAsia="Arial" w:hAnsi="Arial"/>
          <w:sz w:val="21"/>
          <w:szCs w:val="21"/>
          <w:b w:val="1"/>
          <w:bCs w:val="1"/>
          <w:color w:val="auto"/>
        </w:rPr>
      </w:pPr>
      <w:r>
        <w:rPr>
          <w:rFonts w:ascii="Arial" w:cs="Arial" w:eastAsia="Arial" w:hAnsi="Arial"/>
          <w:sz w:val="21"/>
          <w:szCs w:val="21"/>
          <w:color w:val="auto"/>
        </w:rPr>
        <w:t>Without limiting Section 14.1(b), Jazz shall keep Zymeworks informed of new Jazz Manufacturing IP through the Manufacturing Working Group. Upon written request by Zymeworks, Jazz will engage in good faith discussions for a period of [***] regarding the commercially reasonable terms and conditions for Jazz to grant a license to Zymeworks to use such Jazz Manufacturing IP for the sole purpose of making and having made Licensed Antibody, Licensed Product and ZW49 (or Zanidatamab Zovodotin). Upon reaching agreement regarding such terms, the Parties shall either enter into a separate license agreement or amend this Agreement to reflect such terms.</w:t>
      </w:r>
    </w:p>
    <w:p>
      <w:pPr>
        <w:spacing w:after="0" w:line="159" w:lineRule="exact"/>
        <w:rPr>
          <w:rFonts w:ascii="Arial" w:cs="Arial" w:eastAsia="Arial" w:hAnsi="Arial"/>
          <w:sz w:val="21"/>
          <w:szCs w:val="21"/>
          <w:b w:val="1"/>
          <w:bCs w:val="1"/>
          <w:color w:val="auto"/>
        </w:rPr>
      </w:pPr>
    </w:p>
    <w:p>
      <w:pPr>
        <w:jc w:val="both"/>
        <w:ind w:firstLine="1304"/>
        <w:spacing w:after="0" w:line="216" w:lineRule="auto"/>
        <w:tabs>
          <w:tab w:leader="none" w:pos="1938" w:val="left"/>
        </w:tabs>
        <w:numPr>
          <w:ilvl w:val="0"/>
          <w:numId w:val="116"/>
        </w:numPr>
        <w:rPr>
          <w:rFonts w:ascii="Arial" w:cs="Arial" w:eastAsia="Arial" w:hAnsi="Arial"/>
          <w:sz w:val="22"/>
          <w:szCs w:val="22"/>
          <w:b w:val="1"/>
          <w:bCs w:val="1"/>
          <w:color w:val="auto"/>
        </w:rPr>
      </w:pPr>
      <w:r>
        <w:rPr>
          <w:rFonts w:ascii="Arial" w:cs="Arial" w:eastAsia="Arial" w:hAnsi="Arial"/>
          <w:sz w:val="22"/>
          <w:szCs w:val="22"/>
          <w:color w:val="auto"/>
        </w:rPr>
        <w:t>Prior to the Manufacturing Transition Date, Zymeworks shall keep Jazz reasonably informed regarding its discussions to enter into or amend agreements with [***], and any other CMO relating to the manufacture and supply of Licensed Antibodies and Licensed Products to Jazz. Zymeworks shall promptly provide Jazz with copies of any such proposed agreements or amendments for Jazz’s review and comment. Zymeworks shall consider in good faith and adopt any reasonable comments provided by Jazz.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395" w:right="339" w:bottom="1440" w:gutter="0" w:footer="0" w:header="0"/>
        </w:sectPr>
      </w:pPr>
    </w:p>
    <w:bookmarkStart w:id="201" w:name="page202"/>
    <w:bookmarkEnd w:id="201"/>
    <w:p>
      <w:pPr>
        <w:ind w:left="4980"/>
        <w:spacing w:after="0"/>
        <w:rPr>
          <w:sz w:val="20"/>
          <w:szCs w:val="20"/>
          <w:color w:val="auto"/>
        </w:rPr>
      </w:pPr>
      <w:r>
        <w:rPr>
          <w:rFonts w:ascii="Arial" w:cs="Arial" w:eastAsia="Arial" w:hAnsi="Arial"/>
          <w:sz w:val="22"/>
          <w:szCs w:val="22"/>
          <w:b w:val="1"/>
          <w:bCs w:val="1"/>
          <w:color w:val="auto"/>
        </w:rPr>
        <w:t>Article 8</w:t>
      </w:r>
    </w:p>
    <w:p>
      <w:pPr>
        <w:spacing w:after="0" w:line="179"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COMMERCIALIZATION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color w:val="auto"/>
        </w:rPr>
        <w:t>Commercialization Responsibility</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16" w:lineRule="auto"/>
        <w:tabs>
          <w:tab w:leader="none" w:pos="1939" w:val="left"/>
        </w:tabs>
        <w:numPr>
          <w:ilvl w:val="0"/>
          <w:numId w:val="117"/>
        </w:numPr>
        <w:rPr>
          <w:rFonts w:ascii="Arial" w:cs="Arial" w:eastAsia="Arial" w:hAnsi="Arial"/>
          <w:sz w:val="22"/>
          <w:szCs w:val="22"/>
          <w:b w:val="1"/>
          <w:bCs w:val="1"/>
          <w:color w:val="auto"/>
        </w:rPr>
      </w:pPr>
      <w:r>
        <w:rPr>
          <w:rFonts w:ascii="Arial" w:cs="Arial" w:eastAsia="Arial" w:hAnsi="Arial"/>
          <w:sz w:val="22"/>
          <w:szCs w:val="22"/>
          <w:color w:val="auto"/>
        </w:rPr>
        <w:t>As between the Parties, Jazz shall be solely responsible for Commercializing the Licensed Products in the Field in the Territory and shall book all sales of Licensed Products in the Territory. Jazz shall use Commercially Reasonable Efforts to Commercialize in each Major Market Country each Licensed Product that obtains Regulatory Approval in the Field in such Major Market Country. Jazz shall conduct all Commercialization of Licensed Products in the Field in the Territory in accordance with all Applicable Laws, at its sole cost and expense.</w:t>
      </w:r>
    </w:p>
    <w:p>
      <w:pPr>
        <w:spacing w:after="0" w:line="157" w:lineRule="exact"/>
        <w:rPr>
          <w:rFonts w:ascii="Arial" w:cs="Arial" w:eastAsia="Arial" w:hAnsi="Arial"/>
          <w:sz w:val="22"/>
          <w:szCs w:val="22"/>
          <w:b w:val="1"/>
          <w:bCs w:val="1"/>
          <w:color w:val="auto"/>
        </w:rPr>
      </w:pPr>
    </w:p>
    <w:p>
      <w:pPr>
        <w:ind w:right="20" w:firstLine="1304"/>
        <w:spacing w:after="0" w:line="232" w:lineRule="auto"/>
        <w:tabs>
          <w:tab w:leader="none" w:pos="1938" w:val="left"/>
        </w:tabs>
        <w:numPr>
          <w:ilvl w:val="0"/>
          <w:numId w:val="117"/>
        </w:numPr>
        <w:rPr>
          <w:rFonts w:ascii="Arial" w:cs="Arial" w:eastAsia="Arial" w:hAnsi="Arial"/>
          <w:sz w:val="22"/>
          <w:szCs w:val="22"/>
          <w:b w:val="1"/>
          <w:bCs w:val="1"/>
          <w:color w:val="auto"/>
        </w:rPr>
      </w:pPr>
      <w:r>
        <w:rPr>
          <w:rFonts w:ascii="Arial" w:cs="Arial" w:eastAsia="Arial" w:hAnsi="Arial"/>
          <w:sz w:val="22"/>
          <w:szCs w:val="22"/>
          <w:color w:val="auto"/>
        </w:rPr>
        <w:t>As between the Parties, Zymeworks shall have the sole right to Commercialize each Licensed Product outside of the Territory and to book all such sales of Licensed Product.</w:t>
      </w:r>
    </w:p>
    <w:p>
      <w:pPr>
        <w:spacing w:after="0" w:line="153"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 xml:space="preserve">8.2 Annual Commercialization Plan. </w:t>
      </w:r>
      <w:r>
        <w:rPr>
          <w:rFonts w:ascii="Arial" w:cs="Arial" w:eastAsia="Arial" w:hAnsi="Arial"/>
          <w:sz w:val="22"/>
          <w:szCs w:val="22"/>
          <w:color w:val="auto"/>
        </w:rPr>
        <w:t>Jazz shall have the sole and final authority to determine the Annual</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Commercialization Plan. [***]</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19"/>
          <w:szCs w:val="19"/>
          <w:b w:val="1"/>
          <w:bCs w:val="1"/>
          <w:color w:val="auto"/>
        </w:rPr>
        <w:t>Coordination of Commercialization Activities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18" w:lineRule="auto"/>
        <w:tabs>
          <w:tab w:leader="none" w:pos="1939" w:val="left"/>
        </w:tabs>
        <w:numPr>
          <w:ilvl w:val="0"/>
          <w:numId w:val="118"/>
        </w:numPr>
        <w:rPr>
          <w:rFonts w:ascii="Arial" w:cs="Arial" w:eastAsia="Arial" w:hAnsi="Arial"/>
          <w:sz w:val="22"/>
          <w:szCs w:val="22"/>
          <w:b w:val="1"/>
          <w:bCs w:val="1"/>
          <w:color w:val="auto"/>
        </w:rPr>
      </w:pPr>
      <w:r>
        <w:rPr>
          <w:rFonts w:ascii="Arial" w:cs="Arial" w:eastAsia="Arial" w:hAnsi="Arial"/>
          <w:sz w:val="22"/>
          <w:szCs w:val="22"/>
          <w:color w:val="auto"/>
        </w:rPr>
        <w:t>The Parties recognize that they may benefit from the coordination of certain activities in support of the Commercialization of Licensed Products in and outside the Territory. As such, the Parties shall use reasonable efforts to coordinate, either directly between the Parties or through the JSC or a commercial or marketing Working Group established by the JSC, such activities where appropriate.</w:t>
      </w:r>
    </w:p>
    <w:p>
      <w:pPr>
        <w:spacing w:after="0" w:line="160" w:lineRule="exact"/>
        <w:rPr>
          <w:rFonts w:ascii="Arial" w:cs="Arial" w:eastAsia="Arial" w:hAnsi="Arial"/>
          <w:sz w:val="22"/>
          <w:szCs w:val="22"/>
          <w:b w:val="1"/>
          <w:bCs w:val="1"/>
          <w:color w:val="auto"/>
        </w:rPr>
      </w:pPr>
    </w:p>
    <w:p>
      <w:pPr>
        <w:jc w:val="both"/>
        <w:ind w:firstLine="1304"/>
        <w:spacing w:after="0" w:line="247" w:lineRule="auto"/>
        <w:tabs>
          <w:tab w:leader="none" w:pos="1938" w:val="left"/>
        </w:tabs>
        <w:numPr>
          <w:ilvl w:val="0"/>
          <w:numId w:val="118"/>
        </w:numPr>
        <w:rPr>
          <w:rFonts w:ascii="Arial" w:cs="Arial" w:eastAsia="Arial" w:hAnsi="Arial"/>
          <w:sz w:val="19"/>
          <w:szCs w:val="19"/>
          <w:b w:val="1"/>
          <w:bCs w:val="1"/>
          <w:color w:val="auto"/>
        </w:rPr>
      </w:pPr>
      <w:r>
        <w:rPr>
          <w:rFonts w:ascii="Arial" w:cs="Arial" w:eastAsia="Arial" w:hAnsi="Arial"/>
          <w:sz w:val="19"/>
          <w:szCs w:val="19"/>
          <w:color w:val="auto"/>
        </w:rPr>
        <w:t>Jazz shall keep Zymeworks timely informed on the status of any application for pricing or reimbursement approval for Licensed Products in the Field in the Territory, and Zymeworks shall keep Jazz timely informed on the status of any application for pricing or reimbursement approval for Licensed Products in the Field outside of the Territory, of which Zymeworks becomes aware using reasonable efforts. Zymeworks, its Affiliate or its Ex-Territory Partner, as applicable, shall have the right to determine the price of Licensed Products sold outside the Territory; and Jazz or its Affiliates or sublicensee shall have the right to determine the price of Licensed Products sold in the Territory. Neither Party shall have the right to direct, control or approve the pricing of Licensed Products sold by the other Party (or its designee) in such other Party’s territory.</w:t>
      </w:r>
    </w:p>
    <w:p>
      <w:pPr>
        <w:spacing w:after="0" w:line="153" w:lineRule="exact"/>
        <w:rPr>
          <w:rFonts w:ascii="Arial" w:cs="Arial" w:eastAsia="Arial" w:hAnsi="Arial"/>
          <w:sz w:val="19"/>
          <w:szCs w:val="19"/>
          <w:b w:val="1"/>
          <w:bCs w:val="1"/>
          <w:color w:val="auto"/>
        </w:rPr>
      </w:pPr>
    </w:p>
    <w:p>
      <w:pPr>
        <w:jc w:val="both"/>
        <w:ind w:firstLine="1304"/>
        <w:spacing w:after="0" w:line="244" w:lineRule="auto"/>
        <w:tabs>
          <w:tab w:leader="none" w:pos="1941" w:val="left"/>
        </w:tabs>
        <w:numPr>
          <w:ilvl w:val="0"/>
          <w:numId w:val="118"/>
        </w:numPr>
        <w:rPr>
          <w:rFonts w:ascii="Arial" w:cs="Arial" w:eastAsia="Arial" w:hAnsi="Arial"/>
          <w:sz w:val="19"/>
          <w:szCs w:val="19"/>
          <w:b w:val="1"/>
          <w:bCs w:val="1"/>
          <w:color w:val="auto"/>
        </w:rPr>
      </w:pPr>
      <w:r>
        <w:rPr>
          <w:rFonts w:ascii="Arial" w:cs="Arial" w:eastAsia="Arial" w:hAnsi="Arial"/>
          <w:sz w:val="19"/>
          <w:szCs w:val="19"/>
          <w:color w:val="auto"/>
        </w:rPr>
        <w:t>Jazz will use reasonable efforts to cooperate with Zymeworks and the Ex-Territory Partner to develop and adopt a global branding strategy for the Licensed Products, which may include certain distinctive colors, logos, images, symbols, and trademarks to be used in connection with the Commercialization of Licensed Products on a global basis (such branding elements, collectively, the “</w:t>
      </w:r>
      <w:r>
        <w:rPr>
          <w:rFonts w:ascii="Arial" w:cs="Arial" w:eastAsia="Arial" w:hAnsi="Arial"/>
          <w:sz w:val="19"/>
          <w:szCs w:val="19"/>
          <w:b w:val="1"/>
          <w:bCs w:val="1"/>
          <w:color w:val="auto"/>
        </w:rPr>
        <w:t>Global Brand Elements</w:t>
      </w:r>
      <w:r>
        <w:rPr>
          <w:rFonts w:ascii="Arial" w:cs="Arial" w:eastAsia="Arial" w:hAnsi="Arial"/>
          <w:sz w:val="19"/>
          <w:szCs w:val="19"/>
          <w:color w:val="auto"/>
        </w:rPr>
        <w:t>”), which, for clarity, shall exclude the name, logos, house marks and general corporate trademarks of Jazz. Jazz shall own all rights in such Global Brand Elements, and shall grant Zymeworks the exclusive right to use such Global Brand Elements in connection with the Commercialization of Licensed Products in the Field outside of the Territory. To the extent that Zymeworks, its Affiliates or the Ex-Territory Partner elect to Commercialize the Licensed Products outside of the Territory using the Global Brand Elements, they shall provide prompt notice of such election and coordinate with Jazz (and Zymeworks shall use reasonable efforts to facilitate such coordination between the Ex-Territory Partner and Jazz) to ensure that such use is done in a manner consistent with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395" w:right="339" w:bottom="1440" w:gutter="0" w:footer="0" w:header="0"/>
        </w:sectPr>
      </w:pPr>
    </w:p>
    <w:bookmarkStart w:id="202" w:name="page203"/>
    <w:bookmarkEnd w:id="202"/>
    <w:p>
      <w:pPr>
        <w:ind w:firstLine="1952"/>
        <w:spacing w:after="0" w:line="232" w:lineRule="auto"/>
        <w:tabs>
          <w:tab w:leader="none" w:pos="2580" w:val="left"/>
        </w:tabs>
        <w:numPr>
          <w:ilvl w:val="0"/>
          <w:numId w:val="119"/>
        </w:numPr>
        <w:rPr>
          <w:rFonts w:ascii="Arial" w:cs="Arial" w:eastAsia="Arial" w:hAnsi="Arial"/>
          <w:sz w:val="22"/>
          <w:szCs w:val="22"/>
          <w:b w:val="1"/>
          <w:bCs w:val="1"/>
          <w:color w:val="auto"/>
        </w:rPr>
      </w:pPr>
      <w:r>
        <w:rPr>
          <w:rFonts w:ascii="Arial" w:cs="Arial" w:eastAsia="Arial" w:hAnsi="Arial"/>
          <w:sz w:val="22"/>
          <w:szCs w:val="22"/>
          <w:color w:val="auto"/>
        </w:rPr>
        <w:t>such use shall materially comply with the directions provided to Zymeworks by Jazz in writing in advance, regarding the form and manner of the application of the Global Brand Elements;</w:t>
      </w:r>
    </w:p>
    <w:p>
      <w:pPr>
        <w:spacing w:after="0" w:line="158" w:lineRule="exact"/>
        <w:rPr>
          <w:rFonts w:ascii="Arial" w:cs="Arial" w:eastAsia="Arial" w:hAnsi="Arial"/>
          <w:sz w:val="22"/>
          <w:szCs w:val="22"/>
          <w:b w:val="1"/>
          <w:bCs w:val="1"/>
          <w:color w:val="auto"/>
        </w:rPr>
      </w:pPr>
    </w:p>
    <w:p>
      <w:pPr>
        <w:jc w:val="both"/>
        <w:ind w:firstLine="1952"/>
        <w:spacing w:after="0" w:line="218" w:lineRule="auto"/>
        <w:tabs>
          <w:tab w:leader="none" w:pos="2586" w:val="left"/>
        </w:tabs>
        <w:numPr>
          <w:ilvl w:val="0"/>
          <w:numId w:val="119"/>
        </w:numPr>
        <w:rPr>
          <w:rFonts w:ascii="Arial" w:cs="Arial" w:eastAsia="Arial" w:hAnsi="Arial"/>
          <w:sz w:val="22"/>
          <w:szCs w:val="22"/>
          <w:b w:val="1"/>
          <w:bCs w:val="1"/>
          <w:color w:val="auto"/>
        </w:rPr>
      </w:pPr>
      <w:r>
        <w:rPr>
          <w:rFonts w:ascii="Arial" w:cs="Arial" w:eastAsia="Arial" w:hAnsi="Arial"/>
          <w:sz w:val="22"/>
          <w:szCs w:val="22"/>
          <w:color w:val="auto"/>
        </w:rPr>
        <w:t>all Licensed Products sold outside of the Territory by Zymeworks, its Affiliates or the Ex-Territory Partner carrying the Global Brand Elements and all related quotations, specifications, descriptive literature and other materials carrying the Global Brand Elements, will be marked with the appropriate trademark notices in accordance with Jazz’s reasonable instructions and Applicable Laws; and</w:t>
      </w:r>
    </w:p>
    <w:p>
      <w:pPr>
        <w:spacing w:after="0" w:line="160" w:lineRule="exact"/>
        <w:rPr>
          <w:rFonts w:ascii="Arial" w:cs="Arial" w:eastAsia="Arial" w:hAnsi="Arial"/>
          <w:sz w:val="22"/>
          <w:szCs w:val="22"/>
          <w:b w:val="1"/>
          <w:bCs w:val="1"/>
          <w:color w:val="auto"/>
        </w:rPr>
      </w:pPr>
    </w:p>
    <w:p>
      <w:pPr>
        <w:jc w:val="both"/>
        <w:ind w:firstLine="1952"/>
        <w:spacing w:after="0" w:line="216" w:lineRule="auto"/>
        <w:tabs>
          <w:tab w:leader="none" w:pos="2592" w:val="left"/>
        </w:tabs>
        <w:numPr>
          <w:ilvl w:val="0"/>
          <w:numId w:val="119"/>
        </w:numPr>
        <w:rPr>
          <w:rFonts w:ascii="Arial" w:cs="Arial" w:eastAsia="Arial" w:hAnsi="Arial"/>
          <w:sz w:val="22"/>
          <w:szCs w:val="22"/>
          <w:b w:val="1"/>
          <w:bCs w:val="1"/>
          <w:color w:val="auto"/>
        </w:rPr>
      </w:pPr>
      <w:r>
        <w:rPr>
          <w:rFonts w:ascii="Arial" w:cs="Arial" w:eastAsia="Arial" w:hAnsi="Arial"/>
          <w:sz w:val="22"/>
          <w:szCs w:val="22"/>
          <w:color w:val="auto"/>
        </w:rPr>
        <w:t>Zymeworks agrees that it shall not, directly or indirectly: (A) take, omit to take, or permit any action which is intended to dilute the Global Brand Elements or tarnish or bring into disrepute the reputation of or goodwill associated with the Global Brand Elements or Jazz; or (B) apply for, or obtain, or directly assist any Person in applying for or obtaining any registration of the Global Brand Elements, or any trademark, service mark, trade name, or other indicia confusingly similar to the Global Brand Elements.</w:t>
      </w:r>
    </w:p>
    <w:p>
      <w:pPr>
        <w:spacing w:after="0" w:line="152" w:lineRule="exact"/>
        <w:rPr>
          <w:sz w:val="20"/>
          <w:szCs w:val="20"/>
          <w:color w:val="auto"/>
        </w:rPr>
      </w:pPr>
    </w:p>
    <w:p>
      <w:pPr>
        <w:jc w:val="both"/>
        <w:ind w:firstLine="648"/>
        <w:spacing w:after="0"/>
        <w:rPr>
          <w:sz w:val="20"/>
          <w:szCs w:val="20"/>
          <w:color w:val="auto"/>
        </w:rPr>
      </w:pPr>
      <w:r>
        <w:rPr>
          <w:rFonts w:ascii="Arial" w:cs="Arial" w:eastAsia="Arial" w:hAnsi="Arial"/>
          <w:sz w:val="19"/>
          <w:szCs w:val="19"/>
          <w:b w:val="1"/>
          <w:bCs w:val="1"/>
          <w:color w:val="auto"/>
        </w:rPr>
        <w:t xml:space="preserve">8.4 Diversion. </w:t>
      </w:r>
      <w:r>
        <w:rPr>
          <w:rFonts w:ascii="Arial" w:cs="Arial" w:eastAsia="Arial" w:hAnsi="Arial"/>
          <w:sz w:val="19"/>
          <w:szCs w:val="19"/>
          <w:color w:val="auto"/>
        </w:rPr>
        <w:t>(a) Jazz covenants and agrees that it and its Affiliates shall not, and shall use reasonable efforts to</w:t>
      </w:r>
      <w:r>
        <w:rPr>
          <w:rFonts w:ascii="Arial" w:cs="Arial" w:eastAsia="Arial" w:hAnsi="Arial"/>
          <w:sz w:val="19"/>
          <w:szCs w:val="19"/>
          <w:b w:val="1"/>
          <w:bCs w:val="1"/>
          <w:color w:val="auto"/>
        </w:rPr>
        <w:t xml:space="preserve"> </w:t>
      </w:r>
      <w:r>
        <w:rPr>
          <w:rFonts w:ascii="Arial" w:cs="Arial" w:eastAsia="Arial" w:hAnsi="Arial"/>
          <w:sz w:val="19"/>
          <w:szCs w:val="19"/>
          <w:color w:val="auto"/>
        </w:rPr>
        <w:t>ensure that its sublicensees do not, either directly or indirectly, promote, market, distribute, import, sell or have sold any Licensed Products, including via the Internet or mail order, to any Third Party or to any address or Internet Protocol address or the like outside the Territory and (b) Zymeworks covenants and agrees that it and its Affiliates shall not, and shall use reasonable efforts to ensure that the Ex-Territory Partner does not, either directly or indirectly, promote, market, distribute, import, sell of have sold any Licensed Products including via the Internet or mail order, to any Third Party or to any address or Internet Protocol address or the like in the Territory; provided that Zymeworks and its Affiliates and the Ex-Territory Partner shall have the right (and, upon Jazz’s request, Zymeworks shall use reasonable efforts to obtain the right for Jazz, its Affiliates or sublicensees) to attend conferences and meetings of congresses in the other Party’s territory and to promote and market Licensed Products to Third Party attendees at such conferences and meetings, subject to this Section 8.4. Jazz shall not engage, nor permit its Affiliates or sublicensees to engage, in any advertising or promotional activities relating to any Licensed Products for use directed primarily to customers or other buyers or users of Licensed Products located in any country or jurisdiction outside the Territory, or solicit orders from any prospective purchaser located in any country or jurisdiction outside the Territory. Zymeworks shall not engage, nor permit its Affiliates or Ex-Territory Partner to engage, in any advertising or promotional activities relating to any Licensed Products for use directed primarily to customers or other buyers or users of Licensed Products located in any country or jurisdiction in the Territory, or solicit orders from any prospective purchaser located in any country or jurisdiction in the Territory. If Jazz or its Affiliate or sublicensee receives any order for Licensed Products for use from a prospective purchaser located in a country or jurisdiction outside the Territory, Jazz shall promptly refer that order to Zymeworks (for further referral to the Ex-Territory Partner) and shall not accept any such orders. Zymeworks shall use reasonable efforts to ensure that the Ex-Territory Partner refers to Zymeworks any orders received for Licensed Products for use from a prospective purchaser located in a country or jurisdiction in the Territory and not accept any such order. In such case, Zymeworks will promptly refer such order to Jazz. Jazz shall not, nor permit its Affiliates or sublicensees to, deliver or tender (or cause to be delivered or tendered) any Licensed Products for use outside the Territory, and Zymeworks shall not, nor permit its Affiliates or Ex-Territory Partner to, deliver or tender (or cause to be delivered or tendered) any Licensed Product for use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01" w:right="339" w:bottom="1440" w:gutter="0" w:footer="0" w:header="0"/>
        </w:sectPr>
      </w:pPr>
    </w:p>
    <w:bookmarkStart w:id="203" w:name="page204"/>
    <w:bookmarkEnd w:id="203"/>
    <w:p>
      <w:pPr>
        <w:ind w:left="4980"/>
        <w:spacing w:after="0"/>
        <w:rPr>
          <w:sz w:val="20"/>
          <w:szCs w:val="20"/>
          <w:color w:val="auto"/>
        </w:rPr>
      </w:pPr>
      <w:r>
        <w:rPr>
          <w:rFonts w:ascii="Arial" w:cs="Arial" w:eastAsia="Arial" w:hAnsi="Arial"/>
          <w:sz w:val="22"/>
          <w:szCs w:val="22"/>
          <w:b w:val="1"/>
          <w:bCs w:val="1"/>
          <w:color w:val="auto"/>
        </w:rPr>
        <w:t>Article 9</w:t>
      </w:r>
    </w:p>
    <w:p>
      <w:pPr>
        <w:spacing w:after="0" w:line="179"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PAYMENTS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19"/>
          <w:szCs w:val="19"/>
          <w:b w:val="1"/>
          <w:bCs w:val="1"/>
          <w:color w:val="auto"/>
        </w:rPr>
        <w:t>Upfront Fee; Second Payment.</w:t>
      </w:r>
    </w:p>
    <w:p>
      <w:pPr>
        <w:spacing w:after="0" w:line="185" w:lineRule="exact"/>
        <w:rPr>
          <w:sz w:val="20"/>
          <w:szCs w:val="20"/>
          <w:color w:val="auto"/>
        </w:rPr>
      </w:pPr>
    </w:p>
    <w:p>
      <w:pPr>
        <w:jc w:val="both"/>
        <w:ind w:firstLine="1304"/>
        <w:spacing w:after="0" w:line="218" w:lineRule="auto"/>
        <w:tabs>
          <w:tab w:leader="none" w:pos="1939" w:val="left"/>
        </w:tabs>
        <w:numPr>
          <w:ilvl w:val="0"/>
          <w:numId w:val="120"/>
        </w:numPr>
        <w:rPr>
          <w:rFonts w:ascii="Arial" w:cs="Arial" w:eastAsia="Arial" w:hAnsi="Arial"/>
          <w:sz w:val="22"/>
          <w:szCs w:val="22"/>
          <w:b w:val="1"/>
          <w:bCs w:val="1"/>
          <w:color w:val="auto"/>
        </w:rPr>
      </w:pPr>
      <w:r>
        <w:rPr>
          <w:rFonts w:ascii="Arial" w:cs="Arial" w:eastAsia="Arial" w:hAnsi="Arial"/>
          <w:sz w:val="22"/>
          <w:szCs w:val="22"/>
          <w:color w:val="auto"/>
        </w:rPr>
        <w:t>In partial consideration of Zymeworks’ granting of the licenses and rights to Jazz hereunder, Jazz shall pay to Zymeworks a one-time, non-refundable non-creditable upfront payment of fifty million U.S. dollars (USD 50,000,000) (the “</w:t>
      </w:r>
      <w:r>
        <w:rPr>
          <w:rFonts w:ascii="Arial" w:cs="Arial" w:eastAsia="Arial" w:hAnsi="Arial"/>
          <w:sz w:val="22"/>
          <w:szCs w:val="22"/>
          <w:b w:val="1"/>
          <w:bCs w:val="1"/>
          <w:color w:val="auto"/>
        </w:rPr>
        <w:t>Upfront Payment</w:t>
      </w:r>
      <w:r>
        <w:rPr>
          <w:rFonts w:ascii="Arial" w:cs="Arial" w:eastAsia="Arial" w:hAnsi="Arial"/>
          <w:sz w:val="22"/>
          <w:szCs w:val="22"/>
          <w:color w:val="auto"/>
        </w:rPr>
        <w:t>”). Zymeworks will issue to Jazz a written invoice for the Upfront Payment promptly after the Closing Date, and Jazz will pay such invoice [***].</w:t>
      </w:r>
    </w:p>
    <w:p>
      <w:pPr>
        <w:spacing w:after="0" w:line="160" w:lineRule="exact"/>
        <w:rPr>
          <w:rFonts w:ascii="Arial" w:cs="Arial" w:eastAsia="Arial" w:hAnsi="Arial"/>
          <w:sz w:val="22"/>
          <w:szCs w:val="22"/>
          <w:b w:val="1"/>
          <w:bCs w:val="1"/>
          <w:color w:val="auto"/>
        </w:rPr>
      </w:pPr>
    </w:p>
    <w:p>
      <w:pPr>
        <w:jc w:val="both"/>
        <w:ind w:firstLine="1304"/>
        <w:spacing w:after="0" w:line="249" w:lineRule="auto"/>
        <w:tabs>
          <w:tab w:leader="none" w:pos="1938" w:val="left"/>
        </w:tabs>
        <w:numPr>
          <w:ilvl w:val="0"/>
          <w:numId w:val="120"/>
        </w:numPr>
        <w:rPr>
          <w:rFonts w:ascii="Arial" w:cs="Arial" w:eastAsia="Arial" w:hAnsi="Arial"/>
          <w:sz w:val="19"/>
          <w:szCs w:val="19"/>
          <w:b w:val="1"/>
          <w:bCs w:val="1"/>
          <w:color w:val="auto"/>
        </w:rPr>
      </w:pPr>
      <w:r>
        <w:rPr>
          <w:rFonts w:ascii="Arial" w:cs="Arial" w:eastAsia="Arial" w:hAnsi="Arial"/>
          <w:sz w:val="19"/>
          <w:szCs w:val="19"/>
          <w:color w:val="auto"/>
        </w:rPr>
        <w:t>Zymeworks will issue to Jazz a written invoice for three hundred twenty-five million U.S. dollars (USD 325,000,000) (the “</w:t>
      </w:r>
      <w:r>
        <w:rPr>
          <w:rFonts w:ascii="Arial" w:cs="Arial" w:eastAsia="Arial" w:hAnsi="Arial"/>
          <w:sz w:val="19"/>
          <w:szCs w:val="19"/>
          <w:b w:val="1"/>
          <w:bCs w:val="1"/>
          <w:color w:val="auto"/>
        </w:rPr>
        <w:t>Second Payment</w:t>
      </w:r>
      <w:r>
        <w:rPr>
          <w:rFonts w:ascii="Arial" w:cs="Arial" w:eastAsia="Arial" w:hAnsi="Arial"/>
          <w:sz w:val="19"/>
          <w:szCs w:val="19"/>
          <w:color w:val="auto"/>
        </w:rPr>
        <w:t>”) promptly after the Second Payment Trigger (but no sooner than [***] after the Second Payment Trigger date to provide Jazz the opportunity to verify completeness of the BTC Data Package [***]). If Jazz wishes to maintain the License, Jazz will in its sole discretion pay such invoice within [***] after receipt (such payment, the “</w:t>
      </w:r>
      <w:r>
        <w:rPr>
          <w:rFonts w:ascii="Arial" w:cs="Arial" w:eastAsia="Arial" w:hAnsi="Arial"/>
          <w:sz w:val="19"/>
          <w:szCs w:val="19"/>
          <w:b w:val="1"/>
          <w:bCs w:val="1"/>
          <w:color w:val="auto"/>
        </w:rPr>
        <w:t>Second</w:t>
      </w:r>
      <w:r>
        <w:rPr>
          <w:rFonts w:ascii="Arial" w:cs="Arial" w:eastAsia="Arial" w:hAnsi="Arial"/>
          <w:sz w:val="19"/>
          <w:szCs w:val="19"/>
          <w:color w:val="auto"/>
        </w:rPr>
        <w:t xml:space="preserve"> </w:t>
      </w:r>
      <w:r>
        <w:rPr>
          <w:rFonts w:ascii="Arial" w:cs="Arial" w:eastAsia="Arial" w:hAnsi="Arial"/>
          <w:sz w:val="19"/>
          <w:szCs w:val="19"/>
          <w:b w:val="1"/>
          <w:bCs w:val="1"/>
          <w:color w:val="auto"/>
        </w:rPr>
        <w:t>Payment Due Date</w:t>
      </w:r>
      <w:r>
        <w:rPr>
          <w:rFonts w:ascii="Arial" w:cs="Arial" w:eastAsia="Arial" w:hAnsi="Arial"/>
          <w:sz w:val="19"/>
          <w:szCs w:val="19"/>
          <w:color w:val="auto"/>
        </w:rPr>
        <w:t>”). If the Second Payment is not received by Zymeworks on or before the Second Payment Due Date,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automatically and immediately terminate on the Second Payment Due Date.</w:t>
      </w:r>
    </w:p>
    <w:p>
      <w:pPr>
        <w:spacing w:after="0" w:line="146"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b w:val="1"/>
          <w:bCs w:val="1"/>
          <w:color w:val="auto"/>
        </w:rPr>
        <w:t xml:space="preserve">9.2 Development Cost Reimbursement. </w:t>
      </w:r>
      <w:r>
        <w:rPr>
          <w:rFonts w:ascii="Arial" w:cs="Arial" w:eastAsia="Arial" w:hAnsi="Arial"/>
          <w:sz w:val="21"/>
          <w:szCs w:val="21"/>
          <w:color w:val="auto"/>
        </w:rPr>
        <w:t>Jazz will reimburse Zymeworks for all FTE costs [***] and out-of-pocket</w:t>
      </w:r>
      <w:r>
        <w:rPr>
          <w:rFonts w:ascii="Arial" w:cs="Arial" w:eastAsia="Arial" w:hAnsi="Arial"/>
          <w:sz w:val="21"/>
          <w:szCs w:val="21"/>
          <w:b w:val="1"/>
          <w:bCs w:val="1"/>
          <w:color w:val="auto"/>
        </w:rPr>
        <w:t xml:space="preserve"> </w:t>
      </w:r>
      <w:r>
        <w:rPr>
          <w:rFonts w:ascii="Arial" w:cs="Arial" w:eastAsia="Arial" w:hAnsi="Arial"/>
          <w:sz w:val="21"/>
          <w:szCs w:val="21"/>
          <w:color w:val="auto"/>
        </w:rPr>
        <w:t>costs [***] incurred by Zymeworks or its Affiliates in the conduct of the Zymeworks Ongoing Studies and Zymeworks Korean Studies on or after the Execution Date, and in the preparation of the First BLA, in accordance with, including the corresponding budgets set forth in, the Zymeworks Development Plan. Zymeworks will invoice Jazz for such amounts[***] on a [***] basis within [***] after the end of [***]; provided that Jazz shall not have any obligation to reimburse such amounts incurred by Zymeworks or its Affiliates [***]. [***] Jazz will promptly notify Zymeworks of any disputed portions of any such invoice and pay the undisputed portion of each such invoice within [***] after receipt. The Parties will work together in good faith to promptly resolve any disputes regarding such invoices.</w:t>
      </w:r>
    </w:p>
    <w:p>
      <w:pPr>
        <w:spacing w:after="0" w:line="157"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b w:val="1"/>
          <w:bCs w:val="1"/>
          <w:color w:val="auto"/>
        </w:rPr>
        <w:t>9.3 Regulatory Milestones</w:t>
      </w:r>
      <w:r>
        <w:rPr>
          <w:rFonts w:ascii="Arial" w:cs="Arial" w:eastAsia="Arial" w:hAnsi="Arial"/>
          <w:sz w:val="22"/>
          <w:szCs w:val="22"/>
          <w:color w:val="auto"/>
        </w:rPr>
        <w:t>. After the first achievement of each milestone event set forth in the table below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 (each, a “</w:t>
      </w:r>
      <w:r>
        <w:rPr>
          <w:rFonts w:ascii="Arial" w:cs="Arial" w:eastAsia="Arial" w:hAnsi="Arial"/>
          <w:sz w:val="22"/>
          <w:szCs w:val="22"/>
          <w:b w:val="1"/>
          <w:bCs w:val="1"/>
          <w:color w:val="auto"/>
        </w:rPr>
        <w:t>Regulatory Milestone Event</w:t>
      </w:r>
      <w:r>
        <w:rPr>
          <w:rFonts w:ascii="Arial" w:cs="Arial" w:eastAsia="Arial" w:hAnsi="Arial"/>
          <w:sz w:val="22"/>
          <w:szCs w:val="22"/>
          <w:color w:val="auto"/>
        </w:rPr>
        <w:t>”), Jazz shall make the corresponding milestone payment to Zymeworks (each, a “</w:t>
      </w:r>
      <w:r>
        <w:rPr>
          <w:rFonts w:ascii="Arial" w:cs="Arial" w:eastAsia="Arial" w:hAnsi="Arial"/>
          <w:sz w:val="22"/>
          <w:szCs w:val="22"/>
          <w:b w:val="1"/>
          <w:bCs w:val="1"/>
          <w:color w:val="auto"/>
        </w:rPr>
        <w:t>Regulatory Milestone Payment</w:t>
      </w:r>
      <w:r>
        <w:rPr>
          <w:rFonts w:ascii="Arial" w:cs="Arial" w:eastAsia="Arial" w:hAnsi="Arial"/>
          <w:sz w:val="22"/>
          <w:szCs w:val="22"/>
          <w:color w:val="auto"/>
        </w:rPr>
        <w:t>”) in accordance with Section 9.5(a). Each Regulatory Milestone Payment shall be fully-earned and payable once upon the first achievement of the corresponding Regulatory Milestone Event by or on behalf of Jazz, its Affiliates or sublicensees with respect to a Licensed Product in the Territory. The maximum aggregate amount payable pursuant to this Section 9.3 following achievement of all Regulatory Milestone Events is five hundred twenty-five million U.S. dollars (USD 525,000,000).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395" w:right="339" w:bottom="1440" w:gutter="0" w:footer="0" w:header="0"/>
        </w:sectPr>
      </w:pPr>
    </w:p>
    <w:bookmarkStart w:id="204" w:name="page205"/>
    <w:bookmarkEnd w:id="204"/>
    <w:p>
      <w:pPr>
        <w:spacing w:after="0" w:line="3" w:lineRule="exact"/>
        <w:rPr>
          <w:sz w:val="20"/>
          <w:szCs w:val="20"/>
          <w:color w:val="auto"/>
        </w:rPr>
      </w:pPr>
    </w:p>
    <w:tbl>
      <w:tblPr>
        <w:tblLayout w:type="fixed"/>
        <w:tblInd w:w="670" w:type="dxa"/>
        <w:tblCellMar>
          <w:top w:w="0" w:type="dxa"/>
          <w:left w:w="0" w:type="dxa"/>
          <w:bottom w:w="0" w:type="dxa"/>
          <w:right w:w="0" w:type="dxa"/>
        </w:tblCellMar>
      </w:tblPr>
      <w:tr>
        <w:trPr>
          <w:trHeight w:val="284"/>
        </w:trPr>
        <w:tc>
          <w:tcPr>
            <w:tcW w:w="7020" w:type="dxa"/>
            <w:vAlign w:val="bottom"/>
            <w:tcBorders>
              <w:top w:val="single" w:sz="8" w:color="auto"/>
              <w:left w:val="single" w:sz="8" w:color="auto"/>
              <w:bottom w:val="single" w:sz="8" w:color="auto"/>
              <w:right w:val="single" w:sz="8" w:color="auto"/>
            </w:tcBorders>
          </w:tcPr>
          <w:p>
            <w:pPr>
              <w:ind w:left="2760"/>
              <w:spacing w:after="0"/>
              <w:rPr>
                <w:sz w:val="20"/>
                <w:szCs w:val="20"/>
                <w:color w:val="auto"/>
              </w:rPr>
            </w:pPr>
            <w:r>
              <w:rPr>
                <w:rFonts w:ascii="Arial" w:cs="Arial" w:eastAsia="Arial" w:hAnsi="Arial"/>
                <w:sz w:val="22"/>
                <w:szCs w:val="22"/>
                <w:b w:val="1"/>
                <w:bCs w:val="1"/>
                <w:color w:val="auto"/>
              </w:rPr>
              <w:t>Milestone Event</w:t>
            </w:r>
          </w:p>
        </w:tc>
        <w:tc>
          <w:tcPr>
            <w:tcW w:w="268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22"/>
                <w:szCs w:val="22"/>
                <w:b w:val="1"/>
                <w:bCs w:val="1"/>
                <w:color w:val="auto"/>
              </w:rPr>
              <w:t>Milestone Payment</w:t>
            </w:r>
          </w:p>
        </w:tc>
        <w:tc>
          <w:tcPr>
            <w:tcW w:w="0" w:type="dxa"/>
            <w:vAlign w:val="bottom"/>
          </w:tcPr>
          <w:p>
            <w:pPr>
              <w:spacing w:after="0"/>
              <w:rPr>
                <w:sz w:val="1"/>
                <w:szCs w:val="1"/>
                <w:color w:val="auto"/>
              </w:rPr>
            </w:pPr>
          </w:p>
        </w:tc>
      </w:tr>
      <w:tr>
        <w:trPr>
          <w:trHeight w:val="264"/>
        </w:trPr>
        <w:tc>
          <w:tcPr>
            <w:tcW w:w="7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b w:val="1"/>
                <w:bCs w:val="1"/>
                <w:color w:val="auto"/>
              </w:rPr>
              <w:t>Regulatory Milestones Events</w:t>
            </w:r>
          </w:p>
        </w:tc>
        <w:tc>
          <w:tcPr>
            <w:tcW w:w="26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63"/>
        </w:trPr>
        <w:tc>
          <w:tcPr>
            <w:tcW w:w="7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63"/>
        </w:trPr>
        <w:tc>
          <w:tcPr>
            <w:tcW w:w="7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63"/>
        </w:trPr>
        <w:tc>
          <w:tcPr>
            <w:tcW w:w="7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63"/>
        </w:trPr>
        <w:tc>
          <w:tcPr>
            <w:tcW w:w="7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64"/>
        </w:trPr>
        <w:tc>
          <w:tcPr>
            <w:tcW w:w="7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74"/>
        </w:trPr>
        <w:tc>
          <w:tcPr>
            <w:tcW w:w="7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Total</w:t>
            </w: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USD 525.0 Million</w:t>
            </w:r>
          </w:p>
        </w:tc>
        <w:tc>
          <w:tcPr>
            <w:tcW w:w="0" w:type="dxa"/>
            <w:vAlign w:val="bottom"/>
          </w:tcPr>
          <w:p>
            <w:pPr>
              <w:spacing w:after="0"/>
              <w:rPr>
                <w:sz w:val="1"/>
                <w:szCs w:val="1"/>
                <w:color w:val="auto"/>
              </w:rPr>
            </w:pPr>
          </w:p>
        </w:tc>
      </w:tr>
      <w:tr>
        <w:trPr>
          <w:trHeight w:val="94"/>
        </w:trPr>
        <w:tc>
          <w:tcPr>
            <w:tcW w:w="7020" w:type="dxa"/>
            <w:vAlign w:val="bottom"/>
            <w:tcBorders>
              <w:left w:val="single" w:sz="8" w:color="auto"/>
              <w:right w:val="single" w:sz="8" w:color="auto"/>
            </w:tcBorders>
          </w:tcPr>
          <w:p>
            <w:pPr>
              <w:spacing w:after="0"/>
              <w:rPr>
                <w:sz w:val="8"/>
                <w:szCs w:val="8"/>
                <w:color w:val="auto"/>
              </w:rPr>
            </w:pPr>
          </w:p>
        </w:tc>
        <w:tc>
          <w:tcPr>
            <w:tcW w:w="26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7020" w:type="dxa"/>
            <w:vAlign w:val="bottom"/>
            <w:tcBorders>
              <w:left w:val="single" w:sz="8" w:color="auto"/>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740"/>
        <w:spacing w:after="0"/>
        <w:rPr>
          <w:sz w:val="20"/>
          <w:szCs w:val="20"/>
          <w:color w:val="auto"/>
        </w:rPr>
      </w:pPr>
      <w:r>
        <w:rPr>
          <w:rFonts w:ascii="Arial" w:cs="Arial" w:eastAsia="Arial" w:hAnsi="Arial"/>
          <w:sz w:val="22"/>
          <w:szCs w:val="22"/>
          <w:color w:val="auto"/>
        </w:rPr>
        <w:t>[***]</w:t>
      </w:r>
    </w:p>
    <w:p>
      <w:pPr>
        <w:spacing w:after="0" w:line="17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9.4 Commercialization Milestones</w:t>
      </w:r>
      <w:r>
        <w:rPr>
          <w:rFonts w:ascii="Arial" w:cs="Arial" w:eastAsia="Arial" w:hAnsi="Arial"/>
          <w:sz w:val="22"/>
          <w:szCs w:val="22"/>
          <w:color w:val="auto"/>
        </w:rPr>
        <w:t>. After the first achievement of each milestone event set forth in the table below</w:t>
      </w:r>
      <w:r>
        <w:rPr>
          <w:rFonts w:ascii="Arial" w:cs="Arial" w:eastAsia="Arial" w:hAnsi="Arial"/>
          <w:sz w:val="22"/>
          <w:szCs w:val="22"/>
          <w:b w:val="1"/>
          <w:bCs w:val="1"/>
          <w:color w:val="auto"/>
        </w:rPr>
        <w:t xml:space="preserve"> </w:t>
      </w:r>
      <w:r>
        <w:rPr>
          <w:rFonts w:ascii="Arial" w:cs="Arial" w:eastAsia="Arial" w:hAnsi="Arial"/>
          <w:sz w:val="22"/>
          <w:szCs w:val="22"/>
          <w:color w:val="auto"/>
        </w:rPr>
        <w:t>(each, a “</w:t>
      </w:r>
      <w:r>
        <w:rPr>
          <w:rFonts w:ascii="Arial" w:cs="Arial" w:eastAsia="Arial" w:hAnsi="Arial"/>
          <w:sz w:val="22"/>
          <w:szCs w:val="22"/>
          <w:b w:val="1"/>
          <w:bCs w:val="1"/>
          <w:color w:val="auto"/>
        </w:rPr>
        <w:t>Commercialization Milestone Event</w:t>
      </w:r>
      <w:r>
        <w:rPr>
          <w:rFonts w:ascii="Arial" w:cs="Arial" w:eastAsia="Arial" w:hAnsi="Arial"/>
          <w:sz w:val="22"/>
          <w:szCs w:val="22"/>
          <w:color w:val="auto"/>
        </w:rPr>
        <w:t>”), Jazz shall make the corresponding milestone payment to Zymeworks (each, a “</w:t>
      </w:r>
      <w:r>
        <w:rPr>
          <w:rFonts w:ascii="Arial" w:cs="Arial" w:eastAsia="Arial" w:hAnsi="Arial"/>
          <w:sz w:val="22"/>
          <w:szCs w:val="22"/>
          <w:b w:val="1"/>
          <w:bCs w:val="1"/>
          <w:color w:val="auto"/>
        </w:rPr>
        <w:t>Commercialization Milestone Payment</w:t>
      </w:r>
      <w:r>
        <w:rPr>
          <w:rFonts w:ascii="Arial" w:cs="Arial" w:eastAsia="Arial" w:hAnsi="Arial"/>
          <w:sz w:val="22"/>
          <w:szCs w:val="22"/>
          <w:color w:val="auto"/>
        </w:rPr>
        <w:t>”) in accordance with Section 9.5(b):</w:t>
      </w:r>
    </w:p>
    <w:p>
      <w:pPr>
        <w:spacing w:after="0" w:line="200" w:lineRule="exact"/>
        <w:rPr>
          <w:sz w:val="20"/>
          <w:szCs w:val="20"/>
          <w:color w:val="auto"/>
        </w:rPr>
      </w:pPr>
    </w:p>
    <w:tbl>
      <w:tblPr>
        <w:tblLayout w:type="fixed"/>
        <w:tblInd w:w="670" w:type="dxa"/>
        <w:tblCellMar>
          <w:top w:w="0" w:type="dxa"/>
          <w:left w:w="0" w:type="dxa"/>
          <w:bottom w:w="0" w:type="dxa"/>
          <w:right w:w="0" w:type="dxa"/>
        </w:tblCellMar>
      </w:tblPr>
      <w:tr>
        <w:trPr>
          <w:trHeight w:val="284"/>
        </w:trPr>
        <w:tc>
          <w:tcPr>
            <w:tcW w:w="7020" w:type="dxa"/>
            <w:vAlign w:val="bottom"/>
            <w:tcBorders>
              <w:top w:val="single" w:sz="8" w:color="auto"/>
              <w:left w:val="single" w:sz="8" w:color="auto"/>
              <w:bottom w:val="single" w:sz="8" w:color="auto"/>
              <w:right w:val="single" w:sz="8" w:color="auto"/>
            </w:tcBorders>
          </w:tcPr>
          <w:p>
            <w:pPr>
              <w:ind w:left="2760"/>
              <w:spacing w:after="0"/>
              <w:rPr>
                <w:sz w:val="20"/>
                <w:szCs w:val="20"/>
                <w:color w:val="auto"/>
              </w:rPr>
            </w:pPr>
            <w:r>
              <w:rPr>
                <w:rFonts w:ascii="Arial" w:cs="Arial" w:eastAsia="Arial" w:hAnsi="Arial"/>
                <w:sz w:val="22"/>
                <w:szCs w:val="22"/>
                <w:b w:val="1"/>
                <w:bCs w:val="1"/>
                <w:color w:val="auto"/>
              </w:rPr>
              <w:t>Milestone Event</w:t>
            </w:r>
          </w:p>
        </w:tc>
        <w:tc>
          <w:tcPr>
            <w:tcW w:w="276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22"/>
                <w:szCs w:val="22"/>
                <w:b w:val="1"/>
                <w:bCs w:val="1"/>
                <w:color w:val="auto"/>
              </w:rPr>
              <w:t>Milestone Payment</w:t>
            </w:r>
          </w:p>
        </w:tc>
        <w:tc>
          <w:tcPr>
            <w:tcW w:w="0" w:type="dxa"/>
            <w:vAlign w:val="bottom"/>
          </w:tcPr>
          <w:p>
            <w:pPr>
              <w:spacing w:after="0"/>
              <w:rPr>
                <w:sz w:val="1"/>
                <w:szCs w:val="1"/>
                <w:color w:val="auto"/>
              </w:rPr>
            </w:pPr>
          </w:p>
        </w:tc>
      </w:tr>
      <w:tr>
        <w:trPr>
          <w:trHeight w:val="264"/>
        </w:trPr>
        <w:tc>
          <w:tcPr>
            <w:tcW w:w="7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b w:val="1"/>
                <w:bCs w:val="1"/>
                <w:color w:val="auto"/>
              </w:rPr>
              <w:t>Commercial Milestones Events</w:t>
            </w:r>
          </w:p>
        </w:tc>
        <w:tc>
          <w:tcPr>
            <w:tcW w:w="2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64"/>
        </w:trPr>
        <w:tc>
          <w:tcPr>
            <w:tcW w:w="7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63"/>
        </w:trPr>
        <w:tc>
          <w:tcPr>
            <w:tcW w:w="7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63"/>
        </w:trPr>
        <w:tc>
          <w:tcPr>
            <w:tcW w:w="7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64"/>
        </w:trPr>
        <w:tc>
          <w:tcPr>
            <w:tcW w:w="7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74"/>
        </w:trPr>
        <w:tc>
          <w:tcPr>
            <w:tcW w:w="7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Total</w:t>
            </w:r>
          </w:p>
        </w:tc>
        <w:tc>
          <w:tcPr>
            <w:tcW w:w="276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USD 862.5 Million</w:t>
            </w:r>
          </w:p>
        </w:tc>
        <w:tc>
          <w:tcPr>
            <w:tcW w:w="0" w:type="dxa"/>
            <w:vAlign w:val="bottom"/>
          </w:tcPr>
          <w:p>
            <w:pPr>
              <w:spacing w:after="0"/>
              <w:rPr>
                <w:sz w:val="1"/>
                <w:szCs w:val="1"/>
                <w:color w:val="auto"/>
              </w:rPr>
            </w:pPr>
          </w:p>
        </w:tc>
      </w:tr>
      <w:tr>
        <w:trPr>
          <w:trHeight w:val="94"/>
        </w:trPr>
        <w:tc>
          <w:tcPr>
            <w:tcW w:w="7020" w:type="dxa"/>
            <w:vAlign w:val="bottom"/>
            <w:tcBorders>
              <w:left w:val="single" w:sz="8" w:color="auto"/>
              <w:right w:val="single" w:sz="8" w:color="auto"/>
            </w:tcBorders>
          </w:tcPr>
          <w:p>
            <w:pPr>
              <w:spacing w:after="0"/>
              <w:rPr>
                <w:sz w:val="8"/>
                <w:szCs w:val="8"/>
                <w:color w:val="auto"/>
              </w:rPr>
            </w:pPr>
          </w:p>
        </w:tc>
        <w:tc>
          <w:tcPr>
            <w:tcW w:w="2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7020" w:type="dxa"/>
            <w:vAlign w:val="bottom"/>
            <w:tcBorders>
              <w:left w:val="single" w:sz="8" w:color="auto"/>
              <w:bottom w:val="single" w:sz="8" w:color="auto"/>
              <w:right w:val="single" w:sz="8" w:color="auto"/>
            </w:tcBorders>
          </w:tcPr>
          <w:p>
            <w:pPr>
              <w:spacing w:after="0"/>
              <w:rPr>
                <w:sz w:val="9"/>
                <w:szCs w:val="9"/>
                <w:color w:val="auto"/>
              </w:rPr>
            </w:pPr>
          </w:p>
        </w:tc>
        <w:tc>
          <w:tcPr>
            <w:tcW w:w="2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40" w:right="339" w:bottom="1440" w:gutter="0" w:footer="0" w:header="0"/>
        </w:sectPr>
      </w:pPr>
    </w:p>
    <w:bookmarkStart w:id="205" w:name="page206"/>
    <w:bookmarkEnd w:id="205"/>
    <w:p>
      <w:pPr>
        <w:jc w:val="both"/>
        <w:ind w:firstLine="648"/>
        <w:spacing w:after="0" w:line="216" w:lineRule="auto"/>
        <w:rPr>
          <w:sz w:val="20"/>
          <w:szCs w:val="20"/>
          <w:color w:val="auto"/>
        </w:rPr>
      </w:pPr>
      <w:r>
        <w:rPr>
          <w:rFonts w:ascii="Arial" w:cs="Arial" w:eastAsia="Arial" w:hAnsi="Arial"/>
          <w:sz w:val="22"/>
          <w:szCs w:val="22"/>
          <w:color w:val="auto"/>
        </w:rPr>
        <w:t>For clarity, each of the foregoing Commercialization Milestone Payments will be payable only once. In the event that more than one Commercialization Milestone Event is first achieved in a given Calendar Year, Jazz shall pay Zymeworks the Commercialization Milestone Payment associated with each such Commercialization Milestone Event achieved during such Calendar Year. [***] The maximum aggregate amount payable pursuant to this Section 9.4 following achievement of all Commercialization Milestone Events is USD 862.5 million.</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9.5</w:t>
      </w:r>
      <w:r>
        <w:rPr>
          <w:sz w:val="20"/>
          <w:szCs w:val="20"/>
          <w:color w:val="auto"/>
        </w:rPr>
        <w:tab/>
      </w:r>
      <w:r>
        <w:rPr>
          <w:rFonts w:ascii="Arial" w:cs="Arial" w:eastAsia="Arial" w:hAnsi="Arial"/>
          <w:sz w:val="19"/>
          <w:szCs w:val="19"/>
          <w:b w:val="1"/>
          <w:bCs w:val="1"/>
          <w:color w:val="auto"/>
        </w:rPr>
        <w:t>Payment Terms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0" w:lineRule="auto"/>
        <w:tabs>
          <w:tab w:leader="none" w:pos="1939"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Regulatory Milestone Payments. </w:t>
      </w:r>
      <w:r>
        <w:rPr>
          <w:rFonts w:ascii="Arial" w:cs="Arial" w:eastAsia="Arial" w:hAnsi="Arial"/>
          <w:sz w:val="22"/>
          <w:szCs w:val="22"/>
          <w:color w:val="auto"/>
        </w:rPr>
        <w:t>Jazz shall provide Zymeworks with notice of the achievement of each</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Milestone Event within [***] thereafter. Following receipt of each such notice, Zymeworks will issue to Jazz a written invoice for the applicable Regulatory Milestone Payment. Jazz will pay to Zymeworks the applicable Regulatory Milestone Payment within [***] after its receipt of such invoice.</w:t>
      </w:r>
    </w:p>
    <w:p>
      <w:pPr>
        <w:spacing w:after="0" w:line="152" w:lineRule="exact"/>
        <w:rPr>
          <w:rFonts w:ascii="Arial" w:cs="Arial" w:eastAsia="Arial" w:hAnsi="Arial"/>
          <w:sz w:val="22"/>
          <w:szCs w:val="22"/>
          <w:b w:val="1"/>
          <w:bCs w:val="1"/>
          <w:color w:val="auto"/>
        </w:rPr>
      </w:pPr>
    </w:p>
    <w:p>
      <w:pPr>
        <w:jc w:val="both"/>
        <w:ind w:firstLine="1304"/>
        <w:spacing w:after="0" w:line="227" w:lineRule="auto"/>
        <w:tabs>
          <w:tab w:leader="none" w:pos="1938" w:val="left"/>
        </w:tabs>
        <w:numPr>
          <w:ilvl w:val="0"/>
          <w:numId w:val="12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Commercialization Milestone Payments. </w:t>
      </w:r>
      <w:r>
        <w:rPr>
          <w:rFonts w:ascii="Arial" w:cs="Arial" w:eastAsia="Arial" w:hAnsi="Arial"/>
          <w:sz w:val="21"/>
          <w:szCs w:val="21"/>
          <w:color w:val="auto"/>
        </w:rPr>
        <w:t>Jazz will notify Zymeworks in writing within [***] of the first</w:t>
      </w:r>
      <w:r>
        <w:rPr>
          <w:rFonts w:ascii="Arial" w:cs="Arial" w:eastAsia="Arial" w:hAnsi="Arial"/>
          <w:sz w:val="21"/>
          <w:szCs w:val="21"/>
          <w:b w:val="1"/>
          <w:bCs w:val="1"/>
          <w:color w:val="auto"/>
        </w:rPr>
        <w:t xml:space="preserve"> </w:t>
      </w:r>
      <w:r>
        <w:rPr>
          <w:rFonts w:ascii="Arial" w:cs="Arial" w:eastAsia="Arial" w:hAnsi="Arial"/>
          <w:sz w:val="21"/>
          <w:szCs w:val="21"/>
          <w:color w:val="auto"/>
        </w:rPr>
        <w:t>achievement of any Commercialization Milestone Event [***]. Following receipt of each such notice, Zymeworks will issue to Jazz a written invoice for the applicable Commercialization Milestone Payment. Jazz will pay to Zymeworks the applicable Commercialization Milestone Payment no later than [***] after its receipt of such invoice (but in any event no later than [***] following such first achievement of such Commercialization Milestone Event).</w:t>
      </w:r>
    </w:p>
    <w:p>
      <w:pPr>
        <w:spacing w:after="0" w:line="153" w:lineRule="exact"/>
        <w:rPr>
          <w:rFonts w:ascii="Arial" w:cs="Arial" w:eastAsia="Arial" w:hAnsi="Arial"/>
          <w:sz w:val="21"/>
          <w:szCs w:val="21"/>
          <w:b w:val="1"/>
          <w:bCs w:val="1"/>
          <w:color w:val="auto"/>
        </w:rPr>
      </w:pPr>
    </w:p>
    <w:p>
      <w:pPr>
        <w:jc w:val="both"/>
        <w:ind w:firstLine="1304"/>
        <w:spacing w:after="0" w:line="250" w:lineRule="auto"/>
        <w:tabs>
          <w:tab w:leader="none" w:pos="1941" w:val="left"/>
        </w:tabs>
        <w:numPr>
          <w:ilvl w:val="0"/>
          <w:numId w:val="12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Royalty Payments. </w:t>
      </w:r>
      <w:r>
        <w:rPr>
          <w:rFonts w:ascii="Arial" w:cs="Arial" w:eastAsia="Arial" w:hAnsi="Arial"/>
          <w:sz w:val="19"/>
          <w:szCs w:val="19"/>
          <w:color w:val="auto"/>
        </w:rPr>
        <w:t>[***] During the applicable Royalty Term, following the First Commercial Sale of a</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Product, Jazz shall furnish to Zymeworks a written report [***] showing the Net Sales of Licensed Product sold by Jazz and its Affiliates and sublicensees in the Territory during [***] and the Licensed Product royalties payable under this Agreement in sufficient detail to allow Zymeworks to verify the amount of Licensed Product royalties paid by Jazz with respect to such [***]. Each such report shall include[***] following the end of [***]. The corresponding Licensed Product royalties shown to have accrued by each report provided under this Section 9.5(c) shall be due and payable [***].</w:t>
      </w:r>
    </w:p>
    <w:p>
      <w:pPr>
        <w:spacing w:after="0" w:line="1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9.6</w:t>
      </w:r>
      <w:r>
        <w:rPr>
          <w:sz w:val="20"/>
          <w:szCs w:val="20"/>
          <w:color w:val="auto"/>
        </w:rPr>
        <w:tab/>
      </w:r>
      <w:r>
        <w:rPr>
          <w:rFonts w:ascii="Arial" w:cs="Arial" w:eastAsia="Arial" w:hAnsi="Arial"/>
          <w:sz w:val="19"/>
          <w:szCs w:val="19"/>
          <w:b w:val="1"/>
          <w:bCs w:val="1"/>
          <w:color w:val="auto"/>
        </w:rPr>
        <w:t>Royalty Payments to Zymeworks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71" w:lineRule="auto"/>
        <w:tabs>
          <w:tab w:leader="none" w:pos="1939" w:val="left"/>
        </w:tabs>
        <w:numPr>
          <w:ilvl w:val="0"/>
          <w:numId w:val="12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Royalty Rates. </w:t>
      </w:r>
      <w:r>
        <w:rPr>
          <w:rFonts w:ascii="Arial" w:cs="Arial" w:eastAsia="Arial" w:hAnsi="Arial"/>
          <w:sz w:val="19"/>
          <w:szCs w:val="19"/>
          <w:color w:val="auto"/>
        </w:rPr>
        <w:t>In further consideration of Zymeworks’ grant of the rights and licenses to Jazz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Jazz shall, during the applicable Royalty Term, pay to Zymeworks a tiered royalty on [***] Net Sales of Licensed Products in the Territory for each Calendar Year, at the percentage rates set forth below (subject to Section 9.6(c)):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01" w:right="339" w:bottom="1440" w:gutter="0" w:footer="0" w:header="0"/>
        </w:sectPr>
      </w:pPr>
    </w:p>
    <w:bookmarkStart w:id="206" w:name="page207"/>
    <w:bookmarkEnd w:id="206"/>
    <w:p>
      <w:pPr>
        <w:spacing w:after="0" w:line="3" w:lineRule="exact"/>
        <w:rPr>
          <w:sz w:val="20"/>
          <w:szCs w:val="20"/>
          <w:color w:val="auto"/>
        </w:rPr>
      </w:pPr>
    </w:p>
    <w:tbl>
      <w:tblPr>
        <w:tblLayout w:type="fixed"/>
        <w:tblInd w:w="670" w:type="dxa"/>
        <w:tblCellMar>
          <w:top w:w="0" w:type="dxa"/>
          <w:left w:w="0" w:type="dxa"/>
          <w:bottom w:w="0" w:type="dxa"/>
          <w:right w:w="0" w:type="dxa"/>
        </w:tblCellMar>
      </w:tblPr>
      <w:tr>
        <w:trPr>
          <w:trHeight w:val="284"/>
        </w:trPr>
        <w:tc>
          <w:tcPr>
            <w:tcW w:w="7940" w:type="dxa"/>
            <w:vAlign w:val="bottom"/>
            <w:tcBorders>
              <w:top w:val="single" w:sz="8" w:color="auto"/>
              <w:left w:val="single" w:sz="8" w:color="auto"/>
              <w:bottom w:val="single" w:sz="8" w:color="auto"/>
              <w:right w:val="single" w:sz="8" w:color="auto"/>
            </w:tcBorders>
          </w:tcPr>
          <w:p>
            <w:pPr>
              <w:jc w:val="right"/>
              <w:ind w:right="992"/>
              <w:spacing w:after="0"/>
              <w:rPr>
                <w:sz w:val="20"/>
                <w:szCs w:val="20"/>
                <w:color w:val="auto"/>
              </w:rPr>
            </w:pPr>
            <w:r>
              <w:rPr>
                <w:rFonts w:ascii="Arial" w:cs="Arial" w:eastAsia="Arial" w:hAnsi="Arial"/>
                <w:sz w:val="22"/>
                <w:szCs w:val="22"/>
                <w:b w:val="1"/>
                <w:bCs w:val="1"/>
                <w:color w:val="auto"/>
              </w:rPr>
              <w:t>Calendar Year, Net Sales of Licensed Products in the Territory</w:t>
            </w:r>
          </w:p>
        </w:tc>
        <w:tc>
          <w:tcPr>
            <w:tcW w:w="184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22"/>
                <w:szCs w:val="22"/>
                <w:b w:val="1"/>
                <w:bCs w:val="1"/>
                <w:color w:val="auto"/>
              </w:rPr>
              <w:t>Royalty Rate</w:t>
            </w:r>
          </w:p>
        </w:tc>
      </w:tr>
      <w:tr>
        <w:trPr>
          <w:trHeight w:val="264"/>
        </w:trPr>
        <w:tc>
          <w:tcPr>
            <w:tcW w:w="7940" w:type="dxa"/>
            <w:vAlign w:val="bottom"/>
            <w:tcBorders>
              <w:left w:val="single" w:sz="8" w:color="auto"/>
              <w:bottom w:val="single" w:sz="8" w:color="auto"/>
              <w:right w:val="single" w:sz="8" w:color="auto"/>
            </w:tcBorders>
          </w:tcPr>
          <w:p>
            <w:pPr>
              <w:jc w:val="right"/>
              <w:ind w:right="7292"/>
              <w:spacing w:after="0"/>
              <w:rPr>
                <w:sz w:val="20"/>
                <w:szCs w:val="20"/>
                <w:color w:val="auto"/>
              </w:rPr>
            </w:pPr>
            <w:r>
              <w:rPr>
                <w:rFonts w:ascii="Arial" w:cs="Arial" w:eastAsia="Arial" w:hAnsi="Arial"/>
                <w:sz w:val="22"/>
                <w:szCs w:val="22"/>
                <w:color w:val="auto"/>
              </w:rPr>
              <w:t>[***]</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10%</w:t>
            </w:r>
          </w:p>
        </w:tc>
      </w:tr>
      <w:tr>
        <w:trPr>
          <w:trHeight w:val="263"/>
        </w:trPr>
        <w:tc>
          <w:tcPr>
            <w:tcW w:w="7940" w:type="dxa"/>
            <w:vAlign w:val="bottom"/>
            <w:tcBorders>
              <w:left w:val="single" w:sz="8" w:color="auto"/>
              <w:bottom w:val="single" w:sz="8" w:color="auto"/>
              <w:right w:val="single" w:sz="8" w:color="auto"/>
            </w:tcBorders>
          </w:tcPr>
          <w:p>
            <w:pPr>
              <w:jc w:val="right"/>
              <w:ind w:right="7292"/>
              <w:spacing w:after="0"/>
              <w:rPr>
                <w:sz w:val="20"/>
                <w:szCs w:val="20"/>
                <w:color w:val="auto"/>
              </w:rPr>
            </w:pPr>
            <w:r>
              <w:rPr>
                <w:rFonts w:ascii="Arial" w:cs="Arial" w:eastAsia="Arial" w:hAnsi="Arial"/>
                <w:sz w:val="22"/>
                <w:szCs w:val="22"/>
                <w:color w:val="auto"/>
              </w:rPr>
              <w:t>[***]</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w:t>
            </w:r>
          </w:p>
        </w:tc>
      </w:tr>
      <w:tr>
        <w:trPr>
          <w:trHeight w:val="263"/>
        </w:trPr>
        <w:tc>
          <w:tcPr>
            <w:tcW w:w="7940" w:type="dxa"/>
            <w:vAlign w:val="bottom"/>
            <w:tcBorders>
              <w:left w:val="single" w:sz="8" w:color="auto"/>
              <w:bottom w:val="single" w:sz="8" w:color="auto"/>
              <w:right w:val="single" w:sz="8" w:color="auto"/>
            </w:tcBorders>
          </w:tcPr>
          <w:p>
            <w:pPr>
              <w:jc w:val="right"/>
              <w:ind w:right="7292"/>
              <w:spacing w:after="0"/>
              <w:rPr>
                <w:sz w:val="20"/>
                <w:szCs w:val="20"/>
                <w:color w:val="auto"/>
              </w:rPr>
            </w:pPr>
            <w:r>
              <w:rPr>
                <w:rFonts w:ascii="Arial" w:cs="Arial" w:eastAsia="Arial" w:hAnsi="Arial"/>
                <w:sz w:val="22"/>
                <w:szCs w:val="22"/>
                <w:color w:val="auto"/>
              </w:rPr>
              <w:t>[***]</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w:t>
            </w:r>
          </w:p>
        </w:tc>
      </w:tr>
      <w:tr>
        <w:trPr>
          <w:trHeight w:val="263"/>
        </w:trPr>
        <w:tc>
          <w:tcPr>
            <w:tcW w:w="7940" w:type="dxa"/>
            <w:vAlign w:val="bottom"/>
            <w:tcBorders>
              <w:left w:val="single" w:sz="8" w:color="auto"/>
              <w:bottom w:val="single" w:sz="8" w:color="auto"/>
              <w:right w:val="single" w:sz="8" w:color="auto"/>
            </w:tcBorders>
          </w:tcPr>
          <w:p>
            <w:pPr>
              <w:jc w:val="right"/>
              <w:ind w:right="7292"/>
              <w:spacing w:after="0"/>
              <w:rPr>
                <w:sz w:val="20"/>
                <w:szCs w:val="20"/>
                <w:color w:val="auto"/>
              </w:rPr>
            </w:pPr>
            <w:r>
              <w:rPr>
                <w:rFonts w:ascii="Arial" w:cs="Arial" w:eastAsia="Arial" w:hAnsi="Arial"/>
                <w:sz w:val="22"/>
                <w:szCs w:val="22"/>
                <w:color w:val="auto"/>
              </w:rPr>
              <w:t>[***]</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w:t>
            </w:r>
          </w:p>
        </w:tc>
      </w:tr>
      <w:tr>
        <w:trPr>
          <w:trHeight w:val="263"/>
        </w:trPr>
        <w:tc>
          <w:tcPr>
            <w:tcW w:w="7940" w:type="dxa"/>
            <w:vAlign w:val="bottom"/>
            <w:tcBorders>
              <w:left w:val="single" w:sz="8" w:color="auto"/>
              <w:bottom w:val="single" w:sz="8" w:color="auto"/>
              <w:right w:val="single" w:sz="8" w:color="auto"/>
            </w:tcBorders>
          </w:tcPr>
          <w:p>
            <w:pPr>
              <w:jc w:val="right"/>
              <w:ind w:right="7292"/>
              <w:spacing w:after="0"/>
              <w:rPr>
                <w:sz w:val="20"/>
                <w:szCs w:val="20"/>
                <w:color w:val="auto"/>
              </w:rPr>
            </w:pPr>
            <w:r>
              <w:rPr>
                <w:rFonts w:ascii="Arial" w:cs="Arial" w:eastAsia="Arial" w:hAnsi="Arial"/>
                <w:sz w:val="22"/>
                <w:szCs w:val="22"/>
                <w:color w:val="auto"/>
              </w:rPr>
              <w:t>[***]</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w:t>
            </w:r>
          </w:p>
        </w:tc>
      </w:tr>
      <w:tr>
        <w:trPr>
          <w:trHeight w:val="263"/>
        </w:trPr>
        <w:tc>
          <w:tcPr>
            <w:tcW w:w="7940" w:type="dxa"/>
            <w:vAlign w:val="bottom"/>
            <w:tcBorders>
              <w:left w:val="single" w:sz="8" w:color="auto"/>
              <w:bottom w:val="single" w:sz="8" w:color="auto"/>
              <w:right w:val="single" w:sz="8" w:color="auto"/>
            </w:tcBorders>
          </w:tcPr>
          <w:p>
            <w:pPr>
              <w:jc w:val="right"/>
              <w:ind w:right="7292"/>
              <w:spacing w:after="0"/>
              <w:rPr>
                <w:sz w:val="20"/>
                <w:szCs w:val="20"/>
                <w:color w:val="auto"/>
              </w:rPr>
            </w:pPr>
            <w:r>
              <w:rPr>
                <w:rFonts w:ascii="Arial" w:cs="Arial" w:eastAsia="Arial" w:hAnsi="Arial"/>
                <w:sz w:val="22"/>
                <w:szCs w:val="22"/>
                <w:color w:val="auto"/>
              </w:rPr>
              <w:t>[***]</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20%</w:t>
            </w:r>
          </w:p>
        </w:tc>
      </w:tr>
    </w:tbl>
    <w:p>
      <w:pPr>
        <w:spacing w:after="0" w:line="30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73" w:lineRule="exact"/>
        <w:rPr>
          <w:sz w:val="20"/>
          <w:szCs w:val="20"/>
          <w:color w:val="auto"/>
        </w:rPr>
      </w:pPr>
    </w:p>
    <w:p>
      <w:pPr>
        <w:jc w:val="both"/>
        <w:ind w:firstLine="1304"/>
        <w:spacing w:after="0" w:line="215" w:lineRule="auto"/>
        <w:tabs>
          <w:tab w:leader="none" w:pos="1938" w:val="left"/>
        </w:tabs>
        <w:numPr>
          <w:ilvl w:val="0"/>
          <w:numId w:val="12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Royalty Term. </w:t>
      </w:r>
      <w:r>
        <w:rPr>
          <w:rFonts w:ascii="Arial" w:cs="Arial" w:eastAsia="Arial" w:hAnsi="Arial"/>
          <w:sz w:val="21"/>
          <w:szCs w:val="21"/>
          <w:color w:val="auto"/>
        </w:rPr>
        <w:t>The royalty payments payable under this Section 9.6 shall be payable on a Licensed</w:t>
      </w:r>
      <w:r>
        <w:rPr>
          <w:rFonts w:ascii="Arial" w:cs="Arial" w:eastAsia="Arial" w:hAnsi="Arial"/>
          <w:sz w:val="21"/>
          <w:szCs w:val="21"/>
          <w:b w:val="1"/>
          <w:bCs w:val="1"/>
          <w:color w:val="auto"/>
        </w:rPr>
        <w:t xml:space="preserve"> </w:t>
      </w:r>
      <w:r>
        <w:rPr>
          <w:rFonts w:ascii="Arial" w:cs="Arial" w:eastAsia="Arial" w:hAnsi="Arial"/>
          <w:sz w:val="21"/>
          <w:szCs w:val="21"/>
          <w:color w:val="auto"/>
        </w:rPr>
        <w:t>Product-by-Licensed Product and a country-by-country basis from the First Commercial Sale of such Licensed Product in such country in the Territory until the latest of: (i) the ten (10</w:t>
      </w:r>
      <w:r>
        <w:rPr>
          <w:rFonts w:ascii="Arial" w:cs="Arial" w:eastAsia="Arial" w:hAnsi="Arial"/>
          <w:sz w:val="27"/>
          <w:szCs w:val="27"/>
          <w:color w:val="auto"/>
          <w:vertAlign w:val="superscript"/>
        </w:rPr>
        <w:t>th</w:t>
      </w:r>
      <w:r>
        <w:rPr>
          <w:rFonts w:ascii="Arial" w:cs="Arial" w:eastAsia="Arial" w:hAnsi="Arial"/>
          <w:sz w:val="21"/>
          <w:szCs w:val="21"/>
          <w:color w:val="auto"/>
        </w:rPr>
        <w:t>) anniversary of the date of the First Commercial Sale of such Licensed Product in such country; (ii) the expiration of the last Valid Claim (including any patent term adjustments or extensions) within the Zymeworks Patent Rights that Covers such Licensed Product in such country; and (iii) the expiration of Regulatory Exclusivity for such Licensed Product in such country (the “</w:t>
      </w:r>
      <w:r>
        <w:rPr>
          <w:rFonts w:ascii="Arial" w:cs="Arial" w:eastAsia="Arial" w:hAnsi="Arial"/>
          <w:sz w:val="21"/>
          <w:szCs w:val="21"/>
          <w:b w:val="1"/>
          <w:bCs w:val="1"/>
          <w:color w:val="auto"/>
        </w:rPr>
        <w:t>Royalty Term</w:t>
      </w:r>
      <w:r>
        <w:rPr>
          <w:rFonts w:ascii="Arial" w:cs="Arial" w:eastAsia="Arial" w:hAnsi="Arial"/>
          <w:sz w:val="21"/>
          <w:szCs w:val="21"/>
          <w:color w:val="auto"/>
        </w:rPr>
        <w:t>”).</w:t>
      </w:r>
    </w:p>
    <w:p>
      <w:pPr>
        <w:spacing w:after="0" w:line="152" w:lineRule="exact"/>
        <w:rPr>
          <w:rFonts w:ascii="Arial" w:cs="Arial" w:eastAsia="Arial" w:hAnsi="Arial"/>
          <w:sz w:val="21"/>
          <w:szCs w:val="21"/>
          <w:b w:val="1"/>
          <w:bCs w:val="1"/>
          <w:color w:val="auto"/>
        </w:rPr>
      </w:pPr>
    </w:p>
    <w:p>
      <w:pPr>
        <w:ind w:left="1940" w:hanging="636"/>
        <w:spacing w:after="0"/>
        <w:tabs>
          <w:tab w:leader="none" w:pos="1940"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color w:val="auto"/>
        </w:rPr>
        <w:t>Royalty Reductions</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left="2580" w:hanging="628"/>
        <w:spacing w:after="0"/>
        <w:tabs>
          <w:tab w:leader="none" w:pos="2580" w:val="left"/>
        </w:tabs>
        <w:numPr>
          <w:ilvl w:val="1"/>
          <w:numId w:val="123"/>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21" w:lineRule="exact"/>
        <w:rPr>
          <w:sz w:val="20"/>
          <w:szCs w:val="20"/>
          <w:color w:val="auto"/>
        </w:rPr>
      </w:pPr>
    </w:p>
    <w:tbl>
      <w:tblPr>
        <w:tblLayout w:type="fixed"/>
        <w:tblInd w:w="1130" w:type="dxa"/>
        <w:tblCellMar>
          <w:top w:w="0" w:type="dxa"/>
          <w:left w:w="0" w:type="dxa"/>
          <w:bottom w:w="0" w:type="dxa"/>
          <w:right w:w="0" w:type="dxa"/>
        </w:tblCellMar>
      </w:tblPr>
      <w:tr>
        <w:trPr>
          <w:trHeight w:val="283"/>
        </w:trPr>
        <w:tc>
          <w:tcPr>
            <w:tcW w:w="4540" w:type="dxa"/>
            <w:vAlign w:val="bottom"/>
            <w:tcBorders>
              <w:top w:val="single" w:sz="8" w:color="auto"/>
              <w:left w:val="single" w:sz="8" w:color="auto"/>
              <w:bottom w:val="single" w:sz="8" w:color="auto"/>
              <w:right w:val="single" w:sz="8" w:color="auto"/>
            </w:tcBorders>
          </w:tcPr>
          <w:p>
            <w:pPr>
              <w:jc w:val="right"/>
              <w:ind w:right="1932"/>
              <w:spacing w:after="0"/>
              <w:rPr>
                <w:sz w:val="20"/>
                <w:szCs w:val="20"/>
                <w:color w:val="auto"/>
              </w:rPr>
            </w:pPr>
            <w:r>
              <w:rPr>
                <w:rFonts w:ascii="Arial" w:cs="Arial" w:eastAsia="Arial" w:hAnsi="Arial"/>
                <w:sz w:val="22"/>
                <w:szCs w:val="22"/>
                <w:b w:val="1"/>
                <w:bCs w:val="1"/>
                <w:color w:val="auto"/>
              </w:rPr>
              <w:t>[***]</w:t>
            </w:r>
          </w:p>
        </w:tc>
        <w:tc>
          <w:tcPr>
            <w:tcW w:w="4240" w:type="dxa"/>
            <w:vAlign w:val="bottom"/>
            <w:tcBorders>
              <w:top w:val="single" w:sz="8" w:color="auto"/>
              <w:bottom w:val="single" w:sz="8" w:color="auto"/>
              <w:right w:val="single" w:sz="8" w:color="auto"/>
            </w:tcBorders>
          </w:tcPr>
          <w:p>
            <w:pPr>
              <w:jc w:val="right"/>
              <w:ind w:right="1792"/>
              <w:spacing w:after="0"/>
              <w:rPr>
                <w:sz w:val="20"/>
                <w:szCs w:val="20"/>
                <w:color w:val="auto"/>
              </w:rPr>
            </w:pPr>
            <w:r>
              <w:rPr>
                <w:rFonts w:ascii="Arial" w:cs="Arial" w:eastAsia="Arial" w:hAnsi="Arial"/>
                <w:sz w:val="22"/>
                <w:szCs w:val="22"/>
                <w:b w:val="1"/>
                <w:bCs w:val="1"/>
                <w:color w:val="auto"/>
              </w:rPr>
              <w:t>[***]</w:t>
            </w:r>
          </w:p>
        </w:tc>
      </w:tr>
      <w:tr>
        <w:trPr>
          <w:trHeight w:val="263"/>
        </w:trPr>
        <w:tc>
          <w:tcPr>
            <w:tcW w:w="4540" w:type="dxa"/>
            <w:vAlign w:val="bottom"/>
            <w:tcBorders>
              <w:left w:val="single" w:sz="8" w:color="auto"/>
              <w:bottom w:val="single" w:sz="8" w:color="auto"/>
              <w:right w:val="single" w:sz="8" w:color="auto"/>
            </w:tcBorders>
          </w:tcPr>
          <w:p>
            <w:pPr>
              <w:jc w:val="right"/>
              <w:ind w:right="3872"/>
              <w:spacing w:after="0"/>
              <w:rPr>
                <w:sz w:val="20"/>
                <w:szCs w:val="20"/>
                <w:color w:val="auto"/>
              </w:rPr>
            </w:pPr>
            <w:r>
              <w:rPr>
                <w:rFonts w:ascii="Arial" w:cs="Arial" w:eastAsia="Arial" w:hAnsi="Arial"/>
                <w:sz w:val="22"/>
                <w:szCs w:val="22"/>
                <w:color w:val="auto"/>
              </w:rPr>
              <w:t>[***]</w:t>
            </w:r>
          </w:p>
        </w:tc>
        <w:tc>
          <w:tcPr>
            <w:tcW w:w="4240" w:type="dxa"/>
            <w:vAlign w:val="bottom"/>
            <w:tcBorders>
              <w:bottom w:val="single" w:sz="8" w:color="auto"/>
              <w:right w:val="single" w:sz="8" w:color="auto"/>
            </w:tcBorders>
          </w:tcPr>
          <w:p>
            <w:pPr>
              <w:jc w:val="right"/>
              <w:ind w:right="3592"/>
              <w:spacing w:after="0"/>
              <w:rPr>
                <w:sz w:val="20"/>
                <w:szCs w:val="20"/>
                <w:color w:val="auto"/>
              </w:rPr>
            </w:pPr>
            <w:r>
              <w:rPr>
                <w:rFonts w:ascii="Arial" w:cs="Arial" w:eastAsia="Arial" w:hAnsi="Arial"/>
                <w:sz w:val="22"/>
                <w:szCs w:val="22"/>
                <w:color w:val="auto"/>
              </w:rPr>
              <w:t>[***]</w:t>
            </w:r>
          </w:p>
        </w:tc>
      </w:tr>
      <w:tr>
        <w:trPr>
          <w:trHeight w:val="264"/>
        </w:trPr>
        <w:tc>
          <w:tcPr>
            <w:tcW w:w="4540" w:type="dxa"/>
            <w:vAlign w:val="bottom"/>
            <w:tcBorders>
              <w:left w:val="single" w:sz="8" w:color="auto"/>
              <w:bottom w:val="single" w:sz="8" w:color="auto"/>
              <w:right w:val="single" w:sz="8" w:color="auto"/>
            </w:tcBorders>
          </w:tcPr>
          <w:p>
            <w:pPr>
              <w:jc w:val="right"/>
              <w:ind w:right="3872"/>
              <w:spacing w:after="0"/>
              <w:rPr>
                <w:sz w:val="20"/>
                <w:szCs w:val="20"/>
                <w:color w:val="auto"/>
              </w:rPr>
            </w:pPr>
            <w:r>
              <w:rPr>
                <w:rFonts w:ascii="Arial" w:cs="Arial" w:eastAsia="Arial" w:hAnsi="Arial"/>
                <w:sz w:val="22"/>
                <w:szCs w:val="22"/>
                <w:color w:val="auto"/>
              </w:rPr>
              <w:t>[***]</w:t>
            </w:r>
          </w:p>
        </w:tc>
        <w:tc>
          <w:tcPr>
            <w:tcW w:w="4240" w:type="dxa"/>
            <w:vAlign w:val="bottom"/>
            <w:tcBorders>
              <w:bottom w:val="single" w:sz="8" w:color="auto"/>
              <w:right w:val="single" w:sz="8" w:color="auto"/>
            </w:tcBorders>
          </w:tcPr>
          <w:p>
            <w:pPr>
              <w:jc w:val="right"/>
              <w:ind w:right="3592"/>
              <w:spacing w:after="0"/>
              <w:rPr>
                <w:sz w:val="20"/>
                <w:szCs w:val="20"/>
                <w:color w:val="auto"/>
              </w:rPr>
            </w:pPr>
            <w:r>
              <w:rPr>
                <w:rFonts w:ascii="Arial" w:cs="Arial" w:eastAsia="Arial" w:hAnsi="Arial"/>
                <w:sz w:val="22"/>
                <w:szCs w:val="22"/>
                <w:color w:val="auto"/>
              </w:rPr>
              <w:t>[***]</w:t>
            </w:r>
          </w:p>
        </w:tc>
      </w:tr>
    </w:tbl>
    <w:p>
      <w:pPr>
        <w:spacing w:after="0" w:line="289" w:lineRule="exact"/>
        <w:rPr>
          <w:sz w:val="20"/>
          <w:szCs w:val="20"/>
          <w:color w:val="auto"/>
        </w:rPr>
      </w:pPr>
    </w:p>
    <w:p>
      <w:pPr>
        <w:ind w:left="2600" w:hanging="648"/>
        <w:spacing w:after="0"/>
        <w:tabs>
          <w:tab w:leader="none" w:pos="2600" w:val="left"/>
        </w:tabs>
        <w:numPr>
          <w:ilvl w:val="0"/>
          <w:numId w:val="124"/>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173" w:lineRule="exact"/>
        <w:rPr>
          <w:rFonts w:ascii="Arial" w:cs="Arial" w:eastAsia="Arial" w:hAnsi="Arial"/>
          <w:sz w:val="22"/>
          <w:szCs w:val="22"/>
          <w:b w:val="1"/>
          <w:bCs w:val="1"/>
          <w:color w:val="auto"/>
        </w:rPr>
      </w:pPr>
    </w:p>
    <w:p>
      <w:pPr>
        <w:jc w:val="both"/>
        <w:ind w:firstLine="1952"/>
        <w:spacing w:after="0" w:line="217" w:lineRule="auto"/>
        <w:tabs>
          <w:tab w:leader="none" w:pos="2592"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Royalty Floor. </w:t>
      </w:r>
      <w:r>
        <w:rPr>
          <w:rFonts w:ascii="Arial" w:cs="Arial" w:eastAsia="Arial" w:hAnsi="Arial"/>
          <w:sz w:val="22"/>
          <w:szCs w:val="22"/>
          <w:color w:val="auto"/>
        </w:rPr>
        <w:t>In no event will the aggregate amount of royalty payments due to Zymeworks for</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 in a country in the Territory in any given [***] during the Royalty Term for Licensed Product in such country be reduced to less than [***] of the amount that otherwise would have been due and payable to Zymeworks pursuant to Section 9.6(a) [***] for Licensed Product in such country but for the cumulative reductions set forth in Sections 9.6(c)(i) and (ii) (the “</w:t>
      </w:r>
      <w:r>
        <w:rPr>
          <w:rFonts w:ascii="Arial" w:cs="Arial" w:eastAsia="Arial" w:hAnsi="Arial"/>
          <w:sz w:val="22"/>
          <w:szCs w:val="22"/>
          <w:b w:val="1"/>
          <w:bCs w:val="1"/>
          <w:color w:val="auto"/>
        </w:rPr>
        <w:t>Royalty Floor</w:t>
      </w:r>
      <w:r>
        <w:rPr>
          <w:rFonts w:ascii="Arial" w:cs="Arial" w:eastAsia="Arial" w:hAnsi="Arial"/>
          <w:sz w:val="22"/>
          <w:szCs w:val="22"/>
          <w:color w:val="auto"/>
        </w:rPr>
        <w:t>”).</w:t>
      </w:r>
    </w:p>
    <w:p>
      <w:pPr>
        <w:spacing w:after="0" w:line="152" w:lineRule="exact"/>
        <w:rPr>
          <w:rFonts w:ascii="Arial" w:cs="Arial" w:eastAsia="Arial" w:hAnsi="Arial"/>
          <w:sz w:val="22"/>
          <w:szCs w:val="22"/>
          <w:b w:val="1"/>
          <w:bCs w:val="1"/>
          <w:color w:val="auto"/>
        </w:rPr>
      </w:pPr>
    </w:p>
    <w:p>
      <w:pPr>
        <w:jc w:val="both"/>
        <w:ind w:firstLine="1952"/>
        <w:spacing w:after="0" w:line="217" w:lineRule="auto"/>
        <w:tabs>
          <w:tab w:leader="none" w:pos="2580"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Compulsory Licenses</w:t>
      </w:r>
      <w:r>
        <w:rPr>
          <w:rFonts w:ascii="Arial" w:cs="Arial" w:eastAsia="Arial" w:hAnsi="Arial"/>
          <w:sz w:val="22"/>
          <w:szCs w:val="22"/>
          <w:color w:val="auto"/>
        </w:rPr>
        <w:t>. If a compulsory license is granted to a Third Party with respect to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in any country in the Territory with a royalty rate lower than the royalty rates provided by Section 9.6(a) (as adjusted per Sections 9.6(c)(i), (ii), and (iii)), then the royalty rate to be paid by Jazz on Net Sales made pursuant to such compulsory license in such country under Section 9.6(a) will be reduced to [***] of the rate payable by the compulsory licensee. For purposes of the foregoing, a “compulsory license” means,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40" w:right="339" w:bottom="1440" w:gutter="0" w:footer="0" w:header="0"/>
        </w:sectPr>
      </w:pPr>
    </w:p>
    <w:bookmarkStart w:id="207" w:name="page208"/>
    <w:bookmarkEnd w:id="207"/>
    <w:p>
      <w:pPr>
        <w:jc w:val="both"/>
        <w:spacing w:after="0" w:line="268" w:lineRule="auto"/>
        <w:rPr>
          <w:sz w:val="20"/>
          <w:szCs w:val="20"/>
          <w:color w:val="auto"/>
        </w:rPr>
      </w:pPr>
      <w:r>
        <w:rPr>
          <w:rFonts w:ascii="Arial" w:cs="Arial" w:eastAsia="Arial" w:hAnsi="Arial"/>
          <w:sz w:val="19"/>
          <w:szCs w:val="19"/>
          <w:color w:val="auto"/>
        </w:rPr>
        <w:t>to Licensed Product in a country or territory, a license, or rights granted to a Third Party by a governmental agency within such country or territory to sell or offer for sale Licensed Product in such country or territory under any Patent Rights or Know-How owned or controlled by either Party or its Affiliates, without direct or indirect authorization from such Party or its Affiliates.</w:t>
      </w:r>
    </w:p>
    <w:p>
      <w:pPr>
        <w:spacing w:after="0" w:line="12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9.7 Payments to Third Parties. </w:t>
      </w:r>
      <w:r>
        <w:rPr>
          <w:rFonts w:ascii="Arial" w:cs="Arial" w:eastAsia="Arial" w:hAnsi="Arial"/>
          <w:sz w:val="22"/>
          <w:szCs w:val="22"/>
          <w:color w:val="auto"/>
        </w:rPr>
        <w:t>Except as expressly set forth herein, each Party shall be solely responsible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 due to Third Parties under any agreement entered into by such Party with respect to the Licensed Product, as a result of activities hereunder.</w:t>
      </w:r>
    </w:p>
    <w:p>
      <w:pPr>
        <w:spacing w:after="0" w:line="15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b w:val="1"/>
          <w:bCs w:val="1"/>
          <w:color w:val="auto"/>
        </w:rPr>
        <w:t xml:space="preserve">9.8 Payment Currency; Exchange Rate. </w:t>
      </w:r>
      <w:r>
        <w:rPr>
          <w:rFonts w:ascii="Arial" w:cs="Arial" w:eastAsia="Arial" w:hAnsi="Arial"/>
          <w:sz w:val="22"/>
          <w:szCs w:val="22"/>
          <w:color w:val="auto"/>
        </w:rPr>
        <w:t>All payments to be made under this Agreement shall be made in USD.</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 to Zymeworks shall be made by electronic transfer of immediately available funds to the account of Zymeworks, as designated in writing to Jazz. If any currency conversion is required in connection with the calculation of amounts payable hereunder, such conversion shall be made in a manner consistent with Jazz’s normal practices used to prepare its audited financial statements for external reporting purposes; provided that such practices use a widely accepted source of published exchange rates.</w:t>
      </w:r>
    </w:p>
    <w:p>
      <w:pPr>
        <w:spacing w:after="0" w:line="15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 xml:space="preserve">9.9 Late Payments. </w:t>
      </w:r>
      <w:r>
        <w:rPr>
          <w:rFonts w:ascii="Arial" w:cs="Arial" w:eastAsia="Arial" w:hAnsi="Arial"/>
          <w:sz w:val="22"/>
          <w:szCs w:val="22"/>
          <w:color w:val="auto"/>
        </w:rPr>
        <w:t>Any payments or portions thereof due hereunder that are not paid on the date such payments are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due under this Agreement shall bear interest at a rate equal to the lesser of: (a) [***] above the prime rate as published by </w:t>
      </w:r>
      <w:r>
        <w:rPr>
          <w:rFonts w:ascii="Arial" w:cs="Arial" w:eastAsia="Arial" w:hAnsi="Arial"/>
          <w:sz w:val="22"/>
          <w:szCs w:val="22"/>
          <w:i w:val="1"/>
          <w:iCs w:val="1"/>
          <w:color w:val="auto"/>
        </w:rPr>
        <w:t>The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Wall Street Journal </w:t>
      </w:r>
      <w:r>
        <w:rPr>
          <w:rFonts w:ascii="Arial" w:cs="Arial" w:eastAsia="Arial" w:hAnsi="Arial"/>
          <w:sz w:val="22"/>
          <w:szCs w:val="22"/>
          <w:color w:val="auto"/>
        </w:rPr>
        <w:t>or any successor thereto on the first day of each Calendar Quarter in which such payments are overdue or (b)</w:t>
      </w:r>
      <w:r>
        <w:rPr>
          <w:rFonts w:ascii="Arial" w:cs="Arial" w:eastAsia="Arial" w:hAnsi="Arial"/>
          <w:sz w:val="22"/>
          <w:szCs w:val="22"/>
          <w:i w:val="1"/>
          <w:iCs w:val="1"/>
          <w:color w:val="auto"/>
        </w:rPr>
        <w:t xml:space="preserve"> </w:t>
      </w:r>
      <w:r>
        <w:rPr>
          <w:rFonts w:ascii="Arial" w:cs="Arial" w:eastAsia="Arial" w:hAnsi="Arial"/>
          <w:sz w:val="22"/>
          <w:szCs w:val="22"/>
          <w:color w:val="auto"/>
        </w:rPr>
        <w:t>the maximum rate permitted by Applicable Laws; in each case calculated on the number of days such payment is delinquent[***].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9.10</w:t>
      </w:r>
      <w:r>
        <w:rPr>
          <w:sz w:val="20"/>
          <w:szCs w:val="20"/>
          <w:color w:val="auto"/>
        </w:rPr>
        <w:tab/>
      </w:r>
      <w:r>
        <w:rPr>
          <w:rFonts w:ascii="Arial" w:cs="Arial" w:eastAsia="Arial" w:hAnsi="Arial"/>
          <w:sz w:val="19"/>
          <w:szCs w:val="19"/>
          <w:b w:val="1"/>
          <w:bCs w:val="1"/>
          <w:color w:val="auto"/>
        </w:rPr>
        <w:t>Records and Audit Rights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0" w:lineRule="auto"/>
        <w:tabs>
          <w:tab w:leader="none" w:pos="1939" w:val="left"/>
        </w:tabs>
        <w:numPr>
          <w:ilvl w:val="1"/>
          <w:numId w:val="125"/>
        </w:numPr>
        <w:rPr>
          <w:rFonts w:ascii="Arial" w:cs="Arial" w:eastAsia="Arial" w:hAnsi="Arial"/>
          <w:sz w:val="22"/>
          <w:szCs w:val="22"/>
          <w:b w:val="1"/>
          <w:bCs w:val="1"/>
          <w:color w:val="auto"/>
        </w:rPr>
      </w:pPr>
      <w:r>
        <w:rPr>
          <w:rFonts w:ascii="Arial" w:cs="Arial" w:eastAsia="Arial" w:hAnsi="Arial"/>
          <w:sz w:val="22"/>
          <w:szCs w:val="22"/>
          <w:b w:val="1"/>
          <w:bCs w:val="1"/>
          <w:color w:val="auto"/>
        </w:rPr>
        <w:t>Records</w:t>
      </w:r>
      <w:r>
        <w:rPr>
          <w:rFonts w:ascii="Arial" w:cs="Arial" w:eastAsia="Arial" w:hAnsi="Arial"/>
          <w:sz w:val="22"/>
          <w:szCs w:val="22"/>
          <w:color w:val="auto"/>
        </w:rPr>
        <w:t>. Each Party will keep (and will cause its Affiliates and (with respect to Jazz) sublicensees to</w:t>
      </w:r>
      <w:r>
        <w:rPr>
          <w:rFonts w:ascii="Arial" w:cs="Arial" w:eastAsia="Arial" w:hAnsi="Arial"/>
          <w:sz w:val="22"/>
          <w:szCs w:val="22"/>
          <w:b w:val="1"/>
          <w:bCs w:val="1"/>
          <w:color w:val="auto"/>
        </w:rPr>
        <w:t xml:space="preserve"> </w:t>
      </w:r>
      <w:r>
        <w:rPr>
          <w:rFonts w:ascii="Arial" w:cs="Arial" w:eastAsia="Arial" w:hAnsi="Arial"/>
          <w:sz w:val="22"/>
          <w:szCs w:val="22"/>
          <w:color w:val="auto"/>
        </w:rPr>
        <w:t>keep) complete, true and accurate books and records in sufficient detail for the other Party to determine payments due to such other Party under this Agreement. Each Party will keep such books and records for at least [***] following the end of the Calendar Year to which they pertain.</w:t>
      </w:r>
    </w:p>
    <w:p>
      <w:pPr>
        <w:spacing w:after="0" w:line="152" w:lineRule="exact"/>
        <w:rPr>
          <w:rFonts w:ascii="Arial" w:cs="Arial" w:eastAsia="Arial" w:hAnsi="Arial"/>
          <w:sz w:val="22"/>
          <w:szCs w:val="22"/>
          <w:b w:val="1"/>
          <w:bCs w:val="1"/>
          <w:color w:val="auto"/>
        </w:rPr>
      </w:pPr>
    </w:p>
    <w:p>
      <w:pPr>
        <w:ind w:left="1940" w:hanging="636"/>
        <w:spacing w:after="0"/>
        <w:tabs>
          <w:tab w:leader="none" w:pos="1940" w:val="left"/>
        </w:tabs>
        <w:numPr>
          <w:ilvl w:val="1"/>
          <w:numId w:val="125"/>
        </w:numPr>
        <w:rPr>
          <w:rFonts w:ascii="Arial" w:cs="Arial" w:eastAsia="Arial" w:hAnsi="Arial"/>
          <w:sz w:val="22"/>
          <w:szCs w:val="22"/>
          <w:b w:val="1"/>
          <w:bCs w:val="1"/>
          <w:color w:val="auto"/>
        </w:rPr>
      </w:pPr>
      <w:r>
        <w:rPr>
          <w:rFonts w:ascii="Arial" w:cs="Arial" w:eastAsia="Arial" w:hAnsi="Arial"/>
          <w:sz w:val="22"/>
          <w:szCs w:val="22"/>
          <w:b w:val="1"/>
          <w:bCs w:val="1"/>
          <w:color w:val="auto"/>
        </w:rPr>
        <w:t>Audit Rights</w:t>
      </w:r>
      <w:r>
        <w:rPr>
          <w:rFonts w:ascii="Arial" w:cs="Arial" w:eastAsia="Arial" w:hAnsi="Arial"/>
          <w:sz w:val="22"/>
          <w:szCs w:val="22"/>
          <w:color w:val="auto"/>
        </w:rPr>
        <w:t>.</w:t>
      </w:r>
    </w:p>
    <w:p>
      <w:pPr>
        <w:spacing w:after="0" w:line="179" w:lineRule="exact"/>
        <w:rPr>
          <w:rFonts w:ascii="Arial" w:cs="Arial" w:eastAsia="Arial" w:hAnsi="Arial"/>
          <w:sz w:val="22"/>
          <w:szCs w:val="22"/>
          <w:b w:val="1"/>
          <w:bCs w:val="1"/>
          <w:color w:val="auto"/>
        </w:rPr>
      </w:pPr>
    </w:p>
    <w:p>
      <w:pPr>
        <w:jc w:val="both"/>
        <w:ind w:firstLine="1952"/>
        <w:spacing w:after="0"/>
        <w:tabs>
          <w:tab w:leader="none" w:pos="2580" w:val="left"/>
        </w:tabs>
        <w:numPr>
          <w:ilvl w:val="2"/>
          <w:numId w:val="125"/>
        </w:numPr>
        <w:rPr>
          <w:rFonts w:ascii="Arial" w:cs="Arial" w:eastAsia="Arial" w:hAnsi="Arial"/>
          <w:sz w:val="19"/>
          <w:szCs w:val="19"/>
          <w:b w:val="1"/>
          <w:bCs w:val="1"/>
          <w:color w:val="auto"/>
        </w:rPr>
      </w:pPr>
      <w:r>
        <w:rPr>
          <w:rFonts w:ascii="Arial" w:cs="Arial" w:eastAsia="Arial" w:hAnsi="Arial"/>
          <w:sz w:val="19"/>
          <w:szCs w:val="19"/>
          <w:color w:val="auto"/>
        </w:rPr>
        <w:t>Each Party (the “</w:t>
      </w:r>
      <w:r>
        <w:rPr>
          <w:rFonts w:ascii="Arial" w:cs="Arial" w:eastAsia="Arial" w:hAnsi="Arial"/>
          <w:sz w:val="19"/>
          <w:szCs w:val="19"/>
          <w:b w:val="1"/>
          <w:bCs w:val="1"/>
          <w:color w:val="auto"/>
        </w:rPr>
        <w:t>Auditing Party</w:t>
      </w:r>
      <w:r>
        <w:rPr>
          <w:rFonts w:ascii="Arial" w:cs="Arial" w:eastAsia="Arial" w:hAnsi="Arial"/>
          <w:sz w:val="19"/>
          <w:szCs w:val="19"/>
          <w:color w:val="auto"/>
        </w:rPr>
        <w:t>”) shall have the right during the [***] period described in Section 9.10(a) to (a) appoint at its expense an independent certified public accountant of nationally recognized standing (the “</w:t>
      </w:r>
      <w:r>
        <w:rPr>
          <w:rFonts w:ascii="Arial" w:cs="Arial" w:eastAsia="Arial" w:hAnsi="Arial"/>
          <w:sz w:val="19"/>
          <w:szCs w:val="19"/>
          <w:b w:val="1"/>
          <w:bCs w:val="1"/>
          <w:color w:val="auto"/>
        </w:rPr>
        <w:t>Accounting Firm</w:t>
      </w:r>
      <w:r>
        <w:rPr>
          <w:rFonts w:ascii="Arial" w:cs="Arial" w:eastAsia="Arial" w:hAnsi="Arial"/>
          <w:sz w:val="19"/>
          <w:szCs w:val="19"/>
          <w:color w:val="auto"/>
        </w:rPr>
        <w:t>”) reasonably acceptable to the other Party (the “</w:t>
      </w:r>
      <w:r>
        <w:rPr>
          <w:rFonts w:ascii="Arial" w:cs="Arial" w:eastAsia="Arial" w:hAnsi="Arial"/>
          <w:sz w:val="19"/>
          <w:szCs w:val="19"/>
          <w:b w:val="1"/>
          <w:bCs w:val="1"/>
          <w:color w:val="auto"/>
        </w:rPr>
        <w:t>Audited Party</w:t>
      </w:r>
      <w:r>
        <w:rPr>
          <w:rFonts w:ascii="Arial" w:cs="Arial" w:eastAsia="Arial" w:hAnsi="Arial"/>
          <w:sz w:val="19"/>
          <w:szCs w:val="19"/>
          <w:color w:val="auto"/>
        </w:rPr>
        <w:t>”) to audit the relevant financial records of the Audited Party and its Affiliates to verify that the amount of such payments were correctly determined or (b) require the Audited Party to (i) appoint such an Accounting Firm to conduct such an audit of the applicable sublicensee and (ii) provide the results of such audit to the Auditing Party. The Audited Party and its Affiliates shall each make its financial records available for audit by the Accounting Firm during regular business hours at such place or places where such records are customarily kept, upon reasonable notice from the Auditing Party, solely to verify the payments hereunder were correctly determined. Such audit right shall not be exercised by the Auditing Party more than [***] nor (with respect to Zymeworks as the Auditing Party) more than</w:t>
      </w:r>
    </w:p>
    <w:p>
      <w:pPr>
        <w:spacing w:after="0" w:line="1" w:lineRule="exact"/>
        <w:rPr>
          <w:rFonts w:ascii="Arial" w:cs="Arial" w:eastAsia="Arial" w:hAnsi="Arial"/>
          <w:sz w:val="19"/>
          <w:szCs w:val="19"/>
          <w:b w:val="1"/>
          <w:bCs w:val="1"/>
          <w:color w:val="auto"/>
        </w:rPr>
      </w:pPr>
    </w:p>
    <w:p>
      <w:pPr>
        <w:jc w:val="both"/>
        <w:ind w:firstLine="8"/>
        <w:spacing w:after="0" w:line="228" w:lineRule="auto"/>
        <w:tabs>
          <w:tab w:leader="none" w:pos="527" w:val="left"/>
        </w:tabs>
        <w:numPr>
          <w:ilvl w:val="0"/>
          <w:numId w:val="125"/>
        </w:numPr>
        <w:rPr>
          <w:rFonts w:ascii="Arial" w:cs="Arial" w:eastAsia="Arial" w:hAnsi="Arial"/>
          <w:sz w:val="21"/>
          <w:szCs w:val="21"/>
          <w:color w:val="auto"/>
        </w:rPr>
      </w:pPr>
      <w:r>
        <w:rPr>
          <w:rFonts w:ascii="Arial" w:cs="Arial" w:eastAsia="Arial" w:hAnsi="Arial"/>
          <w:sz w:val="21"/>
          <w:szCs w:val="21"/>
          <w:color w:val="auto"/>
        </w:rPr>
        <w:t>with respect to sales of Licensed Product in a particular period and may cover a period ending not more than [***] prior to the date of such request. All records made available for audit pursuant to this Section 9.10(b) shall be deemed to be Confidential Information of the Audited Party. The results of each audit, if any, shall be binding on both Parties.</w:t>
      </w:r>
    </w:p>
    <w:p>
      <w:pPr>
        <w:spacing w:after="0" w:line="157" w:lineRule="exact"/>
        <w:rPr>
          <w:rFonts w:ascii="Arial" w:cs="Arial" w:eastAsia="Arial" w:hAnsi="Arial"/>
          <w:sz w:val="21"/>
          <w:szCs w:val="21"/>
          <w:color w:val="auto"/>
        </w:rPr>
      </w:pPr>
    </w:p>
    <w:p>
      <w:pPr>
        <w:ind w:right="20" w:firstLine="1952"/>
        <w:spacing w:after="0" w:line="232" w:lineRule="auto"/>
        <w:tabs>
          <w:tab w:leader="none" w:pos="2586" w:val="left"/>
        </w:tabs>
        <w:numPr>
          <w:ilvl w:val="2"/>
          <w:numId w:val="126"/>
        </w:numPr>
        <w:rPr>
          <w:rFonts w:ascii="Arial" w:cs="Arial" w:eastAsia="Arial" w:hAnsi="Arial"/>
          <w:sz w:val="22"/>
          <w:szCs w:val="22"/>
          <w:b w:val="1"/>
          <w:bCs w:val="1"/>
          <w:color w:val="auto"/>
        </w:rPr>
      </w:pPr>
      <w:r>
        <w:rPr>
          <w:rFonts w:ascii="Arial" w:cs="Arial" w:eastAsia="Arial" w:hAnsi="Arial"/>
          <w:sz w:val="22"/>
          <w:szCs w:val="22"/>
          <w:color w:val="auto"/>
        </w:rPr>
        <w:t>If the amount of any payment hereunder was underreported by Jazz, Jazz shall promptly (but in any event no later than [***] after its receipt of the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01" w:right="339" w:bottom="1440" w:gutter="0" w:footer="0" w:header="0"/>
        </w:sectPr>
      </w:pPr>
    </w:p>
    <w:bookmarkStart w:id="208" w:name="page209"/>
    <w:bookmarkEnd w:id="208"/>
    <w:p>
      <w:pPr>
        <w:jc w:val="both"/>
        <w:spacing w:after="0" w:line="257" w:lineRule="auto"/>
        <w:rPr>
          <w:sz w:val="20"/>
          <w:szCs w:val="20"/>
          <w:color w:val="auto"/>
        </w:rPr>
      </w:pPr>
      <w:r>
        <w:rPr>
          <w:rFonts w:ascii="Arial" w:cs="Arial" w:eastAsia="Arial" w:hAnsi="Arial"/>
          <w:sz w:val="19"/>
          <w:szCs w:val="19"/>
          <w:color w:val="auto"/>
        </w:rPr>
        <w:t>Firm’s report so concluding) make payment to Zymeworks of the underreported amount. Zymeworks shall bear the full cost of an audit that it conducts (or requires to be conducted) pursuant to this Section 9.10(b) unless such audit discloses an under reporting by Jazz of more than [***] of the aggregate amount of the payments hereunder reportable in any Calendar Year, in which case Jazz shall reimburse Zymeworks for the reasonable audit fees for such audit, in addition to paying the underreported amount.</w:t>
      </w:r>
    </w:p>
    <w:p>
      <w:pPr>
        <w:spacing w:after="0" w:line="144" w:lineRule="exact"/>
        <w:rPr>
          <w:sz w:val="20"/>
          <w:szCs w:val="20"/>
          <w:color w:val="auto"/>
        </w:rPr>
      </w:pPr>
    </w:p>
    <w:p>
      <w:pPr>
        <w:jc w:val="both"/>
        <w:ind w:firstLine="1952"/>
        <w:spacing w:after="0" w:line="212" w:lineRule="auto"/>
        <w:tabs>
          <w:tab w:leader="none" w:pos="2592" w:val="left"/>
        </w:tabs>
        <w:numPr>
          <w:ilvl w:val="0"/>
          <w:numId w:val="127"/>
        </w:numPr>
        <w:rPr>
          <w:rFonts w:ascii="Arial" w:cs="Arial" w:eastAsia="Arial" w:hAnsi="Arial"/>
          <w:sz w:val="22"/>
          <w:szCs w:val="22"/>
          <w:b w:val="1"/>
          <w:bCs w:val="1"/>
          <w:color w:val="auto"/>
        </w:rPr>
      </w:pPr>
      <w:r>
        <w:rPr>
          <w:rFonts w:ascii="Arial" w:cs="Arial" w:eastAsia="Arial" w:hAnsi="Arial"/>
          <w:sz w:val="22"/>
          <w:szCs w:val="22"/>
          <w:color w:val="auto"/>
        </w:rPr>
        <w:t>If the amount of any reimbursable costs or expenses reimbursed hereunder by Jazz was overreported by Zymeworks, Zymeworks shall promptly (but in any event no later than [***] after its receipt of the Accounting Firm’s report so concluding) make payment to Jazz of the overpaid amount. Jazz shall bear the full cost of an audit that it conducts (or requires to be conducted) pursuant to this Section 9.10(b) unless such audit discloses an over-charging by Zymeworks of more than [***] of the aggregate amount of the payments hereunder reportable in any Calendar Year, in which case Zymeworks shall reimburse Jazz for the reasonable audit fees for such audit, in addition to reimbursing the over-paid amount.</w:t>
      </w:r>
    </w:p>
    <w:p>
      <w:pPr>
        <w:spacing w:after="0" w:line="163" w:lineRule="exact"/>
        <w:rPr>
          <w:rFonts w:ascii="Arial" w:cs="Arial" w:eastAsia="Arial" w:hAnsi="Arial"/>
          <w:sz w:val="22"/>
          <w:szCs w:val="22"/>
          <w:b w:val="1"/>
          <w:bCs w:val="1"/>
          <w:color w:val="auto"/>
        </w:rPr>
      </w:pPr>
    </w:p>
    <w:p>
      <w:pPr>
        <w:jc w:val="both"/>
        <w:ind w:firstLine="1952"/>
        <w:spacing w:after="0" w:line="226" w:lineRule="auto"/>
        <w:tabs>
          <w:tab w:leader="none" w:pos="2580" w:val="left"/>
        </w:tabs>
        <w:numPr>
          <w:ilvl w:val="0"/>
          <w:numId w:val="127"/>
        </w:numPr>
        <w:rPr>
          <w:rFonts w:ascii="Arial" w:cs="Arial" w:eastAsia="Arial" w:hAnsi="Arial"/>
          <w:sz w:val="21"/>
          <w:szCs w:val="21"/>
          <w:b w:val="1"/>
          <w:bCs w:val="1"/>
          <w:color w:val="auto"/>
        </w:rPr>
      </w:pPr>
      <w:r>
        <w:rPr>
          <w:rFonts w:ascii="Arial" w:cs="Arial" w:eastAsia="Arial" w:hAnsi="Arial"/>
          <w:sz w:val="21"/>
          <w:szCs w:val="21"/>
          <w:color w:val="auto"/>
        </w:rPr>
        <w:t>The Accounting Firm will disclose to the Auditing Party only whether the payments subject to such audit are correct or incorrect and the specific details concerning any discrepancies. No other information regarding the results of such audit will be provided to the Auditing Party without the prior consent of the Audited Party. The Audited Party is entitled to require the Accounting Firm to execute a reasonable confidentiality agreement prior to commencing any such audit. The Accounting Firm shall provide a copy of its report and findings to the Audited Party.</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9.11</w:t>
      </w:r>
      <w:r>
        <w:rPr>
          <w:sz w:val="20"/>
          <w:szCs w:val="20"/>
          <w:color w:val="auto"/>
        </w:rPr>
        <w:tab/>
      </w:r>
      <w:r>
        <w:rPr>
          <w:rFonts w:ascii="Arial" w:cs="Arial" w:eastAsia="Arial" w:hAnsi="Arial"/>
          <w:sz w:val="19"/>
          <w:szCs w:val="19"/>
          <w:b w:val="1"/>
          <w:bCs w:val="1"/>
          <w:color w:val="auto"/>
        </w:rPr>
        <w:t>Taxes and Blocked Currency</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4" w:lineRule="auto"/>
        <w:tabs>
          <w:tab w:leader="none" w:pos="1939" w:val="left"/>
        </w:tabs>
        <w:numPr>
          <w:ilvl w:val="0"/>
          <w:numId w:val="12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Taxes. </w:t>
      </w:r>
      <w:r>
        <w:rPr>
          <w:rFonts w:ascii="Arial" w:cs="Arial" w:eastAsia="Arial" w:hAnsi="Arial"/>
          <w:sz w:val="19"/>
          <w:szCs w:val="19"/>
          <w:color w:val="auto"/>
        </w:rPr>
        <w:t>Each Party shall be responsible for its own tax liabilities arising under this Agreement. If</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Laws require the withholding of taxes on any payment made pursuant to this Agreement, Jazz shall make such withholding payments in a timely manner and shall pay such amounts to the appropriate Governmental Authority. Jazz shall notify Zymeworks prior to making any such withholding and promptly (as available) submit to Zymeworks appropriate proof of payment of the withheld taxes as well as the official receipts within a reasonable period of time. Jazz shall notify Zymeworks prior to making any such withholding of taxes and shall reasonably cooperate to minimize any such withholding, including by providing Zymeworks reasonable assistance in order to allow Zymeworks to obtain the benefit of any present or future treaty against double taxation or refund or reduction in taxes which may apply to the payments under this Agreement. [***] For clarity, if Applicable Laws require payment of any sales, use, value added, goods and services or similar taxes on any payment contemplated by this Agreement, then such taxes shall be Jazz’s responsibility.</w:t>
      </w:r>
    </w:p>
    <w:p>
      <w:pPr>
        <w:spacing w:after="0" w:line="154" w:lineRule="exact"/>
        <w:rPr>
          <w:rFonts w:ascii="Arial" w:cs="Arial" w:eastAsia="Arial" w:hAnsi="Arial"/>
          <w:sz w:val="19"/>
          <w:szCs w:val="19"/>
          <w:b w:val="1"/>
          <w:bCs w:val="1"/>
          <w:color w:val="auto"/>
        </w:rPr>
      </w:pPr>
    </w:p>
    <w:p>
      <w:pPr>
        <w:jc w:val="both"/>
        <w:ind w:firstLine="1304"/>
        <w:spacing w:after="0" w:line="227" w:lineRule="auto"/>
        <w:tabs>
          <w:tab w:leader="none" w:pos="1938" w:val="left"/>
        </w:tabs>
        <w:numPr>
          <w:ilvl w:val="0"/>
          <w:numId w:val="12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Blocked Currency. </w:t>
      </w:r>
      <w:r>
        <w:rPr>
          <w:rFonts w:ascii="Arial" w:cs="Arial" w:eastAsia="Arial" w:hAnsi="Arial"/>
          <w:sz w:val="21"/>
          <w:szCs w:val="21"/>
          <w:color w:val="auto"/>
        </w:rPr>
        <w:t>If by Applicable Law in a country or region in the Territory, conversion into USD or</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 of funds of a convertible currency to Canada or the United States becomes materially restricted, forbidden or substantially delayed, then Jazz shall promptly notify Zymeworks and, thereafter, amounts accrued in such country or region under this Article 9 shall be paid to Zymeworks (or its designee) in such country or region in local currency by deposit in a local bank designated by Zymeworks and to the credit of Zymeworks, unless the Parties otherwise agree.</w:t>
      </w:r>
    </w:p>
    <w:p>
      <w:pPr>
        <w:spacing w:after="0" w:line="15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10</w:t>
      </w:r>
    </w:p>
    <w:p>
      <w:pPr>
        <w:spacing w:after="0" w:line="179"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CONFIDENTIALITY</w:t>
      </w:r>
    </w:p>
    <w:p>
      <w:pPr>
        <w:spacing w:after="0" w:line="179"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 xml:space="preserve">10.1 Duty of Confidence. </w:t>
      </w:r>
      <w:r>
        <w:rPr>
          <w:rFonts w:ascii="Arial" w:cs="Arial" w:eastAsia="Arial" w:hAnsi="Arial"/>
          <w:sz w:val="22"/>
          <w:szCs w:val="22"/>
          <w:color w:val="auto"/>
        </w:rPr>
        <w:t>During the Term and for [***] thereafter, all Confidential Information disclosed by a</w:t>
      </w:r>
      <w:r>
        <w:rPr>
          <w:rFonts w:ascii="Arial" w:cs="Arial" w:eastAsia="Arial" w:hAnsi="Arial"/>
          <w:sz w:val="22"/>
          <w:szCs w:val="22"/>
          <w:b w:val="1"/>
          <w:bCs w:val="1"/>
          <w:color w:val="auto"/>
        </w:rPr>
        <w:t xml:space="preserve"> </w:t>
      </w:r>
      <w:r>
        <w:rPr>
          <w:rFonts w:ascii="Arial" w:cs="Arial" w:eastAsia="Arial" w:hAnsi="Arial"/>
          <w:sz w:val="22"/>
          <w:szCs w:val="22"/>
          <w:color w:val="auto"/>
        </w:rPr>
        <w:t>Disclosing Party to a Receiving Party hereunder shall be maintained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01" w:right="339" w:bottom="1440" w:gutter="0" w:footer="0" w:header="0"/>
        </w:sectPr>
      </w:pPr>
    </w:p>
    <w:bookmarkStart w:id="209" w:name="page210"/>
    <w:bookmarkEnd w:id="209"/>
    <w:p>
      <w:pPr>
        <w:jc w:val="both"/>
        <w:spacing w:after="0" w:line="210" w:lineRule="auto"/>
        <w:rPr>
          <w:sz w:val="20"/>
          <w:szCs w:val="20"/>
          <w:color w:val="auto"/>
        </w:rPr>
      </w:pPr>
      <w:r>
        <w:rPr>
          <w:rFonts w:ascii="Arial" w:cs="Arial" w:eastAsia="Arial" w:hAnsi="Arial"/>
          <w:sz w:val="22"/>
          <w:szCs w:val="22"/>
          <w:color w:val="auto"/>
        </w:rPr>
        <w:t>in confidence by the Receiving Party and shall not be disclosed to any Third Party or used for any purpose, except as set forth herein, without the prior written consent of the Disclosing Party; provided, however, that with respect to any Confidential Information that is specifically identified at the time of disclosure to be a trade secret under Applicable Laws, such obligations shall survive the expiration of such [***] period for so long as such Confidential Information remains a trade secret. The Receiving Party may only use Confidential Information of the Disclosing Party for purposes of exercising its rights and fulfilling its obligations under this Agreement and may disclose Confidential Information of the Disclosing Party and its Affiliates to employees, agents, contractors, consultants and advisers of the recipient Party and its Affiliates, licensees and sublicensees to the extent reasonably necessary for such purposes; provided that such persons and entities are bound by confidentiality and non-use of the Confidential Information consistent with the confidentiality provisions of this Agreement as they apply to the Receiving Party.</w:t>
      </w:r>
    </w:p>
    <w:p>
      <w:pPr>
        <w:spacing w:after="0" w:line="15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10.2 Exceptions. </w:t>
      </w:r>
      <w:r>
        <w:rPr>
          <w:rFonts w:ascii="Arial" w:cs="Arial" w:eastAsia="Arial" w:hAnsi="Arial"/>
          <w:sz w:val="22"/>
          <w:szCs w:val="22"/>
          <w:color w:val="auto"/>
        </w:rPr>
        <w:t>The obligations under this Article 10 shall not apply to any information to the extent the Receiving</w:t>
      </w:r>
      <w:r>
        <w:rPr>
          <w:rFonts w:ascii="Arial" w:cs="Arial" w:eastAsia="Arial" w:hAnsi="Arial"/>
          <w:sz w:val="22"/>
          <w:szCs w:val="22"/>
          <w:b w:val="1"/>
          <w:bCs w:val="1"/>
          <w:color w:val="auto"/>
        </w:rPr>
        <w:t xml:space="preserve"> </w:t>
      </w:r>
      <w:r>
        <w:rPr>
          <w:rFonts w:ascii="Arial" w:cs="Arial" w:eastAsia="Arial" w:hAnsi="Arial"/>
          <w:sz w:val="22"/>
          <w:szCs w:val="22"/>
          <w:color w:val="auto"/>
        </w:rPr>
        <w:t>Party can demonstrate by competent written evidence that such information:</w:t>
      </w:r>
    </w:p>
    <w:p>
      <w:pPr>
        <w:spacing w:after="0" w:line="159" w:lineRule="exact"/>
        <w:rPr>
          <w:sz w:val="20"/>
          <w:szCs w:val="20"/>
          <w:color w:val="auto"/>
        </w:rPr>
      </w:pPr>
    </w:p>
    <w:p>
      <w:pPr>
        <w:ind w:firstLine="1304"/>
        <w:spacing w:after="0" w:line="232" w:lineRule="auto"/>
        <w:tabs>
          <w:tab w:leader="none" w:pos="1939" w:val="left"/>
        </w:tabs>
        <w:numPr>
          <w:ilvl w:val="0"/>
          <w:numId w:val="129"/>
        </w:numPr>
        <w:rPr>
          <w:rFonts w:ascii="Arial" w:cs="Arial" w:eastAsia="Arial" w:hAnsi="Arial"/>
          <w:sz w:val="22"/>
          <w:szCs w:val="22"/>
          <w:b w:val="1"/>
          <w:bCs w:val="1"/>
          <w:color w:val="auto"/>
        </w:rPr>
      </w:pPr>
      <w:r>
        <w:rPr>
          <w:rFonts w:ascii="Arial" w:cs="Arial" w:eastAsia="Arial" w:hAnsi="Arial"/>
          <w:sz w:val="22"/>
          <w:szCs w:val="22"/>
          <w:color w:val="auto"/>
        </w:rPr>
        <w:t>is (at the time of disclosure) or becomes (after the time of disclosure) known to the public or part of the public domain through no breach of this Agreement by the Receiving Party or its Affiliates;</w:t>
      </w:r>
    </w:p>
    <w:p>
      <w:pPr>
        <w:spacing w:after="0" w:line="158" w:lineRule="exact"/>
        <w:rPr>
          <w:rFonts w:ascii="Arial" w:cs="Arial" w:eastAsia="Arial" w:hAnsi="Arial"/>
          <w:sz w:val="22"/>
          <w:szCs w:val="22"/>
          <w:b w:val="1"/>
          <w:bCs w:val="1"/>
          <w:color w:val="auto"/>
        </w:rPr>
      </w:pPr>
    </w:p>
    <w:p>
      <w:pPr>
        <w:ind w:firstLine="1304"/>
        <w:spacing w:after="0" w:line="232" w:lineRule="auto"/>
        <w:tabs>
          <w:tab w:leader="none" w:pos="1938" w:val="left"/>
        </w:tabs>
        <w:numPr>
          <w:ilvl w:val="0"/>
          <w:numId w:val="129"/>
        </w:numPr>
        <w:rPr>
          <w:rFonts w:ascii="Arial" w:cs="Arial" w:eastAsia="Arial" w:hAnsi="Arial"/>
          <w:sz w:val="22"/>
          <w:szCs w:val="22"/>
          <w:b w:val="1"/>
          <w:bCs w:val="1"/>
          <w:color w:val="auto"/>
        </w:rPr>
      </w:pPr>
      <w:r>
        <w:rPr>
          <w:rFonts w:ascii="Arial" w:cs="Arial" w:eastAsia="Arial" w:hAnsi="Arial"/>
          <w:sz w:val="22"/>
          <w:szCs w:val="22"/>
          <w:color w:val="auto"/>
        </w:rPr>
        <w:t>was known to, or was otherwise in the possession of, the Receiving Party or its Affiliates prior to the time of disclosure by the Disclosing Party;</w:t>
      </w:r>
    </w:p>
    <w:p>
      <w:pPr>
        <w:spacing w:after="0" w:line="158" w:lineRule="exact"/>
        <w:rPr>
          <w:rFonts w:ascii="Arial" w:cs="Arial" w:eastAsia="Arial" w:hAnsi="Arial"/>
          <w:sz w:val="22"/>
          <w:szCs w:val="22"/>
          <w:b w:val="1"/>
          <w:bCs w:val="1"/>
          <w:color w:val="auto"/>
        </w:rPr>
      </w:pPr>
    </w:p>
    <w:p>
      <w:pPr>
        <w:ind w:firstLine="1304"/>
        <w:spacing w:after="0" w:line="247" w:lineRule="auto"/>
        <w:tabs>
          <w:tab w:leader="none" w:pos="1941" w:val="left"/>
        </w:tabs>
        <w:numPr>
          <w:ilvl w:val="0"/>
          <w:numId w:val="129"/>
        </w:numPr>
        <w:rPr>
          <w:rFonts w:ascii="Arial" w:cs="Arial" w:eastAsia="Arial" w:hAnsi="Arial"/>
          <w:sz w:val="21"/>
          <w:szCs w:val="21"/>
          <w:b w:val="1"/>
          <w:bCs w:val="1"/>
          <w:color w:val="auto"/>
        </w:rPr>
      </w:pPr>
      <w:r>
        <w:rPr>
          <w:rFonts w:ascii="Arial" w:cs="Arial" w:eastAsia="Arial" w:hAnsi="Arial"/>
          <w:sz w:val="21"/>
          <w:szCs w:val="21"/>
          <w:color w:val="auto"/>
        </w:rPr>
        <w:t>is disclosed to the Receiving Party or an Affiliate on a non-confidential basis by a Third Party that is entitled to disclose it without breaching any confidentiality obligation to the Disclosing Party or any of its Affiliates; or</w:t>
      </w:r>
    </w:p>
    <w:p>
      <w:pPr>
        <w:spacing w:after="0" w:line="150" w:lineRule="exact"/>
        <w:rPr>
          <w:rFonts w:ascii="Arial" w:cs="Arial" w:eastAsia="Arial" w:hAnsi="Arial"/>
          <w:sz w:val="21"/>
          <w:szCs w:val="21"/>
          <w:b w:val="1"/>
          <w:bCs w:val="1"/>
          <w:color w:val="auto"/>
        </w:rPr>
      </w:pPr>
    </w:p>
    <w:p>
      <w:pPr>
        <w:jc w:val="both"/>
        <w:ind w:firstLine="1304"/>
        <w:spacing w:after="0" w:line="223" w:lineRule="auto"/>
        <w:tabs>
          <w:tab w:leader="none" w:pos="1938" w:val="left"/>
        </w:tabs>
        <w:numPr>
          <w:ilvl w:val="0"/>
          <w:numId w:val="129"/>
        </w:numPr>
        <w:rPr>
          <w:rFonts w:ascii="Arial" w:cs="Arial" w:eastAsia="Arial" w:hAnsi="Arial"/>
          <w:sz w:val="22"/>
          <w:szCs w:val="22"/>
          <w:b w:val="1"/>
          <w:bCs w:val="1"/>
          <w:color w:val="auto"/>
        </w:rPr>
      </w:pPr>
      <w:r>
        <w:rPr>
          <w:rFonts w:ascii="Arial" w:cs="Arial" w:eastAsia="Arial" w:hAnsi="Arial"/>
          <w:sz w:val="22"/>
          <w:szCs w:val="22"/>
          <w:color w:val="auto"/>
        </w:rPr>
        <w:t>is independently developed by or on behalf of the Receiving Party or its Affiliates, as evidenced by its written records, without use of or reference to the Confidential Information disclosed by the Disclosing Party or its Affiliates under this Agreement.</w:t>
      </w:r>
    </w:p>
    <w:p>
      <w:pPr>
        <w:spacing w:after="0" w:line="153"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 xml:space="preserve">10.3 Authorized Disclosures. </w:t>
      </w:r>
      <w:r>
        <w:rPr>
          <w:rFonts w:ascii="Arial" w:cs="Arial" w:eastAsia="Arial" w:hAnsi="Arial"/>
          <w:sz w:val="22"/>
          <w:szCs w:val="22"/>
          <w:color w:val="auto"/>
        </w:rPr>
        <w:t>Subject to this Section 10.3, the Receiving Party may disclose Confidential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belonging to the other Party to the extent permitted as follows:</w:t>
      </w:r>
    </w:p>
    <w:p>
      <w:pPr>
        <w:spacing w:after="0" w:line="159" w:lineRule="exact"/>
        <w:rPr>
          <w:sz w:val="20"/>
          <w:szCs w:val="20"/>
          <w:color w:val="auto"/>
        </w:rPr>
      </w:pPr>
    </w:p>
    <w:p>
      <w:pPr>
        <w:jc w:val="both"/>
        <w:ind w:firstLine="1304"/>
        <w:spacing w:after="0" w:line="216" w:lineRule="auto"/>
        <w:tabs>
          <w:tab w:leader="none" w:pos="1939" w:val="left"/>
        </w:tabs>
        <w:numPr>
          <w:ilvl w:val="0"/>
          <w:numId w:val="130"/>
        </w:numPr>
        <w:rPr>
          <w:rFonts w:ascii="Arial" w:cs="Arial" w:eastAsia="Arial" w:hAnsi="Arial"/>
          <w:sz w:val="22"/>
          <w:szCs w:val="22"/>
          <w:b w:val="1"/>
          <w:bCs w:val="1"/>
          <w:color w:val="auto"/>
        </w:rPr>
      </w:pPr>
      <w:r>
        <w:rPr>
          <w:rFonts w:ascii="Arial" w:cs="Arial" w:eastAsia="Arial" w:hAnsi="Arial"/>
          <w:sz w:val="22"/>
          <w:szCs w:val="22"/>
          <w:color w:val="auto"/>
        </w:rPr>
        <w:t>such disclosure is deemed necessary by counsel to the Receiving Party to be disclosed to such Receiving Party’s attorneys, independent accountants or financial advisors for the sole purpose of enabling such attorneys, independent accountants or financial advisors to provide advice to the Receiving Party, on the condition that such attorneys, independent accountants and financial advisors are bound by confidentiality and non-use obligations consistent with the confidentiality provisions of this Agreement as they apply to the Receiving Party;</w:t>
      </w:r>
    </w:p>
    <w:p>
      <w:pPr>
        <w:spacing w:after="0" w:line="157" w:lineRule="exact"/>
        <w:rPr>
          <w:rFonts w:ascii="Arial" w:cs="Arial" w:eastAsia="Arial" w:hAnsi="Arial"/>
          <w:sz w:val="22"/>
          <w:szCs w:val="22"/>
          <w:b w:val="1"/>
          <w:bCs w:val="1"/>
          <w:color w:val="auto"/>
        </w:rPr>
      </w:pPr>
    </w:p>
    <w:p>
      <w:pPr>
        <w:ind w:firstLine="1304"/>
        <w:spacing w:after="0" w:line="232" w:lineRule="auto"/>
        <w:tabs>
          <w:tab w:leader="none" w:pos="1938" w:val="left"/>
        </w:tabs>
        <w:numPr>
          <w:ilvl w:val="0"/>
          <w:numId w:val="130"/>
        </w:numPr>
        <w:rPr>
          <w:rFonts w:ascii="Arial" w:cs="Arial" w:eastAsia="Arial" w:hAnsi="Arial"/>
          <w:sz w:val="22"/>
          <w:szCs w:val="22"/>
          <w:b w:val="1"/>
          <w:bCs w:val="1"/>
          <w:color w:val="auto"/>
        </w:rPr>
      </w:pPr>
      <w:r>
        <w:rPr>
          <w:rFonts w:ascii="Arial" w:cs="Arial" w:eastAsia="Arial" w:hAnsi="Arial"/>
          <w:sz w:val="22"/>
          <w:szCs w:val="22"/>
          <w:color w:val="auto"/>
        </w:rPr>
        <w:t>disclosure by a Receiving Party or its Affiliates to governmental or other regulatory agencies in order to obtain and maintain Patent Rights consistent with Article 14;</w:t>
      </w:r>
    </w:p>
    <w:p>
      <w:pPr>
        <w:spacing w:after="0" w:line="158" w:lineRule="exact"/>
        <w:rPr>
          <w:rFonts w:ascii="Arial" w:cs="Arial" w:eastAsia="Arial" w:hAnsi="Arial"/>
          <w:sz w:val="22"/>
          <w:szCs w:val="22"/>
          <w:b w:val="1"/>
          <w:bCs w:val="1"/>
          <w:color w:val="auto"/>
        </w:rPr>
      </w:pPr>
    </w:p>
    <w:p>
      <w:pPr>
        <w:jc w:val="both"/>
        <w:ind w:firstLine="1304"/>
        <w:spacing w:after="0" w:line="223" w:lineRule="auto"/>
        <w:tabs>
          <w:tab w:leader="none" w:pos="1941" w:val="left"/>
        </w:tabs>
        <w:numPr>
          <w:ilvl w:val="0"/>
          <w:numId w:val="130"/>
        </w:numPr>
        <w:rPr>
          <w:rFonts w:ascii="Arial" w:cs="Arial" w:eastAsia="Arial" w:hAnsi="Arial"/>
          <w:sz w:val="22"/>
          <w:szCs w:val="22"/>
          <w:b w:val="1"/>
          <w:bCs w:val="1"/>
          <w:color w:val="auto"/>
        </w:rPr>
      </w:pPr>
      <w:r>
        <w:rPr>
          <w:rFonts w:ascii="Arial" w:cs="Arial" w:eastAsia="Arial" w:hAnsi="Arial"/>
          <w:sz w:val="22"/>
          <w:szCs w:val="22"/>
          <w:color w:val="auto"/>
        </w:rPr>
        <w:t>disclosure by a Receiving Party to any Affiliate, or to its or its Affiliates’ employees, consultants, contractors, subcontractors, agents or (sub)licensees on a need-to-know basis in order to enable such Receiving Party to exercise its rights, or to carry out its responsibilities, under this Agreement[***];</w:t>
      </w:r>
    </w:p>
    <w:p>
      <w:pPr>
        <w:spacing w:after="0" w:line="158" w:lineRule="exact"/>
        <w:rPr>
          <w:rFonts w:ascii="Arial" w:cs="Arial" w:eastAsia="Arial" w:hAnsi="Arial"/>
          <w:sz w:val="22"/>
          <w:szCs w:val="22"/>
          <w:b w:val="1"/>
          <w:bCs w:val="1"/>
          <w:color w:val="auto"/>
        </w:rPr>
      </w:pPr>
    </w:p>
    <w:p>
      <w:pPr>
        <w:ind w:firstLine="1304"/>
        <w:spacing w:after="0" w:line="232" w:lineRule="auto"/>
        <w:tabs>
          <w:tab w:leader="none" w:pos="1938" w:val="left"/>
        </w:tabs>
        <w:numPr>
          <w:ilvl w:val="0"/>
          <w:numId w:val="130"/>
        </w:numPr>
        <w:rPr>
          <w:rFonts w:ascii="Arial" w:cs="Arial" w:eastAsia="Arial" w:hAnsi="Arial"/>
          <w:sz w:val="22"/>
          <w:szCs w:val="22"/>
          <w:b w:val="1"/>
          <w:bCs w:val="1"/>
          <w:color w:val="auto"/>
        </w:rPr>
      </w:pPr>
      <w:r>
        <w:rPr>
          <w:rFonts w:ascii="Arial" w:cs="Arial" w:eastAsia="Arial" w:hAnsi="Arial"/>
          <w:sz w:val="22"/>
          <w:szCs w:val="22"/>
          <w:color w:val="auto"/>
        </w:rPr>
        <w:t>disclosure by Jazz or a Jazz Affiliate or sublicensee as reasonably necessary or useful to gain or maintain approval to conduct Clinical Trials for a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01" w:right="339" w:bottom="1440" w:gutter="0" w:footer="0" w:header="0"/>
        </w:sectPr>
      </w:pPr>
    </w:p>
    <w:bookmarkStart w:id="210" w:name="page211"/>
    <w:bookmarkEnd w:id="210"/>
    <w:p>
      <w:pPr>
        <w:spacing w:after="0" w:line="232" w:lineRule="auto"/>
        <w:rPr>
          <w:sz w:val="20"/>
          <w:szCs w:val="20"/>
          <w:color w:val="auto"/>
        </w:rPr>
      </w:pPr>
      <w:r>
        <w:rPr>
          <w:rFonts w:ascii="Arial" w:cs="Arial" w:eastAsia="Arial" w:hAnsi="Arial"/>
          <w:sz w:val="22"/>
          <w:szCs w:val="22"/>
          <w:color w:val="auto"/>
        </w:rPr>
        <w:t>Product, to obtain and maintain Regulatory Approval or to otherwise Develop, manufacture and Commercialize Licensed Products in the Territory, in accordance with this Agreement;</w:t>
      </w:r>
    </w:p>
    <w:p>
      <w:pPr>
        <w:spacing w:after="0" w:line="159" w:lineRule="exact"/>
        <w:rPr>
          <w:sz w:val="20"/>
          <w:szCs w:val="20"/>
          <w:color w:val="auto"/>
        </w:rPr>
      </w:pPr>
    </w:p>
    <w:p>
      <w:pPr>
        <w:jc w:val="both"/>
        <w:ind w:firstLine="1304"/>
        <w:spacing w:after="0" w:line="234" w:lineRule="auto"/>
        <w:tabs>
          <w:tab w:leader="none" w:pos="1941" w:val="left"/>
        </w:tabs>
        <w:numPr>
          <w:ilvl w:val="0"/>
          <w:numId w:val="131"/>
        </w:numPr>
        <w:rPr>
          <w:rFonts w:ascii="Arial" w:cs="Arial" w:eastAsia="Arial" w:hAnsi="Arial"/>
          <w:sz w:val="21"/>
          <w:szCs w:val="21"/>
          <w:b w:val="1"/>
          <w:bCs w:val="1"/>
          <w:color w:val="auto"/>
        </w:rPr>
      </w:pPr>
      <w:r>
        <w:rPr>
          <w:rFonts w:ascii="Arial" w:cs="Arial" w:eastAsia="Arial" w:hAnsi="Arial"/>
          <w:sz w:val="21"/>
          <w:szCs w:val="21"/>
          <w:color w:val="auto"/>
        </w:rPr>
        <w:t>disclosure by Zymeworks, a Zymeworks Affiliate or the Ex-Territory Partner as reasonably necessary to gain or maintain approval to conduct Clinical Trials for a Licensed Product, to obtain and maintain Regulatory Approval or to otherwise Develop, manufacture and Commercialize Licensed Products outside the Territory;</w:t>
      </w:r>
    </w:p>
    <w:p>
      <w:pPr>
        <w:spacing w:after="0" w:line="157" w:lineRule="exact"/>
        <w:rPr>
          <w:rFonts w:ascii="Arial" w:cs="Arial" w:eastAsia="Arial" w:hAnsi="Arial"/>
          <w:sz w:val="21"/>
          <w:szCs w:val="21"/>
          <w:b w:val="1"/>
          <w:bCs w:val="1"/>
          <w:color w:val="auto"/>
        </w:rPr>
      </w:pPr>
    </w:p>
    <w:p>
      <w:pPr>
        <w:jc w:val="both"/>
        <w:ind w:firstLine="1304"/>
        <w:spacing w:after="0" w:line="223" w:lineRule="auto"/>
        <w:tabs>
          <w:tab w:leader="none" w:pos="1944" w:val="left"/>
        </w:tabs>
        <w:numPr>
          <w:ilvl w:val="0"/>
          <w:numId w:val="131"/>
        </w:numPr>
        <w:rPr>
          <w:rFonts w:ascii="Arial" w:cs="Arial" w:eastAsia="Arial" w:hAnsi="Arial"/>
          <w:sz w:val="22"/>
          <w:szCs w:val="22"/>
          <w:b w:val="1"/>
          <w:bCs w:val="1"/>
          <w:color w:val="auto"/>
        </w:rPr>
      </w:pPr>
      <w:r>
        <w:rPr>
          <w:rFonts w:ascii="Arial" w:cs="Arial" w:eastAsia="Arial" w:hAnsi="Arial"/>
          <w:sz w:val="22"/>
          <w:szCs w:val="22"/>
          <w:color w:val="auto"/>
        </w:rPr>
        <w:t>disclosure by a Party required in connection with any judicial or administrative process relating to or arising from this Agreement (including any enforcement hereof) or to comply with applicable court orders or governmental regulations (or the rules of any recognized stock exchange or quotation system); or</w:t>
      </w:r>
    </w:p>
    <w:p>
      <w:pPr>
        <w:spacing w:after="0" w:line="158" w:lineRule="exact"/>
        <w:rPr>
          <w:rFonts w:ascii="Arial" w:cs="Arial" w:eastAsia="Arial" w:hAnsi="Arial"/>
          <w:sz w:val="22"/>
          <w:szCs w:val="22"/>
          <w:b w:val="1"/>
          <w:bCs w:val="1"/>
          <w:color w:val="auto"/>
        </w:rPr>
      </w:pPr>
    </w:p>
    <w:p>
      <w:pPr>
        <w:jc w:val="both"/>
        <w:ind w:firstLine="1304"/>
        <w:spacing w:after="0" w:line="216" w:lineRule="auto"/>
        <w:tabs>
          <w:tab w:leader="none" w:pos="1939" w:val="left"/>
        </w:tabs>
        <w:numPr>
          <w:ilvl w:val="0"/>
          <w:numId w:val="131"/>
        </w:numPr>
        <w:rPr>
          <w:rFonts w:ascii="Arial" w:cs="Arial" w:eastAsia="Arial" w:hAnsi="Arial"/>
          <w:sz w:val="22"/>
          <w:szCs w:val="22"/>
          <w:b w:val="1"/>
          <w:bCs w:val="1"/>
          <w:color w:val="auto"/>
        </w:rPr>
      </w:pPr>
      <w:r>
        <w:rPr>
          <w:rFonts w:ascii="Arial" w:cs="Arial" w:eastAsia="Arial" w:hAnsi="Arial"/>
          <w:sz w:val="22"/>
          <w:szCs w:val="22"/>
          <w:color w:val="auto"/>
        </w:rPr>
        <w:t xml:space="preserve">disclosure by a Party to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potential or actual investors or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potential or actual acquirers or assignees or actual or potential licensees or sublicensees in connection with due diligence or similar investigations by such Third Parties; provided, in each case, that any such potential or actual investor, acquirer, assignees, licensee or sublicensee agrees to be bound by confidentiality and non-use obligations consistent with those contained in this Agreement as they apply to the Receiving Party.</w:t>
      </w:r>
    </w:p>
    <w:p>
      <w:pPr>
        <w:spacing w:after="0" w:line="158"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2"/>
          <w:szCs w:val="22"/>
          <w:color w:val="auto"/>
        </w:rPr>
        <w:t>If the Receiving Party is required by judicial or administrative process to disclose Confidential Information that is subject to the non-disclosure provisions of this Article 10, such Receiving Party shall promptly inform (in any event, prior to making any required disclosure) the Disclosing Party of the disclosure that is being sought in order to provide the Disclosing Party an opportunity to challenge or limit the disclosure obligations, and, if requested by the Disclosing Party, cooperate in all reasonable respects with the Disclosing Party’s efforts to obtain confidential treatment or a protective order with respect to any such disclosure, at the Disclosing Party’s expense. Confidential Information that is disclosed as permitted by this Section 10.3 shall remain otherwise subject to the confidentiality and non-use provisions of this Article 10, and the Party disclosing Confidential Information as permitted by this Section 10.3 shall take all steps reasonably necessary, including obtaining an order of confidentiality and otherwise cooperating with the other Party, to ensure the continued confidential treatment of such Confidential Information.</w:t>
      </w:r>
    </w:p>
    <w:p>
      <w:pPr>
        <w:spacing w:after="0" w:line="15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11</w:t>
      </w:r>
    </w:p>
    <w:p>
      <w:pPr>
        <w:spacing w:after="0" w:line="179"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PUBLICATIONS &amp; PUBLICITY</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8"/>
          <w:szCs w:val="18"/>
          <w:b w:val="1"/>
          <w:bCs w:val="1"/>
          <w:color w:val="auto"/>
        </w:rPr>
        <w:t>Publications</w:t>
      </w:r>
      <w:r>
        <w:rPr>
          <w:rFonts w:ascii="Arial" w:cs="Arial" w:eastAsia="Arial" w:hAnsi="Arial"/>
          <w:sz w:val="18"/>
          <w:szCs w:val="18"/>
          <w:color w:val="auto"/>
        </w:rPr>
        <w:t>.</w:t>
      </w:r>
    </w:p>
    <w:p>
      <w:pPr>
        <w:spacing w:after="0" w:line="185" w:lineRule="exact"/>
        <w:rPr>
          <w:sz w:val="20"/>
          <w:szCs w:val="20"/>
          <w:color w:val="auto"/>
        </w:rPr>
      </w:pPr>
    </w:p>
    <w:p>
      <w:pPr>
        <w:jc w:val="both"/>
        <w:ind w:firstLine="1304"/>
        <w:spacing w:after="0" w:line="218" w:lineRule="auto"/>
        <w:tabs>
          <w:tab w:leader="none" w:pos="1939" w:val="left"/>
        </w:tabs>
        <w:numPr>
          <w:ilvl w:val="0"/>
          <w:numId w:val="132"/>
        </w:numPr>
        <w:rPr>
          <w:rFonts w:ascii="Arial" w:cs="Arial" w:eastAsia="Arial" w:hAnsi="Arial"/>
          <w:sz w:val="22"/>
          <w:szCs w:val="22"/>
          <w:b w:val="1"/>
          <w:bCs w:val="1"/>
          <w:color w:val="auto"/>
        </w:rPr>
      </w:pPr>
      <w:r>
        <w:rPr>
          <w:rFonts w:ascii="Arial" w:cs="Arial" w:eastAsia="Arial" w:hAnsi="Arial"/>
          <w:sz w:val="22"/>
          <w:szCs w:val="22"/>
          <w:color w:val="auto"/>
        </w:rPr>
        <w:t>Jazz shall not publish or present the Clinical Data, non-clinical data or any associated results or conclusions of any of the Zymeworks Ongoing Studies or Zymeworks Korean Studies until [***]. Thereafter, Jazz may publish or disclose Clinical Data, non-clinical data or any associated results or conclusions of any Zymeworks Ongoing Study or Zymeworks Korean Study in accordance with Section 11.1(b).</w:t>
      </w:r>
    </w:p>
    <w:p>
      <w:pPr>
        <w:spacing w:after="0" w:line="160" w:lineRule="exact"/>
        <w:rPr>
          <w:rFonts w:ascii="Arial" w:cs="Arial" w:eastAsia="Arial" w:hAnsi="Arial"/>
          <w:sz w:val="22"/>
          <w:szCs w:val="22"/>
          <w:b w:val="1"/>
          <w:bCs w:val="1"/>
          <w:color w:val="auto"/>
        </w:rPr>
      </w:pPr>
    </w:p>
    <w:p>
      <w:pPr>
        <w:jc w:val="both"/>
        <w:ind w:firstLine="1304"/>
        <w:spacing w:after="0" w:line="212" w:lineRule="auto"/>
        <w:tabs>
          <w:tab w:leader="none" w:pos="1938" w:val="left"/>
        </w:tabs>
        <w:numPr>
          <w:ilvl w:val="0"/>
          <w:numId w:val="132"/>
        </w:numPr>
        <w:rPr>
          <w:rFonts w:ascii="Arial" w:cs="Arial" w:eastAsia="Arial" w:hAnsi="Arial"/>
          <w:sz w:val="22"/>
          <w:szCs w:val="22"/>
          <w:b w:val="1"/>
          <w:bCs w:val="1"/>
          <w:color w:val="auto"/>
        </w:rPr>
      </w:pPr>
      <w:r>
        <w:rPr>
          <w:rFonts w:ascii="Arial" w:cs="Arial" w:eastAsia="Arial" w:hAnsi="Arial"/>
          <w:sz w:val="22"/>
          <w:szCs w:val="22"/>
          <w:color w:val="auto"/>
        </w:rPr>
        <w:t>Jazz may publicly present or publish any Clinical Data, non-clinical data or any associated results or conclusions generated by or on behalf of Jazz pursuant to this Agreement or, subject to Section 11.1(a), by Zymeworks pursuant to the Zymeworks Ongoing Studies or Zymeworks Korean Studies (each such proposed presentation or publication, a “</w:t>
      </w:r>
      <w:r>
        <w:rPr>
          <w:rFonts w:ascii="Arial" w:cs="Arial" w:eastAsia="Arial" w:hAnsi="Arial"/>
          <w:sz w:val="22"/>
          <w:szCs w:val="22"/>
          <w:b w:val="1"/>
          <w:bCs w:val="1"/>
          <w:color w:val="auto"/>
        </w:rPr>
        <w:t>Jazz</w:t>
      </w:r>
      <w:r>
        <w:rPr>
          <w:rFonts w:ascii="Arial" w:cs="Arial" w:eastAsia="Arial" w:hAnsi="Arial"/>
          <w:sz w:val="22"/>
          <w:szCs w:val="22"/>
          <w:color w:val="auto"/>
        </w:rPr>
        <w:t xml:space="preserve"> </w:t>
      </w:r>
      <w:r>
        <w:rPr>
          <w:rFonts w:ascii="Arial" w:cs="Arial" w:eastAsia="Arial" w:hAnsi="Arial"/>
          <w:sz w:val="22"/>
          <w:szCs w:val="22"/>
          <w:b w:val="1"/>
          <w:bCs w:val="1"/>
          <w:color w:val="auto"/>
        </w:rPr>
        <w:t>Publication</w:t>
      </w:r>
      <w:r>
        <w:rPr>
          <w:rFonts w:ascii="Arial" w:cs="Arial" w:eastAsia="Arial" w:hAnsi="Arial"/>
          <w:sz w:val="22"/>
          <w:szCs w:val="22"/>
          <w:color w:val="auto"/>
        </w:rPr>
        <w:t>”), and subject to the additional limitations set forth in this Article 11. In the event Jazz desires to publicly present or</w:t>
      </w:r>
      <w:r>
        <w:rPr>
          <w:rFonts w:ascii="Arial" w:cs="Arial" w:eastAsia="Arial" w:hAnsi="Arial"/>
          <w:sz w:val="22"/>
          <w:szCs w:val="22"/>
          <w:b w:val="1"/>
          <w:bCs w:val="1"/>
          <w:color w:val="auto"/>
        </w:rPr>
        <w:t xml:space="preserve"> </w:t>
      </w:r>
      <w:r>
        <w:rPr>
          <w:rFonts w:ascii="Arial" w:cs="Arial" w:eastAsia="Arial" w:hAnsi="Arial"/>
          <w:sz w:val="22"/>
          <w:szCs w:val="22"/>
          <w:color w:val="auto"/>
        </w:rPr>
        <w:t>publish a Jazz Publication in accordance with the foregoing sentence, Jazz shall provide Zymeworks with a copy of such proposed Jazz Publication at least [***] prior to the earlier of its presentation or intended submission for publication;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01" w:right="339" w:bottom="1440" w:gutter="0" w:footer="0" w:header="0"/>
        </w:sectPr>
      </w:pPr>
    </w:p>
    <w:bookmarkStart w:id="211" w:name="page212"/>
    <w:bookmarkEnd w:id="211"/>
    <w:p>
      <w:pPr>
        <w:jc w:val="both"/>
        <w:spacing w:after="0" w:line="219" w:lineRule="auto"/>
        <w:rPr>
          <w:sz w:val="20"/>
          <w:szCs w:val="20"/>
          <w:color w:val="auto"/>
        </w:rPr>
      </w:pPr>
      <w:r>
        <w:rPr>
          <w:rFonts w:ascii="Arial" w:cs="Arial" w:eastAsia="Arial" w:hAnsi="Arial"/>
          <w:sz w:val="21"/>
          <w:szCs w:val="21"/>
          <w:color w:val="auto"/>
        </w:rPr>
        <w:t>in the case of abstracts, this period shall be at least [***] (such applicable period, the “</w:t>
      </w:r>
      <w:r>
        <w:rPr>
          <w:rFonts w:ascii="Arial" w:cs="Arial" w:eastAsia="Arial" w:hAnsi="Arial"/>
          <w:sz w:val="21"/>
          <w:szCs w:val="21"/>
          <w:b w:val="1"/>
          <w:bCs w:val="1"/>
          <w:color w:val="auto"/>
        </w:rPr>
        <w:t>Review Period</w:t>
      </w:r>
      <w:r>
        <w:rPr>
          <w:rFonts w:ascii="Arial" w:cs="Arial" w:eastAsia="Arial" w:hAnsi="Arial"/>
          <w:sz w:val="21"/>
          <w:szCs w:val="21"/>
          <w:color w:val="auto"/>
        </w:rPr>
        <w:t>”). Jazz agrees that it will not submit or present any Jazz Publication (i) until Zymeworks has provided written comments during such Review Period on the material in such Jazz Publication or (ii) until the applicable Review Period has elapsed without written comments from Zymeworks, in which case Jazz may proceed and the Jazz Publication will be considered approved in its entirety. If Jazz receives written comments from Zymeworks during the applicable Review Period, it shall consider the comments of Zymeworks in good faith, but will retain the sole authority to submit the manuscript for Jazz Publication; provided that Jazz agrees (A) to delete any Confidential Information of Zymeworks that Zymeworks identifies for deletion in Zymeworks’ written comments and (B) to delay such Jazz Publication for a period of up to an additional [***] after the end of the applicable Review Period to enable Zymeworks to draft and file Patent Rights with respect to any subject matter to be made public in such Jazz Publication and to which Zymeworks has the applicable intellectual property rights to file such Patent Rights. Jazz agrees to acknowledge the contributions of Zymeworks, and the employees of Zymeworks, in all Jazz Publications as scientifically appropriate. Jazz shall require its Affiliates, sublicensees, contractors and investigators or academic or non-profit collaborators to comply with the obligations of Section 11.1.</w:t>
      </w:r>
    </w:p>
    <w:p>
      <w:pPr>
        <w:spacing w:after="0" w:line="165" w:lineRule="exact"/>
        <w:rPr>
          <w:sz w:val="20"/>
          <w:szCs w:val="20"/>
          <w:color w:val="auto"/>
        </w:rPr>
      </w:pPr>
    </w:p>
    <w:p>
      <w:pPr>
        <w:jc w:val="both"/>
        <w:ind w:firstLine="1304"/>
        <w:spacing w:after="0"/>
        <w:tabs>
          <w:tab w:leader="none" w:pos="1941" w:val="left"/>
        </w:tabs>
        <w:numPr>
          <w:ilvl w:val="0"/>
          <w:numId w:val="133"/>
        </w:numPr>
        <w:rPr>
          <w:rFonts w:ascii="Arial" w:cs="Arial" w:eastAsia="Arial" w:hAnsi="Arial"/>
          <w:sz w:val="19"/>
          <w:szCs w:val="19"/>
          <w:b w:val="1"/>
          <w:bCs w:val="1"/>
          <w:color w:val="auto"/>
        </w:rPr>
      </w:pPr>
      <w:r>
        <w:rPr>
          <w:rFonts w:ascii="Arial" w:cs="Arial" w:eastAsia="Arial" w:hAnsi="Arial"/>
          <w:sz w:val="19"/>
          <w:szCs w:val="19"/>
          <w:color w:val="auto"/>
        </w:rPr>
        <w:t>Without limiting Section 11.1(a), Zymeworks shall have the right to publicly present or publish any Clinical Data, non-clinical data or any associated results or conclusions related to the Licensed Product associated with such Clinical Data generated by or on behalf of Zymeworks pursuant to the Zymeworks Ongoing Studies, including the first publication or presentation regarding the Zymeworks Ongoing Studies after such studies are completed by Zymeworks (each such proposed presentation or publication, a “</w:t>
      </w:r>
      <w:r>
        <w:rPr>
          <w:rFonts w:ascii="Arial" w:cs="Arial" w:eastAsia="Arial" w:hAnsi="Arial"/>
          <w:sz w:val="19"/>
          <w:szCs w:val="19"/>
          <w:b w:val="1"/>
          <w:bCs w:val="1"/>
          <w:color w:val="auto"/>
        </w:rPr>
        <w:t>Zymeworks Publication</w:t>
      </w:r>
      <w:r>
        <w:rPr>
          <w:rFonts w:ascii="Arial" w:cs="Arial" w:eastAsia="Arial" w:hAnsi="Arial"/>
          <w:sz w:val="19"/>
          <w:szCs w:val="19"/>
          <w:color w:val="auto"/>
        </w:rPr>
        <w:t>” and, collectively with any Jazz Publication, a “</w:t>
      </w:r>
      <w:r>
        <w:rPr>
          <w:rFonts w:ascii="Arial" w:cs="Arial" w:eastAsia="Arial" w:hAnsi="Arial"/>
          <w:sz w:val="19"/>
          <w:szCs w:val="19"/>
          <w:b w:val="1"/>
          <w:bCs w:val="1"/>
          <w:color w:val="auto"/>
        </w:rPr>
        <w:t>Publication</w:t>
      </w:r>
      <w:r>
        <w:rPr>
          <w:rFonts w:ascii="Arial" w:cs="Arial" w:eastAsia="Arial" w:hAnsi="Arial"/>
          <w:sz w:val="19"/>
          <w:szCs w:val="19"/>
          <w:color w:val="auto"/>
        </w:rPr>
        <w:t>”), subject to the limitations set forth in this Section 11.1(c). In the event Zymeworks desires to publicly present or publish a Zymeworks Publication in accordance with the foregoing sentence, Zymeworks shall provide Jazz with a copy of such proposed Zymeworks Publication consistent with the applicable Review Period set forth in Section 11.1(b). Zymeworks agrees that it will not submit or present any such Zymeworks Publication (i) until Jazz has provided written comments during such Review Period on the material in such Zymeworks Publication or (ii) until the applicable Review Period has elapsed without written comments from Jazz, in which case Zymeworks may proceed and the Zymeworks Publication will be considered approved in its entirety. If Zymeworks receives written comments from Jazz during the applicable Review Period, it shall consider the comments of Jazz in good faith, but will retain the sole authority to submit the manuscript for such Zymeworks Publication; provided that Zymeworks agrees to (A) delete any Confidential Information of Jazz that Jazz identifies for deletion in Jazz’s written comments and (B) delay such Zymeworks Publication for a period of up to an additional [***] after the end of the applicable Review Period to enable Jazz to draft and file Patent Rights with respect to any subject matter to be made public in such Zymeworks Publication and to which Jazz has the applicable intellectual property rights to file such Patent Rights. Zymeworks agrees to acknowledge the contributions of Jazz, and the employees of Jazz, in all Zymeworks Publications as scientifically appropriate. Zymeworks shall require its Affiliates, sublicensees, contractors and investigators or academic or non-profit collaborators to comply with the obligations of this Section 11.1(c).</w:t>
      </w:r>
    </w:p>
    <w:p>
      <w:pPr>
        <w:spacing w:after="0" w:line="384" w:lineRule="exact"/>
        <w:rPr>
          <w:rFonts w:ascii="Arial" w:cs="Arial" w:eastAsia="Arial" w:hAnsi="Arial"/>
          <w:sz w:val="19"/>
          <w:szCs w:val="19"/>
          <w:b w:val="1"/>
          <w:bCs w:val="1"/>
          <w:color w:val="auto"/>
        </w:rPr>
      </w:pPr>
    </w:p>
    <w:p>
      <w:pPr>
        <w:jc w:val="both"/>
        <w:ind w:firstLine="1304"/>
        <w:spacing w:after="0" w:line="223" w:lineRule="auto"/>
        <w:tabs>
          <w:tab w:leader="none" w:pos="1938"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To the extent Zymeworks proposes a Publication containing any Clinical Data, non-clinical data or any associated results or conclusions that Jazz has told Zymeworks that it intends to include in a Publication, the Parties shall use reasonable efforts to coordinate the submission and timing of such Publications.</w:t>
      </w:r>
    </w:p>
    <w:p>
      <w:pPr>
        <w:spacing w:after="0" w:line="158" w:lineRule="exact"/>
        <w:rPr>
          <w:rFonts w:ascii="Arial" w:cs="Arial" w:eastAsia="Arial" w:hAnsi="Arial"/>
          <w:sz w:val="22"/>
          <w:szCs w:val="22"/>
          <w:b w:val="1"/>
          <w:bCs w:val="1"/>
          <w:color w:val="auto"/>
        </w:rPr>
      </w:pPr>
    </w:p>
    <w:p>
      <w:pPr>
        <w:ind w:firstLine="1304"/>
        <w:spacing w:after="0" w:line="232" w:lineRule="auto"/>
        <w:tabs>
          <w:tab w:leader="none" w:pos="1941"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Zymeworks shall provide Jazz with a copy of any proposed presentation or publication (and an English translation thereof) that Zymeworks receives from the 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395" w:right="339" w:bottom="1440" w:gutter="0" w:footer="0" w:header="0"/>
        </w:sectPr>
      </w:pPr>
    </w:p>
    <w:bookmarkStart w:id="212" w:name="page213"/>
    <w:bookmarkEnd w:id="212"/>
    <w:p>
      <w:pPr>
        <w:ind w:right="20"/>
        <w:spacing w:after="0" w:line="232" w:lineRule="auto"/>
        <w:rPr>
          <w:sz w:val="20"/>
          <w:szCs w:val="20"/>
          <w:color w:val="auto"/>
        </w:rPr>
      </w:pPr>
      <w:r>
        <w:rPr>
          <w:rFonts w:ascii="Arial" w:cs="Arial" w:eastAsia="Arial" w:hAnsi="Arial"/>
          <w:sz w:val="22"/>
          <w:szCs w:val="22"/>
          <w:color w:val="auto"/>
        </w:rPr>
        <w:t>Territory Partner within [***] after receipt by Zymeworks; provided that in the case of abstracts, this period shall be [***] after receipt by Zymeworks. [***].</w:t>
      </w:r>
    </w:p>
    <w:p>
      <w:pPr>
        <w:spacing w:after="0" w:line="159" w:lineRule="exact"/>
        <w:rPr>
          <w:sz w:val="20"/>
          <w:szCs w:val="20"/>
          <w:color w:val="auto"/>
        </w:rPr>
      </w:pPr>
    </w:p>
    <w:p>
      <w:pPr>
        <w:jc w:val="both"/>
        <w:ind w:firstLine="1304"/>
        <w:spacing w:after="0" w:line="223" w:lineRule="auto"/>
        <w:tabs>
          <w:tab w:leader="none" w:pos="1944" w:val="left"/>
        </w:tabs>
        <w:numPr>
          <w:ilvl w:val="0"/>
          <w:numId w:val="134"/>
        </w:numPr>
        <w:rPr>
          <w:rFonts w:ascii="Arial" w:cs="Arial" w:eastAsia="Arial" w:hAnsi="Arial"/>
          <w:sz w:val="22"/>
          <w:szCs w:val="22"/>
          <w:b w:val="1"/>
          <w:bCs w:val="1"/>
          <w:color w:val="auto"/>
        </w:rPr>
      </w:pPr>
      <w:r>
        <w:rPr>
          <w:rFonts w:ascii="Arial" w:cs="Arial" w:eastAsia="Arial" w:hAnsi="Arial"/>
          <w:sz w:val="22"/>
          <w:szCs w:val="22"/>
          <w:color w:val="auto"/>
        </w:rPr>
        <w:t>Notwithstanding anything to the contrary in this Section 11.1, the contents of any press release or other publication that has been reviewed and approved by a reviewing Party in accordance with this Article 11 may be re-released by such reviewing Party or publishing Party without a requirement for re-approval.</w:t>
      </w:r>
    </w:p>
    <w:p>
      <w:pPr>
        <w:spacing w:after="0" w:line="153"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b w:val="1"/>
          <w:bCs w:val="1"/>
          <w:color w:val="auto"/>
        </w:rPr>
        <w:t xml:space="preserve">11.2 Publication and Listing of Clinical Trials. </w:t>
      </w:r>
      <w:r>
        <w:rPr>
          <w:rFonts w:ascii="Arial" w:cs="Arial" w:eastAsia="Arial" w:hAnsi="Arial"/>
          <w:sz w:val="22"/>
          <w:szCs w:val="22"/>
          <w:color w:val="auto"/>
        </w:rPr>
        <w:t>Each Party agrees to comply, with respect to the listing of Clinical</w:t>
      </w:r>
      <w:r>
        <w:rPr>
          <w:rFonts w:ascii="Arial" w:cs="Arial" w:eastAsia="Arial" w:hAnsi="Arial"/>
          <w:sz w:val="22"/>
          <w:szCs w:val="22"/>
          <w:b w:val="1"/>
          <w:bCs w:val="1"/>
          <w:color w:val="auto"/>
        </w:rPr>
        <w:t xml:space="preserve"> </w:t>
      </w:r>
      <w:r>
        <w:rPr>
          <w:rFonts w:ascii="Arial" w:cs="Arial" w:eastAsia="Arial" w:hAnsi="Arial"/>
          <w:sz w:val="22"/>
          <w:szCs w:val="22"/>
          <w:color w:val="auto"/>
        </w:rPr>
        <w:t>Trials or the publication of Clinical Trial results with respect to Licensed Products and to the extent applicable to its activities conducted under this Agreement, with (a) the Pharmaceutical Research and Manufacturers of America (PhRMA) Guidelines on the listing of Clinical Trials and the Publication of Clinical Trial results or equivalent foreign publication, and (b) any Applicable Law or applicable court order, stipulations, consent agreements and settlements entered into by such Party; provided that any listings or publications made pursuant to this Section 11.2 shall be considered a Publication hereunder and shall be subject to Section 11.1.</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9"/>
          <w:szCs w:val="19"/>
          <w:b w:val="1"/>
          <w:bCs w:val="1"/>
          <w:color w:val="auto"/>
        </w:rPr>
        <w:t>Publicity</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6" w:lineRule="auto"/>
        <w:tabs>
          <w:tab w:leader="none" w:pos="1939" w:val="left"/>
        </w:tabs>
        <w:numPr>
          <w:ilvl w:val="1"/>
          <w:numId w:val="135"/>
        </w:numPr>
        <w:rPr>
          <w:rFonts w:ascii="Arial" w:cs="Arial" w:eastAsia="Arial" w:hAnsi="Arial"/>
          <w:sz w:val="19"/>
          <w:szCs w:val="19"/>
          <w:b w:val="1"/>
          <w:bCs w:val="1"/>
          <w:color w:val="auto"/>
        </w:rPr>
      </w:pPr>
      <w:r>
        <w:rPr>
          <w:rFonts w:ascii="Arial" w:cs="Arial" w:eastAsia="Arial" w:hAnsi="Arial"/>
          <w:sz w:val="19"/>
          <w:szCs w:val="19"/>
          <w:color w:val="auto"/>
        </w:rPr>
        <w:t xml:space="preserve">The Parties have mutually approved a joint press release attached hereto as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with respect to this Agreement, and either Party may make subsequent public disclosure of the contents of such press release. Subject to the foregoing, each Party agrees not to issue any press release or other public statement, whether oral or written, disclosing the terms hereof or any of the activities conducted hereunder without the prior written consent of the other Party (such consent not to be unreasonably withheld, conditioned or delayed), provided, however, that neither Party will be prevented from complying with any duty of disclosure it may have pursuant to Applicable Laws or pursuant to the rules of any recognized stock exchange or quotation system, subject to that Party notifying the other Party of such duty and limiting such disclosure as reasonably requested by the other Party (and giving the other Party at least [***] to review and comment on any proposed disclosure).</w:t>
      </w:r>
    </w:p>
    <w:p>
      <w:pPr>
        <w:spacing w:after="0" w:line="158" w:lineRule="exact"/>
        <w:rPr>
          <w:rFonts w:ascii="Arial" w:cs="Arial" w:eastAsia="Arial" w:hAnsi="Arial"/>
          <w:sz w:val="19"/>
          <w:szCs w:val="19"/>
          <w:b w:val="1"/>
          <w:bCs w:val="1"/>
          <w:color w:val="auto"/>
        </w:rPr>
      </w:pPr>
    </w:p>
    <w:p>
      <w:pPr>
        <w:jc w:val="both"/>
        <w:ind w:firstLine="1304"/>
        <w:spacing w:after="0" w:line="243" w:lineRule="auto"/>
        <w:tabs>
          <w:tab w:leader="none" w:pos="1938" w:val="left"/>
        </w:tabs>
        <w:numPr>
          <w:ilvl w:val="1"/>
          <w:numId w:val="135"/>
        </w:numPr>
        <w:rPr>
          <w:rFonts w:ascii="Arial" w:cs="Arial" w:eastAsia="Arial" w:hAnsi="Arial"/>
          <w:sz w:val="19"/>
          <w:szCs w:val="19"/>
          <w:b w:val="1"/>
          <w:bCs w:val="1"/>
          <w:color w:val="auto"/>
        </w:rPr>
      </w:pPr>
      <w:r>
        <w:rPr>
          <w:rFonts w:ascii="Arial" w:cs="Arial" w:eastAsia="Arial" w:hAnsi="Arial"/>
          <w:sz w:val="19"/>
          <w:szCs w:val="19"/>
          <w:color w:val="auto"/>
        </w:rPr>
        <w:t>Notwithstanding Section 11.3(a), to the extent required by Applicable Laws or by any Securities Regulator (as defined below), Zymeworks has the right to publicly disclose [***]. Prior to making any required disclosure under this Section 11.3(b), Zymeworks shall (x) promptly notify Jazz in writing of such requirement and any respective timing constraints,</w:t>
      </w:r>
    </w:p>
    <w:p>
      <w:pPr>
        <w:spacing w:after="0" w:line="2" w:lineRule="exact"/>
        <w:rPr>
          <w:rFonts w:ascii="Arial" w:cs="Arial" w:eastAsia="Arial" w:hAnsi="Arial"/>
          <w:sz w:val="19"/>
          <w:szCs w:val="19"/>
          <w:b w:val="1"/>
          <w:bCs w:val="1"/>
          <w:color w:val="auto"/>
        </w:rPr>
      </w:pPr>
    </w:p>
    <w:p>
      <w:pPr>
        <w:jc w:val="both"/>
        <w:ind w:firstLine="8"/>
        <w:spacing w:after="0" w:line="212" w:lineRule="auto"/>
        <w:tabs>
          <w:tab w:leader="none" w:pos="321" w:val="left"/>
        </w:tabs>
        <w:numPr>
          <w:ilvl w:val="0"/>
          <w:numId w:val="136"/>
        </w:numPr>
        <w:rPr>
          <w:rFonts w:ascii="Arial" w:cs="Arial" w:eastAsia="Arial" w:hAnsi="Arial"/>
          <w:sz w:val="22"/>
          <w:szCs w:val="22"/>
          <w:color w:val="auto"/>
        </w:rPr>
      </w:pPr>
      <w:r>
        <w:rPr>
          <w:rFonts w:ascii="Arial" w:cs="Arial" w:eastAsia="Arial" w:hAnsi="Arial"/>
          <w:sz w:val="22"/>
          <w:szCs w:val="22"/>
          <w:color w:val="auto"/>
        </w:rPr>
        <w:t>provide copies of the proposed disclosure to Jazz reasonably in advance of such public disclosure and (z) give Jazz at least [***] to comment upon and request removal of any Confidential Information of Jazz that is not required for such disclosure. Zymeworks shall incorporate such comments received from Jazz within the respective time periods or constraints specified herein. After a Publication has been made available to the public, each Party may post such Publication or a link to it on its corporate web site without the prior written consent of the other Party.</w:t>
      </w:r>
    </w:p>
    <w:p>
      <w:pPr>
        <w:spacing w:after="0" w:line="160" w:lineRule="exact"/>
        <w:rPr>
          <w:rFonts w:ascii="Arial" w:cs="Arial" w:eastAsia="Arial" w:hAnsi="Arial"/>
          <w:sz w:val="22"/>
          <w:szCs w:val="22"/>
          <w:color w:val="auto"/>
        </w:rPr>
      </w:pPr>
    </w:p>
    <w:p>
      <w:pPr>
        <w:jc w:val="both"/>
        <w:ind w:firstLine="1304"/>
        <w:spacing w:after="0" w:line="221" w:lineRule="auto"/>
        <w:tabs>
          <w:tab w:leader="none" w:pos="1941" w:val="left"/>
        </w:tabs>
        <w:numPr>
          <w:ilvl w:val="1"/>
          <w:numId w:val="136"/>
        </w:numPr>
        <w:rPr>
          <w:rFonts w:ascii="Arial" w:cs="Arial" w:eastAsia="Arial" w:hAnsi="Arial"/>
          <w:sz w:val="21"/>
          <w:szCs w:val="21"/>
          <w:b w:val="1"/>
          <w:bCs w:val="1"/>
          <w:color w:val="auto"/>
        </w:rPr>
      </w:pPr>
      <w:r>
        <w:rPr>
          <w:rFonts w:ascii="Arial" w:cs="Arial" w:eastAsia="Arial" w:hAnsi="Arial"/>
          <w:sz w:val="21"/>
          <w:szCs w:val="21"/>
          <w:color w:val="auto"/>
        </w:rPr>
        <w:t>The Parties hereby acknowledge and agree that either Party may be required by Applicable Laws to submit a copy of this Agreement to the U.S. Securities and Exchange Commission (the “</w:t>
      </w:r>
      <w:r>
        <w:rPr>
          <w:rFonts w:ascii="Arial" w:cs="Arial" w:eastAsia="Arial" w:hAnsi="Arial"/>
          <w:sz w:val="21"/>
          <w:szCs w:val="21"/>
          <w:b w:val="1"/>
          <w:bCs w:val="1"/>
          <w:color w:val="auto"/>
        </w:rPr>
        <w:t>SEC</w:t>
      </w:r>
      <w:r>
        <w:rPr>
          <w:rFonts w:ascii="Arial" w:cs="Arial" w:eastAsia="Arial" w:hAnsi="Arial"/>
          <w:sz w:val="21"/>
          <w:szCs w:val="21"/>
          <w:color w:val="auto"/>
        </w:rPr>
        <w:t>”) or any national or sub-national securities regulatory body in any jurisdiction (collectively, the “</w:t>
      </w:r>
      <w:r>
        <w:rPr>
          <w:rFonts w:ascii="Arial" w:cs="Arial" w:eastAsia="Arial" w:hAnsi="Arial"/>
          <w:sz w:val="21"/>
          <w:szCs w:val="21"/>
          <w:b w:val="1"/>
          <w:bCs w:val="1"/>
          <w:color w:val="auto"/>
        </w:rPr>
        <w:t>Securities Regulators</w:t>
      </w:r>
      <w:r>
        <w:rPr>
          <w:rFonts w:ascii="Arial" w:cs="Arial" w:eastAsia="Arial" w:hAnsi="Arial"/>
          <w:sz w:val="21"/>
          <w:szCs w:val="21"/>
          <w:color w:val="auto"/>
        </w:rPr>
        <w:t>”). If a Party is required by Applicable Laws to submit a description of the terms of this Agreement to or file a copy of this Agreement with any Securities Regulator, such Party agrees to consult and coordinate with the other Party with respect to such disclosure or the preparation and submission of a confidential treatment request for this Agreement. Notwithstanding the foregoing, if a Party is required by Applicable Laws to submit a description of the terms of this Agreement to or file a copy of this Agreement with any Securities Regulator and such Party has [***], then such Party will have the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01" w:right="339" w:bottom="1440" w:gutter="0" w:footer="0" w:header="0"/>
        </w:sectPr>
      </w:pPr>
    </w:p>
    <w:bookmarkStart w:id="213" w:name="page214"/>
    <w:bookmarkEnd w:id="213"/>
    <w:p>
      <w:pPr>
        <w:jc w:val="both"/>
        <w:spacing w:after="0" w:line="229" w:lineRule="auto"/>
        <w:rPr>
          <w:sz w:val="20"/>
          <w:szCs w:val="20"/>
          <w:color w:val="auto"/>
        </w:rPr>
      </w:pPr>
      <w:r>
        <w:rPr>
          <w:rFonts w:ascii="Arial" w:cs="Arial" w:eastAsia="Arial" w:hAnsi="Arial"/>
          <w:sz w:val="21"/>
          <w:szCs w:val="21"/>
          <w:color w:val="auto"/>
        </w:rPr>
        <w:t>make such disclosure or filing at the time and in the manner reasonably determined by its counsel to be required by Applicable Laws or the applicable Securities Regulator. If a Party seeks to make a disclosure or filing as set forth in this Section 11.3(c) and the other Party provides comments within the respective time periods or constraints specified herein, the Party seeking to make such disclosure or filing will in good faith consider incorporating such comments.</w:t>
      </w:r>
    </w:p>
    <w:p>
      <w:pPr>
        <w:spacing w:after="0" w:line="15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b w:val="1"/>
          <w:bCs w:val="1"/>
          <w:color w:val="auto"/>
        </w:rPr>
        <w:t>11.4 Use of Names</w:t>
      </w:r>
      <w:r>
        <w:rPr>
          <w:rFonts w:ascii="Arial" w:cs="Arial" w:eastAsia="Arial" w:hAnsi="Arial"/>
          <w:sz w:val="21"/>
          <w:szCs w:val="21"/>
          <w:color w:val="auto"/>
        </w:rPr>
        <w:t>. Except as set forth in this Article 11, Section 8.3(c) and Section 14.9, neither Party will use the</w:t>
      </w:r>
      <w:r>
        <w:rPr>
          <w:rFonts w:ascii="Arial" w:cs="Arial" w:eastAsia="Arial" w:hAnsi="Arial"/>
          <w:sz w:val="21"/>
          <w:szCs w:val="21"/>
          <w:b w:val="1"/>
          <w:bCs w:val="1"/>
          <w:color w:val="auto"/>
        </w:rPr>
        <w:t xml:space="preserve"> </w:t>
      </w:r>
      <w:r>
        <w:rPr>
          <w:rFonts w:ascii="Arial" w:cs="Arial" w:eastAsia="Arial" w:hAnsi="Arial"/>
          <w:sz w:val="21"/>
          <w:szCs w:val="21"/>
          <w:color w:val="auto"/>
        </w:rPr>
        <w:t>name, logo or trademark of the other Party or its employees in any publicity, news release, presentation or other disclosure relating to this Agreement, its subject matter, or the activities of the Parties under this Agreement without the prior express written permission of the other Party, except (a) as may be required by Applicable Laws, including by any Securities Regulator, or pursuant to the rules of any recognized stock exchange or quotation system; provided that the Party making such disclosure or use of the name, logo or trademark of the other Party or its employees, gives the other Parties reasonable prior notice (at least [***]) and otherwise complies with Section 11.3(c), (b) disclosing the existence of this Agreement on its website and to actual or potential investors or acquirers, or (c) as expressly permitted by the terms and conditions hereof, including in connection with permitted disclosures of this Agreement.</w:t>
      </w:r>
    </w:p>
    <w:p>
      <w:pPr>
        <w:spacing w:after="0" w:line="15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12</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REPRESENTATIONS, WARRANTIES, AND COVENANTS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b w:val="1"/>
          <w:bCs w:val="1"/>
          <w:color w:val="auto"/>
        </w:rPr>
        <w:t xml:space="preserve">Representations, Warranties of Each Party. </w:t>
      </w:r>
      <w:r>
        <w:rPr>
          <w:rFonts w:ascii="Arial" w:cs="Arial" w:eastAsia="Arial" w:hAnsi="Arial"/>
          <w:sz w:val="19"/>
          <w:szCs w:val="19"/>
          <w:color w:val="auto"/>
        </w:rPr>
        <w:t>Each Party represents and warrants to the other Party that:</w:t>
      </w:r>
    </w:p>
    <w:p>
      <w:pPr>
        <w:spacing w:after="0" w:line="185" w:lineRule="exact"/>
        <w:rPr>
          <w:sz w:val="20"/>
          <w:szCs w:val="20"/>
          <w:color w:val="auto"/>
        </w:rPr>
      </w:pPr>
    </w:p>
    <w:p>
      <w:pPr>
        <w:ind w:firstLine="1304"/>
        <w:spacing w:after="0" w:line="232" w:lineRule="auto"/>
        <w:tabs>
          <w:tab w:leader="none" w:pos="1939" w:val="left"/>
        </w:tabs>
        <w:numPr>
          <w:ilvl w:val="0"/>
          <w:numId w:val="137"/>
        </w:numPr>
        <w:rPr>
          <w:rFonts w:ascii="Arial" w:cs="Arial" w:eastAsia="Arial" w:hAnsi="Arial"/>
          <w:sz w:val="22"/>
          <w:szCs w:val="22"/>
          <w:b w:val="1"/>
          <w:bCs w:val="1"/>
          <w:color w:val="auto"/>
        </w:rPr>
      </w:pPr>
      <w:r>
        <w:rPr>
          <w:rFonts w:ascii="Arial" w:cs="Arial" w:eastAsia="Arial" w:hAnsi="Arial"/>
          <w:sz w:val="22"/>
          <w:szCs w:val="22"/>
          <w:color w:val="auto"/>
        </w:rPr>
        <w:t>it is a corporation or limited liability company duly organized, validly existing, and in good standing under the laws of the jurisdiction of formation;</w:t>
      </w:r>
    </w:p>
    <w:p>
      <w:pPr>
        <w:spacing w:after="0" w:line="158" w:lineRule="exact"/>
        <w:rPr>
          <w:rFonts w:ascii="Arial" w:cs="Arial" w:eastAsia="Arial" w:hAnsi="Arial"/>
          <w:sz w:val="22"/>
          <w:szCs w:val="22"/>
          <w:b w:val="1"/>
          <w:bCs w:val="1"/>
          <w:color w:val="auto"/>
        </w:rPr>
      </w:pPr>
    </w:p>
    <w:p>
      <w:pPr>
        <w:jc w:val="both"/>
        <w:ind w:firstLine="1304"/>
        <w:spacing w:after="0" w:line="218" w:lineRule="auto"/>
        <w:tabs>
          <w:tab w:leader="none" w:pos="1938" w:val="left"/>
        </w:tabs>
        <w:numPr>
          <w:ilvl w:val="0"/>
          <w:numId w:val="137"/>
        </w:numPr>
        <w:rPr>
          <w:rFonts w:ascii="Arial" w:cs="Arial" w:eastAsia="Arial" w:hAnsi="Arial"/>
          <w:sz w:val="22"/>
          <w:szCs w:val="22"/>
          <w:b w:val="1"/>
          <w:bCs w:val="1"/>
          <w:color w:val="auto"/>
        </w:rPr>
      </w:pPr>
      <w:r>
        <w:rPr>
          <w:rFonts w:ascii="Arial" w:cs="Arial" w:eastAsia="Arial" w:hAnsi="Arial"/>
          <w:sz w:val="22"/>
          <w:szCs w:val="22"/>
          <w:color w:val="auto"/>
        </w:rPr>
        <w:t>it has full corporate or organizational power and authority to execute, deliver, and perform its obligations under this Agreement, and has taken all corporate or other organizational action required by Applicable Laws and its organizational documents to authorize the execution and delivery of this Agreement and the consummation of the transactions contemplated by this Agreement;</w:t>
      </w:r>
    </w:p>
    <w:p>
      <w:pPr>
        <w:spacing w:after="0" w:line="160" w:lineRule="exact"/>
        <w:rPr>
          <w:rFonts w:ascii="Arial" w:cs="Arial" w:eastAsia="Arial" w:hAnsi="Arial"/>
          <w:sz w:val="22"/>
          <w:szCs w:val="22"/>
          <w:b w:val="1"/>
          <w:bCs w:val="1"/>
          <w:color w:val="auto"/>
        </w:rPr>
      </w:pPr>
    </w:p>
    <w:p>
      <w:pPr>
        <w:jc w:val="both"/>
        <w:ind w:firstLine="1304"/>
        <w:spacing w:after="0" w:line="218" w:lineRule="auto"/>
        <w:tabs>
          <w:tab w:leader="none" w:pos="1941" w:val="left"/>
        </w:tabs>
        <w:numPr>
          <w:ilvl w:val="0"/>
          <w:numId w:val="137"/>
        </w:numPr>
        <w:rPr>
          <w:rFonts w:ascii="Arial" w:cs="Arial" w:eastAsia="Arial" w:hAnsi="Arial"/>
          <w:sz w:val="22"/>
          <w:szCs w:val="22"/>
          <w:b w:val="1"/>
          <w:bCs w:val="1"/>
          <w:color w:val="auto"/>
        </w:rPr>
      </w:pPr>
      <w:r>
        <w:rPr>
          <w:rFonts w:ascii="Arial" w:cs="Arial" w:eastAsia="Arial" w:hAnsi="Arial"/>
          <w:sz w:val="22"/>
          <w:szCs w:val="22"/>
          <w:color w:val="auto"/>
        </w:rPr>
        <w:t>this Agreement constitutes a valid and binding agreement enforceable against it in accordance with its terms (except as the enforceability thereof may be limited by bankruptcy, bank moratorium or similar laws affecting creditors’ rights generally and laws restricting the availability of equitable remedies and may be subject to general principles of equity whether or not such enforceability is considered in a proceeding at law or in equity); and</w:t>
      </w:r>
    </w:p>
    <w:p>
      <w:pPr>
        <w:spacing w:after="0" w:line="160" w:lineRule="exact"/>
        <w:rPr>
          <w:rFonts w:ascii="Arial" w:cs="Arial" w:eastAsia="Arial" w:hAnsi="Arial"/>
          <w:sz w:val="22"/>
          <w:szCs w:val="22"/>
          <w:b w:val="1"/>
          <w:bCs w:val="1"/>
          <w:color w:val="auto"/>
        </w:rPr>
      </w:pPr>
    </w:p>
    <w:p>
      <w:pPr>
        <w:jc w:val="both"/>
        <w:ind w:firstLine="1304"/>
        <w:spacing w:after="0" w:line="218" w:lineRule="auto"/>
        <w:tabs>
          <w:tab w:leader="none" w:pos="1938" w:val="left"/>
        </w:tabs>
        <w:numPr>
          <w:ilvl w:val="0"/>
          <w:numId w:val="137"/>
        </w:numPr>
        <w:rPr>
          <w:rFonts w:ascii="Arial" w:cs="Arial" w:eastAsia="Arial" w:hAnsi="Arial"/>
          <w:sz w:val="22"/>
          <w:szCs w:val="22"/>
          <w:b w:val="1"/>
          <w:bCs w:val="1"/>
          <w:color w:val="auto"/>
        </w:rPr>
      </w:pPr>
      <w:r>
        <w:rPr>
          <w:rFonts w:ascii="Arial" w:cs="Arial" w:eastAsia="Arial" w:hAnsi="Arial"/>
          <w:sz w:val="22"/>
          <w:szCs w:val="22"/>
          <w:color w:val="auto"/>
        </w:rPr>
        <w:t>the execution and delivery of this Agreement and all other instruments and documents required to be executed pursuant to this Agreement, and the consummation of the transactions contemplated hereby do not and shall not (i) conflict with or result in a breach of any provision of its organizational documents, (ii) result in a breach of any agreement to which it is a party; or (iii) violate any Applicable Laws.</w:t>
      </w:r>
    </w:p>
    <w:p>
      <w:pPr>
        <w:spacing w:after="0" w:line="1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21"/>
          <w:szCs w:val="21"/>
          <w:b w:val="1"/>
          <w:bCs w:val="1"/>
          <w:color w:val="auto"/>
        </w:rPr>
        <w:t xml:space="preserve">Representations and Warranties of Zymeworks. </w:t>
      </w:r>
      <w:r>
        <w:rPr>
          <w:rFonts w:ascii="Arial" w:cs="Arial" w:eastAsia="Arial" w:hAnsi="Arial"/>
          <w:sz w:val="21"/>
          <w:szCs w:val="21"/>
          <w:color w:val="auto"/>
        </w:rPr>
        <w:t>Zymeworks represents and warrants to Jazz as of the</w:t>
      </w:r>
    </w:p>
    <w:p>
      <w:pPr>
        <w:spacing w:after="0"/>
        <w:rPr>
          <w:sz w:val="20"/>
          <w:szCs w:val="20"/>
          <w:color w:val="auto"/>
        </w:rPr>
      </w:pPr>
      <w:r>
        <w:rPr>
          <w:rFonts w:ascii="Arial" w:cs="Arial" w:eastAsia="Arial" w:hAnsi="Arial"/>
          <w:sz w:val="22"/>
          <w:szCs w:val="22"/>
          <w:color w:val="auto"/>
        </w:rPr>
        <w:t>Execution Date that:</w:t>
      </w:r>
    </w:p>
    <w:p>
      <w:pPr>
        <w:spacing w:after="0" w:line="161" w:lineRule="exact"/>
        <w:rPr>
          <w:sz w:val="20"/>
          <w:szCs w:val="20"/>
          <w:color w:val="auto"/>
        </w:rPr>
      </w:pPr>
    </w:p>
    <w:p>
      <w:pPr>
        <w:ind w:right="20" w:firstLine="1304"/>
        <w:spacing w:after="0" w:line="232" w:lineRule="auto"/>
        <w:tabs>
          <w:tab w:leader="none" w:pos="1939" w:val="left"/>
        </w:tabs>
        <w:numPr>
          <w:ilvl w:val="0"/>
          <w:numId w:val="138"/>
        </w:numPr>
        <w:rPr>
          <w:rFonts w:ascii="Arial" w:cs="Arial" w:eastAsia="Arial" w:hAnsi="Arial"/>
          <w:sz w:val="22"/>
          <w:szCs w:val="22"/>
          <w:b w:val="1"/>
          <w:bCs w:val="1"/>
          <w:color w:val="auto"/>
        </w:rPr>
      </w:pPr>
      <w:r>
        <w:rPr>
          <w:rFonts w:ascii="Arial" w:cs="Arial" w:eastAsia="Arial" w:hAnsi="Arial"/>
          <w:sz w:val="22"/>
          <w:szCs w:val="22"/>
          <w:u w:val="single" w:color="auto"/>
          <w:color w:val="auto"/>
        </w:rPr>
        <w:t>Schedule 12.2(a)</w:t>
      </w:r>
      <w:r>
        <w:rPr>
          <w:rFonts w:ascii="Arial" w:cs="Arial" w:eastAsia="Arial" w:hAnsi="Arial"/>
          <w:sz w:val="22"/>
          <w:szCs w:val="22"/>
          <w:color w:val="auto"/>
        </w:rPr>
        <w:t xml:space="preserve"> sets forth a complete and accurate list of all Zymeworks Patent Rights owned by Zymeworks as of the Execution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01" w:right="339" w:bottom="1440" w:gutter="0" w:footer="0" w:header="0"/>
        </w:sectPr>
      </w:pPr>
    </w:p>
    <w:bookmarkStart w:id="214" w:name="page215"/>
    <w:bookmarkEnd w:id="214"/>
    <w:p>
      <w:pPr>
        <w:ind w:left="1940" w:hanging="636"/>
        <w:spacing w:after="0"/>
        <w:tabs>
          <w:tab w:leader="none" w:pos="1940" w:val="left"/>
        </w:tabs>
        <w:numPr>
          <w:ilvl w:val="0"/>
          <w:numId w:val="139"/>
        </w:numPr>
        <w:rPr>
          <w:rFonts w:ascii="Arial" w:cs="Arial" w:eastAsia="Arial" w:hAnsi="Arial"/>
          <w:sz w:val="19"/>
          <w:szCs w:val="19"/>
          <w:b w:val="1"/>
          <w:bCs w:val="1"/>
          <w:color w:val="auto"/>
        </w:rPr>
      </w:pPr>
      <w:r>
        <w:rPr>
          <w:rFonts w:ascii="Arial" w:cs="Arial" w:eastAsia="Arial" w:hAnsi="Arial"/>
          <w:sz w:val="19"/>
          <w:szCs w:val="19"/>
          <w:color w:val="auto"/>
        </w:rPr>
        <w:t>Zymeworks solely owns all right, title, and interest in and to the Zymeworks Patent Rights set forth on</w:t>
      </w:r>
    </w:p>
    <w:p>
      <w:pPr>
        <w:spacing w:after="0" w:line="1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u w:val="single" w:color="auto"/>
          <w:color w:val="auto"/>
        </w:rPr>
        <w:t>Schedule 12.2(a)</w:t>
      </w:r>
      <w:r>
        <w:rPr>
          <w:rFonts w:ascii="Arial" w:cs="Arial" w:eastAsia="Arial" w:hAnsi="Arial"/>
          <w:sz w:val="22"/>
          <w:szCs w:val="22"/>
          <w:color w:val="auto"/>
        </w:rPr>
        <w:t>;</w:t>
      </w:r>
    </w:p>
    <w:p>
      <w:pPr>
        <w:spacing w:after="0" w:line="161" w:lineRule="exact"/>
        <w:rPr>
          <w:rFonts w:ascii="Arial" w:cs="Arial" w:eastAsia="Arial" w:hAnsi="Arial"/>
          <w:sz w:val="19"/>
          <w:szCs w:val="19"/>
          <w:b w:val="1"/>
          <w:bCs w:val="1"/>
          <w:color w:val="auto"/>
        </w:rPr>
      </w:pPr>
    </w:p>
    <w:p>
      <w:pPr>
        <w:ind w:firstLine="1304"/>
        <w:spacing w:after="0" w:line="232" w:lineRule="auto"/>
        <w:tabs>
          <w:tab w:leader="none" w:pos="1941" w:val="left"/>
        </w:tabs>
        <w:numPr>
          <w:ilvl w:val="0"/>
          <w:numId w:val="139"/>
        </w:numPr>
        <w:rPr>
          <w:rFonts w:ascii="Arial" w:cs="Arial" w:eastAsia="Arial" w:hAnsi="Arial"/>
          <w:sz w:val="22"/>
          <w:szCs w:val="22"/>
          <w:b w:val="1"/>
          <w:bCs w:val="1"/>
          <w:color w:val="auto"/>
        </w:rPr>
      </w:pPr>
      <w:r>
        <w:rPr>
          <w:rFonts w:ascii="Arial" w:cs="Arial" w:eastAsia="Arial" w:hAnsi="Arial"/>
          <w:sz w:val="22"/>
          <w:szCs w:val="22"/>
          <w:color w:val="auto"/>
        </w:rPr>
        <w:t>Zymeworks has the right under the Zymeworks IP to grant the License to Jazz, and it has not granted any license or other right under the Zymeworks IP that conflicts with the License;</w:t>
      </w:r>
    </w:p>
    <w:p>
      <w:pPr>
        <w:spacing w:after="0" w:line="158" w:lineRule="exact"/>
        <w:rPr>
          <w:rFonts w:ascii="Arial" w:cs="Arial" w:eastAsia="Arial" w:hAnsi="Arial"/>
          <w:sz w:val="22"/>
          <w:szCs w:val="22"/>
          <w:b w:val="1"/>
          <w:bCs w:val="1"/>
          <w:color w:val="auto"/>
        </w:rPr>
      </w:pPr>
    </w:p>
    <w:p>
      <w:pPr>
        <w:jc w:val="both"/>
        <w:ind w:firstLine="1304"/>
        <w:spacing w:after="0" w:line="257" w:lineRule="auto"/>
        <w:tabs>
          <w:tab w:leader="none" w:pos="1938" w:val="left"/>
        </w:tabs>
        <w:numPr>
          <w:ilvl w:val="0"/>
          <w:numId w:val="139"/>
        </w:numPr>
        <w:rPr>
          <w:rFonts w:ascii="Arial" w:cs="Arial" w:eastAsia="Arial" w:hAnsi="Arial"/>
          <w:sz w:val="19"/>
          <w:szCs w:val="19"/>
          <w:b w:val="1"/>
          <w:bCs w:val="1"/>
          <w:color w:val="auto"/>
        </w:rPr>
      </w:pPr>
      <w:r>
        <w:rPr>
          <w:rFonts w:ascii="Arial" w:cs="Arial" w:eastAsia="Arial" w:hAnsi="Arial"/>
          <w:sz w:val="19"/>
          <w:szCs w:val="19"/>
          <w:color w:val="auto"/>
        </w:rPr>
        <w:t>Neither Zymeworks nor any of its Affiliates has granted any mortgage, pledge, claim, security interest, encumbrance, lien or other charge of any kind on the Zymeworks Patent Rights or Zymeworks Know-How, and the Zymeworks Patent Rights and Zymeworks Know-How are free and clear of any mortgage, pledge, claim, security interest, encumbrance, lien or other charge, in each case, that would adversely affect the rights granted to Jazz hereunder;</w:t>
      </w:r>
    </w:p>
    <w:p>
      <w:pPr>
        <w:spacing w:after="0" w:line="144" w:lineRule="exact"/>
        <w:rPr>
          <w:rFonts w:ascii="Arial" w:cs="Arial" w:eastAsia="Arial" w:hAnsi="Arial"/>
          <w:sz w:val="19"/>
          <w:szCs w:val="19"/>
          <w:b w:val="1"/>
          <w:bCs w:val="1"/>
          <w:color w:val="auto"/>
        </w:rPr>
      </w:pPr>
    </w:p>
    <w:p>
      <w:pPr>
        <w:ind w:firstLine="1304"/>
        <w:spacing w:after="0" w:line="232" w:lineRule="auto"/>
        <w:tabs>
          <w:tab w:leader="none" w:pos="1941" w:val="left"/>
        </w:tabs>
        <w:numPr>
          <w:ilvl w:val="0"/>
          <w:numId w:val="139"/>
        </w:numPr>
        <w:rPr>
          <w:rFonts w:ascii="Arial" w:cs="Arial" w:eastAsia="Arial" w:hAnsi="Arial"/>
          <w:sz w:val="22"/>
          <w:szCs w:val="22"/>
          <w:b w:val="1"/>
          <w:bCs w:val="1"/>
          <w:color w:val="auto"/>
        </w:rPr>
      </w:pPr>
      <w:r>
        <w:rPr>
          <w:rFonts w:ascii="Arial" w:cs="Arial" w:eastAsia="Arial" w:hAnsi="Arial"/>
          <w:sz w:val="22"/>
          <w:szCs w:val="22"/>
          <w:color w:val="auto"/>
        </w:rPr>
        <w:t>there are no claims, judgments or settlements against Zymeworks pending, or to Zymeworks’ Knowledge, threatened that invalidate or seek to invalidate any Zymeworks Patent Rights;</w:t>
      </w:r>
    </w:p>
    <w:p>
      <w:pPr>
        <w:spacing w:after="0" w:line="158" w:lineRule="exact"/>
        <w:rPr>
          <w:rFonts w:ascii="Arial" w:cs="Arial" w:eastAsia="Arial" w:hAnsi="Arial"/>
          <w:sz w:val="22"/>
          <w:szCs w:val="22"/>
          <w:b w:val="1"/>
          <w:bCs w:val="1"/>
          <w:color w:val="auto"/>
        </w:rPr>
      </w:pPr>
    </w:p>
    <w:p>
      <w:pPr>
        <w:jc w:val="both"/>
        <w:ind w:firstLine="1304"/>
        <w:spacing w:after="0" w:line="249" w:lineRule="auto"/>
        <w:tabs>
          <w:tab w:leader="none" w:pos="1944" w:val="left"/>
        </w:tabs>
        <w:numPr>
          <w:ilvl w:val="0"/>
          <w:numId w:val="139"/>
        </w:numPr>
        <w:rPr>
          <w:rFonts w:ascii="Arial" w:cs="Arial" w:eastAsia="Arial" w:hAnsi="Arial"/>
          <w:sz w:val="19"/>
          <w:szCs w:val="19"/>
          <w:b w:val="1"/>
          <w:bCs w:val="1"/>
          <w:color w:val="auto"/>
        </w:rPr>
      </w:pPr>
      <w:r>
        <w:rPr>
          <w:rFonts w:ascii="Arial" w:cs="Arial" w:eastAsia="Arial" w:hAnsi="Arial"/>
          <w:sz w:val="19"/>
          <w:szCs w:val="19"/>
          <w:color w:val="auto"/>
        </w:rPr>
        <w:t>Zymeworks is not and has not been a party to any agreement with any governmental entity or agency thereof pursuant to which such governmental entity or such agency provided funding for the development of any of the Zymeworks Patent Rights or Zymeworks Know-How or conduct of any Clinical Trial and which gives such governmental entity or such agency (i) any ownership interest in or right to prosecute or enforce any Zymeworks Patent Rights or Zymeworks Know-How or (ii) any rights to exercise any Zymeworks Patent Rights or Zymeworks Know-How to research, Develop or Commercialize the Licensed Products in a manner that conflicts with, or limits the scope of, the License granted to Jazz herein;</w:t>
      </w:r>
    </w:p>
    <w:p>
      <w:pPr>
        <w:spacing w:after="0" w:line="151" w:lineRule="exact"/>
        <w:rPr>
          <w:rFonts w:ascii="Arial" w:cs="Arial" w:eastAsia="Arial" w:hAnsi="Arial"/>
          <w:sz w:val="19"/>
          <w:szCs w:val="19"/>
          <w:b w:val="1"/>
          <w:bCs w:val="1"/>
          <w:color w:val="auto"/>
        </w:rPr>
      </w:pPr>
    </w:p>
    <w:p>
      <w:pPr>
        <w:jc w:val="both"/>
        <w:ind w:firstLine="1304"/>
        <w:spacing w:after="0" w:line="223" w:lineRule="auto"/>
        <w:tabs>
          <w:tab w:leader="none" w:pos="1939" w:val="left"/>
        </w:tabs>
        <w:numPr>
          <w:ilvl w:val="0"/>
          <w:numId w:val="139"/>
        </w:numPr>
        <w:rPr>
          <w:rFonts w:ascii="Arial" w:cs="Arial" w:eastAsia="Arial" w:hAnsi="Arial"/>
          <w:sz w:val="22"/>
          <w:szCs w:val="22"/>
          <w:b w:val="1"/>
          <w:bCs w:val="1"/>
          <w:color w:val="auto"/>
        </w:rPr>
      </w:pPr>
      <w:r>
        <w:rPr>
          <w:rFonts w:ascii="Arial" w:cs="Arial" w:eastAsia="Arial" w:hAnsi="Arial"/>
          <w:sz w:val="22"/>
          <w:szCs w:val="22"/>
          <w:color w:val="auto"/>
        </w:rPr>
        <w:t>there is no pending litigation, nor has Zymeworks received any written notice from any Third Party, asserting or alleging that the Development, manufacture or Commercialization of the Licensed Product prior to the Execution Date infringed or misappropriated the intellectual property rights of any Third Party;</w:t>
      </w:r>
    </w:p>
    <w:p>
      <w:pPr>
        <w:spacing w:after="0" w:line="158" w:lineRule="exact"/>
        <w:rPr>
          <w:rFonts w:ascii="Arial" w:cs="Arial" w:eastAsia="Arial" w:hAnsi="Arial"/>
          <w:sz w:val="22"/>
          <w:szCs w:val="22"/>
          <w:b w:val="1"/>
          <w:bCs w:val="1"/>
          <w:color w:val="auto"/>
        </w:rPr>
      </w:pPr>
    </w:p>
    <w:p>
      <w:pPr>
        <w:jc w:val="both"/>
        <w:ind w:firstLine="1304"/>
        <w:spacing w:after="0" w:line="223" w:lineRule="auto"/>
        <w:tabs>
          <w:tab w:leader="none" w:pos="1938" w:val="left"/>
        </w:tabs>
        <w:numPr>
          <w:ilvl w:val="0"/>
          <w:numId w:val="139"/>
        </w:numPr>
        <w:rPr>
          <w:rFonts w:ascii="Arial" w:cs="Arial" w:eastAsia="Arial" w:hAnsi="Arial"/>
          <w:sz w:val="22"/>
          <w:szCs w:val="22"/>
          <w:b w:val="1"/>
          <w:bCs w:val="1"/>
          <w:color w:val="auto"/>
        </w:rPr>
      </w:pPr>
      <w:r>
        <w:rPr>
          <w:rFonts w:ascii="Arial" w:cs="Arial" w:eastAsia="Arial" w:hAnsi="Arial"/>
          <w:sz w:val="22"/>
          <w:szCs w:val="22"/>
          <w:color w:val="auto"/>
        </w:rPr>
        <w:t xml:space="preserve">to Zymeworks’ Knowledge, the Zymeworks IP is not the subject of any interference proceeding, </w:t>
      </w:r>
      <w:r>
        <w:rPr>
          <w:rFonts w:ascii="Arial" w:cs="Arial" w:eastAsia="Arial" w:hAnsi="Arial"/>
          <w:sz w:val="22"/>
          <w:szCs w:val="22"/>
          <w:i w:val="1"/>
          <w:iCs w:val="1"/>
          <w:color w:val="auto"/>
        </w:rPr>
        <w:t>inter</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partes </w:t>
      </w:r>
      <w:r>
        <w:rPr>
          <w:rFonts w:ascii="Arial" w:cs="Arial" w:eastAsia="Arial" w:hAnsi="Arial"/>
          <w:sz w:val="22"/>
          <w:szCs w:val="22"/>
          <w:color w:val="auto"/>
        </w:rPr>
        <w:t>review or post-grant review and there is no pending or threatened action, suit, proceeding or claim by a Third Party</w:t>
      </w:r>
      <w:r>
        <w:rPr>
          <w:rFonts w:ascii="Arial" w:cs="Arial" w:eastAsia="Arial" w:hAnsi="Arial"/>
          <w:sz w:val="22"/>
          <w:szCs w:val="22"/>
          <w:i w:val="1"/>
          <w:iCs w:val="1"/>
          <w:color w:val="auto"/>
        </w:rPr>
        <w:t xml:space="preserve"> </w:t>
      </w:r>
      <w:r>
        <w:rPr>
          <w:rFonts w:ascii="Arial" w:cs="Arial" w:eastAsia="Arial" w:hAnsi="Arial"/>
          <w:sz w:val="22"/>
          <w:szCs w:val="22"/>
          <w:color w:val="auto"/>
        </w:rPr>
        <w:t>challenging Zymeworks’ ownership rights in, license to, or the validity or scope of, any Zymeworks IP;</w:t>
      </w:r>
    </w:p>
    <w:p>
      <w:pPr>
        <w:spacing w:after="0" w:line="158" w:lineRule="exact"/>
        <w:rPr>
          <w:rFonts w:ascii="Arial" w:cs="Arial" w:eastAsia="Arial" w:hAnsi="Arial"/>
          <w:sz w:val="22"/>
          <w:szCs w:val="22"/>
          <w:b w:val="1"/>
          <w:bCs w:val="1"/>
          <w:color w:val="auto"/>
        </w:rPr>
      </w:pPr>
    </w:p>
    <w:p>
      <w:pPr>
        <w:ind w:firstLine="1304"/>
        <w:spacing w:after="0" w:line="232" w:lineRule="auto"/>
        <w:tabs>
          <w:tab w:leader="none" w:pos="1932" w:val="left"/>
        </w:tabs>
        <w:numPr>
          <w:ilvl w:val="0"/>
          <w:numId w:val="139"/>
        </w:numPr>
        <w:rPr>
          <w:rFonts w:ascii="Arial" w:cs="Arial" w:eastAsia="Arial" w:hAnsi="Arial"/>
          <w:sz w:val="22"/>
          <w:szCs w:val="22"/>
          <w:b w:val="1"/>
          <w:bCs w:val="1"/>
          <w:color w:val="auto"/>
        </w:rPr>
      </w:pPr>
      <w:r>
        <w:rPr>
          <w:rFonts w:ascii="Arial" w:cs="Arial" w:eastAsia="Arial" w:hAnsi="Arial"/>
          <w:sz w:val="22"/>
          <w:szCs w:val="22"/>
          <w:color w:val="auto"/>
        </w:rPr>
        <w:t>there are no pending or, to Zymeworks’ Knowledge, no threatened (in writing), adverse actions, suits or proceedings against Zymeworks involving the Zymeworks IP or Licensed Product;</w:t>
      </w:r>
    </w:p>
    <w:p>
      <w:pPr>
        <w:spacing w:after="0" w:line="158" w:lineRule="exact"/>
        <w:rPr>
          <w:rFonts w:ascii="Arial" w:cs="Arial" w:eastAsia="Arial" w:hAnsi="Arial"/>
          <w:sz w:val="22"/>
          <w:szCs w:val="22"/>
          <w:b w:val="1"/>
          <w:bCs w:val="1"/>
          <w:color w:val="auto"/>
        </w:rPr>
      </w:pPr>
    </w:p>
    <w:p>
      <w:pPr>
        <w:jc w:val="both"/>
        <w:ind w:firstLine="1304"/>
        <w:spacing w:after="0" w:line="216" w:lineRule="auto"/>
        <w:tabs>
          <w:tab w:leader="none" w:pos="1944" w:val="left"/>
        </w:tabs>
        <w:numPr>
          <w:ilvl w:val="0"/>
          <w:numId w:val="139"/>
        </w:numPr>
        <w:rPr>
          <w:rFonts w:ascii="Arial" w:cs="Arial" w:eastAsia="Arial" w:hAnsi="Arial"/>
          <w:sz w:val="22"/>
          <w:szCs w:val="22"/>
          <w:b w:val="1"/>
          <w:bCs w:val="1"/>
          <w:color w:val="auto"/>
        </w:rPr>
      </w:pPr>
      <w:r>
        <w:rPr>
          <w:rFonts w:ascii="Arial" w:cs="Arial" w:eastAsia="Arial" w:hAnsi="Arial"/>
          <w:sz w:val="22"/>
          <w:szCs w:val="22"/>
          <w:color w:val="auto"/>
        </w:rPr>
        <w:t>to its Knowledge, the Zymeworks IP includes all Know-How owned by or licensed to Zymeworks or its Affiliates that is necessary or useful to Develop, manufacture and Commercialize Zanidatamab or Licensed Products incorporating Zanidatamab in the Field in the Territory as such Development, manufacture and Commercialization is currently being conducted by Zymeworks or contemplated to be conducted by either Party for the treatment of BTC, GEA, breast cancer, colorectal cancer and endometrial cancer;</w:t>
      </w:r>
    </w:p>
    <w:p>
      <w:pPr>
        <w:spacing w:after="0" w:line="157" w:lineRule="exact"/>
        <w:rPr>
          <w:rFonts w:ascii="Arial" w:cs="Arial" w:eastAsia="Arial" w:hAnsi="Arial"/>
          <w:sz w:val="22"/>
          <w:szCs w:val="22"/>
          <w:b w:val="1"/>
          <w:bCs w:val="1"/>
          <w:color w:val="auto"/>
        </w:rPr>
      </w:pPr>
    </w:p>
    <w:p>
      <w:pPr>
        <w:ind w:left="1940" w:hanging="636"/>
        <w:spacing w:after="0"/>
        <w:tabs>
          <w:tab w:leader="none" w:pos="1940" w:val="left"/>
        </w:tabs>
        <w:numPr>
          <w:ilvl w:val="0"/>
          <w:numId w:val="139"/>
        </w:numPr>
        <w:rPr>
          <w:rFonts w:ascii="Arial" w:cs="Arial" w:eastAsia="Arial" w:hAnsi="Arial"/>
          <w:sz w:val="19"/>
          <w:szCs w:val="19"/>
          <w:b w:val="1"/>
          <w:bCs w:val="1"/>
          <w:color w:val="auto"/>
        </w:rPr>
      </w:pPr>
      <w:r>
        <w:rPr>
          <w:rFonts w:ascii="Arial" w:cs="Arial" w:eastAsia="Arial" w:hAnsi="Arial"/>
          <w:sz w:val="19"/>
          <w:szCs w:val="19"/>
          <w:color w:val="auto"/>
        </w:rPr>
        <w:t>to Zymeworks’ Knowledge, the Development, manufacture and Commercialization of Licensed Product in</w:t>
      </w:r>
    </w:p>
    <w:p>
      <w:pPr>
        <w:spacing w:after="0" w:line="1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 Territory [***];</w:t>
      </w:r>
    </w:p>
    <w:p>
      <w:pPr>
        <w:spacing w:after="0" w:line="161" w:lineRule="exact"/>
        <w:rPr>
          <w:rFonts w:ascii="Arial" w:cs="Arial" w:eastAsia="Arial" w:hAnsi="Arial"/>
          <w:sz w:val="19"/>
          <w:szCs w:val="19"/>
          <w:b w:val="1"/>
          <w:bCs w:val="1"/>
          <w:color w:val="auto"/>
        </w:rPr>
      </w:pPr>
    </w:p>
    <w:p>
      <w:pPr>
        <w:ind w:firstLine="1304"/>
        <w:spacing w:after="0" w:line="232" w:lineRule="auto"/>
        <w:tabs>
          <w:tab w:leader="none" w:pos="1932" w:val="left"/>
        </w:tabs>
        <w:numPr>
          <w:ilvl w:val="0"/>
          <w:numId w:val="139"/>
        </w:numPr>
        <w:rPr>
          <w:rFonts w:ascii="Arial" w:cs="Arial" w:eastAsia="Arial" w:hAnsi="Arial"/>
          <w:sz w:val="22"/>
          <w:szCs w:val="22"/>
          <w:b w:val="1"/>
          <w:bCs w:val="1"/>
          <w:color w:val="auto"/>
        </w:rPr>
      </w:pPr>
      <w:r>
        <w:rPr>
          <w:rFonts w:ascii="Arial" w:cs="Arial" w:eastAsia="Arial" w:hAnsi="Arial"/>
          <w:sz w:val="22"/>
          <w:szCs w:val="22"/>
          <w:color w:val="auto"/>
        </w:rPr>
        <w:t>To Zymeworks’ Knowledge, no Third Party has infringed, misappropriated or otherwise violated any Zymeworks Patent Rights in the Field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01" w:right="339" w:bottom="1440" w:gutter="0" w:footer="0" w:header="0"/>
        </w:sectPr>
      </w:pPr>
    </w:p>
    <w:bookmarkStart w:id="215" w:name="page216"/>
    <w:bookmarkEnd w:id="215"/>
    <w:p>
      <w:pPr>
        <w:jc w:val="both"/>
        <w:ind w:firstLine="1304"/>
        <w:spacing w:after="0" w:line="218" w:lineRule="auto"/>
        <w:tabs>
          <w:tab w:leader="none" w:pos="1944" w:val="left"/>
        </w:tabs>
        <w:numPr>
          <w:ilvl w:val="0"/>
          <w:numId w:val="140"/>
        </w:numPr>
        <w:rPr>
          <w:rFonts w:ascii="Arial" w:cs="Arial" w:eastAsia="Arial" w:hAnsi="Arial"/>
          <w:sz w:val="22"/>
          <w:szCs w:val="22"/>
          <w:b w:val="1"/>
          <w:bCs w:val="1"/>
          <w:color w:val="auto"/>
        </w:rPr>
      </w:pPr>
      <w:r>
        <w:rPr>
          <w:rFonts w:ascii="Arial" w:cs="Arial" w:eastAsia="Arial" w:hAnsi="Arial"/>
          <w:sz w:val="22"/>
          <w:szCs w:val="22"/>
          <w:color w:val="auto"/>
        </w:rPr>
        <w:t>Zymeworks and its Affiliates and, to Zymeworks’ Knowledge, (sub)licensees have complied, in all material respects, with all Applicable Laws applicable to (i) the prosecution and maintenance of the Zymeworks Patent Rights and (ii) its Development and manufacture of Licensed Products in the Field, including in the conduct of the Zymeworks Ongoing Studies;</w:t>
      </w:r>
    </w:p>
    <w:p>
      <w:pPr>
        <w:spacing w:after="0" w:line="160" w:lineRule="exact"/>
        <w:rPr>
          <w:rFonts w:ascii="Arial" w:cs="Arial" w:eastAsia="Arial" w:hAnsi="Arial"/>
          <w:sz w:val="22"/>
          <w:szCs w:val="22"/>
          <w:b w:val="1"/>
          <w:bCs w:val="1"/>
          <w:color w:val="auto"/>
        </w:rPr>
      </w:pPr>
    </w:p>
    <w:p>
      <w:pPr>
        <w:ind w:firstLine="1304"/>
        <w:spacing w:after="0" w:line="298" w:lineRule="auto"/>
        <w:tabs>
          <w:tab w:leader="none" w:pos="1938" w:val="left"/>
        </w:tabs>
        <w:numPr>
          <w:ilvl w:val="0"/>
          <w:numId w:val="140"/>
        </w:numPr>
        <w:rPr>
          <w:rFonts w:ascii="Arial" w:cs="Arial" w:eastAsia="Arial" w:hAnsi="Arial"/>
          <w:sz w:val="19"/>
          <w:szCs w:val="19"/>
          <w:b w:val="1"/>
          <w:bCs w:val="1"/>
          <w:color w:val="auto"/>
        </w:rPr>
      </w:pPr>
      <w:r>
        <w:rPr>
          <w:rFonts w:ascii="Arial" w:cs="Arial" w:eastAsia="Arial" w:hAnsi="Arial"/>
          <w:sz w:val="19"/>
          <w:szCs w:val="19"/>
          <w:color w:val="auto"/>
        </w:rPr>
        <w:t>to its Knowledge, there have been no acts or omissions of Zymeworks that would constitute inequitable conduct, fraud, or misrepresentation to the applicable patent office with respect to any Zymeworks Patent Rights;</w:t>
      </w:r>
    </w:p>
    <w:p>
      <w:pPr>
        <w:spacing w:after="0" w:line="105" w:lineRule="exact"/>
        <w:rPr>
          <w:rFonts w:ascii="Arial" w:cs="Arial" w:eastAsia="Arial" w:hAnsi="Arial"/>
          <w:sz w:val="19"/>
          <w:szCs w:val="19"/>
          <w:b w:val="1"/>
          <w:bCs w:val="1"/>
          <w:color w:val="auto"/>
        </w:rPr>
      </w:pPr>
    </w:p>
    <w:p>
      <w:pPr>
        <w:jc w:val="both"/>
        <w:ind w:firstLine="1304"/>
        <w:spacing w:after="0" w:line="229" w:lineRule="auto"/>
        <w:tabs>
          <w:tab w:leader="none" w:pos="1939" w:val="left"/>
        </w:tabs>
        <w:numPr>
          <w:ilvl w:val="0"/>
          <w:numId w:val="140"/>
        </w:numPr>
        <w:rPr>
          <w:rFonts w:ascii="Arial" w:cs="Arial" w:eastAsia="Arial" w:hAnsi="Arial"/>
          <w:sz w:val="21"/>
          <w:szCs w:val="21"/>
          <w:b w:val="1"/>
          <w:bCs w:val="1"/>
          <w:color w:val="auto"/>
        </w:rPr>
      </w:pPr>
      <w:r>
        <w:rPr>
          <w:rFonts w:ascii="Arial" w:cs="Arial" w:eastAsia="Arial" w:hAnsi="Arial"/>
          <w:sz w:val="21"/>
          <w:szCs w:val="21"/>
          <w:color w:val="auto"/>
        </w:rPr>
        <w:t>(i) Zymeworks and its Affiliates have obtained, or caused its Affiliates to obtain, assignments, from its employees and individual consultants who are inventors of the Zymeworks IP, of all rights and embodiments in and to the Zymeworks IP, (ii) to its Knowledge, all such assignments are valid and enforceable, and (iii) the inventorship of the Zymeworks Patent Rights is properly identified on each patent or patent application in such Zymeworks Patent Rights;</w:t>
      </w:r>
    </w:p>
    <w:p>
      <w:pPr>
        <w:spacing w:after="0" w:line="158" w:lineRule="exact"/>
        <w:rPr>
          <w:rFonts w:ascii="Arial" w:cs="Arial" w:eastAsia="Arial" w:hAnsi="Arial"/>
          <w:sz w:val="21"/>
          <w:szCs w:val="21"/>
          <w:b w:val="1"/>
          <w:bCs w:val="1"/>
          <w:color w:val="auto"/>
        </w:rPr>
      </w:pPr>
    </w:p>
    <w:p>
      <w:pPr>
        <w:ind w:firstLine="1304"/>
        <w:spacing w:after="0" w:line="232" w:lineRule="auto"/>
        <w:tabs>
          <w:tab w:leader="none" w:pos="1938" w:val="left"/>
        </w:tabs>
        <w:numPr>
          <w:ilvl w:val="0"/>
          <w:numId w:val="140"/>
        </w:numPr>
        <w:rPr>
          <w:rFonts w:ascii="Arial" w:cs="Arial" w:eastAsia="Arial" w:hAnsi="Arial"/>
          <w:sz w:val="22"/>
          <w:szCs w:val="22"/>
          <w:b w:val="1"/>
          <w:bCs w:val="1"/>
          <w:color w:val="auto"/>
        </w:rPr>
      </w:pPr>
      <w:r>
        <w:rPr>
          <w:rFonts w:ascii="Arial" w:cs="Arial" w:eastAsia="Arial" w:hAnsi="Arial"/>
          <w:sz w:val="22"/>
          <w:szCs w:val="22"/>
          <w:color w:val="auto"/>
        </w:rPr>
        <w:t>Zymeworks and its Affiliates have used reasonable efforts consistent with industry practices to protect the secrecy of all Zymeworks Know-How that constitutes trade secrets under Applicable Laws;</w:t>
      </w:r>
    </w:p>
    <w:p>
      <w:pPr>
        <w:spacing w:after="0" w:line="151" w:lineRule="exact"/>
        <w:rPr>
          <w:rFonts w:ascii="Arial" w:cs="Arial" w:eastAsia="Arial" w:hAnsi="Arial"/>
          <w:sz w:val="22"/>
          <w:szCs w:val="22"/>
          <w:b w:val="1"/>
          <w:bCs w:val="1"/>
          <w:color w:val="auto"/>
        </w:rPr>
      </w:pPr>
    </w:p>
    <w:p>
      <w:pPr>
        <w:ind w:left="1940" w:hanging="636"/>
        <w:spacing w:after="0"/>
        <w:tabs>
          <w:tab w:leader="none" w:pos="1940" w:val="left"/>
        </w:tabs>
        <w:numPr>
          <w:ilvl w:val="0"/>
          <w:numId w:val="140"/>
        </w:numPr>
        <w:rPr>
          <w:rFonts w:ascii="Arial" w:cs="Arial" w:eastAsia="Arial" w:hAnsi="Arial"/>
          <w:sz w:val="21"/>
          <w:szCs w:val="21"/>
          <w:b w:val="1"/>
          <w:bCs w:val="1"/>
          <w:color w:val="auto"/>
        </w:rPr>
      </w:pPr>
      <w:r>
        <w:rPr>
          <w:rFonts w:ascii="Arial" w:cs="Arial" w:eastAsia="Arial" w:hAnsi="Arial"/>
          <w:sz w:val="21"/>
          <w:szCs w:val="21"/>
          <w:u w:val="single" w:color="auto"/>
          <w:color w:val="auto"/>
        </w:rPr>
        <w:t>Schedule 12.2(q)</w:t>
      </w:r>
      <w:r>
        <w:rPr>
          <w:rFonts w:ascii="Arial" w:cs="Arial" w:eastAsia="Arial" w:hAnsi="Arial"/>
          <w:sz w:val="21"/>
          <w:szCs w:val="21"/>
          <w:color w:val="auto"/>
        </w:rPr>
        <w:t xml:space="preserve"> sets forth a complete and accurate list of all Zymeworks Korean Studies as of the</w:t>
      </w:r>
    </w:p>
    <w:p>
      <w:pPr>
        <w:spacing w:after="0"/>
        <w:rPr>
          <w:rFonts w:ascii="Arial" w:cs="Arial" w:eastAsia="Arial" w:hAnsi="Arial"/>
          <w:sz w:val="21"/>
          <w:szCs w:val="21"/>
          <w:b w:val="1"/>
          <w:bCs w:val="1"/>
          <w:color w:val="auto"/>
        </w:rPr>
      </w:pPr>
      <w:r>
        <w:rPr>
          <w:rFonts w:ascii="Arial" w:cs="Arial" w:eastAsia="Arial" w:hAnsi="Arial"/>
          <w:sz w:val="22"/>
          <w:szCs w:val="22"/>
          <w:color w:val="auto"/>
        </w:rPr>
        <w:t>Execution Date;</w:t>
      </w:r>
    </w:p>
    <w:p>
      <w:pPr>
        <w:spacing w:after="0" w:line="153" w:lineRule="exact"/>
        <w:rPr>
          <w:rFonts w:ascii="Arial" w:cs="Arial" w:eastAsia="Arial" w:hAnsi="Arial"/>
          <w:sz w:val="21"/>
          <w:szCs w:val="21"/>
          <w:b w:val="1"/>
          <w:bCs w:val="1"/>
          <w:color w:val="auto"/>
        </w:rPr>
      </w:pPr>
    </w:p>
    <w:p>
      <w:pPr>
        <w:ind w:left="1940" w:hanging="636"/>
        <w:spacing w:after="0"/>
        <w:tabs>
          <w:tab w:leader="none" w:pos="1940" w:val="left"/>
        </w:tabs>
        <w:numPr>
          <w:ilvl w:val="0"/>
          <w:numId w:val="140"/>
        </w:numPr>
        <w:rPr>
          <w:rFonts w:ascii="Arial" w:cs="Arial" w:eastAsia="Arial" w:hAnsi="Arial"/>
          <w:sz w:val="21"/>
          <w:szCs w:val="21"/>
          <w:b w:val="1"/>
          <w:bCs w:val="1"/>
          <w:color w:val="auto"/>
        </w:rPr>
      </w:pPr>
      <w:r>
        <w:rPr>
          <w:rFonts w:ascii="Arial" w:cs="Arial" w:eastAsia="Arial" w:hAnsi="Arial"/>
          <w:sz w:val="21"/>
          <w:szCs w:val="21"/>
          <w:u w:val="single" w:color="auto"/>
          <w:color w:val="auto"/>
        </w:rPr>
        <w:t>Schedule 12.2(r)</w:t>
      </w:r>
      <w:r>
        <w:rPr>
          <w:rFonts w:ascii="Arial" w:cs="Arial" w:eastAsia="Arial" w:hAnsi="Arial"/>
          <w:sz w:val="21"/>
          <w:szCs w:val="21"/>
          <w:color w:val="auto"/>
        </w:rPr>
        <w:t xml:space="preserve"> sets forth a complete and accurate list of all Zymeworks Ongoing Studies as of the</w:t>
      </w:r>
    </w:p>
    <w:p>
      <w:pPr>
        <w:spacing w:after="0"/>
        <w:rPr>
          <w:rFonts w:ascii="Arial" w:cs="Arial" w:eastAsia="Arial" w:hAnsi="Arial"/>
          <w:sz w:val="21"/>
          <w:szCs w:val="21"/>
          <w:b w:val="1"/>
          <w:bCs w:val="1"/>
          <w:color w:val="auto"/>
        </w:rPr>
      </w:pPr>
      <w:r>
        <w:rPr>
          <w:rFonts w:ascii="Arial" w:cs="Arial" w:eastAsia="Arial" w:hAnsi="Arial"/>
          <w:sz w:val="22"/>
          <w:szCs w:val="22"/>
          <w:color w:val="auto"/>
        </w:rPr>
        <w:t>Execution Date;</w:t>
      </w:r>
    </w:p>
    <w:p>
      <w:pPr>
        <w:spacing w:after="0" w:line="161" w:lineRule="exact"/>
        <w:rPr>
          <w:rFonts w:ascii="Arial" w:cs="Arial" w:eastAsia="Arial" w:hAnsi="Arial"/>
          <w:sz w:val="21"/>
          <w:szCs w:val="21"/>
          <w:b w:val="1"/>
          <w:bCs w:val="1"/>
          <w:color w:val="auto"/>
        </w:rPr>
      </w:pPr>
    </w:p>
    <w:p>
      <w:pPr>
        <w:jc w:val="both"/>
        <w:ind w:firstLine="1304"/>
        <w:spacing w:after="0" w:line="219" w:lineRule="auto"/>
        <w:tabs>
          <w:tab w:leader="none" w:pos="1942" w:val="left"/>
        </w:tabs>
        <w:numPr>
          <w:ilvl w:val="0"/>
          <w:numId w:val="140"/>
        </w:numPr>
        <w:rPr>
          <w:rFonts w:ascii="Arial" w:cs="Arial" w:eastAsia="Arial" w:hAnsi="Arial"/>
          <w:sz w:val="21"/>
          <w:szCs w:val="21"/>
          <w:b w:val="1"/>
          <w:bCs w:val="1"/>
          <w:color w:val="auto"/>
        </w:rPr>
      </w:pPr>
      <w:r>
        <w:rPr>
          <w:rFonts w:ascii="Arial" w:cs="Arial" w:eastAsia="Arial" w:hAnsi="Arial"/>
          <w:sz w:val="21"/>
          <w:szCs w:val="21"/>
          <w:color w:val="auto"/>
        </w:rPr>
        <w:t>Zymeworks has provided to Jazz all material documentation, data, and information under its Control relating to Zanidatamab or any Licensed Product incorporating Zanidatamab and the use thereof in the Field. Without limiting the foregoing, Zymeworks has provided to Jazz complete and accurate copies of (a) all existing material Regulatory Submissions made by Zymeworks or its Affiliate (the “</w:t>
      </w:r>
      <w:r>
        <w:rPr>
          <w:rFonts w:ascii="Arial" w:cs="Arial" w:eastAsia="Arial" w:hAnsi="Arial"/>
          <w:sz w:val="21"/>
          <w:szCs w:val="21"/>
          <w:b w:val="1"/>
          <w:bCs w:val="1"/>
          <w:color w:val="auto"/>
        </w:rPr>
        <w:t>Existing Regulatory Materials</w:t>
      </w:r>
      <w:r>
        <w:rPr>
          <w:rFonts w:ascii="Arial" w:cs="Arial" w:eastAsia="Arial" w:hAnsi="Arial"/>
          <w:sz w:val="21"/>
          <w:szCs w:val="21"/>
          <w:color w:val="auto"/>
        </w:rPr>
        <w:t>”), and (b) all other material correspondence to/from any Regulatory Authority controlled by Zymeworks, in each case related to Zanidatamab or any Licensed Product incorporating Zanidatamab. Other than the Existing Regulatory Materials, neither Zymeworks nor any of its Affiliates has, as of the Execution Date, obtained, or filed, any INDs, CTAs or any other form of regulatory application with Regulatory Authorities for approval of Clinical Trials, marketing or other purpose, for the Licensed Antibody or any Licensed Product. The Existing Regulatory Materials are, to the Knowledge of Zymeworks, in good standing, and neither Zymeworks nor any of its Affiliates or, to Zymeworks’ Knowledge, (sub)licensees has received any notice in writing from any Regulatory Authority or other Governmental Authority that the Existing Regulatory Materials are not currently in, or may not remain in, good standing with the applicable Regulatory Authority;</w:t>
      </w:r>
    </w:p>
    <w:p>
      <w:pPr>
        <w:spacing w:after="0" w:line="163" w:lineRule="exact"/>
        <w:rPr>
          <w:rFonts w:ascii="Arial" w:cs="Arial" w:eastAsia="Arial" w:hAnsi="Arial"/>
          <w:sz w:val="21"/>
          <w:szCs w:val="21"/>
          <w:b w:val="1"/>
          <w:bCs w:val="1"/>
          <w:color w:val="auto"/>
        </w:rPr>
      </w:pPr>
    </w:p>
    <w:p>
      <w:pPr>
        <w:jc w:val="both"/>
        <w:ind w:firstLine="1304"/>
        <w:spacing w:after="0" w:line="223" w:lineRule="auto"/>
        <w:tabs>
          <w:tab w:leader="none" w:pos="1944" w:val="left"/>
        </w:tabs>
        <w:numPr>
          <w:ilvl w:val="0"/>
          <w:numId w:val="140"/>
        </w:numPr>
        <w:rPr>
          <w:rFonts w:ascii="Arial" w:cs="Arial" w:eastAsia="Arial" w:hAnsi="Arial"/>
          <w:sz w:val="22"/>
          <w:szCs w:val="22"/>
          <w:b w:val="1"/>
          <w:bCs w:val="1"/>
          <w:color w:val="auto"/>
        </w:rPr>
      </w:pPr>
      <w:r>
        <w:rPr>
          <w:rFonts w:ascii="Arial" w:cs="Arial" w:eastAsia="Arial" w:hAnsi="Arial"/>
          <w:sz w:val="22"/>
          <w:szCs w:val="22"/>
          <w:color w:val="auto"/>
        </w:rPr>
        <w:t>All Regulatory Submissions by Zymeworks with respect to any Licensed Product were, at the time of filing, true, complete, and accurate in all material respects, and Zymeworks has disclosed all material facts required to be disclosed with respect to any Licensed Product to each applicable Regulatory Authority;</w:t>
      </w:r>
    </w:p>
    <w:p>
      <w:pPr>
        <w:spacing w:after="0" w:line="158" w:lineRule="exact"/>
        <w:rPr>
          <w:rFonts w:ascii="Arial" w:cs="Arial" w:eastAsia="Arial" w:hAnsi="Arial"/>
          <w:sz w:val="22"/>
          <w:szCs w:val="22"/>
          <w:b w:val="1"/>
          <w:bCs w:val="1"/>
          <w:color w:val="auto"/>
        </w:rPr>
      </w:pPr>
    </w:p>
    <w:p>
      <w:pPr>
        <w:ind w:right="20" w:firstLine="1304"/>
        <w:spacing w:after="0" w:line="232" w:lineRule="auto"/>
        <w:tabs>
          <w:tab w:leader="none" w:pos="1938" w:val="left"/>
        </w:tabs>
        <w:numPr>
          <w:ilvl w:val="0"/>
          <w:numId w:val="140"/>
        </w:numPr>
        <w:rPr>
          <w:rFonts w:ascii="Arial" w:cs="Arial" w:eastAsia="Arial" w:hAnsi="Arial"/>
          <w:sz w:val="22"/>
          <w:szCs w:val="22"/>
          <w:b w:val="1"/>
          <w:bCs w:val="1"/>
          <w:color w:val="auto"/>
        </w:rPr>
      </w:pPr>
      <w:r>
        <w:rPr>
          <w:rFonts w:ascii="Arial" w:cs="Arial" w:eastAsia="Arial" w:hAnsi="Arial"/>
          <w:sz w:val="22"/>
          <w:szCs w:val="22"/>
          <w:color w:val="auto"/>
        </w:rPr>
        <w:t>Zymeworks has provided to Jazz all material adverse event information with respect to the Licensed Antibody or any Licensed Product known to Zymeworks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01" w:right="339" w:bottom="1440" w:gutter="0" w:footer="0" w:header="0"/>
        </w:sectPr>
      </w:pPr>
    </w:p>
    <w:bookmarkStart w:id="216" w:name="page217"/>
    <w:bookmarkEnd w:id="216"/>
    <w:p>
      <w:pPr>
        <w:jc w:val="both"/>
        <w:ind w:firstLine="1304"/>
        <w:spacing w:after="0" w:line="247" w:lineRule="auto"/>
        <w:tabs>
          <w:tab w:leader="none" w:pos="1939" w:val="left"/>
        </w:tabs>
        <w:numPr>
          <w:ilvl w:val="0"/>
          <w:numId w:val="141"/>
        </w:numPr>
        <w:rPr>
          <w:rFonts w:ascii="Arial" w:cs="Arial" w:eastAsia="Arial" w:hAnsi="Arial"/>
          <w:sz w:val="19"/>
          <w:szCs w:val="19"/>
          <w:b w:val="1"/>
          <w:bCs w:val="1"/>
          <w:color w:val="auto"/>
        </w:rPr>
      </w:pPr>
      <w:r>
        <w:rPr>
          <w:rFonts w:ascii="Arial" w:cs="Arial" w:eastAsia="Arial" w:hAnsi="Arial"/>
          <w:sz w:val="19"/>
          <w:szCs w:val="19"/>
          <w:color w:val="auto"/>
        </w:rPr>
        <w:t>Zymeworks has not received any written communications from any Regulatory Authority describing any matters specific to a Licensed Product that are necessary to be overcome in order to obtain Regulatory Approval of any Licensed Product in the Territory; Zymeworks and its Affiliates are not, and have not been, debarred or disqualified by any Regulatory Authority and none of Zymeworks’ or its Affiliates’ employees or contractors who have been or will be involved in the Development, manufacture or Commercialization of the Licensed Product are, or have been, debarred or disqualified by any Regulatory Authority; and, to Zymeworks’ Knowledge, Zymeworks and its Affiliates and (sub)licensees have not engaged in any conduct or activity that would be likely to lead to any debarment action by the FDA or other Regulatory Authority;</w:t>
      </w:r>
    </w:p>
    <w:p>
      <w:pPr>
        <w:spacing w:after="0" w:line="153" w:lineRule="exact"/>
        <w:rPr>
          <w:rFonts w:ascii="Arial" w:cs="Arial" w:eastAsia="Arial" w:hAnsi="Arial"/>
          <w:sz w:val="19"/>
          <w:szCs w:val="19"/>
          <w:b w:val="1"/>
          <w:bCs w:val="1"/>
          <w:color w:val="auto"/>
        </w:rPr>
      </w:pPr>
    </w:p>
    <w:p>
      <w:pPr>
        <w:jc w:val="both"/>
        <w:ind w:firstLine="1304"/>
        <w:spacing w:after="0" w:line="224" w:lineRule="auto"/>
        <w:tabs>
          <w:tab w:leader="none" w:pos="1933" w:val="left"/>
        </w:tabs>
        <w:numPr>
          <w:ilvl w:val="0"/>
          <w:numId w:val="141"/>
        </w:numPr>
        <w:rPr>
          <w:rFonts w:ascii="Arial" w:cs="Arial" w:eastAsia="Arial" w:hAnsi="Arial"/>
          <w:sz w:val="21"/>
          <w:szCs w:val="21"/>
          <w:b w:val="1"/>
          <w:bCs w:val="1"/>
          <w:color w:val="auto"/>
        </w:rPr>
      </w:pPr>
      <w:r>
        <w:rPr>
          <w:rFonts w:ascii="Arial" w:cs="Arial" w:eastAsia="Arial" w:hAnsi="Arial"/>
          <w:sz w:val="21"/>
          <w:szCs w:val="21"/>
          <w:color w:val="auto"/>
        </w:rPr>
        <w:t>All information and data provided by or on behalf of Zymeworks to Jazz regarding the Licensed Antibody or Licensed Product on or before the Execution Date in contemplation of this Agreement or the transactions contemplated hereby was and is as of the Execution Date, to the Knowledge of Zymeworks, accurate in all material respects, and, to the Knowledge of Zymeworks, Zymeworks has not failed to disclose, or cause to be disclosed, any material information or data known to Zymeworks that could reasonably be expected to cause the information and data that has been disclosed by or on behalf of Zymeworks to Jazz to be misleading in any material respect; and</w:t>
      </w:r>
    </w:p>
    <w:p>
      <w:pPr>
        <w:spacing w:after="0" w:line="159" w:lineRule="exact"/>
        <w:rPr>
          <w:rFonts w:ascii="Arial" w:cs="Arial" w:eastAsia="Arial" w:hAnsi="Arial"/>
          <w:sz w:val="21"/>
          <w:szCs w:val="21"/>
          <w:b w:val="1"/>
          <w:bCs w:val="1"/>
          <w:color w:val="auto"/>
        </w:rPr>
      </w:pPr>
    </w:p>
    <w:p>
      <w:pPr>
        <w:jc w:val="both"/>
        <w:ind w:firstLine="1304"/>
        <w:spacing w:after="0" w:line="244" w:lineRule="auto"/>
        <w:tabs>
          <w:tab w:leader="none" w:pos="1939" w:val="left"/>
        </w:tabs>
        <w:numPr>
          <w:ilvl w:val="0"/>
          <w:numId w:val="141"/>
        </w:numPr>
        <w:rPr>
          <w:rFonts w:ascii="Arial" w:cs="Arial" w:eastAsia="Arial" w:hAnsi="Arial"/>
          <w:sz w:val="19"/>
          <w:szCs w:val="19"/>
          <w:b w:val="1"/>
          <w:bCs w:val="1"/>
          <w:color w:val="auto"/>
        </w:rPr>
      </w:pPr>
      <w:r>
        <w:rPr>
          <w:rFonts w:ascii="Arial" w:cs="Arial" w:eastAsia="Arial" w:hAnsi="Arial"/>
          <w:sz w:val="19"/>
          <w:szCs w:val="19"/>
          <w:color w:val="auto"/>
        </w:rPr>
        <w:t>The ELA and Third Party In-License Agreements are the only agreements by and between Zymeworks and any Third Party that provides for the license to Zymeworks of any Know-How or Patent Rights that are included as part of the Zymeworks IP. Without limiting the generality of the foregoing, the ELA and Third Party In-License Agreements are in full force and effect and are the valid and binding obligation of Zymeworks, enforceable in accordance with their terms and, to Zymeworks’ Knowledge, are binding on the parties thereto. Zymeworks has provided Jazz with complete and accurate copies of the ELA and all Third Party In-License Agreements, including any amendments thereto. Zymeworks has not materially breached and is not currently in material breach of its obligations under the ELA or any Third Party In-License Agreement, and, to Zymeworks’ Knowledge, each of the other parties to the ELA and each Third Party In-License Agreement has not materially breached, and is not currently in material breach of, its obligations under such Third Party In-License Agreement.</w:t>
      </w:r>
    </w:p>
    <w:p>
      <w:pPr>
        <w:spacing w:after="0" w:line="1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b w:val="1"/>
          <w:bCs w:val="1"/>
          <w:color w:val="auto"/>
        </w:rPr>
        <w:t xml:space="preserve">Representations and Warranties of Jazz. </w:t>
      </w:r>
      <w:r>
        <w:rPr>
          <w:rFonts w:ascii="Arial" w:cs="Arial" w:eastAsia="Arial" w:hAnsi="Arial"/>
          <w:sz w:val="19"/>
          <w:szCs w:val="19"/>
          <w:color w:val="auto"/>
        </w:rPr>
        <w:t>Jazz represents and warrants to Zymeworks as of the Execution Date</w:t>
      </w:r>
    </w:p>
    <w:p>
      <w:pPr>
        <w:spacing w:after="0"/>
        <w:rPr>
          <w:sz w:val="20"/>
          <w:szCs w:val="20"/>
          <w:color w:val="auto"/>
        </w:rPr>
      </w:pPr>
      <w:r>
        <w:rPr>
          <w:rFonts w:ascii="Arial" w:cs="Arial" w:eastAsia="Arial" w:hAnsi="Arial"/>
          <w:sz w:val="22"/>
          <w:szCs w:val="22"/>
          <w:color w:val="auto"/>
        </w:rPr>
        <w:t>that:</w:t>
      </w:r>
    </w:p>
    <w:p>
      <w:pPr>
        <w:spacing w:after="0" w:line="161" w:lineRule="exact"/>
        <w:rPr>
          <w:sz w:val="20"/>
          <w:szCs w:val="20"/>
          <w:color w:val="auto"/>
        </w:rPr>
      </w:pPr>
    </w:p>
    <w:p>
      <w:pPr>
        <w:jc w:val="both"/>
        <w:ind w:firstLine="1304"/>
        <w:spacing w:after="0" w:line="223" w:lineRule="auto"/>
        <w:tabs>
          <w:tab w:leader="none" w:pos="1939" w:val="left"/>
        </w:tabs>
        <w:numPr>
          <w:ilvl w:val="0"/>
          <w:numId w:val="142"/>
        </w:numPr>
        <w:rPr>
          <w:rFonts w:ascii="Arial" w:cs="Arial" w:eastAsia="Arial" w:hAnsi="Arial"/>
          <w:sz w:val="22"/>
          <w:szCs w:val="22"/>
          <w:b w:val="1"/>
          <w:bCs w:val="1"/>
          <w:color w:val="auto"/>
        </w:rPr>
      </w:pPr>
      <w:r>
        <w:rPr>
          <w:rFonts w:ascii="Arial" w:cs="Arial" w:eastAsia="Arial" w:hAnsi="Arial"/>
          <w:sz w:val="22"/>
          <w:szCs w:val="22"/>
          <w:color w:val="auto"/>
        </w:rPr>
        <w:t>there are no legal claims, judgments or settlements against or owed by Jazz or any of its Affiliates, or pending or, to Jazz’s actual knowledge, threatened, legal claims or litigation, in each case, relating to antitrust, anti-competition, anti-bribery or corruption violations;</w:t>
      </w:r>
    </w:p>
    <w:p>
      <w:pPr>
        <w:spacing w:after="0" w:line="158" w:lineRule="exact"/>
        <w:rPr>
          <w:rFonts w:ascii="Arial" w:cs="Arial" w:eastAsia="Arial" w:hAnsi="Arial"/>
          <w:sz w:val="22"/>
          <w:szCs w:val="22"/>
          <w:b w:val="1"/>
          <w:bCs w:val="1"/>
          <w:color w:val="auto"/>
        </w:rPr>
      </w:pPr>
    </w:p>
    <w:p>
      <w:pPr>
        <w:jc w:val="both"/>
        <w:ind w:firstLine="1304"/>
        <w:spacing w:after="0" w:line="268" w:lineRule="auto"/>
        <w:tabs>
          <w:tab w:leader="none" w:pos="1938" w:val="left"/>
        </w:tabs>
        <w:numPr>
          <w:ilvl w:val="0"/>
          <w:numId w:val="142"/>
        </w:numPr>
        <w:rPr>
          <w:rFonts w:ascii="Arial" w:cs="Arial" w:eastAsia="Arial" w:hAnsi="Arial"/>
          <w:sz w:val="19"/>
          <w:szCs w:val="19"/>
          <w:b w:val="1"/>
          <w:bCs w:val="1"/>
          <w:color w:val="auto"/>
        </w:rPr>
      </w:pPr>
      <w:r>
        <w:rPr>
          <w:rFonts w:ascii="Arial" w:cs="Arial" w:eastAsia="Arial" w:hAnsi="Arial"/>
          <w:sz w:val="19"/>
          <w:szCs w:val="19"/>
          <w:color w:val="auto"/>
        </w:rPr>
        <w:t>Jazz and its Affiliates are not, and have not been, debarred or disqualified by any Regulatory Authority; and none of Jazz or its Affiliates’ employees or contractors who will be involved in the Development, manufacture or Commercialization of the Licensed Product are, or have been, debarred or disqualified by any Regulatory Authority;</w:t>
      </w:r>
    </w:p>
    <w:p>
      <w:pPr>
        <w:spacing w:after="0" w:line="132" w:lineRule="exact"/>
        <w:rPr>
          <w:rFonts w:ascii="Arial" w:cs="Arial" w:eastAsia="Arial" w:hAnsi="Arial"/>
          <w:sz w:val="19"/>
          <w:szCs w:val="19"/>
          <w:b w:val="1"/>
          <w:bCs w:val="1"/>
          <w:color w:val="auto"/>
        </w:rPr>
      </w:pPr>
    </w:p>
    <w:p>
      <w:pPr>
        <w:ind w:left="1940" w:hanging="636"/>
        <w:spacing w:after="0"/>
        <w:tabs>
          <w:tab w:leader="none" w:pos="1940" w:val="left"/>
        </w:tabs>
        <w:numPr>
          <w:ilvl w:val="0"/>
          <w:numId w:val="142"/>
        </w:numPr>
        <w:rPr>
          <w:rFonts w:ascii="Arial" w:cs="Arial" w:eastAsia="Arial" w:hAnsi="Arial"/>
          <w:sz w:val="22"/>
          <w:szCs w:val="22"/>
          <w:b w:val="1"/>
          <w:bCs w:val="1"/>
          <w:color w:val="auto"/>
        </w:rPr>
      </w:pPr>
      <w:r>
        <w:rPr>
          <w:rFonts w:ascii="Arial" w:cs="Arial" w:eastAsia="Arial" w:hAnsi="Arial"/>
          <w:sz w:val="22"/>
          <w:szCs w:val="22"/>
          <w:color w:val="auto"/>
        </w:rPr>
        <w:t>[***]; and</w:t>
      </w:r>
    </w:p>
    <w:p>
      <w:pPr>
        <w:spacing w:after="0" w:line="179" w:lineRule="exact"/>
        <w:rPr>
          <w:rFonts w:ascii="Arial" w:cs="Arial" w:eastAsia="Arial" w:hAnsi="Arial"/>
          <w:sz w:val="22"/>
          <w:szCs w:val="22"/>
          <w:b w:val="1"/>
          <w:bCs w:val="1"/>
          <w:color w:val="auto"/>
        </w:rPr>
      </w:pPr>
    </w:p>
    <w:p>
      <w:pPr>
        <w:ind w:left="1940" w:hanging="636"/>
        <w:spacing w:after="0"/>
        <w:tabs>
          <w:tab w:leader="none" w:pos="1940" w:val="left"/>
        </w:tabs>
        <w:numPr>
          <w:ilvl w:val="0"/>
          <w:numId w:val="142"/>
        </w:numPr>
        <w:rPr>
          <w:rFonts w:ascii="Arial" w:cs="Arial" w:eastAsia="Arial" w:hAnsi="Arial"/>
          <w:sz w:val="21"/>
          <w:szCs w:val="21"/>
          <w:b w:val="1"/>
          <w:bCs w:val="1"/>
          <w:color w:val="auto"/>
        </w:rPr>
      </w:pPr>
      <w:r>
        <w:rPr>
          <w:rFonts w:ascii="Arial" w:cs="Arial" w:eastAsia="Arial" w:hAnsi="Arial"/>
          <w:sz w:val="21"/>
          <w:szCs w:val="21"/>
          <w:color w:val="auto"/>
        </w:rPr>
        <w:t>Jazz has[***] Development, manufacturing, Commercialization, and obtaining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01" w:right="339" w:bottom="1440" w:gutter="0" w:footer="0" w:header="0"/>
        </w:sectPr>
      </w:pPr>
    </w:p>
    <w:bookmarkStart w:id="217" w:name="page218"/>
    <w:bookmarkEnd w:id="217"/>
    <w:p>
      <w:pPr>
        <w:ind w:left="660"/>
        <w:spacing w:after="0"/>
        <w:tabs>
          <w:tab w:leader="none" w:pos="128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b w:val="1"/>
          <w:bCs w:val="1"/>
          <w:color w:val="auto"/>
        </w:rPr>
        <w:t>Covenants of Jazz</w:t>
      </w:r>
      <w:r>
        <w:rPr>
          <w:rFonts w:ascii="Arial" w:cs="Arial" w:eastAsia="Arial" w:hAnsi="Arial"/>
          <w:sz w:val="19"/>
          <w:szCs w:val="19"/>
          <w:color w:val="auto"/>
        </w:rPr>
        <w:t>. Jazz covenants to Zymeworks that:</w:t>
      </w:r>
    </w:p>
    <w:p>
      <w:pPr>
        <w:spacing w:after="0" w:line="185" w:lineRule="exact"/>
        <w:rPr>
          <w:sz w:val="20"/>
          <w:szCs w:val="20"/>
          <w:color w:val="auto"/>
        </w:rPr>
      </w:pPr>
    </w:p>
    <w:p>
      <w:pPr>
        <w:jc w:val="both"/>
        <w:ind w:firstLine="1304"/>
        <w:spacing w:after="0" w:line="268" w:lineRule="auto"/>
        <w:tabs>
          <w:tab w:leader="none" w:pos="1939" w:val="left"/>
        </w:tabs>
        <w:numPr>
          <w:ilvl w:val="0"/>
          <w:numId w:val="143"/>
        </w:numPr>
        <w:rPr>
          <w:rFonts w:ascii="Arial" w:cs="Arial" w:eastAsia="Arial" w:hAnsi="Arial"/>
          <w:sz w:val="19"/>
          <w:szCs w:val="19"/>
          <w:b w:val="1"/>
          <w:bCs w:val="1"/>
          <w:color w:val="auto"/>
        </w:rPr>
      </w:pPr>
      <w:r>
        <w:rPr>
          <w:rFonts w:ascii="Arial" w:cs="Arial" w:eastAsia="Arial" w:hAnsi="Arial"/>
          <w:sz w:val="19"/>
          <w:szCs w:val="19"/>
          <w:color w:val="auto"/>
        </w:rPr>
        <w:t>in the course of performing its obligations or exercising its rights under this Agreement, Jazz shall comply with all Applicable Laws, including, as applicable, cGMP, GCP, and GLP standards, and shall not employ or engage any Person who has been debarred by any Regulatory Authority or is the subject of debarment proceedings by a Regulatory Authority; and</w:t>
      </w:r>
    </w:p>
    <w:p>
      <w:pPr>
        <w:spacing w:after="0" w:line="132" w:lineRule="exact"/>
        <w:rPr>
          <w:rFonts w:ascii="Arial" w:cs="Arial" w:eastAsia="Arial" w:hAnsi="Arial"/>
          <w:sz w:val="19"/>
          <w:szCs w:val="19"/>
          <w:b w:val="1"/>
          <w:bCs w:val="1"/>
          <w:color w:val="auto"/>
        </w:rPr>
      </w:pPr>
    </w:p>
    <w:p>
      <w:pPr>
        <w:ind w:firstLine="1304"/>
        <w:spacing w:after="0" w:line="298" w:lineRule="auto"/>
        <w:tabs>
          <w:tab w:leader="none" w:pos="1938" w:val="left"/>
        </w:tabs>
        <w:numPr>
          <w:ilvl w:val="0"/>
          <w:numId w:val="143"/>
        </w:numPr>
        <w:rPr>
          <w:rFonts w:ascii="Arial" w:cs="Arial" w:eastAsia="Arial" w:hAnsi="Arial"/>
          <w:sz w:val="19"/>
          <w:szCs w:val="19"/>
          <w:b w:val="1"/>
          <w:bCs w:val="1"/>
          <w:color w:val="auto"/>
        </w:rPr>
      </w:pPr>
      <w:r>
        <w:rPr>
          <w:rFonts w:ascii="Arial" w:cs="Arial" w:eastAsia="Arial" w:hAnsi="Arial"/>
          <w:sz w:val="19"/>
          <w:szCs w:val="19"/>
          <w:color w:val="auto"/>
        </w:rPr>
        <w:t>Jazz and its Affiliates’ will not use any employees or contractors in the Development, manufacture or Commercialization of the Licensed Product who are, or have been, debarred or disqualified by any Regulatory Authority.</w:t>
      </w:r>
    </w:p>
    <w:p>
      <w:pPr>
        <w:spacing w:after="0" w:line="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12.5</w:t>
      </w:r>
      <w:r>
        <w:rPr>
          <w:sz w:val="20"/>
          <w:szCs w:val="20"/>
          <w:color w:val="auto"/>
        </w:rPr>
        <w:tab/>
      </w:r>
      <w:r>
        <w:rPr>
          <w:rFonts w:ascii="Arial" w:cs="Arial" w:eastAsia="Arial" w:hAnsi="Arial"/>
          <w:sz w:val="19"/>
          <w:szCs w:val="19"/>
          <w:b w:val="1"/>
          <w:bCs w:val="1"/>
          <w:color w:val="auto"/>
        </w:rPr>
        <w:t>Covenants of Zymeworks</w:t>
      </w:r>
      <w:r>
        <w:rPr>
          <w:rFonts w:ascii="Arial" w:cs="Arial" w:eastAsia="Arial" w:hAnsi="Arial"/>
          <w:sz w:val="19"/>
          <w:szCs w:val="19"/>
          <w:color w:val="auto"/>
        </w:rPr>
        <w:t>. Zymeworks covenants to Jazz that:</w:t>
      </w:r>
    </w:p>
    <w:p>
      <w:pPr>
        <w:spacing w:after="0" w:line="185" w:lineRule="exact"/>
        <w:rPr>
          <w:sz w:val="20"/>
          <w:szCs w:val="20"/>
          <w:color w:val="auto"/>
        </w:rPr>
      </w:pPr>
    </w:p>
    <w:p>
      <w:pPr>
        <w:ind w:firstLine="1304"/>
        <w:spacing w:after="0" w:line="232" w:lineRule="auto"/>
        <w:tabs>
          <w:tab w:leader="none" w:pos="1939" w:val="left"/>
        </w:tabs>
        <w:numPr>
          <w:ilvl w:val="0"/>
          <w:numId w:val="144"/>
        </w:numPr>
        <w:rPr>
          <w:rFonts w:ascii="Arial" w:cs="Arial" w:eastAsia="Arial" w:hAnsi="Arial"/>
          <w:sz w:val="22"/>
          <w:szCs w:val="22"/>
          <w:b w:val="1"/>
          <w:bCs w:val="1"/>
          <w:color w:val="auto"/>
        </w:rPr>
      </w:pPr>
      <w:r>
        <w:rPr>
          <w:rFonts w:ascii="Arial" w:cs="Arial" w:eastAsia="Arial" w:hAnsi="Arial"/>
          <w:sz w:val="22"/>
          <w:szCs w:val="22"/>
          <w:color w:val="auto"/>
        </w:rPr>
        <w:t>in the course of performing its obligations or exercising its rights under this Agreement, Zymeworks shall comply with all Applicable Laws, including, as applicable, cGMP, GCP, and GLP standards;</w:t>
      </w:r>
    </w:p>
    <w:p>
      <w:pPr>
        <w:spacing w:after="0" w:line="158" w:lineRule="exact"/>
        <w:rPr>
          <w:rFonts w:ascii="Arial" w:cs="Arial" w:eastAsia="Arial" w:hAnsi="Arial"/>
          <w:sz w:val="22"/>
          <w:szCs w:val="22"/>
          <w:b w:val="1"/>
          <w:bCs w:val="1"/>
          <w:color w:val="auto"/>
        </w:rPr>
      </w:pPr>
    </w:p>
    <w:p>
      <w:pPr>
        <w:jc w:val="both"/>
        <w:ind w:firstLine="1304"/>
        <w:spacing w:after="0" w:line="218" w:lineRule="auto"/>
        <w:tabs>
          <w:tab w:leader="none" w:pos="1938" w:val="left"/>
        </w:tabs>
        <w:numPr>
          <w:ilvl w:val="0"/>
          <w:numId w:val="144"/>
        </w:numPr>
        <w:rPr>
          <w:rFonts w:ascii="Arial" w:cs="Arial" w:eastAsia="Arial" w:hAnsi="Arial"/>
          <w:sz w:val="22"/>
          <w:szCs w:val="22"/>
          <w:b w:val="1"/>
          <w:bCs w:val="1"/>
          <w:color w:val="auto"/>
        </w:rPr>
      </w:pPr>
      <w:r>
        <w:rPr>
          <w:rFonts w:ascii="Arial" w:cs="Arial" w:eastAsia="Arial" w:hAnsi="Arial"/>
          <w:sz w:val="22"/>
          <w:szCs w:val="22"/>
          <w:color w:val="auto"/>
        </w:rPr>
        <w:t>Zymeworks will conduct its obligations with respect to the Zymeworks Ongoing Studies and the Zymeworks Korean Studies in adherence with the study design set forth in the protocol for such Zymeworks Ongoing Studies and Zymeworks Korean Studies, as applicable, and as set forth in the Zymeworks Development Plan, each as may be amended from time to time;</w:t>
      </w:r>
    </w:p>
    <w:p>
      <w:pPr>
        <w:spacing w:after="0" w:line="160" w:lineRule="exact"/>
        <w:rPr>
          <w:rFonts w:ascii="Arial" w:cs="Arial" w:eastAsia="Arial" w:hAnsi="Arial"/>
          <w:sz w:val="22"/>
          <w:szCs w:val="22"/>
          <w:b w:val="1"/>
          <w:bCs w:val="1"/>
          <w:color w:val="auto"/>
        </w:rPr>
      </w:pPr>
    </w:p>
    <w:p>
      <w:pPr>
        <w:jc w:val="both"/>
        <w:ind w:firstLine="1304"/>
        <w:spacing w:after="0" w:line="223" w:lineRule="auto"/>
        <w:tabs>
          <w:tab w:leader="none" w:pos="1941" w:val="left"/>
        </w:tabs>
        <w:numPr>
          <w:ilvl w:val="0"/>
          <w:numId w:val="144"/>
        </w:numPr>
        <w:rPr>
          <w:rFonts w:ascii="Arial" w:cs="Arial" w:eastAsia="Arial" w:hAnsi="Arial"/>
          <w:sz w:val="22"/>
          <w:szCs w:val="22"/>
          <w:b w:val="1"/>
          <w:bCs w:val="1"/>
          <w:color w:val="auto"/>
        </w:rPr>
      </w:pPr>
      <w:r>
        <w:rPr>
          <w:rFonts w:ascii="Arial" w:cs="Arial" w:eastAsia="Arial" w:hAnsi="Arial"/>
          <w:sz w:val="22"/>
          <w:szCs w:val="22"/>
          <w:color w:val="auto"/>
        </w:rPr>
        <w:t>Zymeworks and its Affiliates’ will not use any employees or contractors in the Development or manufacture of the Licensed Product who are, or have been, debarred or disqualified by any Regulatory Authority or is the subject of debarment proceedings by a Regulatory Authority;</w:t>
      </w:r>
    </w:p>
    <w:p>
      <w:pPr>
        <w:spacing w:after="0" w:line="158" w:lineRule="exact"/>
        <w:rPr>
          <w:rFonts w:ascii="Arial" w:cs="Arial" w:eastAsia="Arial" w:hAnsi="Arial"/>
          <w:sz w:val="22"/>
          <w:szCs w:val="22"/>
          <w:b w:val="1"/>
          <w:bCs w:val="1"/>
          <w:color w:val="auto"/>
        </w:rPr>
      </w:pPr>
    </w:p>
    <w:p>
      <w:pPr>
        <w:jc w:val="both"/>
        <w:ind w:firstLine="1304"/>
        <w:spacing w:after="0" w:line="212" w:lineRule="auto"/>
        <w:tabs>
          <w:tab w:leader="none" w:pos="1938" w:val="left"/>
        </w:tabs>
        <w:numPr>
          <w:ilvl w:val="0"/>
          <w:numId w:val="144"/>
        </w:numPr>
        <w:rPr>
          <w:rFonts w:ascii="Arial" w:cs="Arial" w:eastAsia="Arial" w:hAnsi="Arial"/>
          <w:sz w:val="22"/>
          <w:szCs w:val="22"/>
          <w:b w:val="1"/>
          <w:bCs w:val="1"/>
          <w:color w:val="auto"/>
        </w:rPr>
      </w:pPr>
      <w:r>
        <w:rPr>
          <w:rFonts w:ascii="Arial" w:cs="Arial" w:eastAsia="Arial" w:hAnsi="Arial"/>
          <w:sz w:val="22"/>
          <w:szCs w:val="22"/>
          <w:color w:val="auto"/>
        </w:rPr>
        <w:t>With respect to the Third Party In-License Agreements, (i) Zymeworks (and its Affiliates, as applicable) shall not breach, or commit any acts or permit the occurrence of any omissions that would cause the termination, of any Third Party In-License Agreement, (ii) Zymeworks shall, and shall cause its Affiliates to, as applicable, maintain each Third Party In-License Agreement in full force and effect and (iii) Zymeworks shall not, and shall cause its Affiliates not to, amend, modify, terminate, assign or transfer any Third Party In-License Agreement unless Zymeworks obtains Jazz’s prior written consent (such consent not to be unreasonably withheld, conditioned or delayed) if doing so could prohibit or limit Jazz’s rights under this Agreement; and</w:t>
      </w:r>
    </w:p>
    <w:p>
      <w:pPr>
        <w:spacing w:after="0" w:line="163" w:lineRule="exact"/>
        <w:rPr>
          <w:rFonts w:ascii="Arial" w:cs="Arial" w:eastAsia="Arial" w:hAnsi="Arial"/>
          <w:sz w:val="22"/>
          <w:szCs w:val="22"/>
          <w:b w:val="1"/>
          <w:bCs w:val="1"/>
          <w:color w:val="auto"/>
        </w:rPr>
      </w:pPr>
    </w:p>
    <w:p>
      <w:pPr>
        <w:jc w:val="both"/>
        <w:ind w:firstLine="1304"/>
        <w:spacing w:after="0" w:line="257" w:lineRule="auto"/>
        <w:tabs>
          <w:tab w:leader="none" w:pos="1941" w:val="left"/>
        </w:tabs>
        <w:numPr>
          <w:ilvl w:val="0"/>
          <w:numId w:val="144"/>
        </w:numPr>
        <w:rPr>
          <w:rFonts w:ascii="Arial" w:cs="Arial" w:eastAsia="Arial" w:hAnsi="Arial"/>
          <w:sz w:val="19"/>
          <w:szCs w:val="19"/>
          <w:b w:val="1"/>
          <w:bCs w:val="1"/>
          <w:color w:val="auto"/>
        </w:rPr>
      </w:pPr>
      <w:r>
        <w:rPr>
          <w:rFonts w:ascii="Arial" w:cs="Arial" w:eastAsia="Arial" w:hAnsi="Arial"/>
          <w:sz w:val="19"/>
          <w:szCs w:val="19"/>
          <w:color w:val="auto"/>
        </w:rPr>
        <w:t>Zymeworks and its Affiliates will not (i) assign or otherwise transfer to a Third Party ownership of any Zymeworks Patent Rights or Zymeworks Know-How in a manner that would conflict with or adversely affect the License or other rights granted to Jazz hereunder, or (ii) grant to any Third Party any license rights to any Zymeworks Patent Rights or Zymeworks Know-How with respect to the Territory if such license grant conflicts with the License granted to Jazz hereunder.</w:t>
      </w:r>
    </w:p>
    <w:p>
      <w:pPr>
        <w:spacing w:after="0" w:line="138"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12.6 NO OTHER WARRANTIES</w:t>
      </w:r>
      <w:r>
        <w:rPr>
          <w:rFonts w:ascii="Arial" w:cs="Arial" w:eastAsia="Arial" w:hAnsi="Arial"/>
          <w:sz w:val="22"/>
          <w:szCs w:val="22"/>
          <w:color w:val="auto"/>
        </w:rPr>
        <w:t>. EXCEPT AS EXPRESSLY STATED IN THIS ARTICLE 12, (A) NO</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REPRESENTATION, CONDITION OR WARRANTY WHATSOEVER IS MADE OR GIVEN BY OR ON BEHALF OF ZYMEWORKS OR JAZZ; AND (B) ALL OTHER CONDITIONS AND WARRANTIES WHETHER ARISING BY OPERATION OF LAW OR OTHERWISE ARE EXPRESSLY EXCLUDED, INCLUDING ANY CONDITIONS AND WARRANTIES OF MERCHANTABILITY, FITNESS FOR A PARTICULAR PURPOSE OR NON-INFRINGEMENT.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395" w:right="339" w:bottom="1440" w:gutter="0" w:footer="0" w:header="0"/>
        </w:sectPr>
      </w:pPr>
    </w:p>
    <w:bookmarkStart w:id="218" w:name="page219"/>
    <w:bookmarkEnd w:id="218"/>
    <w:p>
      <w:pPr>
        <w:ind w:left="660"/>
        <w:spacing w:after="0"/>
        <w:tabs>
          <w:tab w:leader="none" w:pos="1280" w:val="left"/>
        </w:tabs>
        <w:rPr>
          <w:sz w:val="20"/>
          <w:szCs w:val="20"/>
          <w:color w:val="auto"/>
        </w:rPr>
      </w:pPr>
      <w:r>
        <w:rPr>
          <w:rFonts w:ascii="Arial" w:cs="Arial" w:eastAsia="Arial" w:hAnsi="Arial"/>
          <w:sz w:val="22"/>
          <w:szCs w:val="22"/>
          <w:b w:val="1"/>
          <w:bCs w:val="1"/>
          <w:color w:val="auto"/>
        </w:rPr>
        <w:t>12.7</w:t>
      </w:r>
      <w:r>
        <w:rPr>
          <w:sz w:val="20"/>
          <w:szCs w:val="20"/>
          <w:color w:val="auto"/>
        </w:rPr>
        <w:tab/>
      </w:r>
      <w:r>
        <w:rPr>
          <w:rFonts w:ascii="Arial" w:cs="Arial" w:eastAsia="Arial" w:hAnsi="Arial"/>
          <w:sz w:val="19"/>
          <w:szCs w:val="19"/>
          <w:b w:val="1"/>
          <w:bCs w:val="1"/>
          <w:color w:val="auto"/>
        </w:rPr>
        <w:t>Compliance with Anti-Corruption Laws</w:t>
      </w:r>
      <w:r>
        <w:rPr>
          <w:rFonts w:ascii="Arial" w:cs="Arial" w:eastAsia="Arial" w:hAnsi="Arial"/>
          <w:sz w:val="19"/>
          <w:szCs w:val="19"/>
          <w:color w:val="auto"/>
        </w:rPr>
        <w:t>.</w:t>
      </w:r>
    </w:p>
    <w:p>
      <w:pPr>
        <w:spacing w:after="0" w:line="185" w:lineRule="exact"/>
        <w:rPr>
          <w:sz w:val="20"/>
          <w:szCs w:val="20"/>
          <w:color w:val="auto"/>
        </w:rPr>
      </w:pPr>
    </w:p>
    <w:p>
      <w:pPr>
        <w:ind w:left="1940" w:hanging="636"/>
        <w:spacing w:after="0"/>
        <w:tabs>
          <w:tab w:leader="none" w:pos="1940" w:val="left"/>
        </w:tabs>
        <w:numPr>
          <w:ilvl w:val="0"/>
          <w:numId w:val="145"/>
        </w:numPr>
        <w:rPr>
          <w:rFonts w:ascii="Arial" w:cs="Arial" w:eastAsia="Arial" w:hAnsi="Arial"/>
          <w:sz w:val="22"/>
          <w:szCs w:val="22"/>
          <w:b w:val="1"/>
          <w:bCs w:val="1"/>
          <w:color w:val="auto"/>
        </w:rPr>
      </w:pPr>
      <w:r>
        <w:rPr>
          <w:rFonts w:ascii="Arial" w:cs="Arial" w:eastAsia="Arial" w:hAnsi="Arial"/>
          <w:sz w:val="22"/>
          <w:szCs w:val="22"/>
          <w:color w:val="auto"/>
        </w:rPr>
        <w:t>Notwithstanding anything to the contrary in this Agreement, each Party agrees that:</w:t>
      </w:r>
    </w:p>
    <w:p>
      <w:pPr>
        <w:spacing w:after="0" w:line="179" w:lineRule="exact"/>
        <w:rPr>
          <w:rFonts w:ascii="Arial" w:cs="Arial" w:eastAsia="Arial" w:hAnsi="Arial"/>
          <w:sz w:val="22"/>
          <w:szCs w:val="22"/>
          <w:b w:val="1"/>
          <w:bCs w:val="1"/>
          <w:color w:val="auto"/>
        </w:rPr>
      </w:pPr>
    </w:p>
    <w:p>
      <w:pPr>
        <w:jc w:val="both"/>
        <w:ind w:firstLine="1952"/>
        <w:spacing w:after="0" w:line="223" w:lineRule="auto"/>
        <w:tabs>
          <w:tab w:leader="none" w:pos="2580" w:val="left"/>
        </w:tabs>
        <w:numPr>
          <w:ilvl w:val="1"/>
          <w:numId w:val="145"/>
        </w:numPr>
        <w:rPr>
          <w:rFonts w:ascii="Arial" w:cs="Arial" w:eastAsia="Arial" w:hAnsi="Arial"/>
          <w:sz w:val="22"/>
          <w:szCs w:val="22"/>
          <w:b w:val="1"/>
          <w:bCs w:val="1"/>
          <w:color w:val="auto"/>
        </w:rPr>
      </w:pPr>
      <w:r>
        <w:rPr>
          <w:rFonts w:ascii="Arial" w:cs="Arial" w:eastAsia="Arial" w:hAnsi="Arial"/>
          <w:sz w:val="22"/>
          <w:szCs w:val="22"/>
          <w:color w:val="auto"/>
        </w:rPr>
        <w:t>it shall not, in the performance of this Agreement, perform any actions that are prohibited by applicable anti-corruption laws (including the provisions of the United States Foreign Corrupt Practices Act and the Canada Corruption of Foreign Public Officials Act, collectively “</w:t>
      </w:r>
      <w:r>
        <w:rPr>
          <w:rFonts w:ascii="Arial" w:cs="Arial" w:eastAsia="Arial" w:hAnsi="Arial"/>
          <w:sz w:val="22"/>
          <w:szCs w:val="22"/>
          <w:b w:val="1"/>
          <w:bCs w:val="1"/>
          <w:color w:val="auto"/>
        </w:rPr>
        <w:t>Anti-Corruption Laws</w:t>
      </w:r>
      <w:r>
        <w:rPr>
          <w:rFonts w:ascii="Arial" w:cs="Arial" w:eastAsia="Arial" w:hAnsi="Arial"/>
          <w:sz w:val="22"/>
          <w:szCs w:val="22"/>
          <w:color w:val="auto"/>
        </w:rPr>
        <w:t>”);</w:t>
      </w:r>
    </w:p>
    <w:p>
      <w:pPr>
        <w:spacing w:after="0" w:line="158" w:lineRule="exact"/>
        <w:rPr>
          <w:rFonts w:ascii="Arial" w:cs="Arial" w:eastAsia="Arial" w:hAnsi="Arial"/>
          <w:sz w:val="22"/>
          <w:szCs w:val="22"/>
          <w:b w:val="1"/>
          <w:bCs w:val="1"/>
          <w:color w:val="auto"/>
        </w:rPr>
      </w:pPr>
    </w:p>
    <w:p>
      <w:pPr>
        <w:jc w:val="both"/>
        <w:ind w:firstLine="1952"/>
        <w:spacing w:after="0" w:line="226" w:lineRule="auto"/>
        <w:tabs>
          <w:tab w:leader="none" w:pos="2586" w:val="left"/>
        </w:tabs>
        <w:numPr>
          <w:ilvl w:val="1"/>
          <w:numId w:val="145"/>
        </w:numPr>
        <w:rPr>
          <w:rFonts w:ascii="Arial" w:cs="Arial" w:eastAsia="Arial" w:hAnsi="Arial"/>
          <w:sz w:val="21"/>
          <w:szCs w:val="21"/>
          <w:b w:val="1"/>
          <w:bCs w:val="1"/>
          <w:color w:val="auto"/>
        </w:rPr>
      </w:pPr>
      <w:r>
        <w:rPr>
          <w:rFonts w:ascii="Arial" w:cs="Arial" w:eastAsia="Arial" w:hAnsi="Arial"/>
          <w:sz w:val="21"/>
          <w:szCs w:val="21"/>
          <w:color w:val="auto"/>
        </w:rPr>
        <w:t>it shall adhere to its own internal anti-corruption policies and shall not, in the performance of this Agreement, directly or indirectly, make any payment, or offer or transfer anything of value, or agree or promise to make any payment or offer or transfer anything of value, to a government official or government employee, to any political party or any candidate for political office or to any other Third Party with the purpose of influencing decisions related to either Party or its business in a manner that would violate Anti-Corruption Laws;</w:t>
      </w:r>
    </w:p>
    <w:p>
      <w:pPr>
        <w:spacing w:after="0" w:line="159" w:lineRule="exact"/>
        <w:rPr>
          <w:rFonts w:ascii="Arial" w:cs="Arial" w:eastAsia="Arial" w:hAnsi="Arial"/>
          <w:sz w:val="21"/>
          <w:szCs w:val="21"/>
          <w:b w:val="1"/>
          <w:bCs w:val="1"/>
          <w:color w:val="auto"/>
        </w:rPr>
      </w:pPr>
    </w:p>
    <w:p>
      <w:pPr>
        <w:jc w:val="both"/>
        <w:ind w:firstLine="1952"/>
        <w:spacing w:after="0" w:line="223" w:lineRule="auto"/>
        <w:tabs>
          <w:tab w:leader="none" w:pos="2592" w:val="left"/>
        </w:tabs>
        <w:numPr>
          <w:ilvl w:val="1"/>
          <w:numId w:val="145"/>
        </w:numPr>
        <w:rPr>
          <w:rFonts w:ascii="Arial" w:cs="Arial" w:eastAsia="Arial" w:hAnsi="Arial"/>
          <w:sz w:val="22"/>
          <w:szCs w:val="22"/>
          <w:b w:val="1"/>
          <w:bCs w:val="1"/>
          <w:color w:val="auto"/>
        </w:rPr>
      </w:pPr>
      <w:r>
        <w:rPr>
          <w:rFonts w:ascii="Arial" w:cs="Arial" w:eastAsia="Arial" w:hAnsi="Arial"/>
          <w:sz w:val="22"/>
          <w:szCs w:val="22"/>
          <w:color w:val="auto"/>
        </w:rPr>
        <w:t>it will promptly provide written notice to the other Party of any violations of Anti-Corruption Laws by such Party, its Affiliates or sublicensees, or persons employed by or subcontractors used by such Party or its Affiliates or sublicensees in the performance of this Agreement of which it becomes aware;</w:t>
      </w:r>
    </w:p>
    <w:p>
      <w:pPr>
        <w:spacing w:after="0" w:line="158" w:lineRule="exact"/>
        <w:rPr>
          <w:rFonts w:ascii="Arial" w:cs="Arial" w:eastAsia="Arial" w:hAnsi="Arial"/>
          <w:sz w:val="22"/>
          <w:szCs w:val="22"/>
          <w:b w:val="1"/>
          <w:bCs w:val="1"/>
          <w:color w:val="auto"/>
        </w:rPr>
      </w:pPr>
    </w:p>
    <w:p>
      <w:pPr>
        <w:jc w:val="both"/>
        <w:ind w:firstLine="1952"/>
        <w:spacing w:after="0" w:line="218" w:lineRule="auto"/>
        <w:tabs>
          <w:tab w:leader="none" w:pos="2580" w:val="left"/>
        </w:tabs>
        <w:numPr>
          <w:ilvl w:val="1"/>
          <w:numId w:val="145"/>
        </w:numPr>
        <w:rPr>
          <w:rFonts w:ascii="Arial" w:cs="Arial" w:eastAsia="Arial" w:hAnsi="Arial"/>
          <w:sz w:val="22"/>
          <w:szCs w:val="22"/>
          <w:b w:val="1"/>
          <w:bCs w:val="1"/>
          <w:color w:val="auto"/>
        </w:rPr>
      </w:pPr>
      <w:r>
        <w:rPr>
          <w:rFonts w:ascii="Arial" w:cs="Arial" w:eastAsia="Arial" w:hAnsi="Arial"/>
          <w:sz w:val="22"/>
          <w:szCs w:val="22"/>
          <w:color w:val="auto"/>
        </w:rPr>
        <w:t>it will, upon the other Party’s written request, verify in writing that to the best of its knowledge, there have been no violations of Anti-Corruption Laws by such Party, its Affiliates or sublicensees, or persons employed by or subcontractors used by such Party or its Affiliates or sublicensees in the performance of this Agreement, or shall provide details of any exception to the foregoing; and</w:t>
      </w:r>
    </w:p>
    <w:p>
      <w:pPr>
        <w:spacing w:after="0" w:line="160" w:lineRule="exact"/>
        <w:rPr>
          <w:rFonts w:ascii="Arial" w:cs="Arial" w:eastAsia="Arial" w:hAnsi="Arial"/>
          <w:sz w:val="22"/>
          <w:szCs w:val="22"/>
          <w:b w:val="1"/>
          <w:bCs w:val="1"/>
          <w:color w:val="auto"/>
        </w:rPr>
      </w:pPr>
    </w:p>
    <w:p>
      <w:pPr>
        <w:jc w:val="both"/>
        <w:ind w:firstLine="1952"/>
        <w:spacing w:after="0" w:line="229" w:lineRule="auto"/>
        <w:tabs>
          <w:tab w:leader="none" w:pos="2587" w:val="left"/>
        </w:tabs>
        <w:numPr>
          <w:ilvl w:val="1"/>
          <w:numId w:val="145"/>
        </w:numPr>
        <w:rPr>
          <w:rFonts w:ascii="Arial" w:cs="Arial" w:eastAsia="Arial" w:hAnsi="Arial"/>
          <w:sz w:val="21"/>
          <w:szCs w:val="21"/>
          <w:b w:val="1"/>
          <w:bCs w:val="1"/>
          <w:color w:val="auto"/>
        </w:rPr>
      </w:pPr>
      <w:r>
        <w:rPr>
          <w:rFonts w:ascii="Arial" w:cs="Arial" w:eastAsia="Arial" w:hAnsi="Arial"/>
          <w:sz w:val="21"/>
          <w:szCs w:val="21"/>
          <w:color w:val="auto"/>
        </w:rPr>
        <w:t>it shall maintain records (financial and otherwise) and supporting documentation related to the subject matter of this Agreement in order to document or verify compliance with the provisions of this Section 12.7, and upon request of the other Party, up to [***] and upon reasonable advance notice, shall provide the other Party or its representative with access to such records for purposes of verifying compliance with the provisions of this Section 12.7.</w:t>
      </w:r>
    </w:p>
    <w:p>
      <w:pPr>
        <w:spacing w:after="0" w:line="158" w:lineRule="exact"/>
        <w:rPr>
          <w:rFonts w:ascii="Arial" w:cs="Arial" w:eastAsia="Arial" w:hAnsi="Arial"/>
          <w:sz w:val="21"/>
          <w:szCs w:val="21"/>
          <w:b w:val="1"/>
          <w:bCs w:val="1"/>
          <w:color w:val="auto"/>
        </w:rPr>
      </w:pPr>
    </w:p>
    <w:p>
      <w:pPr>
        <w:jc w:val="both"/>
        <w:ind w:firstLine="1304"/>
        <w:spacing w:after="0" w:line="223" w:lineRule="auto"/>
        <w:tabs>
          <w:tab w:leader="none" w:pos="1938" w:val="left"/>
        </w:tabs>
        <w:numPr>
          <w:ilvl w:val="0"/>
          <w:numId w:val="145"/>
        </w:numPr>
        <w:rPr>
          <w:rFonts w:ascii="Arial" w:cs="Arial" w:eastAsia="Arial" w:hAnsi="Arial"/>
          <w:sz w:val="22"/>
          <w:szCs w:val="22"/>
          <w:b w:val="1"/>
          <w:bCs w:val="1"/>
          <w:color w:val="auto"/>
        </w:rPr>
      </w:pPr>
      <w:r>
        <w:rPr>
          <w:rFonts w:ascii="Arial" w:cs="Arial" w:eastAsia="Arial" w:hAnsi="Arial"/>
          <w:sz w:val="22"/>
          <w:szCs w:val="22"/>
          <w:color w:val="auto"/>
        </w:rPr>
        <w:t>Each Party represents and warrants that, to the best of its knowledge, neither such Party nor any of its Affiliates, or its or their directors, officers, employees, distributors, agents, representatives, sales intermediaries or other Third Parties acting on behalf of such Party or any of its Affiliates:</w:t>
      </w:r>
    </w:p>
    <w:p>
      <w:pPr>
        <w:spacing w:after="0" w:line="158" w:lineRule="exact"/>
        <w:rPr>
          <w:rFonts w:ascii="Arial" w:cs="Arial" w:eastAsia="Arial" w:hAnsi="Arial"/>
          <w:sz w:val="22"/>
          <w:szCs w:val="22"/>
          <w:b w:val="1"/>
          <w:bCs w:val="1"/>
          <w:color w:val="auto"/>
        </w:rPr>
      </w:pPr>
    </w:p>
    <w:p>
      <w:pPr>
        <w:ind w:left="2580" w:hanging="628"/>
        <w:spacing w:after="0"/>
        <w:tabs>
          <w:tab w:leader="none" w:pos="2580" w:val="left"/>
        </w:tabs>
        <w:numPr>
          <w:ilvl w:val="1"/>
          <w:numId w:val="145"/>
        </w:numPr>
        <w:rPr>
          <w:rFonts w:ascii="Arial" w:cs="Arial" w:eastAsia="Arial" w:hAnsi="Arial"/>
          <w:sz w:val="22"/>
          <w:szCs w:val="22"/>
          <w:b w:val="1"/>
          <w:bCs w:val="1"/>
          <w:color w:val="auto"/>
        </w:rPr>
      </w:pPr>
      <w:r>
        <w:rPr>
          <w:rFonts w:ascii="Arial" w:cs="Arial" w:eastAsia="Arial" w:hAnsi="Arial"/>
          <w:sz w:val="22"/>
          <w:szCs w:val="22"/>
          <w:color w:val="auto"/>
        </w:rPr>
        <w:t>has taken any action in violation of any applicable Anti-Corruption Laws; or</w:t>
      </w:r>
    </w:p>
    <w:p>
      <w:pPr>
        <w:spacing w:after="0" w:line="179" w:lineRule="exact"/>
        <w:rPr>
          <w:rFonts w:ascii="Arial" w:cs="Arial" w:eastAsia="Arial" w:hAnsi="Arial"/>
          <w:sz w:val="22"/>
          <w:szCs w:val="22"/>
          <w:b w:val="1"/>
          <w:bCs w:val="1"/>
          <w:color w:val="auto"/>
        </w:rPr>
      </w:pPr>
    </w:p>
    <w:p>
      <w:pPr>
        <w:ind w:firstLine="1952"/>
        <w:spacing w:after="0" w:line="232" w:lineRule="auto"/>
        <w:tabs>
          <w:tab w:leader="none" w:pos="2586" w:val="left"/>
        </w:tabs>
        <w:numPr>
          <w:ilvl w:val="1"/>
          <w:numId w:val="145"/>
        </w:numPr>
        <w:rPr>
          <w:rFonts w:ascii="Arial" w:cs="Arial" w:eastAsia="Arial" w:hAnsi="Arial"/>
          <w:sz w:val="22"/>
          <w:szCs w:val="22"/>
          <w:b w:val="1"/>
          <w:bCs w:val="1"/>
          <w:color w:val="auto"/>
        </w:rPr>
      </w:pPr>
      <w:r>
        <w:rPr>
          <w:rFonts w:ascii="Arial" w:cs="Arial" w:eastAsia="Arial" w:hAnsi="Arial"/>
          <w:sz w:val="22"/>
          <w:szCs w:val="22"/>
          <w:color w:val="auto"/>
        </w:rPr>
        <w:t>has corruptly offered, paid, given, promised to pay or give, or authorized the payment or gift of anything of value, directly or indirectly, to any Public Official, for the purposes of:</w:t>
      </w:r>
    </w:p>
    <w:p>
      <w:pPr>
        <w:spacing w:after="0" w:line="158" w:lineRule="exact"/>
        <w:rPr>
          <w:rFonts w:ascii="Arial" w:cs="Arial" w:eastAsia="Arial" w:hAnsi="Arial"/>
          <w:sz w:val="22"/>
          <w:szCs w:val="22"/>
          <w:b w:val="1"/>
          <w:bCs w:val="1"/>
          <w:color w:val="auto"/>
        </w:rPr>
      </w:pPr>
    </w:p>
    <w:p>
      <w:pPr>
        <w:ind w:left="3240" w:hanging="640"/>
        <w:spacing w:after="0"/>
        <w:tabs>
          <w:tab w:leader="none" w:pos="3240" w:val="left"/>
        </w:tabs>
        <w:numPr>
          <w:ilvl w:val="2"/>
          <w:numId w:val="145"/>
        </w:numPr>
        <w:rPr>
          <w:rFonts w:ascii="Arial" w:cs="Arial" w:eastAsia="Arial" w:hAnsi="Arial"/>
          <w:sz w:val="22"/>
          <w:szCs w:val="22"/>
          <w:b w:val="1"/>
          <w:bCs w:val="1"/>
          <w:color w:val="auto"/>
        </w:rPr>
      </w:pPr>
      <w:r>
        <w:rPr>
          <w:rFonts w:ascii="Arial" w:cs="Arial" w:eastAsia="Arial" w:hAnsi="Arial"/>
          <w:sz w:val="22"/>
          <w:szCs w:val="22"/>
          <w:color w:val="auto"/>
        </w:rPr>
        <w:t>influencing any act or decision of any Public Official in his or her official capacity;</w:t>
      </w:r>
    </w:p>
    <w:p>
      <w:pPr>
        <w:spacing w:after="0" w:line="171" w:lineRule="exact"/>
        <w:rPr>
          <w:rFonts w:ascii="Arial" w:cs="Arial" w:eastAsia="Arial" w:hAnsi="Arial"/>
          <w:sz w:val="22"/>
          <w:szCs w:val="22"/>
          <w:b w:val="1"/>
          <w:bCs w:val="1"/>
          <w:color w:val="auto"/>
        </w:rPr>
      </w:pPr>
    </w:p>
    <w:p>
      <w:pPr>
        <w:ind w:left="3240" w:hanging="640"/>
        <w:spacing w:after="0"/>
        <w:tabs>
          <w:tab w:leader="none" w:pos="3240" w:val="left"/>
        </w:tabs>
        <w:numPr>
          <w:ilvl w:val="2"/>
          <w:numId w:val="145"/>
        </w:numPr>
        <w:rPr>
          <w:rFonts w:ascii="Arial" w:cs="Arial" w:eastAsia="Arial" w:hAnsi="Arial"/>
          <w:sz w:val="21"/>
          <w:szCs w:val="21"/>
          <w:b w:val="1"/>
          <w:bCs w:val="1"/>
          <w:color w:val="auto"/>
        </w:rPr>
      </w:pPr>
      <w:r>
        <w:rPr>
          <w:rFonts w:ascii="Arial" w:cs="Arial" w:eastAsia="Arial" w:hAnsi="Arial"/>
          <w:sz w:val="21"/>
          <w:szCs w:val="21"/>
          <w:color w:val="auto"/>
        </w:rPr>
        <w:t>inducing such Public Official to do or omit to do any act in violation of his or her lawful</w:t>
      </w:r>
    </w:p>
    <w:p>
      <w:pPr>
        <w:spacing w:after="0"/>
        <w:rPr>
          <w:rFonts w:ascii="Arial" w:cs="Arial" w:eastAsia="Arial" w:hAnsi="Arial"/>
          <w:sz w:val="21"/>
          <w:szCs w:val="21"/>
          <w:b w:val="1"/>
          <w:bCs w:val="1"/>
          <w:color w:val="auto"/>
        </w:rPr>
      </w:pPr>
      <w:r>
        <w:rPr>
          <w:rFonts w:ascii="Arial" w:cs="Arial" w:eastAsia="Arial" w:hAnsi="Arial"/>
          <w:sz w:val="22"/>
          <w:szCs w:val="22"/>
          <w:color w:val="auto"/>
        </w:rPr>
        <w:t>duty;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395" w:right="339" w:bottom="1440" w:gutter="0" w:footer="0" w:header="0"/>
        </w:sectPr>
      </w:pPr>
    </w:p>
    <w:bookmarkStart w:id="219" w:name="page220"/>
    <w:bookmarkEnd w:id="219"/>
    <w:p>
      <w:pPr>
        <w:ind w:left="3240" w:hanging="640"/>
        <w:spacing w:after="0"/>
        <w:tabs>
          <w:tab w:leader="none" w:pos="3240" w:val="left"/>
        </w:tabs>
        <w:numPr>
          <w:ilvl w:val="1"/>
          <w:numId w:val="146"/>
        </w:numPr>
        <w:rPr>
          <w:rFonts w:ascii="Arial" w:cs="Arial" w:eastAsia="Arial" w:hAnsi="Arial"/>
          <w:sz w:val="22"/>
          <w:szCs w:val="22"/>
          <w:b w:val="1"/>
          <w:bCs w:val="1"/>
          <w:color w:val="auto"/>
        </w:rPr>
      </w:pPr>
      <w:r>
        <w:rPr>
          <w:rFonts w:ascii="Arial" w:cs="Arial" w:eastAsia="Arial" w:hAnsi="Arial"/>
          <w:sz w:val="22"/>
          <w:szCs w:val="22"/>
          <w:color w:val="auto"/>
        </w:rPr>
        <w:t>securing any improper advantage; or</w:t>
      </w:r>
    </w:p>
    <w:p>
      <w:pPr>
        <w:spacing w:after="0" w:line="179" w:lineRule="exact"/>
        <w:rPr>
          <w:rFonts w:ascii="Arial" w:cs="Arial" w:eastAsia="Arial" w:hAnsi="Arial"/>
          <w:sz w:val="22"/>
          <w:szCs w:val="22"/>
          <w:b w:val="1"/>
          <w:bCs w:val="1"/>
          <w:color w:val="auto"/>
        </w:rPr>
      </w:pPr>
    </w:p>
    <w:p>
      <w:pPr>
        <w:jc w:val="both"/>
        <w:ind w:firstLine="2600"/>
        <w:spacing w:after="0" w:line="223" w:lineRule="auto"/>
        <w:tabs>
          <w:tab w:leader="none" w:pos="3235" w:val="left"/>
        </w:tabs>
        <w:numPr>
          <w:ilvl w:val="1"/>
          <w:numId w:val="146"/>
        </w:numPr>
        <w:rPr>
          <w:rFonts w:ascii="Arial" w:cs="Arial" w:eastAsia="Arial" w:hAnsi="Arial"/>
          <w:sz w:val="22"/>
          <w:szCs w:val="22"/>
          <w:b w:val="1"/>
          <w:bCs w:val="1"/>
          <w:color w:val="auto"/>
        </w:rPr>
      </w:pPr>
      <w:r>
        <w:rPr>
          <w:rFonts w:ascii="Arial" w:cs="Arial" w:eastAsia="Arial" w:hAnsi="Arial"/>
          <w:sz w:val="22"/>
          <w:szCs w:val="22"/>
          <w:color w:val="auto"/>
        </w:rPr>
        <w:t>inducing such Public Official to use his or her influence with a government, governmental entity, or commercial enterprise owned or controlled by any government (including state-owned or controlled veterinary, laboratory or medical facilities) in obtaining or retaining any business whatsoever.</w:t>
      </w:r>
    </w:p>
    <w:p>
      <w:pPr>
        <w:spacing w:after="0" w:line="158" w:lineRule="exact"/>
        <w:rPr>
          <w:rFonts w:ascii="Arial" w:cs="Arial" w:eastAsia="Arial" w:hAnsi="Arial"/>
          <w:sz w:val="22"/>
          <w:szCs w:val="22"/>
          <w:b w:val="1"/>
          <w:bCs w:val="1"/>
          <w:color w:val="auto"/>
        </w:rPr>
      </w:pPr>
    </w:p>
    <w:p>
      <w:pPr>
        <w:jc w:val="both"/>
        <w:ind w:firstLine="1304"/>
        <w:spacing w:after="0" w:line="223" w:lineRule="auto"/>
        <w:tabs>
          <w:tab w:leader="none" w:pos="1941" w:val="left"/>
        </w:tabs>
        <w:numPr>
          <w:ilvl w:val="0"/>
          <w:numId w:val="147"/>
        </w:numPr>
        <w:rPr>
          <w:rFonts w:ascii="Arial" w:cs="Arial" w:eastAsia="Arial" w:hAnsi="Arial"/>
          <w:sz w:val="22"/>
          <w:szCs w:val="22"/>
          <w:b w:val="1"/>
          <w:bCs w:val="1"/>
          <w:color w:val="auto"/>
        </w:rPr>
      </w:pPr>
      <w:r>
        <w:rPr>
          <w:rFonts w:ascii="Arial" w:cs="Arial" w:eastAsia="Arial" w:hAnsi="Arial"/>
          <w:sz w:val="22"/>
          <w:szCs w:val="22"/>
          <w:color w:val="auto"/>
        </w:rPr>
        <w:t>Each Party further represents and warrants that, as of the Execution Date, none of the officers, directors or employees of such Party or of any of its Affiliates or agents acting on behalf of such Party or any of its Affiliates, is a Public Official.</w:t>
      </w:r>
    </w:p>
    <w:p>
      <w:pPr>
        <w:spacing w:after="0" w:line="152" w:lineRule="exact"/>
        <w:rPr>
          <w:rFonts w:ascii="Arial" w:cs="Arial" w:eastAsia="Arial" w:hAnsi="Arial"/>
          <w:sz w:val="22"/>
          <w:szCs w:val="22"/>
          <w:b w:val="1"/>
          <w:bCs w:val="1"/>
          <w:color w:val="auto"/>
        </w:rPr>
      </w:pPr>
    </w:p>
    <w:p>
      <w:pPr>
        <w:jc w:val="both"/>
        <w:ind w:firstLine="1304"/>
        <w:spacing w:after="0" w:line="250" w:lineRule="auto"/>
        <w:tabs>
          <w:tab w:leader="none" w:pos="1938" w:val="left"/>
        </w:tabs>
        <w:numPr>
          <w:ilvl w:val="0"/>
          <w:numId w:val="147"/>
        </w:numPr>
        <w:rPr>
          <w:rFonts w:ascii="Arial" w:cs="Arial" w:eastAsia="Arial" w:hAnsi="Arial"/>
          <w:sz w:val="19"/>
          <w:szCs w:val="19"/>
          <w:b w:val="1"/>
          <w:bCs w:val="1"/>
          <w:color w:val="auto"/>
        </w:rPr>
      </w:pPr>
      <w:r>
        <w:rPr>
          <w:rFonts w:ascii="Arial" w:cs="Arial" w:eastAsia="Arial" w:hAnsi="Arial"/>
          <w:sz w:val="19"/>
          <w:szCs w:val="19"/>
          <w:color w:val="auto"/>
        </w:rPr>
        <w:t>For purposes of this Section 12.7, “</w:t>
      </w:r>
      <w:r>
        <w:rPr>
          <w:rFonts w:ascii="Arial" w:cs="Arial" w:eastAsia="Arial" w:hAnsi="Arial"/>
          <w:sz w:val="19"/>
          <w:szCs w:val="19"/>
          <w:b w:val="1"/>
          <w:bCs w:val="1"/>
          <w:color w:val="auto"/>
        </w:rPr>
        <w:t>Public Official</w:t>
      </w:r>
      <w:r>
        <w:rPr>
          <w:rFonts w:ascii="Arial" w:cs="Arial" w:eastAsia="Arial" w:hAnsi="Arial"/>
          <w:sz w:val="19"/>
          <w:szCs w:val="19"/>
          <w:color w:val="auto"/>
        </w:rPr>
        <w:t>” means (i) any officer, employee or representative of any supranational, regional, federal, state, provincial, county or municipal government or government department, agency or other division; (ii) any officer, employee or representative of any commercial enterprise that is owned or controlled by a government, including any state-owned or controlled veterinary, laboratory or medical facility; (iii) any officer, employee or representative of any public international organization; and (iv) any person acting in an official capacity for or on behalf of any government or government entity, government owned or controlled enterprise or public international organization.</w:t>
      </w:r>
    </w:p>
    <w:p>
      <w:pPr>
        <w:spacing w:after="0" w:line="146"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13</w:t>
      </w:r>
    </w:p>
    <w:p>
      <w:pPr>
        <w:spacing w:after="0" w:line="179"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INDEMNIFICATION</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1"/>
          <w:szCs w:val="21"/>
          <w:b w:val="1"/>
          <w:bCs w:val="1"/>
          <w:color w:val="auto"/>
        </w:rPr>
        <w:t xml:space="preserve">13.1 Indemnification by Jazz. </w:t>
      </w:r>
      <w:r>
        <w:rPr>
          <w:rFonts w:ascii="Arial" w:cs="Arial" w:eastAsia="Arial" w:hAnsi="Arial"/>
          <w:sz w:val="21"/>
          <w:szCs w:val="21"/>
          <w:color w:val="auto"/>
        </w:rPr>
        <w:t>Jazz shall indemnify and hold harmless Zymeworks, its Affiliates, and their respective</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directors, officers, employees, contractors, agents and assigns (individually and collectively, the “</w:t>
      </w:r>
      <w:r>
        <w:rPr>
          <w:rFonts w:ascii="Arial" w:cs="Arial" w:eastAsia="Arial" w:hAnsi="Arial"/>
          <w:sz w:val="21"/>
          <w:szCs w:val="21"/>
          <w:b w:val="1"/>
          <w:bCs w:val="1"/>
          <w:color w:val="auto"/>
        </w:rPr>
        <w:t>Zymeworks Indemnitee(s)</w:t>
      </w:r>
      <w:r>
        <w:rPr>
          <w:rFonts w:ascii="Arial" w:cs="Arial" w:eastAsia="Arial" w:hAnsi="Arial"/>
          <w:sz w:val="21"/>
          <w:szCs w:val="21"/>
          <w:color w:val="auto"/>
        </w:rPr>
        <w:t>”) from and against all losses, liabilities, damages and expenses (including reasonable attorneys’ fees and costs) (individually and collectively, “</w:t>
      </w:r>
      <w:r>
        <w:rPr>
          <w:rFonts w:ascii="Arial" w:cs="Arial" w:eastAsia="Arial" w:hAnsi="Arial"/>
          <w:sz w:val="21"/>
          <w:szCs w:val="21"/>
          <w:b w:val="1"/>
          <w:bCs w:val="1"/>
          <w:color w:val="auto"/>
        </w:rPr>
        <w:t>Losses</w:t>
      </w:r>
      <w:r>
        <w:rPr>
          <w:rFonts w:ascii="Arial" w:cs="Arial" w:eastAsia="Arial" w:hAnsi="Arial"/>
          <w:sz w:val="21"/>
          <w:szCs w:val="21"/>
          <w:color w:val="auto"/>
        </w:rPr>
        <w:t>”) incurred in connection with any claims, demands, actions or other proceedings by any Third Party (individually and collectively, “</w:t>
      </w:r>
      <w:r>
        <w:rPr>
          <w:rFonts w:ascii="Arial" w:cs="Arial" w:eastAsia="Arial" w:hAnsi="Arial"/>
          <w:sz w:val="21"/>
          <w:szCs w:val="21"/>
          <w:b w:val="1"/>
          <w:bCs w:val="1"/>
          <w:color w:val="auto"/>
        </w:rPr>
        <w:t>Claims</w:t>
      </w:r>
      <w:r>
        <w:rPr>
          <w:rFonts w:ascii="Arial" w:cs="Arial" w:eastAsia="Arial" w:hAnsi="Arial"/>
          <w:sz w:val="21"/>
          <w:szCs w:val="21"/>
          <w:color w:val="auto"/>
        </w:rPr>
        <w:t>”) to the extent arising from (a) the Development, manufacture or Commercialization of the Licensed Products by or on behalf of Jazz or any of its Affiliates or sublicensees, including product liability Claims, in the Territory, (b) the Development or manufacture of the Licensed Products outside of the Territory by or on behalf of Jazz or any of its Affiliates or sublicensees, including product liability Claims, (c) Jazz’s actions (or omissions) in the performance of its obligations with respect to Regulatory Submissions and interactions with Regulatory Authorities, in each case, with respect to the Licensed Products in the Territory, (d) the negligence or willful misconduct of Jazz or its Affiliates or sublicensees in connection with this Agreement, (e) Jazz’s breach of any of its representations or warranties made in or pursuant to this Agreement or any covenants or obligations set forth in this Agreement, or (f) the failure of Jazz or its Affiliates or sublicensees to abide by any Applicable Laws, in each case of clauses (a) through (f) above, except to the extent such Losses or Claims arise out of an Zymeworks Indemnitee’s negligence or willful misconduct, breach of this Agreement, or failure to abide by any Applicable Laws.</w:t>
      </w:r>
    </w:p>
    <w:p>
      <w:pPr>
        <w:spacing w:after="0" w:line="166"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b w:val="1"/>
          <w:bCs w:val="1"/>
          <w:color w:val="auto"/>
        </w:rPr>
        <w:t xml:space="preserve">13.2 Indemnification by Zymeworks. </w:t>
      </w:r>
      <w:r>
        <w:rPr>
          <w:rFonts w:ascii="Arial" w:cs="Arial" w:eastAsia="Arial" w:hAnsi="Arial"/>
          <w:sz w:val="21"/>
          <w:szCs w:val="21"/>
          <w:color w:val="auto"/>
        </w:rPr>
        <w:t>Zymeworks shall indemnify and hold harmless Jazz, its Affiliates, and their</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directors, officers, employees, contractors, agents and assigns (individually and collectively, the “</w:t>
      </w:r>
      <w:r>
        <w:rPr>
          <w:rFonts w:ascii="Arial" w:cs="Arial" w:eastAsia="Arial" w:hAnsi="Arial"/>
          <w:sz w:val="21"/>
          <w:szCs w:val="21"/>
          <w:b w:val="1"/>
          <w:bCs w:val="1"/>
          <w:color w:val="auto"/>
        </w:rPr>
        <w:t>Jazz Indemnitee(s)</w:t>
      </w:r>
      <w:r>
        <w:rPr>
          <w:rFonts w:ascii="Arial" w:cs="Arial" w:eastAsia="Arial" w:hAnsi="Arial"/>
          <w:sz w:val="21"/>
          <w:szCs w:val="21"/>
          <w:color w:val="auto"/>
        </w:rPr>
        <w:t>”) from and against all Losses incurred in connection with Claims against such Jazz Indemnitee to the extent arising from (a) the Development, manufacture or Commercialization activities conducted by or on behalf of Zymeworks or any of its Affiliates or (sub)licensees with respect to Licensed Products prior to the Closing Date, including product liability Claims, (b) the Development, manufacture or Commercialization of Licensed Products by or on behalf of Zymeworks or any of its Affiliates or (sub)licensees outside of the Territory, including product liability Claims, (c) manufacture of Licensed Antibodies or Licensed Products by or on behalf of Zymeworks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01" w:right="339" w:bottom="1440" w:gutter="0" w:footer="0" w:header="0"/>
        </w:sectPr>
      </w:pPr>
    </w:p>
    <w:bookmarkStart w:id="220" w:name="page221"/>
    <w:bookmarkEnd w:id="220"/>
    <w:p>
      <w:pPr>
        <w:jc w:val="both"/>
        <w:spacing w:after="0" w:line="222" w:lineRule="auto"/>
        <w:rPr>
          <w:sz w:val="20"/>
          <w:szCs w:val="20"/>
          <w:color w:val="auto"/>
        </w:rPr>
      </w:pPr>
      <w:r>
        <w:rPr>
          <w:rFonts w:ascii="Arial" w:cs="Arial" w:eastAsia="Arial" w:hAnsi="Arial"/>
          <w:sz w:val="21"/>
          <w:szCs w:val="21"/>
          <w:color w:val="auto"/>
        </w:rPr>
        <w:t>other than for, or for use by or on behalf of (including pursuant to the Zymeworks Ongoing Studies and Zymeworks Korean Studies after the Closing Date), Jazz, its Affiliates or sublicensees, (d) the negligence or willful misconduct of Zymeworks or its Affiliates in connection with this Agreement, (e) Zymeworks’ breach of any of its representations or warranties made in or pursuant to this Agreement or any covenants or obligations set forth in this Agreement, or (f) failure of Zymeworks or its Affiliates to abide by any Applicable Laws in its performance hereunder, in each case of clauses (a) through (f) above, except to the extent such Losses or Claims arise out of any of a Jazz Indemnitee’s negligence or willful misconduct, breach of this Agreement, or failure to abide by any Applicable Laws.</w:t>
      </w:r>
    </w:p>
    <w:p>
      <w:pPr>
        <w:spacing w:after="0" w:line="15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b w:val="1"/>
          <w:bCs w:val="1"/>
          <w:color w:val="auto"/>
        </w:rPr>
        <w:t xml:space="preserve">13.3 Indemnification Procedure. </w:t>
      </w:r>
      <w:r>
        <w:rPr>
          <w:rFonts w:ascii="Arial" w:cs="Arial" w:eastAsia="Arial" w:hAnsi="Arial"/>
          <w:sz w:val="19"/>
          <w:szCs w:val="19"/>
          <w:color w:val="auto"/>
        </w:rPr>
        <w:t>If either Party is seeking indemnification under Sections 13.1 or 13.2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it shall inform the other Party (the “</w:t>
      </w:r>
      <w:r>
        <w:rPr>
          <w:rFonts w:ascii="Arial" w:cs="Arial" w:eastAsia="Arial" w:hAnsi="Arial"/>
          <w:sz w:val="19"/>
          <w:szCs w:val="19"/>
          <w:b w:val="1"/>
          <w:bCs w:val="1"/>
          <w:color w:val="auto"/>
        </w:rPr>
        <w:t>Indemnifying Party</w:t>
      </w:r>
      <w:r>
        <w:rPr>
          <w:rFonts w:ascii="Arial" w:cs="Arial" w:eastAsia="Arial" w:hAnsi="Arial"/>
          <w:sz w:val="19"/>
          <w:szCs w:val="19"/>
          <w:color w:val="auto"/>
        </w:rPr>
        <w:t>”) of the Claim giving rise to the obligation to indemnify pursuant to such Section within [***] after receiving written notice of the Claim (it being understood and agreed, however, that the failure or delay by an Indemnified Party to give such notice of a Claim shall not affect the indemnification provided hereunder except to the extent the Indemnifying Party shall have been actually and materially prejudiced as a result of such failure or delay to give notice). The Indemnifying Party shall have the right to assume the defense of any such Claim for which it is obligated to indemnify the Indemnified Party. The Indemnified Party shall cooperate with the Indemnifying Party and the Indemnifying Party’s insurer as the Indemnifying Party may reasonably request, and at the Indemnifying Party’s cost and expense. The Indemnified Party shall have the right to participate, at its own expense and with counsel of its choice, in the defense of any Claim that has been assumed by the Indemnifying Party. Neither Party shall have the obligation to indemnify the other Party in connection with any settlement made without the Indemnifying Party’s written consent, which consent shall not be unreasonably withheld, conditioned or delayed. The Indemnifying Party may not enter into any compromise or settlement unless</w:t>
      </w:r>
    </w:p>
    <w:p>
      <w:pPr>
        <w:spacing w:after="0" w:line="5" w:lineRule="exact"/>
        <w:rPr>
          <w:sz w:val="20"/>
          <w:szCs w:val="20"/>
          <w:color w:val="auto"/>
        </w:rPr>
      </w:pPr>
    </w:p>
    <w:p>
      <w:pPr>
        <w:jc w:val="both"/>
        <w:ind w:firstLine="8"/>
        <w:spacing w:after="0" w:line="237" w:lineRule="auto"/>
        <w:tabs>
          <w:tab w:leader="none" w:pos="36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such compromise or settlement imposes only a monetary obligation on the Indemnifying Party and includes as an unconditional term thereof, the giving by each claimant or plaintiff to the Indemnified Party of a release from all liability in respect of such claim; or (b) the Indemnified Party consents to such compromise or settlement, which consent will not be unreasonably withheld, conditioned or delayed unless such compromise or settlement involves (i) any admission of legal wrongdoing by the Indemnified Party, (ii) any payment by the Indemnified Party that is not indemnified under this Agreement, or</w:t>
      </w:r>
    </w:p>
    <w:p>
      <w:pPr>
        <w:spacing w:after="0" w:line="1" w:lineRule="exact"/>
        <w:rPr>
          <w:rFonts w:ascii="Arial" w:cs="Arial" w:eastAsia="Arial" w:hAnsi="Arial"/>
          <w:sz w:val="19"/>
          <w:szCs w:val="19"/>
          <w:color w:val="auto"/>
        </w:rPr>
      </w:pPr>
    </w:p>
    <w:p>
      <w:pPr>
        <w:jc w:val="both"/>
        <w:ind w:firstLine="8"/>
        <w:spacing w:after="0" w:line="218" w:lineRule="auto"/>
        <w:tabs>
          <w:tab w:leader="none" w:pos="409" w:val="left"/>
        </w:tabs>
        <w:numPr>
          <w:ilvl w:val="0"/>
          <w:numId w:val="149"/>
        </w:numPr>
        <w:rPr>
          <w:rFonts w:ascii="Arial" w:cs="Arial" w:eastAsia="Arial" w:hAnsi="Arial"/>
          <w:sz w:val="21"/>
          <w:szCs w:val="21"/>
          <w:color w:val="auto"/>
        </w:rPr>
      </w:pPr>
      <w:r>
        <w:rPr>
          <w:rFonts w:ascii="Arial" w:cs="Arial" w:eastAsia="Arial" w:hAnsi="Arial"/>
          <w:sz w:val="21"/>
          <w:szCs w:val="21"/>
          <w:color w:val="auto"/>
        </w:rPr>
        <w:t>the imposition of any equitable relief against the Indemnified Party. If the Indemnifying Party does not elect to assume control of the defense of a claim or if a good faith and diligent defense, in the Indemnified Party’s reasonable opinion, is not being or ceases to be materially conducted by the Indemnifying Party, the Indemnified Party will have the right, at the expense of the Indemnifying Party to the extent reasonable and documented, upon at least [***] prior written notice to the Indemnifying Party of its intent to do so, to undertake the defense of such claim for the account of the Indemnifying Party (with counsel reasonably selected by the Indemnified Party and approved by the Indemnifying Party, such approval not to be unreasonably withheld, conditioned or delayed); provided that the Indemnified Party will keep the Indemnifying Party apprised of all material developments with respect to such claim. If the Parties cannot agree as to the application of Section 13.1 or 13.2 as to any Claim, pending resolution of the dispute pursuant to Section 17.5, the Parties may conduct separate defenses of such Claims, with each Party retaining the right to Claim indemnification from the other Party in accordance with Section 13.1 or 13.2 upon resolution of the underlying Claim.</w:t>
      </w:r>
    </w:p>
    <w:p>
      <w:pPr>
        <w:spacing w:after="0" w:line="15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13.4 Mitigation of Loss. </w:t>
      </w:r>
      <w:r>
        <w:rPr>
          <w:rFonts w:ascii="Arial" w:cs="Arial" w:eastAsia="Arial" w:hAnsi="Arial"/>
          <w:sz w:val="22"/>
          <w:szCs w:val="22"/>
          <w:color w:val="auto"/>
        </w:rPr>
        <w:t>Each Indemnified Party shall take and shall procure that its Affiliates take all such reasonable</w:t>
      </w:r>
      <w:r>
        <w:rPr>
          <w:rFonts w:ascii="Arial" w:cs="Arial" w:eastAsia="Arial" w:hAnsi="Arial"/>
          <w:sz w:val="22"/>
          <w:szCs w:val="22"/>
          <w:b w:val="1"/>
          <w:bCs w:val="1"/>
          <w:color w:val="auto"/>
        </w:rPr>
        <w:t xml:space="preserve"> </w:t>
      </w:r>
      <w:r>
        <w:rPr>
          <w:rFonts w:ascii="Arial" w:cs="Arial" w:eastAsia="Arial" w:hAnsi="Arial"/>
          <w:sz w:val="22"/>
          <w:szCs w:val="22"/>
          <w:color w:val="auto"/>
        </w:rPr>
        <w:t>steps and action as are reasonably necessary in order to mitigate any Losses (or potential losses or damages) under this Article 13. Nothing in this Agreement shall or shall be deemed to relieve any Party of any common law or other duty to mitigate any losses incurred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01" w:right="339" w:bottom="1440" w:gutter="0" w:footer="0" w:header="0"/>
        </w:sectPr>
      </w:pPr>
    </w:p>
    <w:bookmarkStart w:id="221" w:name="page222"/>
    <w:bookmarkEnd w:id="221"/>
    <w:p>
      <w:pPr>
        <w:jc w:val="both"/>
        <w:ind w:firstLine="648"/>
        <w:spacing w:after="0" w:line="223" w:lineRule="auto"/>
        <w:rPr>
          <w:sz w:val="20"/>
          <w:szCs w:val="20"/>
          <w:color w:val="auto"/>
        </w:rPr>
      </w:pPr>
      <w:r>
        <w:rPr>
          <w:rFonts w:ascii="Arial" w:cs="Arial" w:eastAsia="Arial" w:hAnsi="Arial"/>
          <w:sz w:val="21"/>
          <w:szCs w:val="21"/>
          <w:b w:val="1"/>
          <w:bCs w:val="1"/>
          <w:color w:val="auto"/>
        </w:rPr>
        <w:t xml:space="preserve">13.5 Limitation of Liability. </w:t>
      </w:r>
      <w:r>
        <w:rPr>
          <w:rFonts w:ascii="Arial" w:cs="Arial" w:eastAsia="Arial" w:hAnsi="Arial"/>
          <w:sz w:val="21"/>
          <w:szCs w:val="21"/>
          <w:color w:val="auto"/>
        </w:rPr>
        <w:t>NEITHER PARTY SHALL BE LIABLE TO THE OTHER FOR ANY SPECIAL,</w:t>
      </w:r>
      <w:r>
        <w:rPr>
          <w:rFonts w:ascii="Arial" w:cs="Arial" w:eastAsia="Arial" w:hAnsi="Arial"/>
          <w:sz w:val="21"/>
          <w:szCs w:val="21"/>
          <w:b w:val="1"/>
          <w:bCs w:val="1"/>
          <w:color w:val="auto"/>
        </w:rPr>
        <w:t xml:space="preserve"> </w:t>
      </w:r>
      <w:r>
        <w:rPr>
          <w:rFonts w:ascii="Arial" w:cs="Arial" w:eastAsia="Arial" w:hAnsi="Arial"/>
          <w:sz w:val="21"/>
          <w:szCs w:val="21"/>
          <w:color w:val="auto"/>
        </w:rPr>
        <w:t>CONSEQUENTIAL, INCIDENTAL, PUNITIVE, OR INDIRECT DAMAGES ARISING FROM OR RELATING TO ANY BREACH OF THIS AGREEMENT, REGARDLESS OF ANY NOTICE OF THE POSSIBILITY OF SUCH DAMAGES. NOTWITHSTANDING THE FOREGOING, NOTHING IN THIS SECTION 13.5 IS INTENDED TO OR SHALL LIMIT OR RESTRICT THE INDEMNIFICATION RIGHTS OR OBLIGATIONS OF ANY PARTY UNDER SECTIONS 13.1 OR 13.2, OR DAMAGES AVAILABLE FOR A PARTY’S BREACH OF ITS OBLIGATIONS HEREUNDER RELATING TO CONFIDENTIALITY OR A PARTY’S BREACH OF ITS OBLIGATIONS UNDER SECTIONS 2.5 AND 2.6.</w:t>
      </w:r>
    </w:p>
    <w:p>
      <w:pPr>
        <w:spacing w:after="0" w:line="15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b w:val="1"/>
          <w:bCs w:val="1"/>
          <w:color w:val="auto"/>
        </w:rPr>
        <w:t>13.6 Insurance</w:t>
      </w:r>
      <w:r>
        <w:rPr>
          <w:rFonts w:ascii="Arial" w:cs="Arial" w:eastAsia="Arial" w:hAnsi="Arial"/>
          <w:sz w:val="21"/>
          <w:szCs w:val="21"/>
          <w:color w:val="auto"/>
        </w:rPr>
        <w:t>. Each Party shall procure and maintain insurance, including product liability insurance, with respect to</w:t>
      </w:r>
      <w:r>
        <w:rPr>
          <w:rFonts w:ascii="Arial" w:cs="Arial" w:eastAsia="Arial" w:hAnsi="Arial"/>
          <w:sz w:val="21"/>
          <w:szCs w:val="21"/>
          <w:b w:val="1"/>
          <w:bCs w:val="1"/>
          <w:color w:val="auto"/>
        </w:rPr>
        <w:t xml:space="preserve"> </w:t>
      </w:r>
      <w:r>
        <w:rPr>
          <w:rFonts w:ascii="Arial" w:cs="Arial" w:eastAsia="Arial" w:hAnsi="Arial"/>
          <w:sz w:val="21"/>
          <w:szCs w:val="21"/>
          <w:color w:val="auto"/>
        </w:rPr>
        <w:t>its activities hereunder and which is consistent with normal business practices of prudent companies similarly situated at all times or as imposed by Applicable Laws during which Licensed Product is being clinically tested in human subjects or commercially distributed or sold in the Territory or outside of the Territory. All such insurance coverage may, unless otherwise provided by Applicable Laws, be maintained through a self-insurance plan that substantially complies with the foregoing limits and requirements and may be satisfied through one or more policies, including an umbrella policy; provided, however, that the other Party will provide to the requesting Party a letter(s) affirming appropriate self-insurance or a certificate of insurance evidencing such coverage in accordance with this Agreement. Each Party will maintain such insurance or self-insurance coverage without interruption during the Term and for a period of [***] thereafter or for any longer period required by Applicable Laws, and, if applicable, will provide certificates or letters evidencing such insurance coverage without interruption as reasonably requested during the period of time for which such coverage must be maintained. Each Party will be provided at least [***] prior written notice of any cancellation or material decrease in the other Party’s insurance coverage limits described above. Notwithstanding the foregoing, either Party’s failure to maintain adequate insurance will not relieve that Party of its obligations set forth in this Agreement.</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14</w:t>
      </w:r>
    </w:p>
    <w:p>
      <w:pPr>
        <w:spacing w:after="0" w:line="179"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INTELLECTUAL PROPERTY</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14.1</w:t>
      </w:r>
      <w:r>
        <w:rPr>
          <w:sz w:val="20"/>
          <w:szCs w:val="20"/>
          <w:color w:val="auto"/>
        </w:rPr>
        <w:tab/>
      </w:r>
      <w:r>
        <w:rPr>
          <w:rFonts w:ascii="Arial" w:cs="Arial" w:eastAsia="Arial" w:hAnsi="Arial"/>
          <w:sz w:val="19"/>
          <w:szCs w:val="19"/>
          <w:b w:val="1"/>
          <w:bCs w:val="1"/>
          <w:color w:val="auto"/>
        </w:rPr>
        <w:t>Inventions</w:t>
      </w:r>
      <w:r>
        <w:rPr>
          <w:rFonts w:ascii="Arial" w:cs="Arial" w:eastAsia="Arial" w:hAnsi="Arial"/>
          <w:sz w:val="19"/>
          <w:szCs w:val="19"/>
          <w:color w:val="auto"/>
        </w:rPr>
        <w:t>.</w:t>
      </w:r>
    </w:p>
    <w:p>
      <w:pPr>
        <w:spacing w:after="0" w:line="179" w:lineRule="exact"/>
        <w:rPr>
          <w:sz w:val="20"/>
          <w:szCs w:val="20"/>
          <w:color w:val="auto"/>
        </w:rPr>
      </w:pPr>
    </w:p>
    <w:p>
      <w:pPr>
        <w:ind w:left="1940" w:hanging="636"/>
        <w:spacing w:after="0"/>
        <w:tabs>
          <w:tab w:leader="none" w:pos="1940" w:val="left"/>
        </w:tabs>
        <w:numPr>
          <w:ilvl w:val="1"/>
          <w:numId w:val="1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Ownership. </w:t>
      </w:r>
      <w:r>
        <w:rPr>
          <w:rFonts w:ascii="Arial" w:cs="Arial" w:eastAsia="Arial" w:hAnsi="Arial"/>
          <w:sz w:val="19"/>
          <w:szCs w:val="19"/>
          <w:color w:val="auto"/>
        </w:rPr>
        <w:t>As between the Parties, (i) Zymeworks shall solely own all Zanidatamab Collaboration IP and</w:t>
      </w:r>
    </w:p>
    <w:p>
      <w:pPr>
        <w:spacing w:after="0" w:line="21" w:lineRule="exact"/>
        <w:rPr>
          <w:rFonts w:ascii="Arial" w:cs="Arial" w:eastAsia="Arial" w:hAnsi="Arial"/>
          <w:sz w:val="19"/>
          <w:szCs w:val="19"/>
          <w:b w:val="1"/>
          <w:bCs w:val="1"/>
          <w:color w:val="auto"/>
        </w:rPr>
      </w:pPr>
    </w:p>
    <w:p>
      <w:pPr>
        <w:jc w:val="both"/>
        <w:ind w:firstLine="8"/>
        <w:spacing w:after="0" w:line="243" w:lineRule="auto"/>
        <w:tabs>
          <w:tab w:leader="none" w:pos="349"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ownership of any other Invention shall be determined by inventorship. Accordingly, except as otherwise provided in Section 14.1(a)(i), Inventions that are made solely by or on behalf of Zymeworks and its Affiliates (and all intellectual property rights therein, including the Patent Rights claiming them) (“</w:t>
      </w:r>
      <w:r>
        <w:rPr>
          <w:rFonts w:ascii="Arial" w:cs="Arial" w:eastAsia="Arial" w:hAnsi="Arial"/>
          <w:sz w:val="19"/>
          <w:szCs w:val="19"/>
          <w:b w:val="1"/>
          <w:bCs w:val="1"/>
          <w:color w:val="auto"/>
        </w:rPr>
        <w:t>Zymeworks Collaboration IP</w:t>
      </w:r>
      <w:r>
        <w:rPr>
          <w:rFonts w:ascii="Arial" w:cs="Arial" w:eastAsia="Arial" w:hAnsi="Arial"/>
          <w:sz w:val="19"/>
          <w:szCs w:val="19"/>
          <w:color w:val="auto"/>
        </w:rPr>
        <w:t>”) shall be owned solely by Zymeworks; Inventions that are made solely by Jazz (and all intellectual property rights therein, including the Patent Rights claiming them) (“</w:t>
      </w:r>
      <w:r>
        <w:rPr>
          <w:rFonts w:ascii="Arial" w:cs="Arial" w:eastAsia="Arial" w:hAnsi="Arial"/>
          <w:sz w:val="19"/>
          <w:szCs w:val="19"/>
          <w:b w:val="1"/>
          <w:bCs w:val="1"/>
          <w:color w:val="auto"/>
        </w:rPr>
        <w:t>Jazz Collaboration IP</w:t>
      </w:r>
      <w:r>
        <w:rPr>
          <w:rFonts w:ascii="Arial" w:cs="Arial" w:eastAsia="Arial" w:hAnsi="Arial"/>
          <w:sz w:val="19"/>
          <w:szCs w:val="19"/>
          <w:color w:val="auto"/>
        </w:rPr>
        <w:t>”) shall be owned solely by Jazz; and Inventions that are made jointly by the Parties (and all intellectual property rights therein, including the Patent Rights claiming them) (“</w:t>
      </w:r>
      <w:r>
        <w:rPr>
          <w:rFonts w:ascii="Arial" w:cs="Arial" w:eastAsia="Arial" w:hAnsi="Arial"/>
          <w:sz w:val="19"/>
          <w:szCs w:val="19"/>
          <w:b w:val="1"/>
          <w:bCs w:val="1"/>
          <w:color w:val="auto"/>
        </w:rPr>
        <w:t>Joint Collaboration IP</w:t>
      </w:r>
      <w:r>
        <w:rPr>
          <w:rFonts w:ascii="Arial" w:cs="Arial" w:eastAsia="Arial" w:hAnsi="Arial"/>
          <w:sz w:val="19"/>
          <w:szCs w:val="19"/>
          <w:color w:val="auto"/>
        </w:rPr>
        <w:t>”) shall be owned jointly by the Parties. Zanidatamab Collaboration IP, Zymeworks Collaboration IP and Zymeworks’ interest in the Joint Collaboration IP shall be included in the Zymeworks IP and licensed to Jazz under Section 2.1.</w:t>
      </w:r>
    </w:p>
    <w:p>
      <w:pPr>
        <w:spacing w:after="0" w:line="150" w:lineRule="exact"/>
        <w:rPr>
          <w:rFonts w:ascii="Arial" w:cs="Arial" w:eastAsia="Arial" w:hAnsi="Arial"/>
          <w:sz w:val="19"/>
          <w:szCs w:val="19"/>
          <w:color w:val="auto"/>
        </w:rPr>
      </w:pPr>
    </w:p>
    <w:p>
      <w:pPr>
        <w:jc w:val="both"/>
        <w:ind w:firstLine="1304"/>
        <w:spacing w:after="0" w:line="271" w:lineRule="auto"/>
        <w:tabs>
          <w:tab w:leader="none" w:pos="1938" w:val="left"/>
        </w:tabs>
        <w:numPr>
          <w:ilvl w:val="1"/>
          <w:numId w:val="1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Disclosure. </w:t>
      </w:r>
      <w:r>
        <w:rPr>
          <w:rFonts w:ascii="Arial" w:cs="Arial" w:eastAsia="Arial" w:hAnsi="Arial"/>
          <w:sz w:val="19"/>
          <w:szCs w:val="19"/>
          <w:color w:val="auto"/>
        </w:rPr>
        <w:t>Each Party shall promptly disclose to the other Party all Inventions made by or on behalf of</w:t>
      </w:r>
      <w:r>
        <w:rPr>
          <w:rFonts w:ascii="Arial" w:cs="Arial" w:eastAsia="Arial" w:hAnsi="Arial"/>
          <w:sz w:val="19"/>
          <w:szCs w:val="19"/>
          <w:b w:val="1"/>
          <w:bCs w:val="1"/>
          <w:color w:val="auto"/>
        </w:rPr>
        <w:t xml:space="preserve"> </w:t>
      </w:r>
      <w:r>
        <w:rPr>
          <w:rFonts w:ascii="Arial" w:cs="Arial" w:eastAsia="Arial" w:hAnsi="Arial"/>
          <w:sz w:val="19"/>
          <w:szCs w:val="19"/>
          <w:color w:val="auto"/>
        </w:rPr>
        <w:t>such disclosing Party, its Affiliates or (sub)licensees, including all invention disclosures or other similar documents submitted to such Party by its or its Affiliates’ employees, agents, or independent contractors relating thereto, and shall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395" w:right="33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promptly respond to reasonable requests from the other Party for additional information relating thereto.</w:t>
      </w:r>
    </w:p>
    <w:p>
      <w:pPr>
        <w:spacing w:after="0" w:line="173" w:lineRule="exact"/>
        <w:rPr>
          <w:sz w:val="20"/>
          <w:szCs w:val="20"/>
          <w:color w:val="auto"/>
        </w:rPr>
      </w:pPr>
    </w:p>
    <w:p>
      <w:pPr>
        <w:jc w:val="both"/>
        <w:ind w:firstLine="1304"/>
        <w:spacing w:after="0" w:line="248" w:lineRule="auto"/>
        <w:tabs>
          <w:tab w:leader="none" w:pos="1941" w:val="left"/>
        </w:tabs>
        <w:numPr>
          <w:ilvl w:val="0"/>
          <w:numId w:val="152"/>
        </w:numPr>
        <w:rPr>
          <w:rFonts w:ascii="Arial" w:cs="Arial" w:eastAsia="Arial" w:hAnsi="Arial"/>
          <w:sz w:val="19"/>
          <w:szCs w:val="19"/>
          <w:b w:val="1"/>
          <w:bCs w:val="1"/>
          <w:color w:val="auto"/>
        </w:rPr>
      </w:pPr>
      <w:r>
        <w:rPr>
          <w:rFonts w:ascii="Arial" w:cs="Arial" w:eastAsia="Arial" w:hAnsi="Arial"/>
          <w:sz w:val="19"/>
          <w:szCs w:val="19"/>
          <w:b w:val="1"/>
          <w:bCs w:val="1"/>
          <w:color w:val="auto"/>
        </w:rPr>
        <w:t>Assignment; Jointly-owned Inventions</w:t>
      </w:r>
      <w:r>
        <w:rPr>
          <w:rFonts w:ascii="Arial" w:cs="Arial" w:eastAsia="Arial" w:hAnsi="Arial"/>
          <w:sz w:val="19"/>
          <w:szCs w:val="19"/>
          <w:color w:val="auto"/>
        </w:rPr>
        <w:t>. Jazz shall assign and hereby does assign to Zymeworks all of its</w:t>
      </w:r>
      <w:r>
        <w:rPr>
          <w:rFonts w:ascii="Arial" w:cs="Arial" w:eastAsia="Arial" w:hAnsi="Arial"/>
          <w:sz w:val="19"/>
          <w:szCs w:val="19"/>
          <w:b w:val="1"/>
          <w:bCs w:val="1"/>
          <w:color w:val="auto"/>
        </w:rPr>
        <w:t xml:space="preserve"> </w:t>
      </w:r>
      <w:r>
        <w:rPr>
          <w:rFonts w:ascii="Arial" w:cs="Arial" w:eastAsia="Arial" w:hAnsi="Arial"/>
          <w:sz w:val="19"/>
          <w:szCs w:val="19"/>
          <w:color w:val="auto"/>
        </w:rPr>
        <w:t>right, title and interest in and to all Zanidatamab Collaboration IP. Jazz shall take (and cause its Affiliates, sublicensees and their employees, agents, and contractors to take), [***], such further actions reasonably requested by Zymeworks to evidence such assignment and to assist Zymeworks in obtaining patent and other intellectual property rights protection for the Zanidatamab Collaboration IP. Jazz shall obligate its Affiliates, sublicensees and contractors who could reasonably be expected to generate Zanidatamab Collaboration IP to assign such Zanidatamab Collaboration IP to Jazz (or directly to Zymeworks), so that Jazz can comply with its obligations under this Section 14.1(c), and Jazz shall promptly obtain such assignment.</w:t>
      </w:r>
    </w:p>
    <w:p>
      <w:pPr>
        <w:spacing w:after="0" w:line="147" w:lineRule="exact"/>
        <w:rPr>
          <w:rFonts w:ascii="Arial" w:cs="Arial" w:eastAsia="Arial" w:hAnsi="Arial"/>
          <w:sz w:val="19"/>
          <w:szCs w:val="19"/>
          <w:b w:val="1"/>
          <w:bCs w:val="1"/>
          <w:color w:val="auto"/>
        </w:rPr>
      </w:pPr>
    </w:p>
    <w:p>
      <w:pPr>
        <w:jc w:val="both"/>
        <w:ind w:firstLine="1304"/>
        <w:spacing w:after="0" w:line="227" w:lineRule="auto"/>
        <w:tabs>
          <w:tab w:leader="none" w:pos="1992" w:val="left"/>
        </w:tabs>
        <w:numPr>
          <w:ilvl w:val="0"/>
          <w:numId w:val="152"/>
        </w:numPr>
        <w:rPr>
          <w:rFonts w:ascii="Arial" w:cs="Arial" w:eastAsia="Arial" w:hAnsi="Arial"/>
          <w:sz w:val="21"/>
          <w:szCs w:val="21"/>
          <w:b w:val="1"/>
          <w:bCs w:val="1"/>
          <w:color w:val="auto"/>
        </w:rPr>
      </w:pPr>
      <w:r>
        <w:rPr>
          <w:rFonts w:ascii="Arial" w:cs="Arial" w:eastAsia="Arial" w:hAnsi="Arial"/>
          <w:sz w:val="21"/>
          <w:szCs w:val="21"/>
          <w:b w:val="1"/>
          <w:bCs w:val="1"/>
          <w:color w:val="auto"/>
        </w:rPr>
        <w:t>Joint Patent Rights</w:t>
      </w:r>
      <w:r>
        <w:rPr>
          <w:rFonts w:ascii="Arial" w:cs="Arial" w:eastAsia="Arial" w:hAnsi="Arial"/>
          <w:sz w:val="21"/>
          <w:szCs w:val="21"/>
          <w:color w:val="auto"/>
        </w:rPr>
        <w:t>. Subject to the rights granted under and the restrictions set forth in this Agreement, it</w:t>
      </w:r>
      <w:r>
        <w:rPr>
          <w:rFonts w:ascii="Arial" w:cs="Arial" w:eastAsia="Arial" w:hAnsi="Arial"/>
          <w:sz w:val="21"/>
          <w:szCs w:val="21"/>
          <w:b w:val="1"/>
          <w:bCs w:val="1"/>
          <w:color w:val="auto"/>
        </w:rPr>
        <w:t xml:space="preserve"> </w:t>
      </w:r>
      <w:r>
        <w:rPr>
          <w:rFonts w:ascii="Arial" w:cs="Arial" w:eastAsia="Arial" w:hAnsi="Arial"/>
          <w:sz w:val="21"/>
          <w:szCs w:val="21"/>
          <w:color w:val="auto"/>
        </w:rPr>
        <w:t>is understood that neither Party shall have any obligation to account to the other Party for profits, or to obtain any approval of the other Party to license, assign or otherwise exploit any Joint Collaboration IP (or any Patent Rights claiming the same, “</w:t>
      </w:r>
      <w:r>
        <w:rPr>
          <w:rFonts w:ascii="Arial" w:cs="Arial" w:eastAsia="Arial" w:hAnsi="Arial"/>
          <w:sz w:val="21"/>
          <w:szCs w:val="21"/>
          <w:b w:val="1"/>
          <w:bCs w:val="1"/>
          <w:color w:val="auto"/>
        </w:rPr>
        <w:t>Joint</w:t>
      </w:r>
      <w:r>
        <w:rPr>
          <w:rFonts w:ascii="Arial" w:cs="Arial" w:eastAsia="Arial" w:hAnsi="Arial"/>
          <w:sz w:val="21"/>
          <w:szCs w:val="21"/>
          <w:color w:val="auto"/>
        </w:rPr>
        <w:t xml:space="preserve"> </w:t>
      </w:r>
      <w:r>
        <w:rPr>
          <w:rFonts w:ascii="Arial" w:cs="Arial" w:eastAsia="Arial" w:hAnsi="Arial"/>
          <w:sz w:val="21"/>
          <w:szCs w:val="21"/>
          <w:b w:val="1"/>
          <w:bCs w:val="1"/>
          <w:color w:val="auto"/>
        </w:rPr>
        <w:t>Patent Rights</w:t>
      </w:r>
      <w:r>
        <w:rPr>
          <w:rFonts w:ascii="Arial" w:cs="Arial" w:eastAsia="Arial" w:hAnsi="Arial"/>
          <w:sz w:val="21"/>
          <w:szCs w:val="21"/>
          <w:color w:val="auto"/>
        </w:rPr>
        <w:t>”), by reason of joint ownership thereof, and each Party hereby waives any right it may have under the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Law of any jurisdiction to require any such approval or accounting.</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b w:val="1"/>
          <w:bCs w:val="1"/>
          <w:color w:val="auto"/>
        </w:rPr>
        <w:t>14.2 Patent Liaisons</w:t>
      </w:r>
      <w:r>
        <w:rPr>
          <w:rFonts w:ascii="Arial" w:cs="Arial" w:eastAsia="Arial" w:hAnsi="Arial"/>
          <w:sz w:val="19"/>
          <w:szCs w:val="19"/>
          <w:color w:val="auto"/>
        </w:rPr>
        <w:t>. Within [***] after the Closing Date, each Party shall appoint an individual to act as a patent</w:t>
      </w:r>
      <w:r>
        <w:rPr>
          <w:rFonts w:ascii="Arial" w:cs="Arial" w:eastAsia="Arial" w:hAnsi="Arial"/>
          <w:sz w:val="19"/>
          <w:szCs w:val="19"/>
          <w:b w:val="1"/>
          <w:bCs w:val="1"/>
          <w:color w:val="auto"/>
        </w:rPr>
        <w:t xml:space="preserve"> </w:t>
      </w:r>
      <w:r>
        <w:rPr>
          <w:rFonts w:ascii="Arial" w:cs="Arial" w:eastAsia="Arial" w:hAnsi="Arial"/>
          <w:sz w:val="19"/>
          <w:szCs w:val="19"/>
          <w:color w:val="auto"/>
        </w:rPr>
        <w:t>liaison for such Party (each, a “</w:t>
      </w:r>
      <w:r>
        <w:rPr>
          <w:rFonts w:ascii="Arial" w:cs="Arial" w:eastAsia="Arial" w:hAnsi="Arial"/>
          <w:sz w:val="19"/>
          <w:szCs w:val="19"/>
          <w:b w:val="1"/>
          <w:bCs w:val="1"/>
          <w:color w:val="auto"/>
        </w:rPr>
        <w:t>Patent Liaison</w:t>
      </w:r>
      <w:r>
        <w:rPr>
          <w:rFonts w:ascii="Arial" w:cs="Arial" w:eastAsia="Arial" w:hAnsi="Arial"/>
          <w:sz w:val="19"/>
          <w:szCs w:val="19"/>
          <w:color w:val="auto"/>
        </w:rPr>
        <w:t>”). The Patent Liaisons shall be the primary point of contact for the Parties regarding intellectual property-related activities and matters contemplated by this Agreement and shall facilitate all such activities and matters hereunder. The name and contact information for each Party’s Patent Liaison, as well as any replacement(s) chosen by such Party, in its sole discretion, from time to time, shall be promptly provided to the other Party in writing.</w:t>
      </w:r>
    </w:p>
    <w:p>
      <w:pPr>
        <w:spacing w:after="0" w:line="140"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14.3 Patent Prosecution</w:t>
      </w:r>
      <w:r>
        <w:rPr>
          <w:rFonts w:ascii="Arial" w:cs="Arial" w:eastAsia="Arial" w:hAnsi="Arial"/>
          <w:sz w:val="22"/>
          <w:szCs w:val="22"/>
          <w:color w:val="auto"/>
        </w:rPr>
        <w:t>. This Section 14.3 shall apply solely during the portion of the Term commencing on</w:t>
      </w:r>
      <w:r>
        <w:rPr>
          <w:rFonts w:ascii="Arial" w:cs="Arial" w:eastAsia="Arial" w:hAnsi="Arial"/>
          <w:sz w:val="22"/>
          <w:szCs w:val="22"/>
          <w:b w:val="1"/>
          <w:bCs w:val="1"/>
          <w:color w:val="auto"/>
        </w:rPr>
        <w:t xml:space="preserve"> </w:t>
      </w:r>
      <w:r>
        <w:rPr>
          <w:rFonts w:ascii="Arial" w:cs="Arial" w:eastAsia="Arial" w:hAnsi="Arial"/>
          <w:sz w:val="22"/>
          <w:szCs w:val="22"/>
          <w:color w:val="auto"/>
        </w:rPr>
        <w:t>Zymeworks’ receipt of the Second Payment.</w:t>
      </w:r>
    </w:p>
    <w:p>
      <w:pPr>
        <w:spacing w:after="0" w:line="153" w:lineRule="exact"/>
        <w:rPr>
          <w:sz w:val="20"/>
          <w:szCs w:val="20"/>
          <w:color w:val="auto"/>
        </w:rPr>
      </w:pPr>
    </w:p>
    <w:p>
      <w:pPr>
        <w:ind w:left="1940" w:hanging="636"/>
        <w:spacing w:after="0"/>
        <w:tabs>
          <w:tab w:leader="none" w:pos="1940"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color w:val="auto"/>
        </w:rPr>
        <w:t>Zymeworks Patent Rights.</w:t>
      </w:r>
    </w:p>
    <w:p>
      <w:pPr>
        <w:spacing w:after="0" w:line="185" w:lineRule="exact"/>
        <w:rPr>
          <w:rFonts w:ascii="Arial" w:cs="Arial" w:eastAsia="Arial" w:hAnsi="Arial"/>
          <w:sz w:val="22"/>
          <w:szCs w:val="22"/>
          <w:b w:val="1"/>
          <w:bCs w:val="1"/>
          <w:color w:val="auto"/>
        </w:rPr>
      </w:pPr>
    </w:p>
    <w:p>
      <w:pPr>
        <w:jc w:val="both"/>
        <w:ind w:firstLine="1952"/>
        <w:spacing w:after="0" w:line="223" w:lineRule="auto"/>
        <w:tabs>
          <w:tab w:leader="none" w:pos="2580" w:val="left"/>
        </w:tabs>
        <w:numPr>
          <w:ilvl w:val="1"/>
          <w:numId w:val="153"/>
        </w:numPr>
        <w:rPr>
          <w:rFonts w:ascii="Arial" w:cs="Arial" w:eastAsia="Arial" w:hAnsi="Arial"/>
          <w:sz w:val="22"/>
          <w:szCs w:val="22"/>
          <w:b w:val="1"/>
          <w:bCs w:val="1"/>
          <w:color w:val="auto"/>
        </w:rPr>
      </w:pPr>
      <w:r>
        <w:rPr>
          <w:rFonts w:ascii="Arial" w:cs="Arial" w:eastAsia="Arial" w:hAnsi="Arial"/>
          <w:sz w:val="22"/>
          <w:szCs w:val="22"/>
          <w:color w:val="auto"/>
        </w:rPr>
        <w:t>Subject to Section 14.3(c), as between the Parties, Jazz shall have the right, but not the obligation, to control the Patent Prosecution of all Zymeworks Patent Rights (other than Zymeworks Platform Patents) in the Territory at Jazz’s expense.</w:t>
      </w:r>
    </w:p>
    <w:p>
      <w:pPr>
        <w:spacing w:after="0" w:line="158" w:lineRule="exact"/>
        <w:rPr>
          <w:rFonts w:ascii="Arial" w:cs="Arial" w:eastAsia="Arial" w:hAnsi="Arial"/>
          <w:sz w:val="22"/>
          <w:szCs w:val="22"/>
          <w:b w:val="1"/>
          <w:bCs w:val="1"/>
          <w:color w:val="auto"/>
        </w:rPr>
      </w:pPr>
    </w:p>
    <w:p>
      <w:pPr>
        <w:jc w:val="both"/>
        <w:ind w:firstLine="1952"/>
        <w:spacing w:after="0" w:line="214" w:lineRule="auto"/>
        <w:tabs>
          <w:tab w:leader="none" w:pos="2586" w:val="left"/>
        </w:tabs>
        <w:numPr>
          <w:ilvl w:val="1"/>
          <w:numId w:val="153"/>
        </w:numPr>
        <w:rPr>
          <w:rFonts w:ascii="Arial" w:cs="Arial" w:eastAsia="Arial" w:hAnsi="Arial"/>
          <w:sz w:val="22"/>
          <w:szCs w:val="22"/>
          <w:b w:val="1"/>
          <w:bCs w:val="1"/>
          <w:color w:val="auto"/>
        </w:rPr>
      </w:pPr>
      <w:r>
        <w:rPr>
          <w:rFonts w:ascii="Arial" w:cs="Arial" w:eastAsia="Arial" w:hAnsi="Arial"/>
          <w:sz w:val="22"/>
          <w:szCs w:val="22"/>
          <w:color w:val="auto"/>
        </w:rPr>
        <w:t>Jazz shall provide Zymeworks with a reasonable opportunity to consult with Jazz regarding such Zymeworks Patent Rights in the Territory and keep Zymeworks fully informed of the Patent Prosecution of the Zymeworks Patent Rights in the Territory by providing all correspondence received from any patent authority in connection therewith in sufficient time to allow for review and comment by Zymeworks. Jazz will consider in good faith and incorporate Zymeworks’ reasonable comments on Patent Prosecution, but Jazz will have final decision-making authority under this Section 14.3(a)(ii) [***].</w:t>
      </w:r>
    </w:p>
    <w:p>
      <w:pPr>
        <w:spacing w:after="0" w:line="158" w:lineRule="exact"/>
        <w:rPr>
          <w:rFonts w:ascii="Arial" w:cs="Arial" w:eastAsia="Arial" w:hAnsi="Arial"/>
          <w:sz w:val="22"/>
          <w:szCs w:val="22"/>
          <w:b w:val="1"/>
          <w:bCs w:val="1"/>
          <w:color w:val="auto"/>
        </w:rPr>
      </w:pPr>
    </w:p>
    <w:p>
      <w:pPr>
        <w:jc w:val="both"/>
        <w:ind w:right="20" w:firstLine="1952"/>
        <w:spacing w:after="0" w:line="234" w:lineRule="auto"/>
        <w:tabs>
          <w:tab w:leader="none" w:pos="2592" w:val="left"/>
        </w:tabs>
        <w:numPr>
          <w:ilvl w:val="1"/>
          <w:numId w:val="153"/>
        </w:numPr>
        <w:rPr>
          <w:rFonts w:ascii="Arial" w:cs="Arial" w:eastAsia="Arial" w:hAnsi="Arial"/>
          <w:sz w:val="21"/>
          <w:szCs w:val="21"/>
          <w:b w:val="1"/>
          <w:bCs w:val="1"/>
          <w:color w:val="auto"/>
        </w:rPr>
      </w:pPr>
      <w:r>
        <w:rPr>
          <w:rFonts w:ascii="Arial" w:cs="Arial" w:eastAsia="Arial" w:hAnsi="Arial"/>
          <w:sz w:val="21"/>
          <w:szCs w:val="21"/>
          <w:color w:val="auto"/>
        </w:rPr>
        <w:t>As between the Parties, Zymeworks shall have the sole right, but not the obligation, to control the Patent Prosecution of all Zymeworks Platform Patents in the Territory at Zymeworks’ expense. Zymeworks will keep Jazz reasonably informed of the Patent Prosecution of the Zymeworks Platform Patents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01" w:right="339" w:bottom="1440" w:gutter="0" w:footer="0" w:header="0"/>
        </w:sectPr>
      </w:pPr>
    </w:p>
    <w:bookmarkStart w:id="223" w:name="page224"/>
    <w:bookmarkEnd w:id="223"/>
    <w:p>
      <w:pPr>
        <w:ind w:firstLine="1304"/>
        <w:spacing w:after="0" w:line="253" w:lineRule="auto"/>
        <w:tabs>
          <w:tab w:leader="none" w:pos="1938" w:val="left"/>
        </w:tabs>
        <w:numPr>
          <w:ilvl w:val="0"/>
          <w:numId w:val="15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Jazz Patent Rights. </w:t>
      </w:r>
      <w:r>
        <w:rPr>
          <w:rFonts w:ascii="Arial" w:cs="Arial" w:eastAsia="Arial" w:hAnsi="Arial"/>
          <w:sz w:val="21"/>
          <w:szCs w:val="21"/>
          <w:color w:val="auto"/>
        </w:rPr>
        <w:t>As between the Parties, Jazz shall have the sole right, but not the obligation, to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the Patent Prosecution of all Jazz Patent Rights throughout the world, at Jazz’s own cost and expense.</w:t>
      </w:r>
    </w:p>
    <w:p>
      <w:pPr>
        <w:spacing w:after="0" w:line="138" w:lineRule="exact"/>
        <w:rPr>
          <w:rFonts w:ascii="Arial" w:cs="Arial" w:eastAsia="Arial" w:hAnsi="Arial"/>
          <w:sz w:val="21"/>
          <w:szCs w:val="21"/>
          <w:b w:val="1"/>
          <w:bCs w:val="1"/>
          <w:color w:val="auto"/>
        </w:rPr>
      </w:pPr>
    </w:p>
    <w:p>
      <w:pPr>
        <w:jc w:val="both"/>
        <w:ind w:firstLine="1304"/>
        <w:spacing w:after="0" w:line="244" w:lineRule="auto"/>
        <w:tabs>
          <w:tab w:leader="none" w:pos="1941" w:val="left"/>
        </w:tabs>
        <w:numPr>
          <w:ilvl w:val="0"/>
          <w:numId w:val="15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Joint Patent Rights. </w:t>
      </w:r>
      <w:r>
        <w:rPr>
          <w:rFonts w:ascii="Arial" w:cs="Arial" w:eastAsia="Arial" w:hAnsi="Arial"/>
          <w:sz w:val="19"/>
          <w:szCs w:val="19"/>
          <w:color w:val="auto"/>
        </w:rPr>
        <w:t>Jazz shall have the right, but not the obligation, to control the Patent Prosecution of</w:t>
      </w:r>
      <w:r>
        <w:rPr>
          <w:rFonts w:ascii="Arial" w:cs="Arial" w:eastAsia="Arial" w:hAnsi="Arial"/>
          <w:sz w:val="19"/>
          <w:szCs w:val="19"/>
          <w:b w:val="1"/>
          <w:bCs w:val="1"/>
          <w:color w:val="auto"/>
        </w:rPr>
        <w:t xml:space="preserve"> </w:t>
      </w:r>
      <w:r>
        <w:rPr>
          <w:rFonts w:ascii="Arial" w:cs="Arial" w:eastAsia="Arial" w:hAnsi="Arial"/>
          <w:sz w:val="19"/>
          <w:szCs w:val="19"/>
          <w:color w:val="auto"/>
        </w:rPr>
        <w:t>any Joint Patent Rights in the Territory at Jazz’s own cost, and Zymeworks shall have the right, but not the obligation, to control the Patent Prosecution of any Joint Patent Rights outside of the Territory at Zymeworks’ own expense, as set forth in this Section 14.3(c). Each Party shall keep the other Party reasonably informed of the Patent Prosecution of the Joint Patent Rights for which it is responsible and provide the other Party with all material correspondence received from any patent authority in connection therewith in sufficient time to allow for review and comment by the other Party. Each Party will consider the other Party’s comments on Patent Prosecution in good faith, subject to the other Party providing its comments in a timely manner, but the Party controlling Patent Prosecution will have final decision-making authority for the applicable Joint Patent Rights under this Section 14.3(c); provided that the Party controlling Patent Prosecution will not exercise its final decision-making authority that would be expected to materially limit the scope or enforceability of the Joint Patent Rights in the other Party’s territory.</w:t>
      </w:r>
    </w:p>
    <w:p>
      <w:pPr>
        <w:spacing w:after="0" w:line="154" w:lineRule="exact"/>
        <w:rPr>
          <w:rFonts w:ascii="Arial" w:cs="Arial" w:eastAsia="Arial" w:hAnsi="Arial"/>
          <w:sz w:val="19"/>
          <w:szCs w:val="19"/>
          <w:b w:val="1"/>
          <w:bCs w:val="1"/>
          <w:color w:val="auto"/>
        </w:rPr>
      </w:pPr>
    </w:p>
    <w:p>
      <w:pPr>
        <w:jc w:val="both"/>
        <w:ind w:firstLine="1304"/>
        <w:spacing w:after="0" w:line="223" w:lineRule="auto"/>
        <w:tabs>
          <w:tab w:leader="none" w:pos="1938" w:val="left"/>
        </w:tabs>
        <w:numPr>
          <w:ilvl w:val="0"/>
          <w:numId w:val="154"/>
        </w:numPr>
        <w:rPr>
          <w:rFonts w:ascii="Arial" w:cs="Arial" w:eastAsia="Arial" w:hAnsi="Arial"/>
          <w:sz w:val="21"/>
          <w:szCs w:val="21"/>
          <w:b w:val="1"/>
          <w:bCs w:val="1"/>
          <w:color w:val="auto"/>
        </w:rPr>
      </w:pPr>
      <w:r>
        <w:rPr>
          <w:rFonts w:ascii="Arial" w:cs="Arial" w:eastAsia="Arial" w:hAnsi="Arial"/>
          <w:sz w:val="21"/>
          <w:szCs w:val="21"/>
          <w:b w:val="1"/>
          <w:bCs w:val="1"/>
          <w:color w:val="auto"/>
        </w:rPr>
        <w:t>Jazz Collaboration Patent Rights</w:t>
      </w:r>
      <w:r>
        <w:rPr>
          <w:rFonts w:ascii="Arial" w:cs="Arial" w:eastAsia="Arial" w:hAnsi="Arial"/>
          <w:sz w:val="21"/>
          <w:szCs w:val="21"/>
          <w:color w:val="auto"/>
        </w:rPr>
        <w:t>. Jazz shall have the sole right, but not the obligation to control Patent</w:t>
      </w:r>
      <w:r>
        <w:rPr>
          <w:rFonts w:ascii="Arial" w:cs="Arial" w:eastAsia="Arial" w:hAnsi="Arial"/>
          <w:sz w:val="21"/>
          <w:szCs w:val="21"/>
          <w:b w:val="1"/>
          <w:bCs w:val="1"/>
          <w:color w:val="auto"/>
        </w:rPr>
        <w:t xml:space="preserve"> </w:t>
      </w:r>
      <w:r>
        <w:rPr>
          <w:rFonts w:ascii="Arial" w:cs="Arial" w:eastAsia="Arial" w:hAnsi="Arial"/>
          <w:sz w:val="21"/>
          <w:szCs w:val="21"/>
          <w:color w:val="auto"/>
        </w:rPr>
        <w:t>Prosecution of any Patent Rights that claim Jazz Collaboration IP (“</w:t>
      </w:r>
      <w:r>
        <w:rPr>
          <w:rFonts w:ascii="Arial" w:cs="Arial" w:eastAsia="Arial" w:hAnsi="Arial"/>
          <w:sz w:val="21"/>
          <w:szCs w:val="21"/>
          <w:b w:val="1"/>
          <w:bCs w:val="1"/>
          <w:color w:val="auto"/>
        </w:rPr>
        <w:t>Jazz Collaboration Patent Rights</w:t>
      </w:r>
      <w:r>
        <w:rPr>
          <w:rFonts w:ascii="Arial" w:cs="Arial" w:eastAsia="Arial" w:hAnsi="Arial"/>
          <w:sz w:val="21"/>
          <w:szCs w:val="21"/>
          <w:color w:val="auto"/>
        </w:rPr>
        <w:t>”) in the Territory and outside of the Territory at Jazz’s own cost. Jazz shall keep Zymeworks reasonably informed of the Patent Prosecution of the Jazz Collaboration Patent Rights by providing all material correspondence received from any patent authority in connection therewith in sufficient time to allow for review and comment by Zymeworks. Jazz will consider Zymeworks’ comments on Patent Prosecution in good faith, subject to Zymeworks providing its comments in a timely manner, but Jazz will have final decision-making authority under this Section 14.3(d).</w:t>
      </w:r>
    </w:p>
    <w:p>
      <w:pPr>
        <w:spacing w:after="0" w:line="157" w:lineRule="exact"/>
        <w:rPr>
          <w:rFonts w:ascii="Arial" w:cs="Arial" w:eastAsia="Arial" w:hAnsi="Arial"/>
          <w:sz w:val="21"/>
          <w:szCs w:val="21"/>
          <w:b w:val="1"/>
          <w:bCs w:val="1"/>
          <w:color w:val="auto"/>
        </w:rPr>
      </w:pPr>
    </w:p>
    <w:p>
      <w:pPr>
        <w:jc w:val="both"/>
        <w:ind w:firstLine="1304"/>
        <w:spacing w:after="0" w:line="225" w:lineRule="auto"/>
        <w:tabs>
          <w:tab w:leader="none" w:pos="1941"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Cooperation. </w:t>
      </w:r>
      <w:r>
        <w:rPr>
          <w:rFonts w:ascii="Arial" w:cs="Arial" w:eastAsia="Arial" w:hAnsi="Arial"/>
          <w:sz w:val="22"/>
          <w:szCs w:val="22"/>
          <w:color w:val="auto"/>
        </w:rPr>
        <w:t>Each Party shall provide the other Party all reasonable assistance and cooperation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Patent Prosecution efforts under this Section 14.3, including providing any necessary powers of attorney and executing any other required documents or instruments for such prosecution.</w:t>
      </w:r>
    </w:p>
    <w:p>
      <w:pPr>
        <w:spacing w:after="0" w:line="152" w:lineRule="exact"/>
        <w:rPr>
          <w:rFonts w:ascii="Arial" w:cs="Arial" w:eastAsia="Arial" w:hAnsi="Arial"/>
          <w:sz w:val="22"/>
          <w:szCs w:val="22"/>
          <w:b w:val="1"/>
          <w:bCs w:val="1"/>
          <w:color w:val="auto"/>
        </w:rPr>
      </w:pPr>
    </w:p>
    <w:p>
      <w:pPr>
        <w:ind w:left="1960" w:hanging="656"/>
        <w:spacing w:after="0"/>
        <w:tabs>
          <w:tab w:leader="none" w:pos="196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Abandonment.</w:t>
      </w:r>
    </w:p>
    <w:p>
      <w:pPr>
        <w:spacing w:after="0" w:line="185" w:lineRule="exact"/>
        <w:rPr>
          <w:rFonts w:ascii="Arial" w:cs="Arial" w:eastAsia="Arial" w:hAnsi="Arial"/>
          <w:sz w:val="22"/>
          <w:szCs w:val="22"/>
          <w:b w:val="1"/>
          <w:bCs w:val="1"/>
          <w:color w:val="auto"/>
        </w:rPr>
      </w:pPr>
    </w:p>
    <w:p>
      <w:pPr>
        <w:jc w:val="both"/>
        <w:ind w:firstLine="1952"/>
        <w:spacing w:after="0" w:line="242" w:lineRule="auto"/>
        <w:tabs>
          <w:tab w:leader="none" w:pos="2580" w:val="left"/>
        </w:tabs>
        <w:numPr>
          <w:ilvl w:val="1"/>
          <w:numId w:val="154"/>
        </w:numPr>
        <w:rPr>
          <w:rFonts w:ascii="Arial" w:cs="Arial" w:eastAsia="Arial" w:hAnsi="Arial"/>
          <w:sz w:val="19"/>
          <w:szCs w:val="19"/>
          <w:b w:val="1"/>
          <w:bCs w:val="1"/>
          <w:color w:val="auto"/>
        </w:rPr>
      </w:pPr>
      <w:r>
        <w:rPr>
          <w:rFonts w:ascii="Arial" w:cs="Arial" w:eastAsia="Arial" w:hAnsi="Arial"/>
          <w:sz w:val="19"/>
          <w:szCs w:val="19"/>
          <w:color w:val="auto"/>
        </w:rPr>
        <w:t>If Jazz decides to cease the Patent Prosecution, or to allow to lapse, any Zymeworks Patent Rights (other than Zymeworks Platform Patents) or any Joint Patent Rights in the Territory or any Jazz Collaboration Patent Rights outside of the Territory, Jazz shall inform Zymeworks of such decision promptly and, in any event, so as to provide Zymeworks a reasonable amount of time to meet any applicable deadline to establish or preserve such Patent Rights in such country or region. Zymeworks shall have the right, but not the obligation, to assume responsibility for continuing the Patent Prosecution of such Patent Rights in Zymeworks’ name with respect to Zymeworks Patent Rights, Jazz’s name with respect to Jazz Collaboration Patent Rights, or both Parties’ names with respect to Joint Patent Rights, at Zymeworks’ sole cost and expense through patent counsel or agents of its choice and, to the extent that Zymeworks assumes such responsibility, Jazz shall promptly deliver to Zymeworks copies of all necessary files related to any Patent Rights with respect to which responsibility has been transferred and shall take all actions and execute all documents reasonably necessary for Zymeworks to assume such Patent Prosecution activities, at Zymeworks’ request and expense. In such case, Zymeworks shall keep Jazz reasonably informed of its activities with respect to such Patent Prosecution.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395" w:right="339" w:bottom="1440" w:gutter="0" w:footer="0" w:header="0"/>
        </w:sectPr>
      </w:pPr>
    </w:p>
    <w:bookmarkStart w:id="224" w:name="page225"/>
    <w:bookmarkEnd w:id="224"/>
    <w:p>
      <w:pPr>
        <w:jc w:val="both"/>
        <w:ind w:firstLine="1952"/>
        <w:spacing w:after="0" w:line="244" w:lineRule="auto"/>
        <w:tabs>
          <w:tab w:leader="none" w:pos="2586" w:val="left"/>
        </w:tabs>
        <w:numPr>
          <w:ilvl w:val="0"/>
          <w:numId w:val="155"/>
        </w:numPr>
        <w:rPr>
          <w:rFonts w:ascii="Arial" w:cs="Arial" w:eastAsia="Arial" w:hAnsi="Arial"/>
          <w:sz w:val="19"/>
          <w:szCs w:val="19"/>
          <w:b w:val="1"/>
          <w:bCs w:val="1"/>
          <w:color w:val="auto"/>
        </w:rPr>
      </w:pPr>
      <w:r>
        <w:rPr>
          <w:rFonts w:ascii="Arial" w:cs="Arial" w:eastAsia="Arial" w:hAnsi="Arial"/>
          <w:sz w:val="19"/>
          <w:szCs w:val="19"/>
          <w:color w:val="auto"/>
        </w:rPr>
        <w:t>If Zymeworks decides to cease the Patent Prosecution, or to allow to lapse, any Joint Patent Rights in any country outside of the Territory, Zymeworks shall inform Jazz of such decision promptly and, in any event, so as to provide Jazz a reasonable amount of time to meet any applicable deadline to establish or preserve such Patent Rights in such country or region, subject to the rights of the Ex-Territory Partner. Jazz shall have the right, but not the obligation, to assume responsibility for continuing the Patent Prosecution of such Patent Rights in both Parties’ names, at Jazz’s sole cost and expense, subject to the rights of the Ex-Territory Partner, through patent counsel or agents of its choice and, to the extent that Jazz assumes such responsibility, Zymeworks shall promptly deliver to Jazz copies of all necessary files related to any Patent Rights with respect to which responsibility has been transferred and shall take all actions and execute all documents reasonably necessary for Jazz to assume such Patent Prosecution activities, at Jazz’s request and expense. In such case, Jazz shall keep Zymeworks reasonably informed of its activities with respect to such Patent Prosecution.</w:t>
      </w:r>
    </w:p>
    <w:p>
      <w:pPr>
        <w:spacing w:after="0" w:line="149"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14.4 Patent Enforcement</w:t>
      </w:r>
      <w:r>
        <w:rPr>
          <w:rFonts w:ascii="Arial" w:cs="Arial" w:eastAsia="Arial" w:hAnsi="Arial"/>
          <w:sz w:val="22"/>
          <w:szCs w:val="22"/>
          <w:color w:val="auto"/>
        </w:rPr>
        <w:t>. This Section 14.4 shall apply solely during the portion of the Term commencing on</w:t>
      </w:r>
      <w:r>
        <w:rPr>
          <w:rFonts w:ascii="Arial" w:cs="Arial" w:eastAsia="Arial" w:hAnsi="Arial"/>
          <w:sz w:val="22"/>
          <w:szCs w:val="22"/>
          <w:b w:val="1"/>
          <w:bCs w:val="1"/>
          <w:color w:val="auto"/>
        </w:rPr>
        <w:t xml:space="preserve"> </w:t>
      </w:r>
      <w:r>
        <w:rPr>
          <w:rFonts w:ascii="Arial" w:cs="Arial" w:eastAsia="Arial" w:hAnsi="Arial"/>
          <w:sz w:val="22"/>
          <w:szCs w:val="22"/>
          <w:color w:val="auto"/>
        </w:rPr>
        <w:t>Zymeworks’ receipt of the Second Payment.</w:t>
      </w:r>
    </w:p>
    <w:p>
      <w:pPr>
        <w:spacing w:after="0" w:line="153" w:lineRule="exact"/>
        <w:rPr>
          <w:sz w:val="20"/>
          <w:szCs w:val="20"/>
          <w:color w:val="auto"/>
        </w:rPr>
      </w:pPr>
    </w:p>
    <w:p>
      <w:pPr>
        <w:jc w:val="both"/>
        <w:ind w:firstLine="1304"/>
        <w:spacing w:after="0" w:line="245" w:lineRule="auto"/>
        <w:tabs>
          <w:tab w:leader="none" w:pos="1939" w:val="left"/>
        </w:tabs>
        <w:numPr>
          <w:ilvl w:val="0"/>
          <w:numId w:val="15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 </w:t>
      </w:r>
      <w:r>
        <w:rPr>
          <w:rFonts w:ascii="Arial" w:cs="Arial" w:eastAsia="Arial" w:hAnsi="Arial"/>
          <w:sz w:val="19"/>
          <w:szCs w:val="19"/>
          <w:color w:val="auto"/>
        </w:rPr>
        <w:t>Each Party shall notify the other within [***] of becoming aware of any alleged or threatened</w:t>
      </w:r>
      <w:r>
        <w:rPr>
          <w:rFonts w:ascii="Arial" w:cs="Arial" w:eastAsia="Arial" w:hAnsi="Arial"/>
          <w:sz w:val="19"/>
          <w:szCs w:val="19"/>
          <w:b w:val="1"/>
          <w:bCs w:val="1"/>
          <w:color w:val="auto"/>
        </w:rPr>
        <w:t xml:space="preserve"> </w:t>
      </w:r>
      <w:r>
        <w:rPr>
          <w:rFonts w:ascii="Arial" w:cs="Arial" w:eastAsia="Arial" w:hAnsi="Arial"/>
          <w:sz w:val="19"/>
          <w:szCs w:val="19"/>
          <w:color w:val="auto"/>
        </w:rPr>
        <w:t>infringement by a Third Party of any of the Zymeworks Patent Rights or Joint Patent Rights in the Territory, which infringement of such Patent Rights adversely affects or is reasonably expected to adversely affect Licensed Product in the Field in the Territory, and, in each case, any related declaratory judgment or equivalent action alleging the invalidity, unenforceability or non-infringement of any Zymeworks Patent Rights or Joint Patent Rights in the Territory (collectively “</w:t>
      </w:r>
      <w:r>
        <w:rPr>
          <w:rFonts w:ascii="Arial" w:cs="Arial" w:eastAsia="Arial" w:hAnsi="Arial"/>
          <w:sz w:val="19"/>
          <w:szCs w:val="19"/>
          <w:b w:val="1"/>
          <w:bCs w:val="1"/>
          <w:color w:val="auto"/>
        </w:rPr>
        <w:t>Product Infringement</w:t>
      </w:r>
      <w:r>
        <w:rPr>
          <w:rFonts w:ascii="Arial" w:cs="Arial" w:eastAsia="Arial" w:hAnsi="Arial"/>
          <w:sz w:val="19"/>
          <w:szCs w:val="19"/>
          <w:color w:val="auto"/>
        </w:rPr>
        <w:t>”). Each Party shall also notify the other within [***] of becoming aware of any alleged or threatened infringement by a Third Party of any Jazz Collaboration Patent Rights or Joint Patent Rights, which infringement adversely affects or is reasonably expected to adversely affect Licensed Product outside of the Territory, including any related declaratory judgment or equivalent action alleging the invalidity, unenforceability or non-infringement of any such Patent Rights (an “</w:t>
      </w:r>
      <w:r>
        <w:rPr>
          <w:rFonts w:ascii="Arial" w:cs="Arial" w:eastAsia="Arial" w:hAnsi="Arial"/>
          <w:sz w:val="19"/>
          <w:szCs w:val="19"/>
          <w:b w:val="1"/>
          <w:bCs w:val="1"/>
          <w:color w:val="auto"/>
        </w:rPr>
        <w:t>Ex-Territory Infringement</w:t>
      </w:r>
      <w:r>
        <w:rPr>
          <w:rFonts w:ascii="Arial" w:cs="Arial" w:eastAsia="Arial" w:hAnsi="Arial"/>
          <w:sz w:val="19"/>
          <w:szCs w:val="19"/>
          <w:color w:val="auto"/>
        </w:rPr>
        <w:t>”). [***]</w:t>
      </w:r>
    </w:p>
    <w:p>
      <w:pPr>
        <w:spacing w:after="0" w:line="152" w:lineRule="exact"/>
        <w:rPr>
          <w:rFonts w:ascii="Arial" w:cs="Arial" w:eastAsia="Arial" w:hAnsi="Arial"/>
          <w:sz w:val="19"/>
          <w:szCs w:val="19"/>
          <w:b w:val="1"/>
          <w:bCs w:val="1"/>
          <w:color w:val="auto"/>
        </w:rPr>
      </w:pPr>
    </w:p>
    <w:p>
      <w:pPr>
        <w:ind w:left="1940" w:hanging="636"/>
        <w:spacing w:after="0"/>
        <w:tabs>
          <w:tab w:leader="none" w:pos="1940"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Enforcement Rights</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1952"/>
        <w:spacing w:after="0" w:line="219" w:lineRule="auto"/>
        <w:tabs>
          <w:tab w:leader="none" w:pos="2580" w:val="left"/>
        </w:tabs>
        <w:numPr>
          <w:ilvl w:val="1"/>
          <w:numId w:val="156"/>
        </w:numPr>
        <w:rPr>
          <w:rFonts w:ascii="Arial" w:cs="Arial" w:eastAsia="Arial" w:hAnsi="Arial"/>
          <w:sz w:val="21"/>
          <w:szCs w:val="21"/>
          <w:b w:val="1"/>
          <w:bCs w:val="1"/>
          <w:color w:val="auto"/>
        </w:rPr>
      </w:pPr>
      <w:r>
        <w:rPr>
          <w:rFonts w:ascii="Arial" w:cs="Arial" w:eastAsia="Arial" w:hAnsi="Arial"/>
          <w:sz w:val="21"/>
          <w:szCs w:val="21"/>
          <w:color w:val="auto"/>
        </w:rPr>
        <w:t>Except as set forth in Section 14.4(b)(iii), Jazz shall have the first right to bring and control any legal action to enforce Zymeworks Patent Rights (other than Zymeworks Platform Patents) or Joint Patent Rights against any Product Infringement in the Territory at its sole expense as it reasonably determines appropriate, and Jazz shall consider in good faith Zymeworks’ comments regarding whether to bring any legal action to enforce such Zymeworks Patent Rights or Joint Patent Rights against any Product Infringement in the Territory, but Jazz shall have final decision-making authority under this Section 14.4(b)(i). Jazz (A) shall keep Zymeworks reasonably informed about such enforcement; [***] and (C) shall promptly inform Zymeworks in such a manner that such enforcement will not be prejudiced and Section 14.4(b)(ii) shall apply, if Jazz does not intend to prosecute or defend a Product Infringement, or ceases to diligently pursue an enforcement with respect to such Product Infringement. Zymeworks shall have the right to join any such enforcement action, using counsel selected in its discretion, at its own cost and expense; provided that it permits Jazz to control such enforcement action and it obtains Jazz’s consent (not to be unreasonably withheld, conditioned or delayed) before making any filings, taking any positions or engaging in any settlement discussions.</w:t>
      </w:r>
    </w:p>
    <w:p>
      <w:pPr>
        <w:spacing w:after="0" w:line="163" w:lineRule="exact"/>
        <w:rPr>
          <w:rFonts w:ascii="Arial" w:cs="Arial" w:eastAsia="Arial" w:hAnsi="Arial"/>
          <w:sz w:val="21"/>
          <w:szCs w:val="21"/>
          <w:b w:val="1"/>
          <w:bCs w:val="1"/>
          <w:color w:val="auto"/>
        </w:rPr>
      </w:pPr>
    </w:p>
    <w:p>
      <w:pPr>
        <w:jc w:val="both"/>
        <w:ind w:firstLine="1952"/>
        <w:spacing w:after="0" w:line="268" w:lineRule="auto"/>
        <w:tabs>
          <w:tab w:leader="none" w:pos="2586" w:val="left"/>
        </w:tabs>
        <w:numPr>
          <w:ilvl w:val="1"/>
          <w:numId w:val="156"/>
        </w:numPr>
        <w:rPr>
          <w:rFonts w:ascii="Arial" w:cs="Arial" w:eastAsia="Arial" w:hAnsi="Arial"/>
          <w:sz w:val="19"/>
          <w:szCs w:val="19"/>
          <w:b w:val="1"/>
          <w:bCs w:val="1"/>
          <w:color w:val="auto"/>
        </w:rPr>
      </w:pPr>
      <w:r>
        <w:rPr>
          <w:rFonts w:ascii="Arial" w:cs="Arial" w:eastAsia="Arial" w:hAnsi="Arial"/>
          <w:sz w:val="19"/>
          <w:szCs w:val="19"/>
          <w:color w:val="auto"/>
        </w:rPr>
        <w:t>If Jazz or its designee declines to enforce the Zymeworks Patent Rights (other than Zymeworks Platform Patents) or Joint Patent Rights against such Product Infringement in the Territory under Section 14.4(b)(i) or fails to initiate an action to abate such Product Infringement in the Territory (A) within [***] after a written request from Zymeworks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01" w:right="339" w:bottom="1440" w:gutter="0" w:footer="0" w:header="0"/>
        </w:sectPr>
      </w:pPr>
    </w:p>
    <w:bookmarkStart w:id="225" w:name="page226"/>
    <w:bookmarkEnd w:id="225"/>
    <w:p>
      <w:pPr>
        <w:jc w:val="both"/>
        <w:spacing w:after="0" w:line="252" w:lineRule="auto"/>
        <w:rPr>
          <w:sz w:val="20"/>
          <w:szCs w:val="20"/>
          <w:color w:val="auto"/>
        </w:rPr>
      </w:pPr>
      <w:r>
        <w:rPr>
          <w:rFonts w:ascii="Arial" w:cs="Arial" w:eastAsia="Arial" w:hAnsi="Arial"/>
          <w:sz w:val="19"/>
          <w:szCs w:val="19"/>
          <w:color w:val="auto"/>
        </w:rPr>
        <w:t>to do so or (B) if such Product Infringement is due to the FDA’s acceptance of an application for a Biosimilar Product under the BPCIA referencing a Licensed Product, within [***] after acceptance, or if Jazz discontinues the prosecution of any such action after filing without abating such Product Infringement, then Zymeworks shall have the right to enforce the Zymeworks Patent Rights or Joint Patent Rights, as applicable, against such Product Infringement in the Territory at its sole expense as it reasonably determines appropriate and shall keep Jazz reasonably informed with respect to any such enforcement action; provided that [***].</w:t>
      </w:r>
    </w:p>
    <w:p>
      <w:pPr>
        <w:spacing w:after="0" w:line="149" w:lineRule="exact"/>
        <w:rPr>
          <w:sz w:val="20"/>
          <w:szCs w:val="20"/>
          <w:color w:val="auto"/>
        </w:rPr>
      </w:pPr>
    </w:p>
    <w:p>
      <w:pPr>
        <w:jc w:val="both"/>
        <w:ind w:firstLine="1952"/>
        <w:spacing w:after="0" w:line="219" w:lineRule="auto"/>
        <w:tabs>
          <w:tab w:leader="none" w:pos="2592" w:val="left"/>
        </w:tabs>
        <w:numPr>
          <w:ilvl w:val="1"/>
          <w:numId w:val="157"/>
        </w:numPr>
        <w:rPr>
          <w:rFonts w:ascii="Arial" w:cs="Arial" w:eastAsia="Arial" w:hAnsi="Arial"/>
          <w:sz w:val="21"/>
          <w:szCs w:val="21"/>
          <w:b w:val="1"/>
          <w:bCs w:val="1"/>
          <w:color w:val="auto"/>
        </w:rPr>
      </w:pPr>
      <w:r>
        <w:rPr>
          <w:rFonts w:ascii="Arial" w:cs="Arial" w:eastAsia="Arial" w:hAnsi="Arial"/>
          <w:sz w:val="21"/>
          <w:szCs w:val="21"/>
          <w:color w:val="auto"/>
        </w:rPr>
        <w:t>Zymeworks shall have the first right to bring and control any legal action to enforce Zymeworks Patent Rights or Joint Patent Rights against any Product Infringement based on [***] (such Product Infringement, an “</w:t>
      </w:r>
      <w:r>
        <w:rPr>
          <w:rFonts w:ascii="Arial" w:cs="Arial" w:eastAsia="Arial" w:hAnsi="Arial"/>
          <w:sz w:val="21"/>
          <w:szCs w:val="21"/>
          <w:b w:val="1"/>
          <w:bCs w:val="1"/>
          <w:color w:val="auto"/>
        </w:rPr>
        <w:t>ADC</w:t>
      </w:r>
      <w:r>
        <w:rPr>
          <w:rFonts w:ascii="Arial" w:cs="Arial" w:eastAsia="Arial" w:hAnsi="Arial"/>
          <w:sz w:val="21"/>
          <w:szCs w:val="21"/>
          <w:color w:val="auto"/>
        </w:rPr>
        <w:t xml:space="preserve"> </w:t>
      </w:r>
      <w:r>
        <w:rPr>
          <w:rFonts w:ascii="Arial" w:cs="Arial" w:eastAsia="Arial" w:hAnsi="Arial"/>
          <w:sz w:val="21"/>
          <w:szCs w:val="21"/>
          <w:b w:val="1"/>
          <w:bCs w:val="1"/>
          <w:color w:val="auto"/>
        </w:rPr>
        <w:t>Infringement</w:t>
      </w:r>
      <w:r>
        <w:rPr>
          <w:rFonts w:ascii="Arial" w:cs="Arial" w:eastAsia="Arial" w:hAnsi="Arial"/>
          <w:sz w:val="21"/>
          <w:szCs w:val="21"/>
          <w:color w:val="auto"/>
        </w:rPr>
        <w:t>”) at its sole expense as it reasonably determines appropriate, and Zymeworks shall consider in good faith Jazz’s</w:t>
      </w:r>
      <w:r>
        <w:rPr>
          <w:rFonts w:ascii="Arial" w:cs="Arial" w:eastAsia="Arial" w:hAnsi="Arial"/>
          <w:sz w:val="21"/>
          <w:szCs w:val="21"/>
          <w:b w:val="1"/>
          <w:bCs w:val="1"/>
          <w:color w:val="auto"/>
        </w:rPr>
        <w:t xml:space="preserve"> </w:t>
      </w:r>
      <w:r>
        <w:rPr>
          <w:rFonts w:ascii="Arial" w:cs="Arial" w:eastAsia="Arial" w:hAnsi="Arial"/>
          <w:sz w:val="21"/>
          <w:szCs w:val="21"/>
          <w:color w:val="auto"/>
        </w:rPr>
        <w:t>comments regarding whether to bring any legal action to enforce such Zymeworks Patent Rights or Joint Patent Rights against such ADC Infringement in such country in the Territory, but Zymeworks shall have final decision-making authority under this Section 14.4(b)(iii). Zymeworks (A) shall keep Jazz reasonably informed about such enforcement; [***] and (C) shall promptly inform Jazz in such a manner that such enforcement will not be prejudiced and Section 14.4(b)(iv) shall apply, if Zymeworks does not intend to prosecute or defend an ADC Infringement, or ceases to diligently pursue an enforcement with respect to such ADC Infringement. Jazz shall have the right to join any such enforcement action, using counsel selected in its discretion, at its own cost and expense; provided that it permits Zymeworks to control such enforcement action and it obtains Zymeworks’ consent (not to be unreasonably withheld, conditioned or delayed) before making any filings, taking any positions or engaging in any settlement discussions.</w:t>
      </w:r>
    </w:p>
    <w:p>
      <w:pPr>
        <w:spacing w:after="0" w:line="163" w:lineRule="exact"/>
        <w:rPr>
          <w:rFonts w:ascii="Arial" w:cs="Arial" w:eastAsia="Arial" w:hAnsi="Arial"/>
          <w:sz w:val="21"/>
          <w:szCs w:val="21"/>
          <w:b w:val="1"/>
          <w:bCs w:val="1"/>
          <w:color w:val="auto"/>
        </w:rPr>
      </w:pPr>
    </w:p>
    <w:p>
      <w:pPr>
        <w:jc w:val="both"/>
        <w:ind w:firstLine="1952"/>
        <w:spacing w:after="0" w:line="211" w:lineRule="auto"/>
        <w:tabs>
          <w:tab w:leader="none" w:pos="2580" w:val="left"/>
        </w:tabs>
        <w:numPr>
          <w:ilvl w:val="1"/>
          <w:numId w:val="157"/>
        </w:numPr>
        <w:rPr>
          <w:rFonts w:ascii="Arial" w:cs="Arial" w:eastAsia="Arial" w:hAnsi="Arial"/>
          <w:sz w:val="22"/>
          <w:szCs w:val="22"/>
          <w:b w:val="1"/>
          <w:bCs w:val="1"/>
          <w:color w:val="auto"/>
        </w:rPr>
      </w:pPr>
      <w:r>
        <w:rPr>
          <w:rFonts w:ascii="Arial" w:cs="Arial" w:eastAsia="Arial" w:hAnsi="Arial"/>
          <w:sz w:val="22"/>
          <w:szCs w:val="22"/>
          <w:color w:val="auto"/>
        </w:rPr>
        <w:t>If Zymeworks or its designee declines to enforce the Zymeworks Patent Rights (other than Zymeworks Platform Patents) or Joint Patent Rights against an ADC Infringement in the Territory under Section 14.4(b)(iii) or fails to initiate an action to abate such ADC Infringement in the Territory (A) within [***] after a written request from Jazz to do so or (B) if such ADC Infringement is due to the FDA’s acceptance of an application for a biosimilar product under the BPCIA referencing ZW49, within [***] after such acceptance, or if Zymeworks discontinues the prosecution of any such action after filing without abating such ADC Infringement, then Jazz shall have the right to enforce the Zymeworks Patent Rights or Joint Patent Rights, as applicable, against such ADC Infringement in the applicable country in the Territory at its sole expense as it reasonably determines appropriate and shall keep Zymeworks reasonably informed with respect to any such enforcement action; provided that [***].</w:t>
      </w:r>
    </w:p>
    <w:p>
      <w:pPr>
        <w:spacing w:after="0" w:line="158" w:lineRule="exact"/>
        <w:rPr>
          <w:rFonts w:ascii="Arial" w:cs="Arial" w:eastAsia="Arial" w:hAnsi="Arial"/>
          <w:sz w:val="22"/>
          <w:szCs w:val="22"/>
          <w:b w:val="1"/>
          <w:bCs w:val="1"/>
          <w:color w:val="auto"/>
        </w:rPr>
      </w:pPr>
    </w:p>
    <w:p>
      <w:pPr>
        <w:jc w:val="both"/>
        <w:ind w:firstLine="1952"/>
        <w:spacing w:after="0" w:line="247" w:lineRule="auto"/>
        <w:tabs>
          <w:tab w:leader="none" w:pos="2587" w:val="left"/>
        </w:tabs>
        <w:numPr>
          <w:ilvl w:val="1"/>
          <w:numId w:val="157"/>
        </w:numPr>
        <w:rPr>
          <w:rFonts w:ascii="Arial" w:cs="Arial" w:eastAsia="Arial" w:hAnsi="Arial"/>
          <w:sz w:val="19"/>
          <w:szCs w:val="19"/>
          <w:b w:val="1"/>
          <w:bCs w:val="1"/>
          <w:color w:val="auto"/>
        </w:rPr>
      </w:pPr>
      <w:r>
        <w:rPr>
          <w:rFonts w:ascii="Arial" w:cs="Arial" w:eastAsia="Arial" w:hAnsi="Arial"/>
          <w:sz w:val="19"/>
          <w:szCs w:val="19"/>
          <w:color w:val="auto"/>
        </w:rPr>
        <w:t>Jazz shall have the sole right to bring and control any legal action to enforce (A) Jazz Patent Rights against any infringement in the Territory and outside of the Territory, (B) the Jazz Collaboration Patent Rights in the Territory and</w:t>
      </w:r>
    </w:p>
    <w:p>
      <w:pPr>
        <w:jc w:val="both"/>
        <w:ind w:firstLine="8"/>
        <w:spacing w:after="0" w:line="214" w:lineRule="auto"/>
        <w:tabs>
          <w:tab w:leader="none" w:pos="415"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Jazz Collaboration Patent Rights outside of the Territory against any infringement other than an Ex-Territory Infringement, in each case (A) to (C) at its sole expense as it reasonably determines appropriate, and shall keep Zymeworks reasonably informed with respect to any such legal action. Jazz shall not have the right to enforce any Zymeworks Patent Rights outside of the Territory.</w:t>
      </w:r>
    </w:p>
    <w:p>
      <w:pPr>
        <w:spacing w:after="0" w:line="159" w:lineRule="exact"/>
        <w:rPr>
          <w:rFonts w:ascii="Arial" w:cs="Arial" w:eastAsia="Arial" w:hAnsi="Arial"/>
          <w:sz w:val="22"/>
          <w:szCs w:val="22"/>
          <w:color w:val="auto"/>
        </w:rPr>
      </w:pPr>
    </w:p>
    <w:p>
      <w:pPr>
        <w:jc w:val="both"/>
        <w:ind w:firstLine="1952"/>
        <w:spacing w:after="0" w:line="214" w:lineRule="auto"/>
        <w:tabs>
          <w:tab w:leader="none" w:pos="2580" w:val="left"/>
        </w:tabs>
        <w:numPr>
          <w:ilvl w:val="1"/>
          <w:numId w:val="158"/>
        </w:numPr>
        <w:rPr>
          <w:rFonts w:ascii="Arial" w:cs="Arial" w:eastAsia="Arial" w:hAnsi="Arial"/>
          <w:sz w:val="22"/>
          <w:szCs w:val="22"/>
          <w:b w:val="1"/>
          <w:bCs w:val="1"/>
          <w:color w:val="auto"/>
        </w:rPr>
      </w:pPr>
      <w:r>
        <w:rPr>
          <w:rFonts w:ascii="Arial" w:cs="Arial" w:eastAsia="Arial" w:hAnsi="Arial"/>
          <w:sz w:val="22"/>
          <w:szCs w:val="22"/>
          <w:color w:val="auto"/>
        </w:rPr>
        <w:t>Zymeworks shall have the first right to bring and control (itself or with or through the Ex-Territory Partner) any legal action to enforce any Jazz Collaboration Patent Rights against any Ex-Territory Infringement outside of the Territory at its sole expense as it reasonably determines appropriate, and Zymeworks shall consider in good faith the interests of Jazz in such enforcement of the Jazz Collaboration Patent Rights. If Zymeworks or its designee fails to abate such Ex-Territory Infringement outside of the Territory or to file an action to abate such Ex-Territory Infringement outside of the Territory within [***] after a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01" w:right="339" w:bottom="1440" w:gutter="0" w:footer="0" w:header="0"/>
        </w:sectPr>
      </w:pPr>
    </w:p>
    <w:bookmarkStart w:id="226" w:name="page227"/>
    <w:bookmarkEnd w:id="226"/>
    <w:p>
      <w:pPr>
        <w:jc w:val="both"/>
        <w:spacing w:after="0" w:line="268" w:lineRule="auto"/>
        <w:rPr>
          <w:sz w:val="20"/>
          <w:szCs w:val="20"/>
          <w:color w:val="auto"/>
        </w:rPr>
      </w:pPr>
      <w:r>
        <w:rPr>
          <w:rFonts w:ascii="Arial" w:cs="Arial" w:eastAsia="Arial" w:hAnsi="Arial"/>
          <w:sz w:val="19"/>
          <w:szCs w:val="19"/>
          <w:color w:val="auto"/>
        </w:rPr>
        <w:t>request from Jazz to do so, or if Zymeworks discontinues the prosecution of any such action after filing without abating such infringement, then Jazz shall have the right to enforce such Jazz Collaboration Patent Rights against such Ex-Territory Infringement outside the Territory at its own expense as it reasonably determines appropriate; provided that [***].</w:t>
      </w:r>
    </w:p>
    <w:p>
      <w:pPr>
        <w:spacing w:after="0" w:line="132" w:lineRule="exact"/>
        <w:rPr>
          <w:sz w:val="20"/>
          <w:szCs w:val="20"/>
          <w:color w:val="auto"/>
        </w:rPr>
      </w:pPr>
    </w:p>
    <w:p>
      <w:pPr>
        <w:jc w:val="both"/>
        <w:ind w:firstLine="1952"/>
        <w:spacing w:after="0" w:line="249" w:lineRule="auto"/>
        <w:tabs>
          <w:tab w:leader="none" w:pos="2586" w:val="left"/>
        </w:tabs>
        <w:numPr>
          <w:ilvl w:val="1"/>
          <w:numId w:val="159"/>
        </w:numPr>
        <w:rPr>
          <w:rFonts w:ascii="Arial" w:cs="Arial" w:eastAsia="Arial" w:hAnsi="Arial"/>
          <w:sz w:val="19"/>
          <w:szCs w:val="19"/>
          <w:b w:val="1"/>
          <w:bCs w:val="1"/>
          <w:color w:val="auto"/>
        </w:rPr>
      </w:pPr>
      <w:r>
        <w:rPr>
          <w:rFonts w:ascii="Arial" w:cs="Arial" w:eastAsia="Arial" w:hAnsi="Arial"/>
          <w:sz w:val="19"/>
          <w:szCs w:val="19"/>
          <w:color w:val="auto"/>
        </w:rPr>
        <w:t>As between the Parties, Zymeworks shall have the sole right to bring and control any legal action to enforce Zymeworks Patent Rights against any infringement in the Territory other than a Product Infringement, Zymeworks Patent Rights outside of the Territory and Zymeworks Platform Patents against any infringement in or outside of the Territory, in each case at its sole expense as it reasonably determines appropriate, and shall keep Jazz reasonably informed with respect to any such legal action; provided that with respect to any such legal action with respect to Zymeworks Patent Rights (other than Zymeworks Platform Patents) against any infringement in the Territory other than a Product Infringement [***].</w:t>
      </w:r>
    </w:p>
    <w:p>
      <w:pPr>
        <w:spacing w:after="0" w:line="145" w:lineRule="exact"/>
        <w:rPr>
          <w:rFonts w:ascii="Arial" w:cs="Arial" w:eastAsia="Arial" w:hAnsi="Arial"/>
          <w:sz w:val="19"/>
          <w:szCs w:val="19"/>
          <w:b w:val="1"/>
          <w:bCs w:val="1"/>
          <w:color w:val="auto"/>
        </w:rPr>
      </w:pPr>
    </w:p>
    <w:p>
      <w:pPr>
        <w:jc w:val="both"/>
        <w:ind w:firstLine="1304"/>
        <w:spacing w:after="0" w:line="220" w:lineRule="auto"/>
        <w:tabs>
          <w:tab w:leader="none" w:pos="1941" w:val="left"/>
        </w:tabs>
        <w:numPr>
          <w:ilvl w:val="0"/>
          <w:numId w:val="16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Cooperation. </w:t>
      </w:r>
      <w:r>
        <w:rPr>
          <w:rFonts w:ascii="Arial" w:cs="Arial" w:eastAsia="Arial" w:hAnsi="Arial"/>
          <w:sz w:val="22"/>
          <w:szCs w:val="22"/>
          <w:color w:val="auto"/>
        </w:rPr>
        <w:t>At the request of the Party bringing an action related to Product Infringement or Ex-Territory Infringement, the other Party shall provide reasonable assistance in connection therewith, including by executing reasonably appropriate documents, cooperating in discovery and joining as a party to the action if required by Applicable Laws to pursue such action, at each such Party’s sole cost and expense.</w:t>
      </w:r>
    </w:p>
    <w:p>
      <w:pPr>
        <w:spacing w:after="0" w:line="152" w:lineRule="exact"/>
        <w:rPr>
          <w:rFonts w:ascii="Arial" w:cs="Arial" w:eastAsia="Arial" w:hAnsi="Arial"/>
          <w:sz w:val="22"/>
          <w:szCs w:val="22"/>
          <w:b w:val="1"/>
          <w:bCs w:val="1"/>
          <w:color w:val="auto"/>
        </w:rPr>
      </w:pPr>
    </w:p>
    <w:p>
      <w:pPr>
        <w:jc w:val="both"/>
        <w:ind w:firstLine="1304"/>
        <w:spacing w:after="0" w:line="248" w:lineRule="auto"/>
        <w:tabs>
          <w:tab w:leader="none" w:pos="1938" w:val="left"/>
        </w:tabs>
        <w:numPr>
          <w:ilvl w:val="0"/>
          <w:numId w:val="16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Recoveries. </w:t>
      </w:r>
      <w:r>
        <w:rPr>
          <w:rFonts w:ascii="Arial" w:cs="Arial" w:eastAsia="Arial" w:hAnsi="Arial"/>
          <w:sz w:val="19"/>
          <w:szCs w:val="19"/>
          <w:color w:val="auto"/>
        </w:rPr>
        <w:t>Any recoveries resulting from an enforcement action relating to a claim of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Infringement in the Territory or an Ex-Territory Infringement will first be applied to costs and expenses incurred by each Party in connection with such action (including, for this purpose, a reasonable allocation of expenses of internal counsel); provided that if the amount of such recovery is not sufficient to cover all such costs and expenses of each Party, then the amount of the recovery will be proportionately shared by the Parties based on the amount of such costs and expenses incurred by each Party. Any such recoveries in excess of such costs and expenses shall be shared as follows: [***] of such remaining proceeds will be allocated to the enforcing Party and [***] of such remaining proceeds will be allocated to the non-enforcing Party.</w:t>
      </w:r>
    </w:p>
    <w:p>
      <w:pPr>
        <w:spacing w:after="0" w:line="148"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b w:val="1"/>
          <w:bCs w:val="1"/>
          <w:color w:val="auto"/>
        </w:rPr>
        <w:t>14.5 Infringement of Third Party Rights</w:t>
      </w:r>
      <w:r>
        <w:rPr>
          <w:rFonts w:ascii="Arial" w:cs="Arial" w:eastAsia="Arial" w:hAnsi="Arial"/>
          <w:sz w:val="22"/>
          <w:szCs w:val="22"/>
          <w:color w:val="auto"/>
        </w:rPr>
        <w:t>. This Section 14.5 shall apply solely during the portion of the Term</w:t>
      </w:r>
      <w:r>
        <w:rPr>
          <w:rFonts w:ascii="Arial" w:cs="Arial" w:eastAsia="Arial" w:hAnsi="Arial"/>
          <w:sz w:val="22"/>
          <w:szCs w:val="22"/>
          <w:b w:val="1"/>
          <w:bCs w:val="1"/>
          <w:color w:val="auto"/>
        </w:rPr>
        <w:t xml:space="preserve"> </w:t>
      </w:r>
      <w:r>
        <w:rPr>
          <w:rFonts w:ascii="Arial" w:cs="Arial" w:eastAsia="Arial" w:hAnsi="Arial"/>
          <w:sz w:val="22"/>
          <w:szCs w:val="22"/>
          <w:color w:val="auto"/>
        </w:rPr>
        <w:t>commencing on Zymeworks’ receipt of the Second Payment</w:t>
      </w:r>
    </w:p>
    <w:p>
      <w:pPr>
        <w:spacing w:after="0" w:line="153" w:lineRule="exact"/>
        <w:rPr>
          <w:sz w:val="20"/>
          <w:szCs w:val="20"/>
          <w:color w:val="auto"/>
        </w:rPr>
      </w:pPr>
    </w:p>
    <w:p>
      <w:pPr>
        <w:jc w:val="both"/>
        <w:ind w:firstLine="1304"/>
        <w:spacing w:after="0" w:line="245" w:lineRule="auto"/>
        <w:tabs>
          <w:tab w:leader="none" w:pos="1939" w:val="left"/>
        </w:tabs>
        <w:numPr>
          <w:ilvl w:val="0"/>
          <w:numId w:val="16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 </w:t>
      </w:r>
      <w:r>
        <w:rPr>
          <w:rFonts w:ascii="Arial" w:cs="Arial" w:eastAsia="Arial" w:hAnsi="Arial"/>
          <w:sz w:val="19"/>
          <w:szCs w:val="19"/>
          <w:color w:val="auto"/>
        </w:rPr>
        <w:t>If Licensed Product used or sold by Jazz, its Affiliates or sublicensees becomes the subject of a</w:t>
      </w:r>
      <w:r>
        <w:rPr>
          <w:rFonts w:ascii="Arial" w:cs="Arial" w:eastAsia="Arial" w:hAnsi="Arial"/>
          <w:sz w:val="19"/>
          <w:szCs w:val="19"/>
          <w:b w:val="1"/>
          <w:bCs w:val="1"/>
          <w:color w:val="auto"/>
        </w:rPr>
        <w:t xml:space="preserve"> </w:t>
      </w:r>
      <w:r>
        <w:rPr>
          <w:rFonts w:ascii="Arial" w:cs="Arial" w:eastAsia="Arial" w:hAnsi="Arial"/>
          <w:sz w:val="19"/>
          <w:szCs w:val="19"/>
          <w:color w:val="auto"/>
        </w:rPr>
        <w:t>Third Party’s claim or assertion of infringement of any Patent Rights or other intellectual property rights in the Territory that are owned or controlled by such Third Party, Jazz shall promptly notify Zymeworks within [***] after receipt of such claim or assertion and such notice shall include a copy of any summons or complaint (or the equivalent thereof) received regarding the foregoing. Thereafter, the Parties shall promptly meet to consider the claim or assertion and the appropriate course of action and may, if appropriate, agree on and enter into a “common interest agreement” wherein the Parties agree to their shared, mutual interest in the outcome of such potential dispute. The Parties shall assert and not waive the joint defense privilege, attorney work-product doctrine, attorney client privileges or any other privileges or protections that may apply with respect to any communications between the Parties in connection with the defense of such claim or assertion.</w:t>
      </w:r>
    </w:p>
    <w:p>
      <w:pPr>
        <w:spacing w:after="0" w:line="152" w:lineRule="exact"/>
        <w:rPr>
          <w:rFonts w:ascii="Arial" w:cs="Arial" w:eastAsia="Arial" w:hAnsi="Arial"/>
          <w:sz w:val="19"/>
          <w:szCs w:val="19"/>
          <w:b w:val="1"/>
          <w:bCs w:val="1"/>
          <w:color w:val="auto"/>
        </w:rPr>
      </w:pPr>
    </w:p>
    <w:p>
      <w:pPr>
        <w:jc w:val="both"/>
        <w:ind w:firstLine="1304"/>
        <w:spacing w:after="0" w:line="217" w:lineRule="auto"/>
        <w:tabs>
          <w:tab w:leader="none" w:pos="1938" w:val="left"/>
        </w:tabs>
        <w:numPr>
          <w:ilvl w:val="0"/>
          <w:numId w:val="16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Defense. </w:t>
      </w:r>
      <w:r>
        <w:rPr>
          <w:rFonts w:ascii="Arial" w:cs="Arial" w:eastAsia="Arial" w:hAnsi="Arial"/>
          <w:sz w:val="22"/>
          <w:szCs w:val="22"/>
          <w:color w:val="auto"/>
        </w:rPr>
        <w:t>In the event that a claim is brought against either Party alleging the infringement, violation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misappropriation of any Third Party intellectual property right based on [***] the Licensed Products in the Field in the Territory, unless such claim is a Claim for which Zymeworks is required to indemnify a Jazz Indemnitee pursuant to Section 13.1, Jazz will have the sole right, but not the obligation, to defend and dispose (including through settlement or license) such claim; provided, that,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01" w:right="339" w:bottom="1440" w:gutter="0" w:footer="0" w:header="0"/>
        </w:sectPr>
      </w:pPr>
    </w:p>
    <w:bookmarkStart w:id="227" w:name="page228"/>
    <w:bookmarkEnd w:id="227"/>
    <w:p>
      <w:pPr>
        <w:jc w:val="both"/>
        <w:ind w:firstLine="648"/>
        <w:spacing w:after="0" w:line="225" w:lineRule="auto"/>
        <w:rPr>
          <w:sz w:val="20"/>
          <w:szCs w:val="20"/>
          <w:color w:val="auto"/>
        </w:rPr>
      </w:pPr>
      <w:r>
        <w:rPr>
          <w:rFonts w:ascii="Arial" w:cs="Arial" w:eastAsia="Arial" w:hAnsi="Arial"/>
          <w:sz w:val="22"/>
          <w:szCs w:val="22"/>
          <w:b w:val="1"/>
          <w:bCs w:val="1"/>
          <w:color w:val="auto"/>
        </w:rPr>
        <w:t>14.6 Patent Rights Licensed From Third Parties</w:t>
      </w:r>
      <w:r>
        <w:rPr>
          <w:rFonts w:ascii="Arial" w:cs="Arial" w:eastAsia="Arial" w:hAnsi="Arial"/>
          <w:sz w:val="22"/>
          <w:szCs w:val="22"/>
          <w:color w:val="auto"/>
        </w:rPr>
        <w:t>. Each Party’s rights under this Article 14 with respect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prosecution and enforcement of any Zymeworks Patent Rights that is licensed by Zymeworks from a Third Party shall be subject to the rights of such Third Party to prosecute and enforce such Patent Rights.</w:t>
      </w:r>
    </w:p>
    <w:p>
      <w:pPr>
        <w:spacing w:after="0" w:line="15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b w:val="1"/>
          <w:bCs w:val="1"/>
          <w:color w:val="auto"/>
        </w:rPr>
        <w:t>14.7 Patent Term Extensions</w:t>
      </w:r>
      <w:r>
        <w:rPr>
          <w:rFonts w:ascii="Arial" w:cs="Arial" w:eastAsia="Arial" w:hAnsi="Arial"/>
          <w:sz w:val="21"/>
          <w:szCs w:val="21"/>
          <w:color w:val="auto"/>
        </w:rPr>
        <w:t>. This Section 14.7 shall apply solely during the portion of the Term commencing on</w:t>
      </w:r>
      <w:r>
        <w:rPr>
          <w:rFonts w:ascii="Arial" w:cs="Arial" w:eastAsia="Arial" w:hAnsi="Arial"/>
          <w:sz w:val="21"/>
          <w:szCs w:val="21"/>
          <w:b w:val="1"/>
          <w:bCs w:val="1"/>
          <w:color w:val="auto"/>
        </w:rPr>
        <w:t xml:space="preserve"> </w:t>
      </w:r>
      <w:r>
        <w:rPr>
          <w:rFonts w:ascii="Arial" w:cs="Arial" w:eastAsia="Arial" w:hAnsi="Arial"/>
          <w:sz w:val="21"/>
          <w:szCs w:val="21"/>
          <w:color w:val="auto"/>
        </w:rPr>
        <w:t>Zymeworks’ receipt of the Second Payment. Jazz will have the sole right to seek and obtain patent term restoration or supplemental protection certificates or the like or their equivalents in any country in the Territory, where applicable to Zymeworks Patent Rights (excluding any Zymeworks Platform Patents) and Joint Patent Rights, including as may be available to the Parties under the provisions of the U.S. Drug Price Competition and Patent Term Restoration Act of 1984 or comparable laws outside the United States of America, in each case, in the Territory in connection with the Licensed Products. Zymeworks shall reasonably cooperate with and provide reasonable assistance to Jazz, at Jazz’s reasonable request and expense, in seeking and obtaining obtain patent term restoration or supplemental protection certificates or the like. Notwithstanding anything to the contrary contained herein, if elections with respect to obtaining such patent term restoration or supplemental protection certificates or their equivalents in the Territory are to be made in connection with the Licensed Product, Jazz shall make such election in its sole discretion. Zymeworks shall not seek to obtain any patent term restoration or supplemental protection certificates or the like or their equivalents of Zymeworks Platform Patents in any country in the Territory with respect to Licensed Products.</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b w:val="1"/>
          <w:bCs w:val="1"/>
          <w:color w:val="auto"/>
        </w:rPr>
        <w:t>14.8 Patent Listings</w:t>
      </w:r>
      <w:r>
        <w:rPr>
          <w:rFonts w:ascii="Arial" w:cs="Arial" w:eastAsia="Arial" w:hAnsi="Arial"/>
          <w:sz w:val="21"/>
          <w:szCs w:val="21"/>
          <w:color w:val="auto"/>
        </w:rPr>
        <w:t>. During the portion of the Term commencing on Zymeworks’ receipt of the Second Payment, Jazz</w:t>
      </w:r>
      <w:r>
        <w:rPr>
          <w:rFonts w:ascii="Arial" w:cs="Arial" w:eastAsia="Arial" w:hAnsi="Arial"/>
          <w:sz w:val="21"/>
          <w:szCs w:val="21"/>
          <w:b w:val="1"/>
          <w:bCs w:val="1"/>
          <w:color w:val="auto"/>
        </w:rPr>
        <w:t xml:space="preserve"> </w:t>
      </w:r>
      <w:r>
        <w:rPr>
          <w:rFonts w:ascii="Arial" w:cs="Arial" w:eastAsia="Arial" w:hAnsi="Arial"/>
          <w:sz w:val="21"/>
          <w:szCs w:val="21"/>
          <w:color w:val="auto"/>
        </w:rPr>
        <w:t>(or its designee) shall have the sole right, but not the obligation, to list, with the applicable Regulatory Authorities in the Territory, all applicable Patent Rights (including any Zymeworks Patent Rights, Jazz Collaboration Patent Rights, Jazz Patent Rights and Joint Patent Rights) for any Licensed Product in the Territory, including all so called “Purple Book” listings required under the U.S. Public Health Service Act, and all similar listings in any other relevant countries in the Territory, and Zymeworks and its Affiliates and (sub)licensees shall have no right to do so. For the avoidance of doubt, Jazz will retain final decision-making authority as to the listing of all applicable Patent Rights for any Licensed Product in the Territory, regardless of which Party owns such Patent Right, and Zymeworks shall reasonably assist Jazz, at Jazz’s reasonable request and expense, in connection therewith.</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14.9</w:t>
      </w:r>
      <w:r>
        <w:rPr>
          <w:sz w:val="20"/>
          <w:szCs w:val="20"/>
          <w:color w:val="auto"/>
        </w:rPr>
        <w:tab/>
      </w:r>
      <w:r>
        <w:rPr>
          <w:rFonts w:ascii="Arial" w:cs="Arial" w:eastAsia="Arial" w:hAnsi="Arial"/>
          <w:sz w:val="19"/>
          <w:szCs w:val="19"/>
          <w:b w:val="1"/>
          <w:bCs w:val="1"/>
          <w:color w:val="auto"/>
        </w:rPr>
        <w:t>Licensed Product Trademarks.</w:t>
      </w:r>
    </w:p>
    <w:p>
      <w:pPr>
        <w:spacing w:after="0" w:line="179" w:lineRule="exact"/>
        <w:rPr>
          <w:sz w:val="20"/>
          <w:szCs w:val="20"/>
          <w:color w:val="auto"/>
        </w:rPr>
      </w:pPr>
    </w:p>
    <w:p>
      <w:pPr>
        <w:jc w:val="both"/>
        <w:ind w:firstLine="1304"/>
        <w:spacing w:after="0" w:line="244" w:lineRule="auto"/>
        <w:tabs>
          <w:tab w:leader="none" w:pos="1939" w:val="left"/>
        </w:tabs>
        <w:numPr>
          <w:ilvl w:val="0"/>
          <w:numId w:val="162"/>
        </w:numPr>
        <w:rPr>
          <w:rFonts w:ascii="Arial" w:cs="Arial" w:eastAsia="Arial" w:hAnsi="Arial"/>
          <w:sz w:val="19"/>
          <w:szCs w:val="19"/>
          <w:b w:val="1"/>
          <w:bCs w:val="1"/>
          <w:color w:val="auto"/>
        </w:rPr>
      </w:pPr>
      <w:r>
        <w:rPr>
          <w:rFonts w:ascii="Arial" w:cs="Arial" w:eastAsia="Arial" w:hAnsi="Arial"/>
          <w:sz w:val="19"/>
          <w:szCs w:val="19"/>
          <w:b w:val="1"/>
          <w:bCs w:val="1"/>
          <w:color w:val="auto"/>
        </w:rPr>
        <w:t>Product Trademarks</w:t>
      </w:r>
      <w:r>
        <w:rPr>
          <w:rFonts w:ascii="Arial" w:cs="Arial" w:eastAsia="Arial" w:hAnsi="Arial"/>
          <w:sz w:val="19"/>
          <w:szCs w:val="19"/>
          <w:color w:val="auto"/>
        </w:rPr>
        <w:t>. Jazz shall have the right to brand Licensed Products in any countries in the</w:t>
      </w:r>
      <w:r>
        <w:rPr>
          <w:rFonts w:ascii="Arial" w:cs="Arial" w:eastAsia="Arial" w:hAnsi="Arial"/>
          <w:sz w:val="19"/>
          <w:szCs w:val="19"/>
          <w:b w:val="1"/>
          <w:bCs w:val="1"/>
          <w:color w:val="auto"/>
        </w:rPr>
        <w:t xml:space="preserve"> </w:t>
      </w:r>
      <w:r>
        <w:rPr>
          <w:rFonts w:ascii="Arial" w:cs="Arial" w:eastAsia="Arial" w:hAnsi="Arial"/>
          <w:sz w:val="19"/>
          <w:szCs w:val="19"/>
          <w:color w:val="auto"/>
        </w:rPr>
        <w:t>Territory where Jazz in its sole discretion elects not to use a Zymeworks Trademark, using such other trademarks, logos, and trade names it determines appropriate for such Licensed Products, which may vary by country or region or within a country or region (the “</w:t>
      </w:r>
      <w:r>
        <w:rPr>
          <w:rFonts w:ascii="Arial" w:cs="Arial" w:eastAsia="Arial" w:hAnsi="Arial"/>
          <w:sz w:val="19"/>
          <w:szCs w:val="19"/>
          <w:b w:val="1"/>
          <w:bCs w:val="1"/>
          <w:color w:val="auto"/>
        </w:rPr>
        <w:t>Product Marks</w:t>
      </w:r>
      <w:r>
        <w:rPr>
          <w:rFonts w:ascii="Arial" w:cs="Arial" w:eastAsia="Arial" w:hAnsi="Arial"/>
          <w:sz w:val="19"/>
          <w:szCs w:val="19"/>
          <w:color w:val="auto"/>
        </w:rPr>
        <w:t>”); provided, however, that Jazz shall provide Zymeworks with a reasonable opportunity to review and provide comments on each proposed Product Mark, shall give due consideration to Zymeworks’ comments before selecting any Product Mark, and shall not use any trademarks or house marks of Zymeworks (including Zymeworks’ corporate name) or any trademark confusingly similar thereto without Zymeworks’ prior written consent. Jazz shall own all rights in the Product Marks in the Territory (excluding any such marks that include, in whole or part, any corporate name or logos of Zymeworks or its Affiliates or (sub)licensees) and shall register and maintain the Product Marks in the Territory that it determines reasonably necessary, at Jazz’s cost and expense. For clarity the Product Marks shall not include the Zymeworks Trademarks.</w:t>
      </w:r>
    </w:p>
    <w:p>
      <w:pPr>
        <w:spacing w:after="0" w:line="154" w:lineRule="exact"/>
        <w:rPr>
          <w:rFonts w:ascii="Arial" w:cs="Arial" w:eastAsia="Arial" w:hAnsi="Arial"/>
          <w:sz w:val="19"/>
          <w:szCs w:val="19"/>
          <w:b w:val="1"/>
          <w:bCs w:val="1"/>
          <w:color w:val="auto"/>
        </w:rPr>
      </w:pPr>
    </w:p>
    <w:p>
      <w:pPr>
        <w:ind w:firstLine="1304"/>
        <w:spacing w:after="0" w:line="235" w:lineRule="auto"/>
        <w:tabs>
          <w:tab w:leader="none" w:pos="1938"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color w:val="auto"/>
        </w:rPr>
        <w:t>Zymeworks Trademarks</w:t>
      </w:r>
      <w:r>
        <w:rPr>
          <w:rFonts w:ascii="Arial" w:cs="Arial" w:eastAsia="Arial" w:hAnsi="Arial"/>
          <w:sz w:val="22"/>
          <w:szCs w:val="22"/>
          <w:color w:val="auto"/>
        </w:rPr>
        <w:t>. In any country in the Territory where a Zymeworks Trademark is registered or</w:t>
      </w:r>
      <w:r>
        <w:rPr>
          <w:rFonts w:ascii="Arial" w:cs="Arial" w:eastAsia="Arial" w:hAnsi="Arial"/>
          <w:sz w:val="22"/>
          <w:szCs w:val="22"/>
          <w:b w:val="1"/>
          <w:bCs w:val="1"/>
          <w:color w:val="auto"/>
        </w:rPr>
        <w:t xml:space="preserve"> </w:t>
      </w:r>
      <w:r>
        <w:rPr>
          <w:rFonts w:ascii="Arial" w:cs="Arial" w:eastAsia="Arial" w:hAnsi="Arial"/>
          <w:sz w:val="22"/>
          <w:szCs w:val="22"/>
          <w:color w:val="auto"/>
        </w:rPr>
        <w:t>pending and Jazz in its sole discretion elects to use such Zymeworks Trademark: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395" w:right="339" w:bottom="1440" w:gutter="0" w:footer="0" w:header="0"/>
        </w:sectPr>
      </w:pPr>
    </w:p>
    <w:bookmarkStart w:id="228" w:name="page229"/>
    <w:bookmarkEnd w:id="228"/>
    <w:p>
      <w:pPr>
        <w:jc w:val="both"/>
        <w:ind w:firstLine="1952"/>
        <w:spacing w:after="0" w:line="252" w:lineRule="auto"/>
        <w:tabs>
          <w:tab w:leader="none" w:pos="2580" w:val="left"/>
        </w:tabs>
        <w:numPr>
          <w:ilvl w:val="0"/>
          <w:numId w:val="163"/>
        </w:numPr>
        <w:rPr>
          <w:rFonts w:ascii="Arial" w:cs="Arial" w:eastAsia="Arial" w:hAnsi="Arial"/>
          <w:sz w:val="19"/>
          <w:szCs w:val="19"/>
          <w:b w:val="1"/>
          <w:bCs w:val="1"/>
          <w:color w:val="auto"/>
        </w:rPr>
      </w:pPr>
      <w:r>
        <w:rPr>
          <w:rFonts w:ascii="Arial" w:cs="Arial" w:eastAsia="Arial" w:hAnsi="Arial"/>
          <w:sz w:val="19"/>
          <w:szCs w:val="19"/>
          <w:color w:val="auto"/>
        </w:rPr>
        <w:t>Jazz shall (and shall ensure that its Affiliates and sublicensees using such Zymeworks Trademarks) materially comply with the directions provided to Jazz by Zymeworks in writing in advance, regarding the form and manner of the application of such Zymeworks Trademark. Apart from such Zymeworks Trademark, no other Zymeworks trademark or logo may be affixed to, or used in connection with, the Licensed Product in such country without Zymeworks’ prior written consent. In connection with Jazz’s use of the Zymeworks Trademarks, Jazz shall comply with all Applicable Laws.</w:t>
      </w:r>
    </w:p>
    <w:p>
      <w:pPr>
        <w:spacing w:after="0" w:line="148" w:lineRule="exact"/>
        <w:rPr>
          <w:rFonts w:ascii="Arial" w:cs="Arial" w:eastAsia="Arial" w:hAnsi="Arial"/>
          <w:sz w:val="19"/>
          <w:szCs w:val="19"/>
          <w:b w:val="1"/>
          <w:bCs w:val="1"/>
          <w:color w:val="auto"/>
        </w:rPr>
      </w:pPr>
    </w:p>
    <w:p>
      <w:pPr>
        <w:jc w:val="both"/>
        <w:ind w:firstLine="1952"/>
        <w:spacing w:after="0" w:line="218" w:lineRule="auto"/>
        <w:tabs>
          <w:tab w:leader="none" w:pos="2586" w:val="left"/>
        </w:tabs>
        <w:numPr>
          <w:ilvl w:val="0"/>
          <w:numId w:val="163"/>
        </w:numPr>
        <w:rPr>
          <w:rFonts w:ascii="Arial" w:cs="Arial" w:eastAsia="Arial" w:hAnsi="Arial"/>
          <w:sz w:val="22"/>
          <w:szCs w:val="22"/>
          <w:b w:val="1"/>
          <w:bCs w:val="1"/>
          <w:color w:val="auto"/>
        </w:rPr>
      </w:pPr>
      <w:r>
        <w:rPr>
          <w:rFonts w:ascii="Arial" w:cs="Arial" w:eastAsia="Arial" w:hAnsi="Arial"/>
          <w:sz w:val="22"/>
          <w:szCs w:val="22"/>
          <w:color w:val="auto"/>
        </w:rPr>
        <w:t>Jazz shall ensure that all Licensed Products sold by Jazz, its Affiliates or sublicensees carrying the Zymeworks Trademark and all related quotations, specifications, descriptive literature and other materials carrying the Zymeworks Trademark, will be marked with the appropriate trademark notices in accordance with Zymeworks’ reasonable instructions and Applicable Laws.</w:t>
      </w:r>
    </w:p>
    <w:p>
      <w:pPr>
        <w:spacing w:after="0" w:line="160" w:lineRule="exact"/>
        <w:rPr>
          <w:rFonts w:ascii="Arial" w:cs="Arial" w:eastAsia="Arial" w:hAnsi="Arial"/>
          <w:sz w:val="22"/>
          <w:szCs w:val="22"/>
          <w:b w:val="1"/>
          <w:bCs w:val="1"/>
          <w:color w:val="auto"/>
        </w:rPr>
      </w:pPr>
    </w:p>
    <w:p>
      <w:pPr>
        <w:jc w:val="both"/>
        <w:ind w:firstLine="1952"/>
        <w:spacing w:after="0" w:line="222" w:lineRule="auto"/>
        <w:tabs>
          <w:tab w:leader="none" w:pos="2592" w:val="left"/>
        </w:tabs>
        <w:numPr>
          <w:ilvl w:val="0"/>
          <w:numId w:val="163"/>
        </w:numPr>
        <w:rPr>
          <w:rFonts w:ascii="Arial" w:cs="Arial" w:eastAsia="Arial" w:hAnsi="Arial"/>
          <w:sz w:val="21"/>
          <w:szCs w:val="21"/>
          <w:b w:val="1"/>
          <w:bCs w:val="1"/>
          <w:color w:val="auto"/>
        </w:rPr>
      </w:pPr>
      <w:r>
        <w:rPr>
          <w:rFonts w:ascii="Arial" w:cs="Arial" w:eastAsia="Arial" w:hAnsi="Arial"/>
          <w:sz w:val="21"/>
          <w:szCs w:val="21"/>
          <w:color w:val="auto"/>
        </w:rPr>
        <w:t>If Jazz, its Affiliate or sublicensee sells Licensed Products using the Zymeworks Trademark, Jazz agrees that it shall not, and shall ensure that its Affiliates and sublicensees shall not, directly or indirectly: (A) take, omit to take, or permit any action which is intended to dilute the Zymeworks Trademark or tarnish or bring into disrepute the reputation of or goodwill associated with the Zymeworks Trademark or Zymeworks, or which is intended to invalidate or jeopardize any registration of the Zymeworks Trademark; or (B) apply for, or obtain, or directly assist any Person in applying for or obtaining any registration of the Zymeworks Trademark, or any trademark, service mark, trade name, or other indicia confusingly similar to the Zymeworks Trademark in any country in the Territory.</w:t>
      </w:r>
    </w:p>
    <w:p>
      <w:pPr>
        <w:spacing w:after="0" w:line="164" w:lineRule="exact"/>
        <w:rPr>
          <w:rFonts w:ascii="Arial" w:cs="Arial" w:eastAsia="Arial" w:hAnsi="Arial"/>
          <w:sz w:val="21"/>
          <w:szCs w:val="21"/>
          <w:b w:val="1"/>
          <w:bCs w:val="1"/>
          <w:color w:val="auto"/>
        </w:rPr>
      </w:pPr>
    </w:p>
    <w:p>
      <w:pPr>
        <w:jc w:val="both"/>
        <w:ind w:firstLine="1952"/>
        <w:spacing w:after="0" w:line="246" w:lineRule="auto"/>
        <w:tabs>
          <w:tab w:leader="none" w:pos="2580" w:val="left"/>
        </w:tabs>
        <w:numPr>
          <w:ilvl w:val="0"/>
          <w:numId w:val="163"/>
        </w:numPr>
        <w:rPr>
          <w:rFonts w:ascii="Arial" w:cs="Arial" w:eastAsia="Arial" w:hAnsi="Arial"/>
          <w:sz w:val="19"/>
          <w:szCs w:val="19"/>
          <w:b w:val="1"/>
          <w:bCs w:val="1"/>
          <w:color w:val="auto"/>
        </w:rPr>
      </w:pPr>
      <w:r>
        <w:rPr>
          <w:rFonts w:ascii="Arial" w:cs="Arial" w:eastAsia="Arial" w:hAnsi="Arial"/>
          <w:sz w:val="19"/>
          <w:szCs w:val="19"/>
          <w:color w:val="auto"/>
        </w:rPr>
        <w:t>In any country in the Territory in which Jazz uses such Zymeworks Trademarks with the Licensed Products, (A) Jazz shall have the first right to prepare, file, prosecute and maintain the Zymeworks Trademarks, in the name of Zymeworks, and (B) Jazz shall have the first right enforce and defend the Zymeworks Trademarks, in each case, in its discretion and at its sole cost and expense. Jazz shall keep Zymeworks fully informed with respect to its preparation, filing, prosecution, maintenance, enforcement and defense of the Zymeworks Trademarks, and shall cooperate in good faith with Jazz in its conduct of such activities. Zymeworks shall have a backup right to prepare, file, prosecute and maintain the Zymeworks Trademarks in any such country the Territory in the name of Zymeworks should Jazz decline to exercise its rights under this Section 14.9(b)(iv) and shall keep Jazz fully informed with respect thereto.</w:t>
      </w:r>
    </w:p>
    <w:p>
      <w:pPr>
        <w:spacing w:after="0" w:line="152" w:lineRule="exact"/>
        <w:rPr>
          <w:rFonts w:ascii="Arial" w:cs="Arial" w:eastAsia="Arial" w:hAnsi="Arial"/>
          <w:sz w:val="19"/>
          <w:szCs w:val="19"/>
          <w:b w:val="1"/>
          <w:bCs w:val="1"/>
          <w:color w:val="auto"/>
        </w:rPr>
      </w:pPr>
    </w:p>
    <w:p>
      <w:pPr>
        <w:jc w:val="both"/>
        <w:ind w:firstLine="1952"/>
        <w:spacing w:after="0" w:line="219" w:lineRule="auto"/>
        <w:tabs>
          <w:tab w:leader="none" w:pos="2648" w:val="left"/>
        </w:tabs>
        <w:numPr>
          <w:ilvl w:val="0"/>
          <w:numId w:val="163"/>
        </w:numPr>
        <w:rPr>
          <w:rFonts w:ascii="Arial" w:cs="Arial" w:eastAsia="Arial" w:hAnsi="Arial"/>
          <w:sz w:val="21"/>
          <w:szCs w:val="21"/>
          <w:b w:val="1"/>
          <w:bCs w:val="1"/>
          <w:color w:val="auto"/>
        </w:rPr>
      </w:pPr>
      <w:r>
        <w:rPr>
          <w:rFonts w:ascii="Arial" w:cs="Arial" w:eastAsia="Arial" w:hAnsi="Arial"/>
          <w:sz w:val="21"/>
          <w:szCs w:val="21"/>
          <w:color w:val="auto"/>
        </w:rPr>
        <w:t>In any country in the Territory in which Jazz uses such Zymeworks Trademarks with the Licensed Products, Jazz shall have the first right (but not the obligation) to, at its cost, register as domain names the Zymeworks Trademarks (the “</w:t>
      </w:r>
      <w:r>
        <w:rPr>
          <w:rFonts w:ascii="Arial" w:cs="Arial" w:eastAsia="Arial" w:hAnsi="Arial"/>
          <w:sz w:val="21"/>
          <w:szCs w:val="21"/>
          <w:b w:val="1"/>
          <w:bCs w:val="1"/>
          <w:color w:val="auto"/>
        </w:rPr>
        <w:t>Zymeworks Domain Names</w:t>
      </w:r>
      <w:r>
        <w:rPr>
          <w:rFonts w:ascii="Arial" w:cs="Arial" w:eastAsia="Arial" w:hAnsi="Arial"/>
          <w:sz w:val="21"/>
          <w:szCs w:val="21"/>
          <w:color w:val="auto"/>
        </w:rPr>
        <w:t>”) for use with the Licensed Products, including using any available generic top-level domain or country-code top-level domain. Jazz will notify Zymeworks in advance of such registration and shall consider in good faith any reasonable comments provided by Zymeworks in connection with Jazz’s choice of such domain names. Zymeworks shall have a backup right to register the Zymeworks Domain Names in any such country in the name of Zymeworks should Jazz decline to exercise its rights under this Section 14.9(b)(v) and shall keep Jazz fully informed with respect thereto. Jazz shall have the right to maintain websites for the Licensed Products in the Field in the Territory using the Zymeworks Domain Names registered by Jazz in accordance with this Section, 14.9(b)(v) using reasonably current all content, data and other information displayed or made available, as applicable, on the website(s) associated with each of the Zymeworks Domain Names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01" w:right="339" w:bottom="1440" w:gutter="0" w:footer="0" w:header="0"/>
        </w:sectPr>
      </w:pPr>
    </w:p>
    <w:bookmarkStart w:id="229" w:name="page230"/>
    <w:bookmarkEnd w:id="229"/>
    <w:p>
      <w:pPr>
        <w:ind w:left="4980"/>
        <w:spacing w:after="0"/>
        <w:rPr>
          <w:sz w:val="20"/>
          <w:szCs w:val="20"/>
          <w:color w:val="auto"/>
        </w:rPr>
      </w:pPr>
      <w:r>
        <w:rPr>
          <w:rFonts w:ascii="Arial" w:cs="Arial" w:eastAsia="Arial" w:hAnsi="Arial"/>
          <w:sz w:val="22"/>
          <w:szCs w:val="22"/>
          <w:b w:val="1"/>
          <w:bCs w:val="1"/>
          <w:color w:val="auto"/>
        </w:rPr>
        <w:t>Article 15</w:t>
      </w:r>
    </w:p>
    <w:p>
      <w:pPr>
        <w:spacing w:after="0" w:line="179"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TERM AND TERMINATION</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b w:val="1"/>
          <w:bCs w:val="1"/>
          <w:color w:val="auto"/>
        </w:rPr>
        <w:t xml:space="preserve">15.1 Term. </w:t>
      </w:r>
      <w:r>
        <w:rPr>
          <w:rFonts w:ascii="Arial" w:cs="Arial" w:eastAsia="Arial" w:hAnsi="Arial"/>
          <w:sz w:val="19"/>
          <w:szCs w:val="19"/>
          <w:color w:val="auto"/>
        </w:rPr>
        <w:t>This Agreement shall be effective as of the Closing Date, and shall continue, on a country-by-country and</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Product-by-Licensed Product basis, in effect until the expiration of the Royalty Term applicable to such Licensed Product in such country (the “</w:t>
      </w:r>
      <w:r>
        <w:rPr>
          <w:rFonts w:ascii="Arial" w:cs="Arial" w:eastAsia="Arial" w:hAnsi="Arial"/>
          <w:sz w:val="19"/>
          <w:szCs w:val="19"/>
          <w:b w:val="1"/>
          <w:bCs w:val="1"/>
          <w:color w:val="auto"/>
        </w:rPr>
        <w:t>Term</w:t>
      </w:r>
      <w:r>
        <w:rPr>
          <w:rFonts w:ascii="Arial" w:cs="Arial" w:eastAsia="Arial" w:hAnsi="Arial"/>
          <w:sz w:val="19"/>
          <w:szCs w:val="19"/>
          <w:color w:val="auto"/>
        </w:rPr>
        <w:t>”); provided that, Article 1, Article 10, Article 13, Article 16 and Article 17, and Section 11.3, Section 12.1, Section 12.2, Section 12.3, Section 12.6, Section 12.7, Section 15.1, Section 15.2(e), and Section 15.3(i) shall be effective as of the Execution Date. On a country-by-country basis, upon the natural expiration of the Term as contemplated in this Section 15.1, the License in such country shall become fully paid-up, royalty-free, perpetual, and irrevocable.</w:t>
      </w:r>
    </w:p>
    <w:p>
      <w:pPr>
        <w:spacing w:after="0" w:line="1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b w:val="1"/>
          <w:bCs w:val="1"/>
          <w:color w:val="auto"/>
        </w:rPr>
        <w:t>Termination.</w:t>
      </w:r>
    </w:p>
    <w:p>
      <w:pPr>
        <w:spacing w:after="0" w:line="179" w:lineRule="exact"/>
        <w:rPr>
          <w:sz w:val="20"/>
          <w:szCs w:val="20"/>
          <w:color w:val="auto"/>
        </w:rPr>
      </w:pPr>
    </w:p>
    <w:p>
      <w:pPr>
        <w:jc w:val="both"/>
        <w:ind w:firstLine="1304"/>
        <w:spacing w:after="0" w:line="220" w:lineRule="auto"/>
        <w:tabs>
          <w:tab w:leader="none" w:pos="1939" w:val="left"/>
        </w:tabs>
        <w:numPr>
          <w:ilvl w:val="1"/>
          <w:numId w:val="16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by Jazz for Convenience. </w:t>
      </w:r>
      <w:r>
        <w:rPr>
          <w:rFonts w:ascii="Arial" w:cs="Arial" w:eastAsia="Arial" w:hAnsi="Arial"/>
          <w:sz w:val="22"/>
          <w:szCs w:val="22"/>
          <w:color w:val="auto"/>
        </w:rPr>
        <w:t>At any time, Jazz may terminate this Agreement, in its entirety or</w:t>
      </w:r>
      <w:r>
        <w:rPr>
          <w:rFonts w:ascii="Arial" w:cs="Arial" w:eastAsia="Arial" w:hAnsi="Arial"/>
          <w:sz w:val="22"/>
          <w:szCs w:val="22"/>
          <w:b w:val="1"/>
          <w:bCs w:val="1"/>
          <w:color w:val="auto"/>
        </w:rPr>
        <w:t xml:space="preserve"> </w:t>
      </w:r>
      <w:r>
        <w:rPr>
          <w:rFonts w:ascii="Arial" w:cs="Arial" w:eastAsia="Arial" w:hAnsi="Arial"/>
          <w:sz w:val="22"/>
          <w:szCs w:val="22"/>
          <w:color w:val="auto"/>
        </w:rPr>
        <w:t>on a Region-by-Region basis, by providing written notice of termination to Zymeworks, which notice includes an effective date of termination at least [***] after the date of the notice. Jazz shall [***] terminates this Agreement pursuant to this Section 15.2(a).</w:t>
      </w:r>
    </w:p>
    <w:p>
      <w:pPr>
        <w:spacing w:after="0" w:line="152" w:lineRule="exact"/>
        <w:rPr>
          <w:rFonts w:ascii="Arial" w:cs="Arial" w:eastAsia="Arial" w:hAnsi="Arial"/>
          <w:sz w:val="22"/>
          <w:szCs w:val="22"/>
          <w:b w:val="1"/>
          <w:bCs w:val="1"/>
          <w:color w:val="auto"/>
        </w:rPr>
      </w:pPr>
    </w:p>
    <w:p>
      <w:pPr>
        <w:ind w:left="1940" w:hanging="636"/>
        <w:spacing w:after="0"/>
        <w:tabs>
          <w:tab w:leader="none" w:pos="1940" w:val="left"/>
        </w:tabs>
        <w:numPr>
          <w:ilvl w:val="1"/>
          <w:numId w:val="164"/>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for Material Breach</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1952"/>
        <w:spacing w:after="0" w:line="224" w:lineRule="auto"/>
        <w:tabs>
          <w:tab w:leader="none" w:pos="2580" w:val="left"/>
        </w:tabs>
        <w:numPr>
          <w:ilvl w:val="2"/>
          <w:numId w:val="164"/>
        </w:numPr>
        <w:rPr>
          <w:rFonts w:ascii="Arial" w:cs="Arial" w:eastAsia="Arial" w:hAnsi="Arial"/>
          <w:sz w:val="21"/>
          <w:szCs w:val="21"/>
          <w:b w:val="1"/>
          <w:bCs w:val="1"/>
          <w:color w:val="auto"/>
        </w:rPr>
      </w:pPr>
      <w:r>
        <w:rPr>
          <w:rFonts w:ascii="Arial" w:cs="Arial" w:eastAsia="Arial" w:hAnsi="Arial"/>
          <w:sz w:val="21"/>
          <w:szCs w:val="21"/>
          <w:color w:val="auto"/>
        </w:rPr>
        <w:t>If either Jazz or Zymeworks is in material breach of any obligation hereunder, the non-breaching Party may give notice to the breaching Party specifying the claimed particulars of such breach (a “</w:t>
      </w:r>
      <w:r>
        <w:rPr>
          <w:rFonts w:ascii="Arial" w:cs="Arial" w:eastAsia="Arial" w:hAnsi="Arial"/>
          <w:sz w:val="21"/>
          <w:szCs w:val="21"/>
          <w:b w:val="1"/>
          <w:bCs w:val="1"/>
          <w:color w:val="auto"/>
        </w:rPr>
        <w:t>Breach Notification</w:t>
      </w:r>
      <w:r>
        <w:rPr>
          <w:rFonts w:ascii="Arial" w:cs="Arial" w:eastAsia="Arial" w:hAnsi="Arial"/>
          <w:sz w:val="21"/>
          <w:szCs w:val="21"/>
          <w:color w:val="auto"/>
        </w:rPr>
        <w:t>”). If the Party receiving a Breach Notification fails to cure that material breach on or before [***] from the date of the Breach Notification (or, if such breach cannot be cured within such [***] period, within [***] after such notice if Jazz or Zymeworks, as applicable, commences actions to cure such default within such [***] period and thereafter diligently continues such actions), the Party delivering the Breach Notification may terminate this Agreement.</w:t>
      </w:r>
    </w:p>
    <w:p>
      <w:pPr>
        <w:spacing w:after="0" w:line="159" w:lineRule="exact"/>
        <w:rPr>
          <w:rFonts w:ascii="Arial" w:cs="Arial" w:eastAsia="Arial" w:hAnsi="Arial"/>
          <w:sz w:val="21"/>
          <w:szCs w:val="21"/>
          <w:b w:val="1"/>
          <w:bCs w:val="1"/>
          <w:color w:val="auto"/>
        </w:rPr>
      </w:pPr>
    </w:p>
    <w:p>
      <w:pPr>
        <w:jc w:val="both"/>
        <w:ind w:firstLine="1952"/>
        <w:spacing w:after="0" w:line="222" w:lineRule="auto"/>
        <w:tabs>
          <w:tab w:leader="none" w:pos="2586" w:val="left"/>
        </w:tabs>
        <w:numPr>
          <w:ilvl w:val="2"/>
          <w:numId w:val="164"/>
        </w:numPr>
        <w:rPr>
          <w:rFonts w:ascii="Arial" w:cs="Arial" w:eastAsia="Arial" w:hAnsi="Arial"/>
          <w:sz w:val="21"/>
          <w:szCs w:val="21"/>
          <w:b w:val="1"/>
          <w:bCs w:val="1"/>
          <w:color w:val="auto"/>
        </w:rPr>
      </w:pPr>
      <w:r>
        <w:rPr>
          <w:rFonts w:ascii="Arial" w:cs="Arial" w:eastAsia="Arial" w:hAnsi="Arial"/>
          <w:sz w:val="21"/>
          <w:szCs w:val="21"/>
          <w:color w:val="auto"/>
        </w:rPr>
        <w:t>If the allegedly breaching Party disputes in good faith the existence, materiality, or cure of the applicable material breach and provides written notice of such dispute to the other Party within the [***] period set forth above, then the matter will be addressed under the dispute resolution provisions in Section 17.5, and the termination will not become effective unless and until it has been determined under Section 17.5 that the allegedly breaching Party is in material breach of any of its obligations under this Agreement and such Party fails to cure such material breach within [***] after such determination. During the pendency of such a dispute, all of the terms of this Agreement will remain in effect and the Parties will continue to perform all of their respective obligations hereunder.</w:t>
      </w:r>
    </w:p>
    <w:p>
      <w:pPr>
        <w:spacing w:after="0" w:line="158" w:lineRule="exact"/>
        <w:rPr>
          <w:rFonts w:ascii="Arial" w:cs="Arial" w:eastAsia="Arial" w:hAnsi="Arial"/>
          <w:sz w:val="21"/>
          <w:szCs w:val="21"/>
          <w:b w:val="1"/>
          <w:bCs w:val="1"/>
          <w:color w:val="auto"/>
        </w:rPr>
      </w:pPr>
    </w:p>
    <w:p>
      <w:pPr>
        <w:jc w:val="both"/>
        <w:ind w:firstLine="1304"/>
        <w:spacing w:after="0" w:line="241" w:lineRule="auto"/>
        <w:tabs>
          <w:tab w:leader="none" w:pos="1941" w:val="left"/>
        </w:tabs>
        <w:numPr>
          <w:ilvl w:val="1"/>
          <w:numId w:val="16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for Patent Challenge. </w:t>
      </w:r>
      <w:r>
        <w:rPr>
          <w:rFonts w:ascii="Arial" w:cs="Arial" w:eastAsia="Arial" w:hAnsi="Arial"/>
          <w:sz w:val="19"/>
          <w:szCs w:val="19"/>
          <w:color w:val="auto"/>
        </w:rPr>
        <w:t>Notwithstanding anything herein to the contrary, in the event that Jazz</w:t>
      </w:r>
      <w:r>
        <w:rPr>
          <w:rFonts w:ascii="Arial" w:cs="Arial" w:eastAsia="Arial" w:hAnsi="Arial"/>
          <w:sz w:val="19"/>
          <w:szCs w:val="19"/>
          <w:b w:val="1"/>
          <w:bCs w:val="1"/>
          <w:color w:val="auto"/>
        </w:rPr>
        <w:t xml:space="preserve"> </w:t>
      </w:r>
      <w:r>
        <w:rPr>
          <w:rFonts w:ascii="Arial" w:cs="Arial" w:eastAsia="Arial" w:hAnsi="Arial"/>
          <w:sz w:val="19"/>
          <w:szCs w:val="19"/>
          <w:color w:val="auto"/>
        </w:rPr>
        <w:t>or its Affiliates file or initiate an action challenging (directly or indirectly (</w:t>
      </w:r>
      <w:r>
        <w:rPr>
          <w:rFonts w:ascii="Arial" w:cs="Arial" w:eastAsia="Arial" w:hAnsi="Arial"/>
          <w:sz w:val="19"/>
          <w:szCs w:val="19"/>
          <w:u w:val="single" w:color="auto"/>
          <w:color w:val="auto"/>
        </w:rPr>
        <w:t>e.g.</w:t>
      </w:r>
      <w:r>
        <w:rPr>
          <w:rFonts w:ascii="Arial" w:cs="Arial" w:eastAsia="Arial" w:hAnsi="Arial"/>
          <w:sz w:val="19"/>
          <w:szCs w:val="19"/>
          <w:color w:val="auto"/>
        </w:rPr>
        <w:t>, through a Third Party)) in a court or by administrative proceeding seeking the invalidity or unenforceability or seeking to limit the scope of any Zymeworks Patent Rights, then Zymeworks, at its discretion, may give notice to Jazz that Zymeworks will terminate this Agreement unless such challenge is withdrawn, abandoned, or terminated (as appropriate) within [***] from the date of Jazz’s receipt of such notice. If Jazz or its Affiliate (as the case may be) does not withdraw, abandon or terminate (as appropriate) such challenge within such</w:t>
      </w:r>
    </w:p>
    <w:p>
      <w:pPr>
        <w:spacing w:after="0" w:line="3" w:lineRule="exact"/>
        <w:rPr>
          <w:rFonts w:ascii="Arial" w:cs="Arial" w:eastAsia="Arial" w:hAnsi="Arial"/>
          <w:sz w:val="19"/>
          <w:szCs w:val="19"/>
          <w:b w:val="1"/>
          <w:bCs w:val="1"/>
          <w:color w:val="auto"/>
        </w:rPr>
      </w:pPr>
    </w:p>
    <w:p>
      <w:pPr>
        <w:jc w:val="both"/>
        <w:ind w:firstLine="8"/>
        <w:spacing w:after="0" w:line="217" w:lineRule="auto"/>
        <w:tabs>
          <w:tab w:leader="none" w:pos="531" w:val="left"/>
        </w:tabs>
        <w:numPr>
          <w:ilvl w:val="0"/>
          <w:numId w:val="164"/>
        </w:numPr>
        <w:rPr>
          <w:rFonts w:ascii="Arial" w:cs="Arial" w:eastAsia="Arial" w:hAnsi="Arial"/>
          <w:sz w:val="22"/>
          <w:szCs w:val="22"/>
          <w:color w:val="auto"/>
        </w:rPr>
      </w:pPr>
      <w:r>
        <w:rPr>
          <w:rFonts w:ascii="Arial" w:cs="Arial" w:eastAsia="Arial" w:hAnsi="Arial"/>
          <w:sz w:val="22"/>
          <w:szCs w:val="22"/>
          <w:color w:val="auto"/>
        </w:rPr>
        <w:t>period, Zymeworks may terminate this Agreement upon [***] prior written notice to Jazz. For clarity, this Section 15.2(c) does not apply to any counterclaim filed by Jazz or its Affiliates or sublicensees as defendant in any Zymeworks Patent Rights infringement cause of action filed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395" w:right="339"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color w:val="auto"/>
        </w:rPr>
        <w:t>initiated by Zymeworks or its Affiliates with respect to a Licensed Product or activities under this Agreement.</w:t>
      </w:r>
    </w:p>
    <w:p>
      <w:pPr>
        <w:spacing w:after="0" w:line="173" w:lineRule="exact"/>
        <w:rPr>
          <w:sz w:val="20"/>
          <w:szCs w:val="20"/>
          <w:color w:val="auto"/>
        </w:rPr>
      </w:pPr>
    </w:p>
    <w:p>
      <w:pPr>
        <w:jc w:val="both"/>
        <w:ind w:firstLine="1304"/>
        <w:spacing w:after="0" w:line="242" w:lineRule="auto"/>
        <w:tabs>
          <w:tab w:leader="none" w:pos="1938" w:val="left"/>
        </w:tabs>
        <w:numPr>
          <w:ilvl w:val="1"/>
          <w:numId w:val="16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for Insolvency. </w:t>
      </w:r>
      <w:r>
        <w:rPr>
          <w:rFonts w:ascii="Arial" w:cs="Arial" w:eastAsia="Arial" w:hAnsi="Arial"/>
          <w:sz w:val="19"/>
          <w:szCs w:val="19"/>
          <w:color w:val="auto"/>
        </w:rPr>
        <w:t>Each Party shall have the right to terminate this Agreement upon delivery of</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to the other Party in the event that (a) such other Party files in any court or agency pursuant to any statute or regulation of any jurisdiction a petition in bankruptcy or insolvency or for reorganization or similar arrangement for the benefit of creditors or for the appointment of a receiver or trustee of such other Party or its assets, (b) such other Party is served with an involuntary petition against it in any insolvency proceeding and such involuntary petition has not been stayed or dismissed within</w:t>
      </w:r>
    </w:p>
    <w:p>
      <w:pPr>
        <w:spacing w:after="0" w:line="2" w:lineRule="exact"/>
        <w:rPr>
          <w:rFonts w:ascii="Arial" w:cs="Arial" w:eastAsia="Arial" w:hAnsi="Arial"/>
          <w:sz w:val="19"/>
          <w:szCs w:val="19"/>
          <w:b w:val="1"/>
          <w:bCs w:val="1"/>
          <w:color w:val="auto"/>
        </w:rPr>
      </w:pPr>
    </w:p>
    <w:p>
      <w:pPr>
        <w:ind w:left="520" w:hanging="512"/>
        <w:spacing w:after="0"/>
        <w:tabs>
          <w:tab w:leader="none" w:pos="52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of its filing, or (c) such other Party makes an assignment of substantially all of its assets for the benefit of its creditors.</w:t>
      </w:r>
    </w:p>
    <w:p>
      <w:pPr>
        <w:spacing w:after="0" w:line="189" w:lineRule="exact"/>
        <w:rPr>
          <w:rFonts w:ascii="Arial" w:cs="Arial" w:eastAsia="Arial" w:hAnsi="Arial"/>
          <w:sz w:val="19"/>
          <w:szCs w:val="19"/>
          <w:color w:val="auto"/>
        </w:rPr>
      </w:pPr>
    </w:p>
    <w:p>
      <w:pPr>
        <w:jc w:val="both"/>
        <w:ind w:firstLine="1304"/>
        <w:spacing w:after="0" w:line="221" w:lineRule="auto"/>
        <w:tabs>
          <w:tab w:leader="none" w:pos="1941" w:val="left"/>
        </w:tabs>
        <w:numPr>
          <w:ilvl w:val="1"/>
          <w:numId w:val="166"/>
        </w:numPr>
        <w:rPr>
          <w:rFonts w:ascii="Arial" w:cs="Arial" w:eastAsia="Arial" w:hAnsi="Arial"/>
          <w:sz w:val="21"/>
          <w:szCs w:val="21"/>
          <w:b w:val="1"/>
          <w:bCs w:val="1"/>
          <w:color w:val="auto"/>
        </w:rPr>
      </w:pPr>
      <w:r>
        <w:rPr>
          <w:rFonts w:ascii="Arial" w:cs="Arial" w:eastAsia="Arial" w:hAnsi="Arial"/>
          <w:sz w:val="21"/>
          <w:szCs w:val="21"/>
          <w:b w:val="1"/>
          <w:bCs w:val="1"/>
          <w:color w:val="auto"/>
        </w:rPr>
        <w:t>Termination for Failure to Obtain HSR Clearance</w:t>
      </w:r>
      <w:r>
        <w:rPr>
          <w:rFonts w:ascii="Arial" w:cs="Arial" w:eastAsia="Arial" w:hAnsi="Arial"/>
          <w:sz w:val="21"/>
          <w:szCs w:val="21"/>
          <w:color w:val="auto"/>
        </w:rPr>
        <w:t>. If the HSR Clearance Date has not occurred on or</w:t>
      </w:r>
      <w:r>
        <w:rPr>
          <w:rFonts w:ascii="Arial" w:cs="Arial" w:eastAsia="Arial" w:hAnsi="Arial"/>
          <w:sz w:val="21"/>
          <w:szCs w:val="21"/>
          <w:b w:val="1"/>
          <w:bCs w:val="1"/>
          <w:color w:val="auto"/>
        </w:rPr>
        <w:t xml:space="preserve"> </w:t>
      </w:r>
      <w:r>
        <w:rPr>
          <w:rFonts w:ascii="Arial" w:cs="Arial" w:eastAsia="Arial" w:hAnsi="Arial"/>
          <w:sz w:val="21"/>
          <w:szCs w:val="21"/>
          <w:color w:val="auto"/>
        </w:rPr>
        <w:t>before [***] after the Execution Date, then at any time thereafter either Party shall have the right to terminate this Agreement in its entirety upon notice to the other Party referencing this Section 15.2(e). For clarity, it is understood that if the HSR Clearance Date occurs prior to the lapse of this period of [***], Zymeworks shall not be entitled to terminate the Agreement pursuant to this Section 15.2(e). Upon termination of this Agreement pursuant to this Section 15.2(e), this Agreement shall, except as otherwise provided in this Section 15.2(e), be of no further force and effect, the Term shall never commence and neither Party shall have any further rights or liability hereunder. The following provisions shall survive such termination of this Agreement: Article 1, Article 10, Article 13 (except for the second to last sentence of Section 13.6), Article 17, Section 11.3, Section 15.2(e) and Section 15.3(i).</w:t>
      </w:r>
    </w:p>
    <w:p>
      <w:pPr>
        <w:spacing w:after="0" w:line="158" w:lineRule="exact"/>
        <w:rPr>
          <w:rFonts w:ascii="Arial" w:cs="Arial" w:eastAsia="Arial" w:hAnsi="Arial"/>
          <w:sz w:val="21"/>
          <w:szCs w:val="21"/>
          <w:b w:val="1"/>
          <w:bCs w:val="1"/>
          <w:color w:val="auto"/>
        </w:rPr>
      </w:pPr>
    </w:p>
    <w:p>
      <w:pPr>
        <w:jc w:val="both"/>
        <w:ind w:firstLine="1304"/>
        <w:spacing w:after="0" w:line="215" w:lineRule="auto"/>
        <w:tabs>
          <w:tab w:leader="none" w:pos="1944" w:val="left"/>
        </w:tabs>
        <w:numPr>
          <w:ilvl w:val="1"/>
          <w:numId w:val="16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Full Force and Effect During Notice Period. </w:t>
      </w:r>
      <w:r>
        <w:rPr>
          <w:rFonts w:ascii="Arial" w:cs="Arial" w:eastAsia="Arial" w:hAnsi="Arial"/>
          <w:sz w:val="22"/>
          <w:szCs w:val="22"/>
          <w:color w:val="auto"/>
        </w:rPr>
        <w:t>This Agreement shall remain in full force and effect until</w:t>
      </w:r>
      <w:r>
        <w:rPr>
          <w:rFonts w:ascii="Arial" w:cs="Arial" w:eastAsia="Arial" w:hAnsi="Arial"/>
          <w:sz w:val="22"/>
          <w:szCs w:val="22"/>
          <w:b w:val="1"/>
          <w:bCs w:val="1"/>
          <w:color w:val="auto"/>
        </w:rPr>
        <w:t xml:space="preserve"> </w:t>
      </w:r>
      <w:r>
        <w:rPr>
          <w:rFonts w:ascii="Arial" w:cs="Arial" w:eastAsia="Arial" w:hAnsi="Arial"/>
          <w:sz w:val="22"/>
          <w:szCs w:val="22"/>
          <w:color w:val="auto"/>
        </w:rPr>
        <w:t>the expiration of any applicable termination notice period. For clarity, if any milestone event is achieved or royalty payments or other amounts become payable under Article 9 during the termination notice period, the corresponding milestone payment or royalty payment, as applicable, is accrued and Jazz shall remain responsible for the payment of such milestone payment or royalty payment, as applicable, even if the due date of such milestone payment or royalty payment, as applicable, may come after the effective date of the termination.</w:t>
      </w:r>
    </w:p>
    <w:p>
      <w:pPr>
        <w:spacing w:after="0" w:line="152"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 xml:space="preserve">15.3 Effect of Termination. </w:t>
      </w:r>
      <w:r>
        <w:rPr>
          <w:rFonts w:ascii="Arial" w:cs="Arial" w:eastAsia="Arial" w:hAnsi="Arial"/>
          <w:sz w:val="22"/>
          <w:szCs w:val="22"/>
          <w:color w:val="auto"/>
        </w:rPr>
        <w:t>Except as otherwise provided in Section 15.3(j), if this Agreement is terminated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shall apply:</w:t>
      </w:r>
    </w:p>
    <w:p>
      <w:pPr>
        <w:spacing w:after="0" w:line="153" w:lineRule="exact"/>
        <w:rPr>
          <w:sz w:val="20"/>
          <w:szCs w:val="20"/>
          <w:color w:val="auto"/>
        </w:rPr>
      </w:pPr>
    </w:p>
    <w:p>
      <w:pPr>
        <w:ind w:firstLine="1304"/>
        <w:spacing w:after="0" w:line="235" w:lineRule="auto"/>
        <w:tabs>
          <w:tab w:leader="none" w:pos="1939" w:val="left"/>
        </w:tabs>
        <w:numPr>
          <w:ilvl w:val="0"/>
          <w:numId w:val="16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License Grant to Jazz. </w:t>
      </w:r>
      <w:r>
        <w:rPr>
          <w:rFonts w:ascii="Arial" w:cs="Arial" w:eastAsia="Arial" w:hAnsi="Arial"/>
          <w:sz w:val="22"/>
          <w:szCs w:val="22"/>
          <w:color w:val="auto"/>
        </w:rPr>
        <w:t>The License and all other rights granted by Zymeworks to Jazz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Zymeworks IP pursuant to this Agreement shall terminate.</w:t>
      </w:r>
    </w:p>
    <w:p>
      <w:pPr>
        <w:spacing w:after="0" w:line="152" w:lineRule="exact"/>
        <w:rPr>
          <w:rFonts w:ascii="Arial" w:cs="Arial" w:eastAsia="Arial" w:hAnsi="Arial"/>
          <w:sz w:val="22"/>
          <w:szCs w:val="22"/>
          <w:b w:val="1"/>
          <w:bCs w:val="1"/>
          <w:color w:val="auto"/>
        </w:rPr>
      </w:pPr>
    </w:p>
    <w:p>
      <w:pPr>
        <w:jc w:val="both"/>
        <w:ind w:firstLine="1304"/>
        <w:spacing w:after="0" w:line="245" w:lineRule="auto"/>
        <w:tabs>
          <w:tab w:leader="none" w:pos="1938" w:val="left"/>
        </w:tabs>
        <w:numPr>
          <w:ilvl w:val="0"/>
          <w:numId w:val="167"/>
        </w:numPr>
        <w:rPr>
          <w:rFonts w:ascii="Arial" w:cs="Arial" w:eastAsia="Arial" w:hAnsi="Arial"/>
          <w:sz w:val="19"/>
          <w:szCs w:val="19"/>
          <w:b w:val="1"/>
          <w:bCs w:val="1"/>
          <w:color w:val="auto"/>
        </w:rPr>
      </w:pPr>
      <w:r>
        <w:rPr>
          <w:rFonts w:ascii="Arial" w:cs="Arial" w:eastAsia="Arial" w:hAnsi="Arial"/>
          <w:sz w:val="19"/>
          <w:szCs w:val="19"/>
          <w:b w:val="1"/>
          <w:bCs w:val="1"/>
          <w:color w:val="auto"/>
        </w:rPr>
        <w:t>License Grants to Zymeworks</w:t>
      </w:r>
      <w:r>
        <w:rPr>
          <w:rFonts w:ascii="Arial" w:cs="Arial" w:eastAsia="Arial" w:hAnsi="Arial"/>
          <w:sz w:val="19"/>
          <w:szCs w:val="19"/>
          <w:color w:val="auto"/>
        </w:rPr>
        <w:t>. The licenses granted by Jazz to Zymeworks pursuant to Section 2.4 (and</w:t>
      </w:r>
      <w:r>
        <w:rPr>
          <w:rFonts w:ascii="Arial" w:cs="Arial" w:eastAsia="Arial" w:hAnsi="Arial"/>
          <w:sz w:val="19"/>
          <w:szCs w:val="19"/>
          <w:b w:val="1"/>
          <w:bCs w:val="1"/>
          <w:color w:val="auto"/>
        </w:rPr>
        <w:t xml:space="preserve"> </w:t>
      </w:r>
      <w:r>
        <w:rPr>
          <w:rFonts w:ascii="Arial" w:cs="Arial" w:eastAsia="Arial" w:hAnsi="Arial"/>
          <w:sz w:val="19"/>
          <w:szCs w:val="19"/>
          <w:color w:val="auto"/>
        </w:rPr>
        <w:t>any sublicenses thereunder), excluding Section 2.4(a)(i)(B) and Section 2.4(c)(i) and (ii), shall continue following the effective date of termination. Jazz shall grant and hereby grants (effective upon the effective date of such termination) to Zymeworks a non-exclusive, royalty-bearing (as set forth below in this Section 15.3(b)) and sublicensable (through multiple tiers) license under the Jazz IP and Jazz Collaboration IP (including Jazz Manufacturing IP but only to the extent Zymeworks was granted a license to such Jazz Manufacturing IP under this Agreement prior to the effective date of termination) to develop, make, have made, distribute, use, sell, offer for sale, import and otherwise commercialize Licensed Products in the Territory, and Zymeworks shall pay Jazz in consideration of such license, royalty payments on Net Sales of Licensed Products in the Territory covered by a Patent Right within the Jazz IP or Jazz Collaboration IP equal to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01" w:right="339" w:bottom="1440" w:gutter="0" w:footer="0" w:header="0"/>
        </w:sectPr>
      </w:pPr>
    </w:p>
    <w:bookmarkStart w:id="231" w:name="page232"/>
    <w:bookmarkEnd w:id="231"/>
    <w:p>
      <w:pPr>
        <w:jc w:val="both"/>
        <w:ind w:firstLine="1304"/>
        <w:spacing w:after="0" w:line="219" w:lineRule="auto"/>
        <w:tabs>
          <w:tab w:leader="none" w:pos="1941" w:val="left"/>
        </w:tabs>
        <w:numPr>
          <w:ilvl w:val="0"/>
          <w:numId w:val="16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Sublicenses. </w:t>
      </w:r>
      <w:r>
        <w:rPr>
          <w:rFonts w:ascii="Arial" w:cs="Arial" w:eastAsia="Arial" w:hAnsi="Arial"/>
          <w:sz w:val="21"/>
          <w:szCs w:val="21"/>
          <w:color w:val="auto"/>
        </w:rPr>
        <w:t>If the License granted to Jazz terminates as a result of a termination of this Agreement,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terms of this Section 15.3(c) will apply with respect to any sublicense agreement existing as of the effective date of such termination, but only if the applicable sublicensee did not contribute to any material breach of this Agreement that was the cause of the termination by Zymeworks of this Agreement and is not otherwise in material breach of the applicable sublicense agreement at such time: (i) all of such sublicensee’s obligations under the applicable sublicense agreement to Jazz, to the extent that they do not exceed Jazz’s corresponding obligations to Zymeworks, will remain in effect as obligations to Zymeworks and will be enforceable solely by Zymeworks as a third party beneficiary; (ii) such sublicensee’s rights under the sublicense agreement that do not exceed and are consistent with Zymeworks’ obligations to Jazz under this Agreement, whether in scope, duration, nature or otherwise, will survive termination; provided, that, the foregoing will in no way be interpreted to increase the scope, duration, territory or other aspect of the rights sublicensed to such sublicensee; (iii) all of Jazz’s rights under such sublicense agreement accruing after the effective date of termination, to the extent corresponding to Zymeworks’ rights under this Agreement, will remain in effect, may be exercised solely by Zymeworks and will inure to the exclusive benefit of Zymeworks; and [***].</w:t>
      </w:r>
    </w:p>
    <w:p>
      <w:pPr>
        <w:spacing w:after="0" w:line="159" w:lineRule="exact"/>
        <w:rPr>
          <w:rFonts w:ascii="Arial" w:cs="Arial" w:eastAsia="Arial" w:hAnsi="Arial"/>
          <w:sz w:val="21"/>
          <w:szCs w:val="21"/>
          <w:b w:val="1"/>
          <w:bCs w:val="1"/>
          <w:color w:val="auto"/>
        </w:rPr>
      </w:pPr>
    </w:p>
    <w:p>
      <w:pPr>
        <w:jc w:val="both"/>
        <w:ind w:firstLine="1304"/>
        <w:spacing w:after="0" w:line="245" w:lineRule="auto"/>
        <w:tabs>
          <w:tab w:leader="none" w:pos="1938" w:val="left"/>
        </w:tabs>
        <w:numPr>
          <w:ilvl w:val="0"/>
          <w:numId w:val="168"/>
        </w:numPr>
        <w:rPr>
          <w:rFonts w:ascii="Arial" w:cs="Arial" w:eastAsia="Arial" w:hAnsi="Arial"/>
          <w:sz w:val="19"/>
          <w:szCs w:val="19"/>
          <w:b w:val="1"/>
          <w:bCs w:val="1"/>
          <w:color w:val="auto"/>
        </w:rPr>
      </w:pPr>
      <w:r>
        <w:rPr>
          <w:rFonts w:ascii="Arial" w:cs="Arial" w:eastAsia="Arial" w:hAnsi="Arial"/>
          <w:sz w:val="19"/>
          <w:szCs w:val="19"/>
          <w:b w:val="1"/>
          <w:bCs w:val="1"/>
          <w:color w:val="auto"/>
        </w:rPr>
        <w:t>Regulatory Submissions</w:t>
      </w:r>
      <w:r>
        <w:rPr>
          <w:rFonts w:ascii="Arial" w:cs="Arial" w:eastAsia="Arial" w:hAnsi="Arial"/>
          <w:sz w:val="19"/>
          <w:szCs w:val="19"/>
          <w:color w:val="auto"/>
        </w:rPr>
        <w:t>. Upon Zymeworks’ written request, to be delivered on or before the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date of termination or within [***] thereafter, Jazz shall provide Zymeworks with copies of all Regulatory Submissions for Licensed Products by Jazz, its Affiliates or sublicensees, including the First BLA. Jazz shall assign to Zymeworks or shall provide Zymeworks with a right of reference with respect to such Regulatory Submissions and resulting Regulatory Approvals for Licensed Product, as Zymeworks determines at its reasonable discretion[***]. In addition, upon Zymeworks’ written request, Jazz shall[***] provide to Zymeworks copies of all material Licensed Product-related documentation, including material Licensed Product non-clinical, preclinical and clinical data that are held by or reasonably available to and Controlled by Jazz, its Affiliates or sublicensees. The Parties shall discuss and establish appropriate arrangements with respect to safety data exchange, provided that Zymeworks will assume all safety and safety database activities no later than [***] after termination.</w:t>
      </w:r>
    </w:p>
    <w:p>
      <w:pPr>
        <w:spacing w:after="0" w:line="152" w:lineRule="exact"/>
        <w:rPr>
          <w:rFonts w:ascii="Arial" w:cs="Arial" w:eastAsia="Arial" w:hAnsi="Arial"/>
          <w:sz w:val="19"/>
          <w:szCs w:val="19"/>
          <w:b w:val="1"/>
          <w:bCs w:val="1"/>
          <w:color w:val="auto"/>
        </w:rPr>
      </w:pPr>
    </w:p>
    <w:p>
      <w:pPr>
        <w:jc w:val="both"/>
        <w:ind w:firstLine="1304"/>
        <w:spacing w:after="0" w:line="250" w:lineRule="auto"/>
        <w:tabs>
          <w:tab w:leader="none" w:pos="1941" w:val="left"/>
        </w:tabs>
        <w:numPr>
          <w:ilvl w:val="0"/>
          <w:numId w:val="16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Trademarks. </w:t>
      </w:r>
      <w:r>
        <w:rPr>
          <w:rFonts w:ascii="Arial" w:cs="Arial" w:eastAsia="Arial" w:hAnsi="Arial"/>
          <w:sz w:val="19"/>
          <w:szCs w:val="19"/>
          <w:color w:val="auto"/>
        </w:rPr>
        <w:t>Except for any termination by Jazz under Section 15.2(b) or Section 15.2(d), Jazz shall</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 and assign, and shall ensure that its Affiliates transfer and assign, to Zymeworks, at no cost to Zymeworks, all Product Marks specifically and solely relating to Licensed Product and any applications therefor (excluding any such marks that include, in whole or part, any corporate name or logos of Jazz or its Affiliates or sublicensees). Zymeworks and its Affiliates and licensees shall have the right to use other identifiers specific to Licensed Product (e.g., Jazz compound identifiers). Jazz shall also transfer to Zymeworks any in-process applications for generic names for Licensed Product.</w:t>
      </w:r>
    </w:p>
    <w:p>
      <w:pPr>
        <w:spacing w:after="0" w:line="146" w:lineRule="exact"/>
        <w:rPr>
          <w:rFonts w:ascii="Arial" w:cs="Arial" w:eastAsia="Arial" w:hAnsi="Arial"/>
          <w:sz w:val="19"/>
          <w:szCs w:val="19"/>
          <w:b w:val="1"/>
          <w:bCs w:val="1"/>
          <w:color w:val="auto"/>
        </w:rPr>
      </w:pPr>
    </w:p>
    <w:p>
      <w:pPr>
        <w:jc w:val="both"/>
        <w:ind w:firstLine="1304"/>
        <w:spacing w:after="0" w:line="223" w:lineRule="auto"/>
        <w:tabs>
          <w:tab w:leader="none" w:pos="1944" w:val="left"/>
        </w:tabs>
        <w:numPr>
          <w:ilvl w:val="0"/>
          <w:numId w:val="168"/>
        </w:numPr>
        <w:rPr>
          <w:rFonts w:ascii="Arial" w:cs="Arial" w:eastAsia="Arial" w:hAnsi="Arial"/>
          <w:sz w:val="21"/>
          <w:szCs w:val="21"/>
          <w:b w:val="1"/>
          <w:bCs w:val="1"/>
          <w:color w:val="auto"/>
        </w:rPr>
      </w:pPr>
      <w:r>
        <w:rPr>
          <w:rFonts w:ascii="Arial" w:cs="Arial" w:eastAsia="Arial" w:hAnsi="Arial"/>
          <w:sz w:val="21"/>
          <w:szCs w:val="21"/>
          <w:b w:val="1"/>
          <w:bCs w:val="1"/>
          <w:color w:val="auto"/>
        </w:rPr>
        <w:t>Inventory</w:t>
      </w:r>
      <w:r>
        <w:rPr>
          <w:rFonts w:ascii="Arial" w:cs="Arial" w:eastAsia="Arial" w:hAnsi="Arial"/>
          <w:sz w:val="21"/>
          <w:szCs w:val="21"/>
          <w:color w:val="auto"/>
        </w:rPr>
        <w:t>. Except for any termination by Jazz under Section 15.2(b) or Section 15.2(d), at Zymeworks’</w:t>
      </w:r>
      <w:r>
        <w:rPr>
          <w:rFonts w:ascii="Arial" w:cs="Arial" w:eastAsia="Arial" w:hAnsi="Arial"/>
          <w:sz w:val="21"/>
          <w:szCs w:val="21"/>
          <w:b w:val="1"/>
          <w:bCs w:val="1"/>
          <w:color w:val="auto"/>
        </w:rPr>
        <w:t xml:space="preserve"> </w:t>
      </w:r>
      <w:r>
        <w:rPr>
          <w:rFonts w:ascii="Arial" w:cs="Arial" w:eastAsia="Arial" w:hAnsi="Arial"/>
          <w:sz w:val="21"/>
          <w:szCs w:val="21"/>
          <w:color w:val="auto"/>
        </w:rPr>
        <w:t>election and request within [***] after the effective date of termination, Jazz shall transfer to Zymeworks or its designee some or all inventory of Licensed Products (including all final product, bulk drug substance, intermediates, works-in-process, formulation materials, reference standards, drug product clinical reserve samples, packaged retention samples, and the like) then in the possession or control of Jazz or its Affiliates; provided that, Zymeworks will pay Jazz a price equal to the price paid by Jazz to Zymeworks, if manufactured by Zymeworks, or at Jazz’s fully burdened manufacturing cost, if manufactured by or on behalf of Jazz, for such transferred Licensed Products.</w:t>
      </w:r>
    </w:p>
    <w:p>
      <w:pPr>
        <w:spacing w:after="0" w:line="157" w:lineRule="exact"/>
        <w:rPr>
          <w:rFonts w:ascii="Arial" w:cs="Arial" w:eastAsia="Arial" w:hAnsi="Arial"/>
          <w:sz w:val="21"/>
          <w:szCs w:val="21"/>
          <w:b w:val="1"/>
          <w:bCs w:val="1"/>
          <w:color w:val="auto"/>
        </w:rPr>
      </w:pPr>
    </w:p>
    <w:p>
      <w:pPr>
        <w:jc w:val="both"/>
        <w:ind w:firstLine="1304"/>
        <w:spacing w:after="0" w:line="225" w:lineRule="auto"/>
        <w:tabs>
          <w:tab w:leader="none" w:pos="1939" w:val="left"/>
        </w:tabs>
        <w:numPr>
          <w:ilvl w:val="0"/>
          <w:numId w:val="16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Wind Down and Transition. </w:t>
      </w:r>
      <w:r>
        <w:rPr>
          <w:rFonts w:ascii="Arial" w:cs="Arial" w:eastAsia="Arial" w:hAnsi="Arial"/>
          <w:sz w:val="22"/>
          <w:szCs w:val="22"/>
          <w:color w:val="auto"/>
        </w:rPr>
        <w:t>Jazz shall be responsible, at its own cost and expense, for the wind-down of</w:t>
      </w:r>
      <w:r>
        <w:rPr>
          <w:rFonts w:ascii="Arial" w:cs="Arial" w:eastAsia="Arial" w:hAnsi="Arial"/>
          <w:sz w:val="22"/>
          <w:szCs w:val="22"/>
          <w:b w:val="1"/>
          <w:bCs w:val="1"/>
          <w:color w:val="auto"/>
        </w:rPr>
        <w:t xml:space="preserve"> </w:t>
      </w:r>
      <w:r>
        <w:rPr>
          <w:rFonts w:ascii="Arial" w:cs="Arial" w:eastAsia="Arial" w:hAnsi="Arial"/>
          <w:sz w:val="22"/>
          <w:szCs w:val="22"/>
          <w:color w:val="auto"/>
        </w:rPr>
        <w:t>Jazz’s and its Affiliates’ and, subject to Section 15.3(c), its sublicensees Development, manufacture and Commercialization activities for Licensed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395" w:right="339" w:bottom="1440" w:gutter="0" w:footer="0" w:header="0"/>
        </w:sectPr>
      </w:pPr>
    </w:p>
    <w:bookmarkStart w:id="232" w:name="page233"/>
    <w:bookmarkEnd w:id="232"/>
    <w:p>
      <w:pPr>
        <w:jc w:val="both"/>
        <w:spacing w:after="0" w:line="219" w:lineRule="auto"/>
        <w:rPr>
          <w:sz w:val="20"/>
          <w:szCs w:val="20"/>
          <w:color w:val="auto"/>
        </w:rPr>
      </w:pPr>
      <w:r>
        <w:rPr>
          <w:rFonts w:ascii="Arial" w:cs="Arial" w:eastAsia="Arial" w:hAnsi="Arial"/>
          <w:sz w:val="21"/>
          <w:szCs w:val="21"/>
          <w:color w:val="auto"/>
        </w:rPr>
        <w:t>Upon Zymeworks’ request, Jazz shall, and shall cause its Affiliates and, subject to Section 15.3(c), its sublicensees to, reasonably cooperate with Zymeworks, for a period of time not to exceed [***], to facilitate orderly transition of the Development, manufacture and Commercialization of Licensed Products to Zymeworks or its designee, including (i) reasonably cooperating to assign or amend, as appropriate, upon request of Zymeworks, any agreements or arrangements with Third Party vendors (including distributors) to Develop, manufacture, promote, distribute, sell or otherwise Commercialize Licensed Products or, to the extent any such Third Party agreement or arrangement is not assignable to Zymeworks, reasonably cooperating with Zymeworks to arrange to continue to provide such services for a reasonable time after termination not to exceed [***]; and (ii) to the extent that Jazz or its Affiliate is performing any activities described above in (i), reasonably cooperating with Zymeworks to transfer such activities to Zymeworks or its designee and continuing to perform such activities on Zymeworks’ behalf for a reasonable time after termination, for a period of time not to exceed [***], until such transfer is completed. Such cooperation shall be at Zymeworks request [***].</w:t>
      </w:r>
    </w:p>
    <w:p>
      <w:pPr>
        <w:spacing w:after="0" w:line="162" w:lineRule="exact"/>
        <w:rPr>
          <w:sz w:val="20"/>
          <w:szCs w:val="20"/>
          <w:color w:val="auto"/>
        </w:rPr>
      </w:pPr>
    </w:p>
    <w:p>
      <w:pPr>
        <w:jc w:val="both"/>
        <w:ind w:firstLine="1304"/>
        <w:spacing w:after="0" w:line="221" w:lineRule="auto"/>
        <w:tabs>
          <w:tab w:leader="none" w:pos="1938" w:val="left"/>
        </w:tabs>
        <w:numPr>
          <w:ilvl w:val="0"/>
          <w:numId w:val="16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Ongoing Clinical Trial. </w:t>
      </w:r>
      <w:r>
        <w:rPr>
          <w:rFonts w:ascii="Arial" w:cs="Arial" w:eastAsia="Arial" w:hAnsi="Arial"/>
          <w:sz w:val="21"/>
          <w:szCs w:val="21"/>
          <w:color w:val="auto"/>
        </w:rPr>
        <w:t>If, at the time of such termination, Jazz or its Affiliates or, subject to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15.3(c), its sublicensees are conducting any Clinical Trials, then, at Zymeworks’ election, within [***] after the effective date of termination, on a Clinical Trial-by-Clinical Trial basis: (i) Jazz shall, and shall cause its Affiliates and sublicensees to, cooperate with Zymeworks to transfer the conduct of such Clinical Trial to Zymeworks or its designees and complete such transfer promptly and, in any case, within [***] after the termination effective date, and Zymeworks shall assume any and all liability for the conduct of any transferred Clinical Trial after the effective date of such transfer (except to the extent arising prior to the transfer date or the negligence or willful misconduct by Jazz or its Affiliates); and (ii) Jazz shall, at its cost and expense, orderly wind-down the conduct of any such Clinical Trial that is not assumed by Zymeworks under clause (i) above. For any termination, any such transfer of Clinical Trials requested by Zymeworks shall be at [***].</w:t>
      </w:r>
    </w:p>
    <w:p>
      <w:pPr>
        <w:spacing w:after="0" w:line="158" w:lineRule="exact"/>
        <w:rPr>
          <w:rFonts w:ascii="Arial" w:cs="Arial" w:eastAsia="Arial" w:hAnsi="Arial"/>
          <w:sz w:val="21"/>
          <w:szCs w:val="21"/>
          <w:b w:val="1"/>
          <w:bCs w:val="1"/>
          <w:color w:val="auto"/>
        </w:rPr>
      </w:pPr>
    </w:p>
    <w:p>
      <w:pPr>
        <w:jc w:val="both"/>
        <w:ind w:firstLine="1304"/>
        <w:spacing w:after="0" w:line="221" w:lineRule="auto"/>
        <w:tabs>
          <w:tab w:leader="none" w:pos="1932" w:val="left"/>
        </w:tabs>
        <w:numPr>
          <w:ilvl w:val="0"/>
          <w:numId w:val="16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Return of Confidential Information. </w:t>
      </w:r>
      <w:r>
        <w:rPr>
          <w:rFonts w:ascii="Arial" w:cs="Arial" w:eastAsia="Arial" w:hAnsi="Arial"/>
          <w:sz w:val="21"/>
          <w:szCs w:val="21"/>
          <w:color w:val="auto"/>
        </w:rPr>
        <w:t>At the Disclosing Party’s election, the Receiving Party will return</w:t>
      </w:r>
      <w:r>
        <w:rPr>
          <w:rFonts w:ascii="Arial" w:cs="Arial" w:eastAsia="Arial" w:hAnsi="Arial"/>
          <w:sz w:val="21"/>
          <w:szCs w:val="21"/>
          <w:b w:val="1"/>
          <w:bCs w:val="1"/>
          <w:color w:val="auto"/>
        </w:rPr>
        <w:t xml:space="preserve"> </w:t>
      </w:r>
      <w:r>
        <w:rPr>
          <w:rFonts w:ascii="Arial" w:cs="Arial" w:eastAsia="Arial" w:hAnsi="Arial"/>
          <w:sz w:val="21"/>
          <w:szCs w:val="21"/>
          <w:color w:val="auto"/>
        </w:rPr>
        <w:t>(at Disclosing Party’s expense) or destroy all tangible materials comprising, bearing, or containing any Confidential Information of the Disclosing Party relating to Licensed Product that are in the Receiving Party’s or its Affiliates’ possession or control and provide written certification of such destruction (except to the extent any information is the Confidential Information of both Parties or to the extent that the Receiving Party has the continuing right to use the Confidential Information under this Agreement); provided, that, the Receiving Party may retain one copy of such Confidential Information for its legal archives. Notwithstanding anything to the contrary set forth in this Agreement, the Receiving Party will not be required to destroy electronic files containing such Confidential Information that are made in the ordinary course of its business information back-up procedures pursuant to its electronic record retention and destruction practices that apply to its own general electronic files and information.</w:t>
      </w:r>
    </w:p>
    <w:p>
      <w:pPr>
        <w:spacing w:after="0" w:line="152" w:lineRule="exact"/>
        <w:rPr>
          <w:rFonts w:ascii="Arial" w:cs="Arial" w:eastAsia="Arial" w:hAnsi="Arial"/>
          <w:sz w:val="21"/>
          <w:szCs w:val="21"/>
          <w:b w:val="1"/>
          <w:bCs w:val="1"/>
          <w:color w:val="auto"/>
        </w:rPr>
      </w:pPr>
    </w:p>
    <w:p>
      <w:pPr>
        <w:jc w:val="both"/>
        <w:ind w:firstLine="1304"/>
        <w:spacing w:after="0" w:line="225" w:lineRule="auto"/>
        <w:tabs>
          <w:tab w:leader="none" w:pos="1944"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color w:val="auto"/>
        </w:rPr>
        <w:t>Partial Termination</w:t>
      </w:r>
      <w:r>
        <w:rPr>
          <w:rFonts w:ascii="Arial" w:cs="Arial" w:eastAsia="Arial" w:hAnsi="Arial"/>
          <w:sz w:val="22"/>
          <w:szCs w:val="22"/>
          <w:color w:val="auto"/>
        </w:rPr>
        <w:t>. For the avoidance of doubt, if this Agreement is terminated with respect to only one</w:t>
      </w:r>
      <w:r>
        <w:rPr>
          <w:rFonts w:ascii="Arial" w:cs="Arial" w:eastAsia="Arial" w:hAnsi="Arial"/>
          <w:sz w:val="22"/>
          <w:szCs w:val="22"/>
          <w:b w:val="1"/>
          <w:bCs w:val="1"/>
          <w:color w:val="auto"/>
        </w:rPr>
        <w:t xml:space="preserve"> </w:t>
      </w:r>
      <w:r>
        <w:rPr>
          <w:rFonts w:ascii="Arial" w:cs="Arial" w:eastAsia="Arial" w:hAnsi="Arial"/>
          <w:sz w:val="22"/>
          <w:szCs w:val="22"/>
          <w:color w:val="auto"/>
        </w:rPr>
        <w:t>or more Region(s), then this Section 15.3 shall apply only to such terminated Region(s), and such Region(s) shall be removed from the Territory for all purposes of this Agreement.</w:t>
      </w:r>
    </w:p>
    <w:p>
      <w:pPr>
        <w:spacing w:after="0" w:line="153"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 xml:space="preserve">15.4 Survival. </w:t>
      </w:r>
      <w:r>
        <w:rPr>
          <w:rFonts w:ascii="Arial" w:cs="Arial" w:eastAsia="Arial" w:hAnsi="Arial"/>
          <w:sz w:val="22"/>
          <w:szCs w:val="22"/>
          <w:color w:val="auto"/>
        </w:rPr>
        <w:t>Expiration or termination of this Agreement shall not relieve the Parties of any obligation accruing prior</w:t>
      </w:r>
      <w:r>
        <w:rPr>
          <w:rFonts w:ascii="Arial" w:cs="Arial" w:eastAsia="Arial" w:hAnsi="Arial"/>
          <w:sz w:val="22"/>
          <w:szCs w:val="22"/>
          <w:b w:val="1"/>
          <w:bCs w:val="1"/>
          <w:color w:val="auto"/>
        </w:rPr>
        <w:t xml:space="preserve"> </w:t>
      </w:r>
      <w:r>
        <w:rPr>
          <w:rFonts w:ascii="Arial" w:cs="Arial" w:eastAsia="Arial" w:hAnsi="Arial"/>
          <w:sz w:val="22"/>
          <w:szCs w:val="22"/>
          <w:color w:val="auto"/>
        </w:rPr>
        <w:t>to such expiration or termination. Without limiting the foregoing, the provisions of Articles 1, 10, 11, 13 (except for the second to last sentence of Section 13.6), and 17 and Sections 2.4 (excluding Section 2.4(a)(i)(B) and Section 2.4(c)(i) and (ii)), 2.5, 5.6, 9.8, 9.9, 9.10, 9.11, 14.1(a), 14.1(c), 14.1(d), 15.1, 15.2(f), 15.3, 15.4, and 15.6 shall survive the expiration or termination of this Agreement; provided that the last sentence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01" w:right="339" w:bottom="1440" w:gutter="0" w:footer="0" w:header="0"/>
        </w:sectPr>
      </w:pPr>
    </w:p>
    <w:bookmarkStart w:id="233" w:name="page234"/>
    <w:bookmarkEnd w:id="233"/>
    <w:p>
      <w:pPr>
        <w:jc w:val="both"/>
        <w:spacing w:after="0" w:line="232" w:lineRule="auto"/>
        <w:rPr>
          <w:sz w:val="20"/>
          <w:szCs w:val="20"/>
          <w:color w:val="auto"/>
        </w:rPr>
      </w:pPr>
      <w:r>
        <w:rPr>
          <w:rFonts w:ascii="Arial" w:cs="Arial" w:eastAsia="Arial" w:hAnsi="Arial"/>
          <w:sz w:val="22"/>
          <w:szCs w:val="22"/>
          <w:color w:val="auto"/>
        </w:rPr>
        <w:t>Section 15.2(e), and not the foregoing sentence of this Section 15.4 shall apply in the event of a termination pursuant to Section 15.2(e) or termination pursuant to Section 9.1(b).</w:t>
      </w:r>
    </w:p>
    <w:p>
      <w:pPr>
        <w:spacing w:after="0" w:line="153"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b w:val="1"/>
          <w:bCs w:val="1"/>
          <w:color w:val="auto"/>
        </w:rPr>
        <w:t>15.5 Remedies in Lieu of Termination</w:t>
      </w:r>
      <w:r>
        <w:rPr>
          <w:rFonts w:ascii="Arial" w:cs="Arial" w:eastAsia="Arial" w:hAnsi="Arial"/>
          <w:sz w:val="22"/>
          <w:szCs w:val="22"/>
          <w:color w:val="auto"/>
        </w:rPr>
        <w:t>. If (a) Jazz notifies Zymeworks in writing of a material breach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by Zymeworks and (b) Jazz would have the right to terminate this Agreement pursuant to Section 15.2(b) (including any cure periods and dispute resolution provisions provided therein), then in lieu of Jazz terminating this Agreement pursuant to Section 15.2(b), and without limiting any other rights or remedies of Jazz, Jazz may elect to have this Agreement continue in full force and effect by providing written notice thereof to Zymeworks; provided, however, that if Jazz so elects to continue this Agreement, then from and after such time as Jazz delivers such written notice to Zymeworks, [***] and Jazz shall have no obligations [***].</w:t>
      </w:r>
    </w:p>
    <w:p>
      <w:pPr>
        <w:spacing w:after="0" w:line="15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15.6 Termination Not Sole Remedy. </w:t>
      </w:r>
      <w:r>
        <w:rPr>
          <w:rFonts w:ascii="Arial" w:cs="Arial" w:eastAsia="Arial" w:hAnsi="Arial"/>
          <w:sz w:val="22"/>
          <w:szCs w:val="22"/>
          <w:color w:val="auto"/>
        </w:rPr>
        <w:t>Termination is not the sole remedy under this Agreement and, whether or not</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is effected and notwithstanding anything contained in this Agreement to the contrary, all other remedies shall remain available except as agreed to otherwise herein.</w:t>
      </w:r>
    </w:p>
    <w:p>
      <w:pPr>
        <w:spacing w:after="0" w:line="15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16</w:t>
      </w:r>
    </w:p>
    <w:p>
      <w:pPr>
        <w:spacing w:after="0" w:line="179"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ANTITRUST FILING</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16.1</w:t>
      </w:r>
      <w:r>
        <w:rPr>
          <w:sz w:val="20"/>
          <w:szCs w:val="20"/>
          <w:color w:val="auto"/>
        </w:rPr>
        <w:tab/>
      </w:r>
      <w:r>
        <w:rPr>
          <w:rFonts w:ascii="Arial" w:cs="Arial" w:eastAsia="Arial" w:hAnsi="Arial"/>
          <w:sz w:val="19"/>
          <w:szCs w:val="19"/>
          <w:b w:val="1"/>
          <w:bCs w:val="1"/>
          <w:color w:val="auto"/>
        </w:rPr>
        <w:t>General</w:t>
      </w:r>
      <w:r>
        <w:rPr>
          <w:rFonts w:ascii="Arial" w:cs="Arial" w:eastAsia="Arial" w:hAnsi="Arial"/>
          <w:sz w:val="19"/>
          <w:szCs w:val="19"/>
          <w:color w:val="auto"/>
        </w:rPr>
        <w:t>. With respect to reporting and waiting requirements under the HSR Act, the Parties agree as follows:</w:t>
      </w:r>
    </w:p>
    <w:p>
      <w:pPr>
        <w:spacing w:after="0" w:line="179" w:lineRule="exact"/>
        <w:rPr>
          <w:sz w:val="20"/>
          <w:szCs w:val="20"/>
          <w:color w:val="auto"/>
        </w:rPr>
      </w:pPr>
    </w:p>
    <w:p>
      <w:pPr>
        <w:jc w:val="both"/>
        <w:ind w:firstLine="1304"/>
        <w:spacing w:after="0" w:line="223" w:lineRule="auto"/>
        <w:tabs>
          <w:tab w:leader="none" w:pos="1939" w:val="left"/>
        </w:tabs>
        <w:numPr>
          <w:ilvl w:val="0"/>
          <w:numId w:val="170"/>
        </w:numPr>
        <w:rPr>
          <w:rFonts w:ascii="Arial" w:cs="Arial" w:eastAsia="Arial" w:hAnsi="Arial"/>
          <w:sz w:val="21"/>
          <w:szCs w:val="21"/>
          <w:b w:val="1"/>
          <w:bCs w:val="1"/>
          <w:color w:val="auto"/>
        </w:rPr>
      </w:pPr>
      <w:r>
        <w:rPr>
          <w:rFonts w:ascii="Arial" w:cs="Arial" w:eastAsia="Arial" w:hAnsi="Arial"/>
          <w:sz w:val="21"/>
          <w:szCs w:val="21"/>
          <w:b w:val="1"/>
          <w:bCs w:val="1"/>
          <w:color w:val="auto"/>
        </w:rPr>
        <w:t>Filing</w:t>
      </w:r>
      <w:r>
        <w:rPr>
          <w:rFonts w:ascii="Arial" w:cs="Arial" w:eastAsia="Arial" w:hAnsi="Arial"/>
          <w:sz w:val="21"/>
          <w:szCs w:val="21"/>
          <w:color w:val="auto"/>
        </w:rPr>
        <w:t>. Each of Zymeworks and Jazz shall file, as soon as is practicable but not later than [***] after the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Execution Date, with the FTC and the DOJ, a Notification and Report Form (as defined in the HSR Act) with respect to the transactions contemplated under this Agreement (the “</w:t>
      </w:r>
      <w:r>
        <w:rPr>
          <w:rFonts w:ascii="Arial" w:cs="Arial" w:eastAsia="Arial" w:hAnsi="Arial"/>
          <w:sz w:val="21"/>
          <w:szCs w:val="21"/>
          <w:b w:val="1"/>
          <w:bCs w:val="1"/>
          <w:color w:val="auto"/>
        </w:rPr>
        <w:t>HSR Filing</w:t>
      </w:r>
      <w:r>
        <w:rPr>
          <w:rFonts w:ascii="Arial" w:cs="Arial" w:eastAsia="Arial" w:hAnsi="Arial"/>
          <w:sz w:val="21"/>
          <w:szCs w:val="21"/>
          <w:color w:val="auto"/>
        </w:rPr>
        <w:t>”) and any supplemental information requested in connection therewith pursuant to the HSR Act, which forms shall specifically request early termination of the waiting period prescribed by the HSR Act. Each Party shall furnish to the other Party’s counsel such necessary information and reasonable assistance as the other Party or its counsel may request in connection with its preparation of any filing or submission that is necessary under the HSR Act in connection with this Agreement.</w:t>
      </w:r>
    </w:p>
    <w:p>
      <w:pPr>
        <w:spacing w:after="0" w:line="157" w:lineRule="exact"/>
        <w:rPr>
          <w:rFonts w:ascii="Arial" w:cs="Arial" w:eastAsia="Arial" w:hAnsi="Arial"/>
          <w:sz w:val="21"/>
          <w:szCs w:val="21"/>
          <w:b w:val="1"/>
          <w:bCs w:val="1"/>
          <w:color w:val="auto"/>
        </w:rPr>
      </w:pPr>
    </w:p>
    <w:p>
      <w:pPr>
        <w:jc w:val="both"/>
        <w:ind w:firstLine="1304"/>
        <w:spacing w:after="0" w:line="242" w:lineRule="auto"/>
        <w:tabs>
          <w:tab w:leader="none" w:pos="1938" w:val="left"/>
        </w:tabs>
        <w:numPr>
          <w:ilvl w:val="0"/>
          <w:numId w:val="170"/>
        </w:numPr>
        <w:rPr>
          <w:rFonts w:ascii="Arial" w:cs="Arial" w:eastAsia="Arial" w:hAnsi="Arial"/>
          <w:sz w:val="19"/>
          <w:szCs w:val="19"/>
          <w:b w:val="1"/>
          <w:bCs w:val="1"/>
          <w:color w:val="auto"/>
        </w:rPr>
      </w:pPr>
      <w:r>
        <w:rPr>
          <w:rFonts w:ascii="Arial" w:cs="Arial" w:eastAsia="Arial" w:hAnsi="Arial"/>
          <w:sz w:val="19"/>
          <w:szCs w:val="19"/>
          <w:b w:val="1"/>
          <w:bCs w:val="1"/>
          <w:color w:val="auto"/>
        </w:rPr>
        <w:t>Action of the Parties</w:t>
      </w:r>
      <w:r>
        <w:rPr>
          <w:rFonts w:ascii="Arial" w:cs="Arial" w:eastAsia="Arial" w:hAnsi="Arial"/>
          <w:sz w:val="19"/>
          <w:szCs w:val="19"/>
          <w:color w:val="auto"/>
        </w:rPr>
        <w:t>. Each Party shall use its reasonable efforts to promptly obtain the expiration or early</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the applicable waiting period under the HSR Act for the consummation of this Agreement and the transactions contemplated hereby and shall keep each other apprised of the status of any communications with, and any inquiries or requests for additional information from the FTC and the DOJ and shall comply promptly with any such reasonable inquiry or request; provided, however, that (i) neither Party shall be required to consent to the divestiture or other disposition of any of its or its Affiliates’ assets or those of the other Party, or to agree to any material modification or amendment of this Agreement, and (ii) neither Party shall have any obligation to contest, administratively or in court, any ruling, order or other action of the FTC or DOJ or private party respecting the transactions contemplated by this Agreement or to comply with any other structure or conduct remedy or restriction or limit on operation; provided, further, however, that the Parties shall both as promptly as practicable respond to and certify substantial compliance with any request for additional information or documentary material pursuant to 15 U.S.C. § 18a(e)(1) and 16 C.F.R. § 803.20 (a “</w:t>
      </w:r>
      <w:r>
        <w:rPr>
          <w:rFonts w:ascii="Arial" w:cs="Arial" w:eastAsia="Arial" w:hAnsi="Arial"/>
          <w:sz w:val="19"/>
          <w:szCs w:val="19"/>
          <w:b w:val="1"/>
          <w:bCs w:val="1"/>
          <w:color w:val="auto"/>
        </w:rPr>
        <w:t>Second Request</w:t>
      </w:r>
      <w:r>
        <w:rPr>
          <w:rFonts w:ascii="Arial" w:cs="Arial" w:eastAsia="Arial" w:hAnsi="Arial"/>
          <w:sz w:val="19"/>
          <w:szCs w:val="19"/>
          <w:color w:val="auto"/>
        </w:rPr>
        <w:t>”). Each of the Parties hereto will cooperate in responding to any reasonable inquiry from the FTC or DOJ and to a Second Request, including promptly informing the other Party of such inquiry, consulting in advance before making any presentations or submissions to the FTC or DOJ, and supplying each other with copies of all material correspondence, filings or communications between either Party and either the FTC or DOJ with respect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01" w:right="339" w:bottom="1440" w:gutter="0" w:footer="0" w:header="0"/>
        </w:sectPr>
      </w:pPr>
    </w:p>
    <w:bookmarkStart w:id="234" w:name="page235"/>
    <w:bookmarkEnd w:id="234"/>
    <w:p>
      <w:pPr>
        <w:jc w:val="both"/>
        <w:spacing w:after="0" w:line="224" w:lineRule="auto"/>
        <w:rPr>
          <w:sz w:val="20"/>
          <w:szCs w:val="20"/>
          <w:color w:val="auto"/>
        </w:rPr>
      </w:pPr>
      <w:r>
        <w:rPr>
          <w:rFonts w:ascii="Arial" w:cs="Arial" w:eastAsia="Arial" w:hAnsi="Arial"/>
          <w:sz w:val="21"/>
          <w:szCs w:val="21"/>
          <w:color w:val="auto"/>
        </w:rPr>
        <w:t>Such information can be redacted to protect attorney-client privilege and shared on an outside counsel basis or subject to other restrictions to the extent deemed necessary or advisable by counsel for the disclosing Party. To the extent practicable and as permitted by the FTC or DOJ, each Party hereto shall permit representatives of the other Party to participate in material substantive meetings (whether by telephone or in person) with the FTC or DOJ. Neither Party shall commit to or agree with the FTC or DOJ to withdraw its filing and refile under the HSR Act without the prior written consent of the other (such consent not to be unreasonably withheld, conditioned or delayed).</w:t>
      </w:r>
    </w:p>
    <w:p>
      <w:pPr>
        <w:spacing w:after="0" w:line="154" w:lineRule="exact"/>
        <w:rPr>
          <w:sz w:val="20"/>
          <w:szCs w:val="20"/>
          <w:color w:val="auto"/>
        </w:rPr>
      </w:pPr>
    </w:p>
    <w:p>
      <w:pPr>
        <w:jc w:val="both"/>
        <w:ind w:firstLine="1304"/>
        <w:spacing w:after="0" w:line="227" w:lineRule="auto"/>
        <w:tabs>
          <w:tab w:leader="none" w:pos="1941" w:val="left"/>
        </w:tabs>
        <w:numPr>
          <w:ilvl w:val="0"/>
          <w:numId w:val="171"/>
        </w:numPr>
        <w:rPr>
          <w:rFonts w:ascii="Arial" w:cs="Arial" w:eastAsia="Arial" w:hAnsi="Arial"/>
          <w:sz w:val="21"/>
          <w:szCs w:val="21"/>
          <w:b w:val="1"/>
          <w:bCs w:val="1"/>
          <w:color w:val="auto"/>
        </w:rPr>
      </w:pPr>
      <w:r>
        <w:rPr>
          <w:rFonts w:ascii="Arial" w:cs="Arial" w:eastAsia="Arial" w:hAnsi="Arial"/>
          <w:sz w:val="21"/>
          <w:szCs w:val="21"/>
          <w:b w:val="1"/>
          <w:bCs w:val="1"/>
          <w:color w:val="auto"/>
        </w:rPr>
        <w:t>Action of Counsel</w:t>
      </w:r>
      <w:r>
        <w:rPr>
          <w:rFonts w:ascii="Arial" w:cs="Arial" w:eastAsia="Arial" w:hAnsi="Arial"/>
          <w:sz w:val="21"/>
          <w:szCs w:val="21"/>
          <w:color w:val="auto"/>
        </w:rPr>
        <w:t>. Each Party shall instruct its counsel to cooperate with the other Party’s counsel to</w:t>
      </w:r>
      <w:r>
        <w:rPr>
          <w:rFonts w:ascii="Arial" w:cs="Arial" w:eastAsia="Arial" w:hAnsi="Arial"/>
          <w:sz w:val="21"/>
          <w:szCs w:val="21"/>
          <w:b w:val="1"/>
          <w:bCs w:val="1"/>
          <w:color w:val="auto"/>
        </w:rPr>
        <w:t xml:space="preserve"> </w:t>
      </w:r>
      <w:r>
        <w:rPr>
          <w:rFonts w:ascii="Arial" w:cs="Arial" w:eastAsia="Arial" w:hAnsi="Arial"/>
          <w:sz w:val="21"/>
          <w:szCs w:val="21"/>
          <w:color w:val="auto"/>
        </w:rPr>
        <w:t>facilitate and expedite the identification and resolution of any such issues and, consequently, the expiration of the applicable HSR Act waiting period at the earliest practicable date, including for each counsel to (i) keep each other appropriately informed of communications from and to personnel of the reviewing antitrust authority, and (ii) confer with each other regarding appropriate contacts with and response to personnel of said antitrust authority.</w:t>
      </w:r>
    </w:p>
    <w:p>
      <w:pPr>
        <w:spacing w:after="0" w:line="153" w:lineRule="exact"/>
        <w:rPr>
          <w:rFonts w:ascii="Arial" w:cs="Arial" w:eastAsia="Arial" w:hAnsi="Arial"/>
          <w:sz w:val="21"/>
          <w:szCs w:val="21"/>
          <w:b w:val="1"/>
          <w:bCs w:val="1"/>
          <w:color w:val="auto"/>
        </w:rPr>
      </w:pPr>
    </w:p>
    <w:p>
      <w:pPr>
        <w:jc w:val="both"/>
        <w:ind w:firstLine="1304"/>
        <w:spacing w:after="0" w:line="271" w:lineRule="auto"/>
        <w:tabs>
          <w:tab w:leader="none" w:pos="1938" w:val="left"/>
        </w:tabs>
        <w:numPr>
          <w:ilvl w:val="0"/>
          <w:numId w:val="171"/>
        </w:numPr>
        <w:rPr>
          <w:rFonts w:ascii="Arial" w:cs="Arial" w:eastAsia="Arial" w:hAnsi="Arial"/>
          <w:sz w:val="19"/>
          <w:szCs w:val="19"/>
          <w:b w:val="1"/>
          <w:bCs w:val="1"/>
          <w:color w:val="auto"/>
        </w:rPr>
      </w:pPr>
      <w:r>
        <w:rPr>
          <w:rFonts w:ascii="Arial" w:cs="Arial" w:eastAsia="Arial" w:hAnsi="Arial"/>
          <w:sz w:val="19"/>
          <w:szCs w:val="19"/>
          <w:b w:val="1"/>
          <w:bCs w:val="1"/>
          <w:color w:val="auto"/>
        </w:rPr>
        <w:t>Expenses</w:t>
      </w:r>
      <w:r>
        <w:rPr>
          <w:rFonts w:ascii="Arial" w:cs="Arial" w:eastAsia="Arial" w:hAnsi="Arial"/>
          <w:sz w:val="19"/>
          <w:szCs w:val="19"/>
          <w:color w:val="auto"/>
        </w:rPr>
        <w:t>. Each Party shall be responsible for its own costs and expenses incurred pursuant to this Article</w:t>
      </w:r>
      <w:r>
        <w:rPr>
          <w:rFonts w:ascii="Arial" w:cs="Arial" w:eastAsia="Arial" w:hAnsi="Arial"/>
          <w:sz w:val="19"/>
          <w:szCs w:val="19"/>
          <w:b w:val="1"/>
          <w:bCs w:val="1"/>
          <w:color w:val="auto"/>
        </w:rPr>
        <w:t xml:space="preserve"> </w:t>
      </w:r>
      <w:r>
        <w:rPr>
          <w:rFonts w:ascii="Arial" w:cs="Arial" w:eastAsia="Arial" w:hAnsi="Arial"/>
          <w:sz w:val="19"/>
          <w:szCs w:val="19"/>
          <w:color w:val="auto"/>
        </w:rPr>
        <w:t>16, except as for filing fees (other than penalties that may be incurred as a result of actions or omissions on the part of the other Party) required to be paid to the FTC or DOJ which shall be [***] in connection with submitting any such HSR Filing.</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19"/>
          <w:szCs w:val="19"/>
          <w:b w:val="1"/>
          <w:bCs w:val="1"/>
          <w:color w:val="auto"/>
        </w:rPr>
        <w:t>Certain Definitions</w:t>
      </w:r>
      <w:r>
        <w:rPr>
          <w:rFonts w:ascii="Arial" w:cs="Arial" w:eastAsia="Arial" w:hAnsi="Arial"/>
          <w:sz w:val="19"/>
          <w:szCs w:val="19"/>
          <w:color w:val="auto"/>
        </w:rPr>
        <w:t>.</w:t>
      </w:r>
    </w:p>
    <w:p>
      <w:pPr>
        <w:spacing w:after="0" w:line="179" w:lineRule="exact"/>
        <w:rPr>
          <w:sz w:val="20"/>
          <w:szCs w:val="20"/>
          <w:color w:val="auto"/>
        </w:rPr>
      </w:pPr>
    </w:p>
    <w:p>
      <w:pPr>
        <w:ind w:left="1940" w:hanging="636"/>
        <w:spacing w:after="0"/>
        <w:tabs>
          <w:tab w:leader="none" w:pos="1940" w:val="left"/>
        </w:tabs>
        <w:numPr>
          <w:ilvl w:val="0"/>
          <w:numId w:val="17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DOJ</w:t>
      </w:r>
      <w:r>
        <w:rPr>
          <w:rFonts w:ascii="Arial" w:cs="Arial" w:eastAsia="Arial" w:hAnsi="Arial"/>
          <w:sz w:val="22"/>
          <w:szCs w:val="22"/>
          <w:color w:val="auto"/>
        </w:rPr>
        <w:t>” means the Antitrust Division of the United States Department of Justice.</w:t>
      </w:r>
    </w:p>
    <w:p>
      <w:pPr>
        <w:spacing w:after="0" w:line="179" w:lineRule="exact"/>
        <w:rPr>
          <w:rFonts w:ascii="Arial" w:cs="Arial" w:eastAsia="Arial" w:hAnsi="Arial"/>
          <w:sz w:val="22"/>
          <w:szCs w:val="22"/>
          <w:b w:val="1"/>
          <w:bCs w:val="1"/>
          <w:color w:val="auto"/>
        </w:rPr>
      </w:pPr>
    </w:p>
    <w:p>
      <w:pPr>
        <w:ind w:left="1940" w:hanging="636"/>
        <w:spacing w:after="0"/>
        <w:tabs>
          <w:tab w:leader="none" w:pos="1940" w:val="left"/>
        </w:tabs>
        <w:numPr>
          <w:ilvl w:val="0"/>
          <w:numId w:val="17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FTC</w:t>
      </w:r>
      <w:r>
        <w:rPr>
          <w:rFonts w:ascii="Arial" w:cs="Arial" w:eastAsia="Arial" w:hAnsi="Arial"/>
          <w:sz w:val="22"/>
          <w:szCs w:val="22"/>
          <w:color w:val="auto"/>
        </w:rPr>
        <w:t>” means the United States Federal Trade Commission.</w:t>
      </w:r>
    </w:p>
    <w:p>
      <w:pPr>
        <w:spacing w:after="0" w:line="17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17</w:t>
      </w:r>
    </w:p>
    <w:p>
      <w:pPr>
        <w:spacing w:after="0" w:line="179"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MISCELLANEOUS</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b w:val="1"/>
          <w:bCs w:val="1"/>
          <w:color w:val="auto"/>
        </w:rPr>
        <w:t xml:space="preserve">17.1 Assignment. </w:t>
      </w:r>
      <w:r>
        <w:rPr>
          <w:rFonts w:ascii="Arial" w:cs="Arial" w:eastAsia="Arial" w:hAnsi="Arial"/>
          <w:sz w:val="21"/>
          <w:szCs w:val="21"/>
          <w:color w:val="auto"/>
        </w:rPr>
        <w:t>Except as provided in this Section 17.1, this Agreement may not be assigned or otherwise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transferred, nor may any right or obligation hereunder be assigned or transferred, by either Party without the prior written consent of the other Party; provided, however, that (and notwithstanding anything elsewhere in this Agreement to the contrary) either Party may, without the written consent of the other Party, assign this Agreement and its rights and obligations hereunder in whole or in part to [***]. Any attempted assignment not in accordance with this Section 17.1 shall be void. Any permitted assignee shall assume all assigned obligations of its assignor under this Agreement.</w:t>
      </w:r>
    </w:p>
    <w:p>
      <w:pPr>
        <w:spacing w:after="0" w:line="154"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b w:val="1"/>
          <w:bCs w:val="1"/>
          <w:color w:val="auto"/>
        </w:rPr>
        <w:t>17.2 Extension to Affiliates</w:t>
      </w:r>
      <w:r>
        <w:rPr>
          <w:rFonts w:ascii="Arial" w:cs="Arial" w:eastAsia="Arial" w:hAnsi="Arial"/>
          <w:sz w:val="22"/>
          <w:szCs w:val="22"/>
          <w:color w:val="auto"/>
        </w:rPr>
        <w:t>. Except as expressly set forth otherwise in this Agreement, each Party shall have the right</w:t>
      </w:r>
      <w:r>
        <w:rPr>
          <w:rFonts w:ascii="Arial" w:cs="Arial" w:eastAsia="Arial" w:hAnsi="Arial"/>
          <w:sz w:val="22"/>
          <w:szCs w:val="22"/>
          <w:b w:val="1"/>
          <w:bCs w:val="1"/>
          <w:color w:val="auto"/>
        </w:rPr>
        <w:t xml:space="preserve"> </w:t>
      </w:r>
      <w:r>
        <w:rPr>
          <w:rFonts w:ascii="Arial" w:cs="Arial" w:eastAsia="Arial" w:hAnsi="Arial"/>
          <w:sz w:val="22"/>
          <w:szCs w:val="22"/>
          <w:color w:val="auto"/>
        </w:rPr>
        <w:t>to extend the rights and obligations granted in this Agreement to one or more of its Affiliates by providing written notice to the other Party. All applicable terms and provisions of this Agreement, except this right to extend, shall apply to any such Affiliate to which this Agreement has been extended to the same extent as such terms and provisions apply to the Party extending such rights and obligations. The Party extending the rights and obligations granted hereunder shall remain primarily liable for any acts or omissions of its Affiliates.</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17.3 Severability. </w:t>
      </w:r>
      <w:r>
        <w:rPr>
          <w:rFonts w:ascii="Arial" w:cs="Arial" w:eastAsia="Arial" w:hAnsi="Arial"/>
          <w:sz w:val="22"/>
          <w:szCs w:val="22"/>
          <w:color w:val="auto"/>
        </w:rPr>
        <w:t>Should one or more of the provisions of this Agreement become void or unenforceable as a matter of</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Laws, then this Agreement shall be construed as if such provision were not contained herein and the remainder of this Agreement shall be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01" w:right="339" w:bottom="1440" w:gutter="0" w:footer="0" w:header="0"/>
        </w:sectPr>
      </w:pPr>
    </w:p>
    <w:bookmarkStart w:id="235" w:name="page236"/>
    <w:bookmarkEnd w:id="235"/>
    <w:p>
      <w:pPr>
        <w:jc w:val="both"/>
        <w:ind w:right="20"/>
        <w:spacing w:after="0" w:line="232" w:lineRule="auto"/>
        <w:rPr>
          <w:sz w:val="20"/>
          <w:szCs w:val="20"/>
          <w:color w:val="auto"/>
        </w:rPr>
      </w:pPr>
      <w:r>
        <w:rPr>
          <w:rFonts w:ascii="Arial" w:cs="Arial" w:eastAsia="Arial" w:hAnsi="Arial"/>
          <w:sz w:val="22"/>
          <w:szCs w:val="22"/>
          <w:color w:val="auto"/>
        </w:rPr>
        <w:t>force and effect, and the Parties will use their best efforts to substitute for the invalid or unenforceable provision a valid and enforceable provision which conforms as nearly as possible with the original intent of the Parties.</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17.4 Governing Law; English Language</w:t>
      </w:r>
      <w:r>
        <w:rPr>
          <w:rFonts w:ascii="Arial" w:cs="Arial" w:eastAsia="Arial" w:hAnsi="Arial"/>
          <w:sz w:val="22"/>
          <w:szCs w:val="22"/>
          <w:color w:val="auto"/>
        </w:rPr>
        <w:t>. This Agreement shall be governed by and construed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State of New York and the patent laws of the United States without reference to any rules of conflict of laws. This Agreement was prepared in the English language, which language shall govern the interpretation of, and any dispute regarding, the terms of this Agreement.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17.5</w:t>
      </w:r>
      <w:r>
        <w:rPr>
          <w:sz w:val="20"/>
          <w:szCs w:val="20"/>
          <w:color w:val="auto"/>
        </w:rPr>
        <w:tab/>
      </w:r>
      <w:r>
        <w:rPr>
          <w:rFonts w:ascii="Arial" w:cs="Arial" w:eastAsia="Arial" w:hAnsi="Arial"/>
          <w:sz w:val="19"/>
          <w:szCs w:val="19"/>
          <w:b w:val="1"/>
          <w:bCs w:val="1"/>
          <w:color w:val="auto"/>
        </w:rPr>
        <w:t>Dispute Resolution</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42" w:lineRule="auto"/>
        <w:tabs>
          <w:tab w:leader="none" w:pos="1939" w:val="left"/>
        </w:tabs>
        <w:numPr>
          <w:ilvl w:val="0"/>
          <w:numId w:val="173"/>
        </w:numPr>
        <w:rPr>
          <w:rFonts w:ascii="Arial" w:cs="Arial" w:eastAsia="Arial" w:hAnsi="Arial"/>
          <w:sz w:val="19"/>
          <w:szCs w:val="19"/>
          <w:b w:val="1"/>
          <w:bCs w:val="1"/>
          <w:color w:val="auto"/>
        </w:rPr>
      </w:pPr>
      <w:r>
        <w:rPr>
          <w:rFonts w:ascii="Arial" w:cs="Arial" w:eastAsia="Arial" w:hAnsi="Arial"/>
          <w:sz w:val="19"/>
          <w:szCs w:val="19"/>
          <w:color w:val="auto"/>
        </w:rPr>
        <w:t>If any dispute, claim or controversy of any nature arising out of or relating to this Agreement, including, without limitation, any action or claim based on tort, contract or statute, or concerning the formation, interpretation, effect, termination, validity, performance, enforcement or breach of this Agreement (each, a “</w:t>
      </w:r>
      <w:r>
        <w:rPr>
          <w:rFonts w:ascii="Arial" w:cs="Arial" w:eastAsia="Arial" w:hAnsi="Arial"/>
          <w:sz w:val="19"/>
          <w:szCs w:val="19"/>
          <w:b w:val="1"/>
          <w:bCs w:val="1"/>
          <w:color w:val="auto"/>
        </w:rPr>
        <w:t>Dispute</w:t>
      </w:r>
      <w:r>
        <w:rPr>
          <w:rFonts w:ascii="Arial" w:cs="Arial" w:eastAsia="Arial" w:hAnsi="Arial"/>
          <w:sz w:val="19"/>
          <w:szCs w:val="19"/>
          <w:color w:val="auto"/>
        </w:rPr>
        <w:t>”), arises between the Parties within [***] of a written request by either Party to the other Party (“</w:t>
      </w:r>
      <w:r>
        <w:rPr>
          <w:rFonts w:ascii="Arial" w:cs="Arial" w:eastAsia="Arial" w:hAnsi="Arial"/>
          <w:sz w:val="19"/>
          <w:szCs w:val="19"/>
          <w:b w:val="1"/>
          <w:bCs w:val="1"/>
          <w:color w:val="auto"/>
        </w:rPr>
        <w:t>Notice of Dispute</w:t>
      </w:r>
      <w:r>
        <w:rPr>
          <w:rFonts w:ascii="Arial" w:cs="Arial" w:eastAsia="Arial" w:hAnsi="Arial"/>
          <w:sz w:val="19"/>
          <w:szCs w:val="19"/>
          <w:color w:val="auto"/>
        </w:rPr>
        <w:t>”), either Party may refer the Dispute to the Chief Executive Officer of Zymeworks (or an executive officer of Zymeworks designated by the Chief Executive Officer of Zymeworks who has the power and authority to resolve such matter) and the Chief Executive Officer of Jazz (or an executive officer of Jazz designated by the Chief Executive Officer of Jazz who has the power and authority to resolve such matter) (collectively, the “</w:t>
      </w:r>
      <w:r>
        <w:rPr>
          <w:rFonts w:ascii="Arial" w:cs="Arial" w:eastAsia="Arial" w:hAnsi="Arial"/>
          <w:sz w:val="19"/>
          <w:szCs w:val="19"/>
          <w:b w:val="1"/>
          <w:bCs w:val="1"/>
          <w:color w:val="auto"/>
        </w:rPr>
        <w:t>Executive Officers</w:t>
      </w:r>
      <w:r>
        <w:rPr>
          <w:rFonts w:ascii="Arial" w:cs="Arial" w:eastAsia="Arial" w:hAnsi="Arial"/>
          <w:sz w:val="19"/>
          <w:szCs w:val="19"/>
          <w:color w:val="auto"/>
        </w:rPr>
        <w:t>”) of each Party for resolution. If, after an additional [***] after the Notice of Dispute, the Executive Officers have not succeeded in negotiating a resolution of the Dispute, and a Party wishes to pursue the matter, any such Dispute that is not an “Excluded Claim” (defined below) shall be finally resolved by binding arbitration before JAMS pursuant to the Comprehensive Arbitration Rules and Procedures of JAMS then in effect, except as may be modified herein, and judgment on the arbitration award may be entered in any court having jurisdiction thereof. Any disputes concerning the propriety of the commencement of the arbitration or relating to the scope or applicability of this Agreement to arbitrate shall be finally settled by the arbitrator.</w:t>
      </w:r>
    </w:p>
    <w:p>
      <w:pPr>
        <w:spacing w:after="0" w:line="376" w:lineRule="exact"/>
        <w:rPr>
          <w:rFonts w:ascii="Arial" w:cs="Arial" w:eastAsia="Arial" w:hAnsi="Arial"/>
          <w:sz w:val="19"/>
          <w:szCs w:val="19"/>
          <w:b w:val="1"/>
          <w:bCs w:val="1"/>
          <w:color w:val="auto"/>
        </w:rPr>
      </w:pPr>
    </w:p>
    <w:p>
      <w:pPr>
        <w:jc w:val="both"/>
        <w:ind w:firstLine="1304"/>
        <w:spacing w:after="0" w:line="220" w:lineRule="auto"/>
        <w:tabs>
          <w:tab w:leader="none" w:pos="1938" w:val="left"/>
        </w:tabs>
        <w:numPr>
          <w:ilvl w:val="0"/>
          <w:numId w:val="173"/>
        </w:numPr>
        <w:rPr>
          <w:rFonts w:ascii="Arial" w:cs="Arial" w:eastAsia="Arial" w:hAnsi="Arial"/>
          <w:sz w:val="21"/>
          <w:szCs w:val="21"/>
          <w:b w:val="1"/>
          <w:bCs w:val="1"/>
          <w:color w:val="auto"/>
        </w:rPr>
      </w:pPr>
      <w:r>
        <w:rPr>
          <w:rFonts w:ascii="Arial" w:cs="Arial" w:eastAsia="Arial" w:hAnsi="Arial"/>
          <w:sz w:val="21"/>
          <w:szCs w:val="21"/>
          <w:color w:val="auto"/>
        </w:rPr>
        <w:t>The arbitration shall be conducted by a single arbitrator experienced in [***]. If the issues in dispute involve scientific or technical matters, the arbitrator chosen hereunder may, at its option, engage one or more experts that have educational training or industry experience sufficient to demonstrate a reasonable level of relevant scientific, medical and industry knowledge, to advise it with respect to any issue in the arbitration within that expert’s field of expertise. If any expert is so engaged, the Parties shall have the right to review such expert’s reports to the arbitrator and examine such expert at the hearings. Within [***] after initiation of arbitration, the Parties shall jointly select the arbitrator. If the Parties are unable or fail to agree upon the arbitrator within such [***] period, the arbitrator shall be appointed by JAMS and shall be deemed to meet the qualifications as set forth above unless a Party objects within [***] after an arbitrator candidate is proposed. The place of arbitration shall be New York, New York, unless otherwise mutually agreed by the Parties, and all proceedings and communications shall be in English.</w:t>
      </w:r>
    </w:p>
    <w:p>
      <w:pPr>
        <w:spacing w:after="0" w:line="162" w:lineRule="exact"/>
        <w:rPr>
          <w:rFonts w:ascii="Arial" w:cs="Arial" w:eastAsia="Arial" w:hAnsi="Arial"/>
          <w:sz w:val="21"/>
          <w:szCs w:val="21"/>
          <w:b w:val="1"/>
          <w:bCs w:val="1"/>
          <w:color w:val="auto"/>
        </w:rPr>
      </w:pPr>
    </w:p>
    <w:p>
      <w:pPr>
        <w:jc w:val="both"/>
        <w:ind w:firstLine="1304"/>
        <w:spacing w:after="0" w:line="216" w:lineRule="auto"/>
        <w:tabs>
          <w:tab w:leader="none" w:pos="1941" w:val="left"/>
        </w:tabs>
        <w:numPr>
          <w:ilvl w:val="0"/>
          <w:numId w:val="173"/>
        </w:numPr>
        <w:rPr>
          <w:rFonts w:ascii="Arial" w:cs="Arial" w:eastAsia="Arial" w:hAnsi="Arial"/>
          <w:sz w:val="22"/>
          <w:szCs w:val="22"/>
          <w:b w:val="1"/>
          <w:bCs w:val="1"/>
          <w:color w:val="auto"/>
        </w:rPr>
      </w:pPr>
      <w:r>
        <w:rPr>
          <w:rFonts w:ascii="Arial" w:cs="Arial" w:eastAsia="Arial" w:hAnsi="Arial"/>
          <w:sz w:val="22"/>
          <w:szCs w:val="22"/>
          <w:color w:val="auto"/>
        </w:rPr>
        <w:t>[***] Any award by the arbitrator may be entered by either Party in any court having appropriate jurisdiction for a judicial recognition of the decision and applicable orders of enforcement. The arbitrator shall have no authority to award punitive or any other type of damages not measured by a Party’s compensatory damages. Each Party shall bear its own costs and expenses and attorneys’ fees and an equal share of the arbitrator’s fees and any administrative fees of arbitration, unless the arbitrator allocates such costs, expenses and fees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01" w:right="339" w:bottom="1440" w:gutter="0" w:footer="0" w:header="0"/>
        </w:sectPr>
      </w:pPr>
    </w:p>
    <w:bookmarkStart w:id="236" w:name="page237"/>
    <w:bookmarkEnd w:id="236"/>
    <w:p>
      <w:pPr>
        <w:jc w:val="both"/>
        <w:ind w:firstLine="1304"/>
        <w:spacing w:after="0" w:line="216" w:lineRule="auto"/>
        <w:tabs>
          <w:tab w:leader="none" w:pos="1938" w:val="left"/>
        </w:tabs>
        <w:numPr>
          <w:ilvl w:val="0"/>
          <w:numId w:val="174"/>
        </w:numPr>
        <w:rPr>
          <w:rFonts w:ascii="Arial" w:cs="Arial" w:eastAsia="Arial" w:hAnsi="Arial"/>
          <w:sz w:val="22"/>
          <w:szCs w:val="22"/>
          <w:b w:val="1"/>
          <w:bCs w:val="1"/>
          <w:color w:val="auto"/>
        </w:rPr>
      </w:pPr>
      <w:r>
        <w:rPr>
          <w:rFonts w:ascii="Arial" w:cs="Arial" w:eastAsia="Arial" w:hAnsi="Arial"/>
          <w:sz w:val="22"/>
          <w:szCs w:val="22"/>
          <w:color w:val="auto"/>
        </w:rPr>
        <w:t>Except to the extent necessary to confirm or challenge an award or as may be required by law or for a Party to protect or pursue a legal right, neither a Party nor an arbitrator may disclose the existence, content, or results of the arbitral proceedings or any rulings or awards without the prior written consent of both Parties. In no event shall an arbitration be initiated after the date when commencement of a legal or equitable proceeding based on the dispute, controversy or claim would be barred by the applicable New York statute of limitations.</w:t>
      </w:r>
    </w:p>
    <w:p>
      <w:pPr>
        <w:spacing w:after="0" w:line="151" w:lineRule="exact"/>
        <w:rPr>
          <w:rFonts w:ascii="Arial" w:cs="Arial" w:eastAsia="Arial" w:hAnsi="Arial"/>
          <w:sz w:val="22"/>
          <w:szCs w:val="22"/>
          <w:b w:val="1"/>
          <w:bCs w:val="1"/>
          <w:color w:val="auto"/>
        </w:rPr>
      </w:pPr>
    </w:p>
    <w:p>
      <w:pPr>
        <w:jc w:val="both"/>
        <w:ind w:firstLine="1304"/>
        <w:spacing w:after="0" w:line="225" w:lineRule="auto"/>
        <w:tabs>
          <w:tab w:leader="none" w:pos="1941" w:val="left"/>
        </w:tabs>
        <w:numPr>
          <w:ilvl w:val="0"/>
          <w:numId w:val="174"/>
        </w:numPr>
        <w:rPr>
          <w:rFonts w:ascii="Arial" w:cs="Arial" w:eastAsia="Arial" w:hAnsi="Arial"/>
          <w:sz w:val="22"/>
          <w:szCs w:val="22"/>
          <w:b w:val="1"/>
          <w:bCs w:val="1"/>
          <w:color w:val="auto"/>
        </w:rPr>
      </w:pPr>
      <w:r>
        <w:rPr>
          <w:rFonts w:ascii="Arial" w:cs="Arial" w:eastAsia="Arial" w:hAnsi="Arial"/>
          <w:sz w:val="22"/>
          <w:szCs w:val="22"/>
          <w:color w:val="auto"/>
        </w:rPr>
        <w:t>As used in this Section 17.5, the term “</w:t>
      </w:r>
      <w:r>
        <w:rPr>
          <w:rFonts w:ascii="Arial" w:cs="Arial" w:eastAsia="Arial" w:hAnsi="Arial"/>
          <w:sz w:val="22"/>
          <w:szCs w:val="22"/>
          <w:b w:val="1"/>
          <w:bCs w:val="1"/>
          <w:color w:val="auto"/>
        </w:rPr>
        <w:t>Excluded Claim</w:t>
      </w:r>
      <w:r>
        <w:rPr>
          <w:rFonts w:ascii="Arial" w:cs="Arial" w:eastAsia="Arial" w:hAnsi="Arial"/>
          <w:sz w:val="22"/>
          <w:szCs w:val="22"/>
          <w:color w:val="auto"/>
        </w:rPr>
        <w:t>” means any dispute, controversy or claim that concerns [***]. Any Excluded Claim may be submitted by either Party to any court of competent jurisdiction over such Excluded Claim.</w:t>
      </w:r>
    </w:p>
    <w:p>
      <w:pPr>
        <w:spacing w:after="0" w:line="153"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b w:val="1"/>
          <w:bCs w:val="1"/>
          <w:color w:val="auto"/>
        </w:rPr>
        <w:t>17.6 Force Majeure</w:t>
      </w:r>
      <w:r>
        <w:rPr>
          <w:rFonts w:ascii="Arial" w:cs="Arial" w:eastAsia="Arial" w:hAnsi="Arial"/>
          <w:sz w:val="21"/>
          <w:szCs w:val="21"/>
          <w:color w:val="auto"/>
        </w:rPr>
        <w:t>. Neither Party shall be responsible to the other for any failure or delay in performing any of its</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under this Agreement or for other nonperformance hereunder (excluding, in each case, the obligation to make payments when due) if such delay or nonperformance is caused by strike, fire, flood, earthquake, accident, war, act of terrorism, pandemics, epidemics, quarantines, act of God or of the government of any country or of any local government, or by any other cause unavoidable or beyond the control of any Party hereto. In such event, the Party affected will use reasonable efforts to resume performance of its obligations and will keep the other Party informed of actions related thereto. If any such failure or delay in a Party’s performance hereunder continues for more than [***], the other Party may terminate this Agreement upon written notice to the delayed Party.</w:t>
      </w:r>
    </w:p>
    <w:p>
      <w:pPr>
        <w:spacing w:after="0" w:line="157"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17.7 Waivers and Amendments</w:t>
      </w:r>
      <w:r>
        <w:rPr>
          <w:rFonts w:ascii="Arial" w:cs="Arial" w:eastAsia="Arial" w:hAnsi="Arial"/>
          <w:sz w:val="22"/>
          <w:szCs w:val="22"/>
          <w:color w:val="auto"/>
        </w:rPr>
        <w:t>. The failure of any Party to assert a right hereunder or to insist upon compliance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any term or condition of this Agreement shall not constitute a waiver of that right or excuse a similar subsequent failure to perform any such term or condition by the other Party. No waiver shall be effective unless it has been given in writing and signed by the Party giving such waiver. No provision of this Agreement may be amended or modified other than by a written document signed by authorized representatives of each Party.</w:t>
      </w:r>
    </w:p>
    <w:p>
      <w:pPr>
        <w:spacing w:after="0" w:line="15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17.8 Relationship of the Parties</w:t>
      </w:r>
      <w:r>
        <w:rPr>
          <w:rFonts w:ascii="Arial" w:cs="Arial" w:eastAsia="Arial" w:hAnsi="Arial"/>
          <w:sz w:val="22"/>
          <w:szCs w:val="22"/>
          <w:color w:val="auto"/>
        </w:rPr>
        <w:t>. Nothing contained in this Agreement shall be deemed to constitute a partnership,</w:t>
      </w:r>
      <w:r>
        <w:rPr>
          <w:rFonts w:ascii="Arial" w:cs="Arial" w:eastAsia="Arial" w:hAnsi="Arial"/>
          <w:sz w:val="22"/>
          <w:szCs w:val="22"/>
          <w:b w:val="1"/>
          <w:bCs w:val="1"/>
          <w:color w:val="auto"/>
        </w:rPr>
        <w:t xml:space="preserve"> </w:t>
      </w:r>
      <w:r>
        <w:rPr>
          <w:rFonts w:ascii="Arial" w:cs="Arial" w:eastAsia="Arial" w:hAnsi="Arial"/>
          <w:sz w:val="22"/>
          <w:szCs w:val="22"/>
          <w:color w:val="auto"/>
        </w:rPr>
        <w:t>joint venture, or legal entity of any type between Zymeworks and Jazz, or to constitute one as the agent of the other. Each Party shall act solely as an independent contractor, and nothing in this Agreement shall be construed to give any Party the power or authority to act for, bind, or commit the other.</w:t>
      </w:r>
    </w:p>
    <w:p>
      <w:pPr>
        <w:spacing w:after="0" w:line="15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17.9 Notices</w:t>
      </w:r>
      <w:r>
        <w:rPr>
          <w:rFonts w:ascii="Arial" w:cs="Arial" w:eastAsia="Arial" w:hAnsi="Arial"/>
          <w:sz w:val="22"/>
          <w:szCs w:val="22"/>
          <w:color w:val="auto"/>
        </w:rPr>
        <w:t>. All notices, consents or waivers under this Agreement shall be in writing and will be deemed to have</w:t>
      </w:r>
      <w:r>
        <w:rPr>
          <w:rFonts w:ascii="Arial" w:cs="Arial" w:eastAsia="Arial" w:hAnsi="Arial"/>
          <w:sz w:val="22"/>
          <w:szCs w:val="22"/>
          <w:b w:val="1"/>
          <w:bCs w:val="1"/>
          <w:color w:val="auto"/>
        </w:rPr>
        <w:t xml:space="preserve"> </w:t>
      </w:r>
      <w:r>
        <w:rPr>
          <w:rFonts w:ascii="Arial" w:cs="Arial" w:eastAsia="Arial" w:hAnsi="Arial"/>
          <w:sz w:val="22"/>
          <w:szCs w:val="22"/>
          <w:color w:val="auto"/>
        </w:rPr>
        <w:t>been duly given when the earlier of when received by the addressee or [***] after it was sent, if sent by registered letter or overnight courier by an internationally recognized overnight delivery service (receipt requested), in each case to the appropriate addresses and e-mail addresses set forth below (or to such other addresses and e-mail addresses as a Party may designate by notice):</w:t>
      </w:r>
    </w:p>
    <w:p>
      <w:pPr>
        <w:spacing w:after="0" w:line="126" w:lineRule="exact"/>
        <w:rPr>
          <w:sz w:val="20"/>
          <w:szCs w:val="20"/>
          <w:color w:val="auto"/>
        </w:rPr>
      </w:pPr>
    </w:p>
    <w:p>
      <w:pPr>
        <w:spacing w:after="0"/>
        <w:tabs>
          <w:tab w:leader="none" w:pos="1760" w:val="left"/>
        </w:tabs>
        <w:rPr>
          <w:sz w:val="20"/>
          <w:szCs w:val="20"/>
          <w:color w:val="auto"/>
        </w:rPr>
      </w:pPr>
      <w:r>
        <w:rPr>
          <w:rFonts w:ascii="Arial" w:cs="Arial" w:eastAsia="Arial" w:hAnsi="Arial"/>
          <w:sz w:val="22"/>
          <w:szCs w:val="22"/>
          <w:color w:val="auto"/>
        </w:rPr>
        <w:t>If to Zymeworks:</w:t>
      </w:r>
      <w:r>
        <w:rPr>
          <w:sz w:val="20"/>
          <w:szCs w:val="20"/>
          <w:color w:val="auto"/>
        </w:rPr>
        <w:tab/>
      </w:r>
      <w:r>
        <w:rPr>
          <w:rFonts w:ascii="Arial" w:cs="Arial" w:eastAsia="Arial" w:hAnsi="Arial"/>
          <w:sz w:val="19"/>
          <w:szCs w:val="19"/>
          <w:color w:val="auto"/>
        </w:rPr>
        <w:t>Zymeworks BC Inc.</w:t>
      </w:r>
    </w:p>
    <w:p>
      <w:pPr>
        <w:ind w:left="3240"/>
        <w:spacing w:after="0" w:line="184" w:lineRule="auto"/>
        <w:rPr>
          <w:sz w:val="20"/>
          <w:szCs w:val="20"/>
          <w:color w:val="auto"/>
        </w:rPr>
      </w:pPr>
      <w:r>
        <w:rPr>
          <w:rFonts w:ascii="Arial" w:cs="Arial" w:eastAsia="Arial" w:hAnsi="Arial"/>
          <w:sz w:val="20"/>
          <w:szCs w:val="20"/>
          <w:color w:val="auto"/>
        </w:rPr>
        <w:t>114 East 4</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Avenue, Suite 800</w:t>
      </w:r>
    </w:p>
    <w:p>
      <w:pPr>
        <w:ind w:left="3240"/>
        <w:spacing w:after="0" w:line="205" w:lineRule="auto"/>
        <w:rPr>
          <w:sz w:val="20"/>
          <w:szCs w:val="20"/>
          <w:color w:val="auto"/>
        </w:rPr>
      </w:pPr>
      <w:r>
        <w:rPr>
          <w:rFonts w:ascii="Arial" w:cs="Arial" w:eastAsia="Arial" w:hAnsi="Arial"/>
          <w:sz w:val="22"/>
          <w:szCs w:val="22"/>
          <w:color w:val="auto"/>
        </w:rPr>
        <w:t>Vancouver, BC</w:t>
      </w:r>
    </w:p>
    <w:p>
      <w:pPr>
        <w:ind w:left="3240"/>
        <w:spacing w:after="0" w:line="205" w:lineRule="auto"/>
        <w:rPr>
          <w:sz w:val="20"/>
          <w:szCs w:val="20"/>
          <w:color w:val="auto"/>
        </w:rPr>
      </w:pPr>
      <w:r>
        <w:rPr>
          <w:rFonts w:ascii="Arial" w:cs="Arial" w:eastAsia="Arial" w:hAnsi="Arial"/>
          <w:sz w:val="22"/>
          <w:szCs w:val="22"/>
          <w:color w:val="auto"/>
        </w:rPr>
        <w:t>Canada</w:t>
      </w:r>
    </w:p>
    <w:p>
      <w:pPr>
        <w:ind w:left="3240"/>
        <w:spacing w:after="0" w:line="205" w:lineRule="auto"/>
        <w:rPr>
          <w:sz w:val="20"/>
          <w:szCs w:val="20"/>
          <w:color w:val="auto"/>
        </w:rPr>
      </w:pPr>
      <w:r>
        <w:rPr>
          <w:rFonts w:ascii="Arial" w:cs="Arial" w:eastAsia="Arial" w:hAnsi="Arial"/>
          <w:sz w:val="22"/>
          <w:szCs w:val="22"/>
          <w:color w:val="auto"/>
        </w:rPr>
        <w:t>V5T 1G4</w:t>
      </w:r>
    </w:p>
    <w:p>
      <w:pPr>
        <w:ind w:left="3240"/>
        <w:spacing w:after="0" w:line="205" w:lineRule="auto"/>
        <w:rPr>
          <w:sz w:val="20"/>
          <w:szCs w:val="20"/>
          <w:color w:val="auto"/>
        </w:rPr>
      </w:pPr>
      <w:r>
        <w:rPr>
          <w:rFonts w:ascii="Arial" w:cs="Arial" w:eastAsia="Arial" w:hAnsi="Arial"/>
          <w:sz w:val="22"/>
          <w:szCs w:val="22"/>
          <w:color w:val="auto"/>
        </w:rPr>
        <w:t>Attention: Legal Department</w:t>
      </w:r>
    </w:p>
    <w:p>
      <w:pPr>
        <w:ind w:left="3240"/>
        <w:spacing w:after="0"/>
        <w:rPr>
          <w:sz w:val="20"/>
          <w:szCs w:val="20"/>
          <w:color w:val="auto"/>
        </w:rPr>
      </w:pPr>
      <w:r>
        <w:rPr>
          <w:rFonts w:ascii="Arial" w:cs="Arial" w:eastAsia="Arial" w:hAnsi="Arial"/>
          <w:sz w:val="22"/>
          <w:szCs w:val="22"/>
          <w:color w:val="auto"/>
        </w:rPr>
        <w:t>E-mail 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01" w:right="339" w:bottom="1440" w:gutter="0" w:footer="0" w:header="0"/>
        </w:sectPr>
      </w:pPr>
    </w:p>
    <w:bookmarkStart w:id="237" w:name="page238"/>
    <w:bookmarkEnd w:id="237"/>
    <w:p>
      <w:pPr>
        <w:ind w:left="3240"/>
        <w:spacing w:after="0"/>
        <w:rPr>
          <w:sz w:val="20"/>
          <w:szCs w:val="20"/>
          <w:color w:val="auto"/>
        </w:rPr>
      </w:pPr>
      <w:r>
        <w:rPr>
          <w:rFonts w:ascii="Arial" w:cs="Arial" w:eastAsia="Arial" w:hAnsi="Arial"/>
          <w:sz w:val="22"/>
          <w:szCs w:val="22"/>
          <w:color w:val="auto"/>
        </w:rPr>
        <w:t>and</w:t>
      </w:r>
    </w:p>
    <w:p>
      <w:pPr>
        <w:spacing w:after="0" w:line="16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Wilson Sonsini Goodrich &amp; Rosati</w:t>
      </w:r>
    </w:p>
    <w:p>
      <w:pPr>
        <w:ind w:left="3240"/>
        <w:spacing w:after="0" w:line="204" w:lineRule="auto"/>
        <w:rPr>
          <w:sz w:val="20"/>
          <w:szCs w:val="20"/>
          <w:color w:val="auto"/>
        </w:rPr>
      </w:pPr>
      <w:r>
        <w:rPr>
          <w:rFonts w:ascii="Arial" w:cs="Arial" w:eastAsia="Arial" w:hAnsi="Arial"/>
          <w:sz w:val="22"/>
          <w:szCs w:val="22"/>
          <w:color w:val="auto"/>
        </w:rPr>
        <w:t>28 State Street</w:t>
      </w:r>
    </w:p>
    <w:p>
      <w:pPr>
        <w:ind w:left="3240"/>
        <w:spacing w:after="0" w:line="205" w:lineRule="auto"/>
        <w:rPr>
          <w:sz w:val="20"/>
          <w:szCs w:val="20"/>
          <w:color w:val="auto"/>
        </w:rPr>
      </w:pPr>
      <w:r>
        <w:rPr>
          <w:rFonts w:ascii="Arial" w:cs="Arial" w:eastAsia="Arial" w:hAnsi="Arial"/>
          <w:sz w:val="22"/>
          <w:szCs w:val="22"/>
          <w:color w:val="auto"/>
        </w:rPr>
        <w:t>37th Floor</w:t>
      </w:r>
    </w:p>
    <w:p>
      <w:pPr>
        <w:ind w:left="3240"/>
        <w:spacing w:after="0" w:line="205" w:lineRule="auto"/>
        <w:rPr>
          <w:sz w:val="20"/>
          <w:szCs w:val="20"/>
          <w:color w:val="auto"/>
        </w:rPr>
      </w:pPr>
      <w:r>
        <w:rPr>
          <w:rFonts w:ascii="Arial" w:cs="Arial" w:eastAsia="Arial" w:hAnsi="Arial"/>
          <w:sz w:val="22"/>
          <w:szCs w:val="22"/>
          <w:color w:val="auto"/>
        </w:rPr>
        <w:t>Boston, MA 02109</w:t>
      </w:r>
    </w:p>
    <w:p>
      <w:pPr>
        <w:ind w:left="3240"/>
        <w:spacing w:after="0" w:line="205" w:lineRule="auto"/>
        <w:rPr>
          <w:sz w:val="20"/>
          <w:szCs w:val="20"/>
          <w:color w:val="auto"/>
        </w:rPr>
      </w:pPr>
      <w:r>
        <w:rPr>
          <w:rFonts w:ascii="Arial" w:cs="Arial" w:eastAsia="Arial" w:hAnsi="Arial"/>
          <w:sz w:val="22"/>
          <w:szCs w:val="22"/>
          <w:color w:val="auto"/>
        </w:rPr>
        <w:t>Attention: Farah B. Gerdes, Esq.</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E-mail address: [***]</w:t>
      </w:r>
    </w:p>
    <w:p>
      <w:pPr>
        <w:spacing w:after="0" w:line="14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If to Jazz:</w:t>
      </w:r>
      <w:r>
        <w:rPr>
          <w:sz w:val="20"/>
          <w:szCs w:val="20"/>
          <w:color w:val="auto"/>
        </w:rPr>
        <w:tab/>
      </w:r>
      <w:r>
        <w:rPr>
          <w:rFonts w:ascii="Arial" w:cs="Arial" w:eastAsia="Arial" w:hAnsi="Arial"/>
          <w:sz w:val="19"/>
          <w:szCs w:val="19"/>
          <w:color w:val="auto"/>
        </w:rPr>
        <w:t>Jazz Pharmaceuticals Ireland Limited</w:t>
      </w:r>
    </w:p>
    <w:p>
      <w:pPr>
        <w:ind w:left="3240"/>
        <w:spacing w:after="0" w:line="204" w:lineRule="auto"/>
        <w:rPr>
          <w:sz w:val="20"/>
          <w:szCs w:val="20"/>
          <w:color w:val="auto"/>
        </w:rPr>
      </w:pPr>
      <w:r>
        <w:rPr>
          <w:rFonts w:ascii="Arial" w:cs="Arial" w:eastAsia="Arial" w:hAnsi="Arial"/>
          <w:sz w:val="22"/>
          <w:szCs w:val="22"/>
          <w:color w:val="auto"/>
        </w:rPr>
        <w:t>Fifth Floor, Waterloo Exchange</w:t>
      </w:r>
    </w:p>
    <w:p>
      <w:pPr>
        <w:ind w:left="3240"/>
        <w:spacing w:after="0" w:line="205" w:lineRule="auto"/>
        <w:rPr>
          <w:sz w:val="20"/>
          <w:szCs w:val="20"/>
          <w:color w:val="auto"/>
        </w:rPr>
      </w:pPr>
      <w:r>
        <w:rPr>
          <w:rFonts w:ascii="Arial" w:cs="Arial" w:eastAsia="Arial" w:hAnsi="Arial"/>
          <w:sz w:val="22"/>
          <w:szCs w:val="22"/>
          <w:color w:val="auto"/>
        </w:rPr>
        <w:t>Waterloo Road, Dublin 4, Ireland</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General Counsel</w:t>
      </w:r>
    </w:p>
    <w:p>
      <w:pPr>
        <w:spacing w:after="0" w:line="16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and</w:t>
      </w:r>
    </w:p>
    <w:p>
      <w:pPr>
        <w:spacing w:after="0" w:line="18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Jazz Pharmaceuticals, Inc.</w:t>
      </w:r>
    </w:p>
    <w:p>
      <w:pPr>
        <w:ind w:left="3240"/>
        <w:spacing w:after="0" w:line="204" w:lineRule="auto"/>
        <w:rPr>
          <w:sz w:val="20"/>
          <w:szCs w:val="20"/>
          <w:color w:val="auto"/>
        </w:rPr>
      </w:pPr>
      <w:r>
        <w:rPr>
          <w:rFonts w:ascii="Arial" w:cs="Arial" w:eastAsia="Arial" w:hAnsi="Arial"/>
          <w:sz w:val="22"/>
          <w:szCs w:val="22"/>
          <w:color w:val="auto"/>
        </w:rPr>
        <w:t>3170 Porter Drive</w:t>
      </w:r>
    </w:p>
    <w:p>
      <w:pPr>
        <w:ind w:left="3240"/>
        <w:spacing w:after="0" w:line="205" w:lineRule="auto"/>
        <w:rPr>
          <w:sz w:val="20"/>
          <w:szCs w:val="20"/>
          <w:color w:val="auto"/>
        </w:rPr>
      </w:pPr>
      <w:r>
        <w:rPr>
          <w:rFonts w:ascii="Arial" w:cs="Arial" w:eastAsia="Arial" w:hAnsi="Arial"/>
          <w:sz w:val="22"/>
          <w:szCs w:val="22"/>
          <w:color w:val="auto"/>
        </w:rPr>
        <w:t>Palo Alto, CA 94304</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General Counsel</w:t>
      </w:r>
    </w:p>
    <w:p>
      <w:pPr>
        <w:spacing w:after="0" w:line="18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and</w:t>
      </w:r>
    </w:p>
    <w:p>
      <w:pPr>
        <w:spacing w:after="0" w:line="18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t>
      </w:r>
    </w:p>
    <w:p>
      <w:pPr>
        <w:ind w:left="3240"/>
        <w:spacing w:after="0"/>
        <w:rPr>
          <w:sz w:val="20"/>
          <w:szCs w:val="20"/>
          <w:color w:val="auto"/>
        </w:rPr>
      </w:pPr>
      <w:r>
        <w:rPr>
          <w:rFonts w:ascii="Arial" w:cs="Arial" w:eastAsia="Arial" w:hAnsi="Arial"/>
          <w:sz w:val="22"/>
          <w:szCs w:val="22"/>
          <w:color w:val="auto"/>
        </w:rPr>
        <w:t>Attention: Legal Department</w:t>
      </w:r>
    </w:p>
    <w:p>
      <w:pPr>
        <w:spacing w:after="0" w:line="188"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and</w:t>
      </w:r>
    </w:p>
    <w:p>
      <w:pPr>
        <w:spacing w:after="0" w:line="187"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Cooley LLP</w:t>
      </w:r>
    </w:p>
    <w:p>
      <w:pPr>
        <w:ind w:left="3280"/>
        <w:spacing w:after="0" w:line="204" w:lineRule="auto"/>
        <w:rPr>
          <w:sz w:val="20"/>
          <w:szCs w:val="20"/>
          <w:color w:val="auto"/>
        </w:rPr>
      </w:pPr>
      <w:r>
        <w:rPr>
          <w:rFonts w:ascii="Arial" w:cs="Arial" w:eastAsia="Arial" w:hAnsi="Arial"/>
          <w:sz w:val="22"/>
          <w:szCs w:val="22"/>
          <w:color w:val="auto"/>
        </w:rPr>
        <w:t>3175 Hanover Street</w:t>
      </w:r>
    </w:p>
    <w:p>
      <w:pPr>
        <w:ind w:left="3280"/>
        <w:spacing w:after="0" w:line="205" w:lineRule="auto"/>
        <w:rPr>
          <w:sz w:val="20"/>
          <w:szCs w:val="20"/>
          <w:color w:val="auto"/>
        </w:rPr>
      </w:pPr>
      <w:r>
        <w:rPr>
          <w:rFonts w:ascii="Arial" w:cs="Arial" w:eastAsia="Arial" w:hAnsi="Arial"/>
          <w:sz w:val="22"/>
          <w:szCs w:val="22"/>
          <w:color w:val="auto"/>
        </w:rPr>
        <w:t>Palo Alto, CA 94304</w:t>
      </w:r>
    </w:p>
    <w:p>
      <w:pPr>
        <w:ind w:left="3280"/>
        <w:spacing w:after="0" w:line="205" w:lineRule="auto"/>
        <w:rPr>
          <w:sz w:val="20"/>
          <w:szCs w:val="20"/>
          <w:color w:val="auto"/>
        </w:rPr>
      </w:pPr>
      <w:r>
        <w:rPr>
          <w:rFonts w:ascii="Arial" w:cs="Arial" w:eastAsia="Arial" w:hAnsi="Arial"/>
          <w:sz w:val="22"/>
          <w:szCs w:val="22"/>
          <w:color w:val="auto"/>
        </w:rPr>
        <w:t>Attention: Marya A. Postner</w:t>
      </w:r>
    </w:p>
    <w:p>
      <w:pPr>
        <w:spacing w:after="0" w:line="1"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Email address: [***]</w:t>
      </w:r>
    </w:p>
    <w:p>
      <w:pPr>
        <w:spacing w:after="0" w:line="3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17.10 No Third Party Beneficiary Rights</w:t>
      </w:r>
      <w:r>
        <w:rPr>
          <w:rFonts w:ascii="Arial" w:cs="Arial" w:eastAsia="Arial" w:hAnsi="Arial"/>
          <w:sz w:val="19"/>
          <w:szCs w:val="19"/>
          <w:color w:val="auto"/>
        </w:rPr>
        <w:t>. This Agreement is not intended to and shall not be construed to give any</w:t>
      </w:r>
      <w:r>
        <w:rPr>
          <w:rFonts w:ascii="Arial" w:cs="Arial" w:eastAsia="Arial" w:hAnsi="Arial"/>
          <w:sz w:val="19"/>
          <w:szCs w:val="19"/>
          <w:b w:val="1"/>
          <w:bCs w:val="1"/>
          <w:color w:val="auto"/>
        </w:rPr>
        <w:t xml:space="preserve"> </w:t>
      </w:r>
      <w:r>
        <w:rPr>
          <w:rFonts w:ascii="Arial" w:cs="Arial" w:eastAsia="Arial" w:hAnsi="Arial"/>
          <w:sz w:val="19"/>
          <w:szCs w:val="19"/>
          <w:color w:val="auto"/>
        </w:rPr>
        <w:t>Third Party any interest or rights (including any Third Party beneficiary rights) with respect to or in connection with any agreement or provision contained herein or contemplated hereby, except as otherwise expressly provided for in this Agreement.</w:t>
      </w:r>
    </w:p>
    <w:p>
      <w:pPr>
        <w:spacing w:after="0" w:line="12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b w:val="1"/>
          <w:bCs w:val="1"/>
          <w:color w:val="auto"/>
        </w:rPr>
        <w:t>17.11 Entire Agreement</w:t>
      </w:r>
      <w:r>
        <w:rPr>
          <w:rFonts w:ascii="Arial" w:cs="Arial" w:eastAsia="Arial" w:hAnsi="Arial"/>
          <w:sz w:val="19"/>
          <w:szCs w:val="19"/>
          <w:color w:val="auto"/>
        </w:rPr>
        <w:t>. This Agreement sets forth the entire agreement and understanding of the Parties as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matter hereof and supersedes all proposals, oral or written, and all other communications between the Parties with respect to such subject matter. The Parties acknowledge and agree that, as of the Execution Date, all Confidential Information disclosed pursuant to the Confidentiality Agreement by a Party or its Affiliates shall be included in the Confidential Information subject to this Agreement and the Confidentiality Agreement is hereby superseded in its entirety; provided, that the foregoing shall not relieve any Person of any right or obligation accruing under the Confidentiality Agreement prior to the Execution Date. “</w:t>
      </w:r>
      <w:r>
        <w:rPr>
          <w:rFonts w:ascii="Arial" w:cs="Arial" w:eastAsia="Arial" w:hAnsi="Arial"/>
          <w:sz w:val="19"/>
          <w:szCs w:val="19"/>
          <w:b w:val="1"/>
          <w:bCs w:val="1"/>
          <w:color w:val="auto"/>
        </w:rPr>
        <w:t>Confidentiality Agreement</w:t>
      </w:r>
      <w:r>
        <w:rPr>
          <w:rFonts w:ascii="Arial" w:cs="Arial" w:eastAsia="Arial" w:hAnsi="Arial"/>
          <w:sz w:val="19"/>
          <w:szCs w:val="19"/>
          <w:color w:val="auto"/>
        </w:rPr>
        <w:t>” means the Mutual Confidential Disclosure Agreement between Zymeworks and Jazz dated [***].</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17.12 Counterparts</w:t>
      </w:r>
      <w:r>
        <w:rPr>
          <w:rFonts w:ascii="Arial" w:cs="Arial" w:eastAsia="Arial" w:hAnsi="Arial"/>
          <w:sz w:val="22"/>
          <w:szCs w:val="22"/>
          <w:color w:val="auto"/>
        </w:rPr>
        <w:t>. This Agreement may be executed in two (2) or more counterparts, each of which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01" w:right="339" w:bottom="1440" w:gutter="0" w:footer="0" w:header="0"/>
        </w:sectPr>
      </w:pPr>
    </w:p>
    <w:bookmarkStart w:id="238" w:name="page239"/>
    <w:bookmarkEnd w:id="238"/>
    <w:p>
      <w:pPr>
        <w:jc w:val="both"/>
        <w:ind w:right="20" w:firstLine="648"/>
        <w:spacing w:after="0" w:line="235" w:lineRule="auto"/>
        <w:rPr>
          <w:sz w:val="20"/>
          <w:szCs w:val="20"/>
          <w:color w:val="auto"/>
        </w:rPr>
      </w:pPr>
      <w:r>
        <w:rPr>
          <w:rFonts w:ascii="Arial" w:cs="Arial" w:eastAsia="Arial" w:hAnsi="Arial"/>
          <w:sz w:val="22"/>
          <w:szCs w:val="22"/>
          <w:b w:val="1"/>
          <w:bCs w:val="1"/>
          <w:color w:val="auto"/>
        </w:rPr>
        <w:t>17.13 Expenses</w:t>
      </w:r>
      <w:r>
        <w:rPr>
          <w:rFonts w:ascii="Arial" w:cs="Arial" w:eastAsia="Arial" w:hAnsi="Arial"/>
          <w:sz w:val="22"/>
          <w:szCs w:val="22"/>
          <w:color w:val="auto"/>
        </w:rPr>
        <w:t>. Each Party shall pay its own costs, charges and expenses incurred in connection with the negotiation,</w:t>
      </w:r>
      <w:r>
        <w:rPr>
          <w:rFonts w:ascii="Arial" w:cs="Arial" w:eastAsia="Arial" w:hAnsi="Arial"/>
          <w:sz w:val="22"/>
          <w:szCs w:val="22"/>
          <w:b w:val="1"/>
          <w:bCs w:val="1"/>
          <w:color w:val="auto"/>
        </w:rPr>
        <w:t xml:space="preserve"> </w:t>
      </w:r>
      <w:r>
        <w:rPr>
          <w:rFonts w:ascii="Arial" w:cs="Arial" w:eastAsia="Arial" w:hAnsi="Arial"/>
          <w:sz w:val="22"/>
          <w:szCs w:val="22"/>
          <w:color w:val="auto"/>
        </w:rPr>
        <w:t>preparation and completion of this Agreement.</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17.14 Binding Effect</w:t>
      </w:r>
      <w:r>
        <w:rPr>
          <w:rFonts w:ascii="Arial" w:cs="Arial" w:eastAsia="Arial" w:hAnsi="Arial"/>
          <w:sz w:val="22"/>
          <w:szCs w:val="22"/>
          <w:color w:val="auto"/>
        </w:rPr>
        <w:t>. This Agreement shall be binding upon and inure to the benefit of the Parties and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legal representatives, successors and permitted assigns.</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b w:val="1"/>
          <w:bCs w:val="1"/>
          <w:color w:val="auto"/>
        </w:rPr>
        <w:t>17.15 Construction</w:t>
      </w:r>
      <w:r>
        <w:rPr>
          <w:rFonts w:ascii="Arial" w:cs="Arial" w:eastAsia="Arial" w:hAnsi="Arial"/>
          <w:sz w:val="19"/>
          <w:szCs w:val="19"/>
          <w:color w:val="auto"/>
        </w:rPr>
        <w:t>. The Parties hereto acknowledge and agree that: (a) each Party and its counsel reviewed and</w:t>
      </w:r>
      <w:r>
        <w:rPr>
          <w:rFonts w:ascii="Arial" w:cs="Arial" w:eastAsia="Arial" w:hAnsi="Arial"/>
          <w:sz w:val="19"/>
          <w:szCs w:val="19"/>
          <w:b w:val="1"/>
          <w:bCs w:val="1"/>
          <w:color w:val="auto"/>
        </w:rPr>
        <w:t xml:space="preserve"> </w:t>
      </w:r>
      <w:r>
        <w:rPr>
          <w:rFonts w:ascii="Arial" w:cs="Arial" w:eastAsia="Arial" w:hAnsi="Arial"/>
          <w:sz w:val="19"/>
          <w:szCs w:val="19"/>
          <w:color w:val="auto"/>
        </w:rPr>
        <w:t>negotiated the terms and 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all Parties hereto and not in a favor of or against any Party, regardless of which Party was generally responsible for the preparation of this Agreement.</w:t>
      </w:r>
    </w:p>
    <w:p>
      <w:pPr>
        <w:spacing w:after="0" w:line="140"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17.16 Cumulative Remedies</w:t>
      </w:r>
      <w:r>
        <w:rPr>
          <w:rFonts w:ascii="Arial" w:cs="Arial" w:eastAsia="Arial" w:hAnsi="Arial"/>
          <w:sz w:val="22"/>
          <w:szCs w:val="22"/>
          <w:color w:val="auto"/>
        </w:rPr>
        <w:t>. No remedy referred to in this Agreement is intended to be exclusive unless explicitly</w:t>
      </w:r>
      <w:r>
        <w:rPr>
          <w:rFonts w:ascii="Arial" w:cs="Arial" w:eastAsia="Arial" w:hAnsi="Arial"/>
          <w:sz w:val="22"/>
          <w:szCs w:val="22"/>
          <w:b w:val="1"/>
          <w:bCs w:val="1"/>
          <w:color w:val="auto"/>
        </w:rPr>
        <w:t xml:space="preserve"> </w:t>
      </w:r>
      <w:r>
        <w:rPr>
          <w:rFonts w:ascii="Arial" w:cs="Arial" w:eastAsia="Arial" w:hAnsi="Arial"/>
          <w:sz w:val="22"/>
          <w:szCs w:val="22"/>
          <w:color w:val="auto"/>
        </w:rPr>
        <w:t>stated to be so, but each shall be cumulative and in addition to any other remedy referred to in this Agreement or otherwise available under law.</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17.17 Further Assurances</w:t>
      </w:r>
      <w:r>
        <w:rPr>
          <w:rFonts w:ascii="Arial" w:cs="Arial" w:eastAsia="Arial" w:hAnsi="Arial"/>
          <w:sz w:val="22"/>
          <w:szCs w:val="22"/>
          <w:color w:val="auto"/>
        </w:rPr>
        <w:t>. Jazz and Zymeworks hereby covenant and agree without the necessity of any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to execute, acknowledge and deliver any and all documents and take any action as may be reasonably necessary to carry out the intent and purposes of this Agreement.</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17.18 Compliance with Law</w:t>
      </w:r>
      <w:r>
        <w:rPr>
          <w:rFonts w:ascii="Arial" w:cs="Arial" w:eastAsia="Arial" w:hAnsi="Arial"/>
          <w:sz w:val="22"/>
          <w:szCs w:val="22"/>
          <w:color w:val="auto"/>
        </w:rPr>
        <w:t>. Each Party shall perform its obligations under this Agreement in accordance with all</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Laws. No Party shall, or shall be required to, undertake any activity under or in connection with this Agreement which violates, or which it believes, in good faith, may violate, any Applicable Laws.</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17.19 Export</w:t>
      </w:r>
      <w:r>
        <w:rPr>
          <w:rFonts w:ascii="Arial" w:cs="Arial" w:eastAsia="Arial" w:hAnsi="Arial"/>
          <w:sz w:val="22"/>
          <w:szCs w:val="22"/>
          <w:color w:val="auto"/>
        </w:rPr>
        <w:t>. Each Party acknowledges that the laws and regulations of the United States restrict the export and re-export of commodities and technical data of United States origin. Each Party agrees that it will not export or re-export restricted commodities or the technical data of the other Party in any form without appropriate United States and foreign government licenses.</w:t>
      </w:r>
    </w:p>
    <w:p>
      <w:pPr>
        <w:spacing w:after="0" w:line="15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17.20 Notification and Approval</w:t>
      </w:r>
      <w:r>
        <w:rPr>
          <w:rFonts w:ascii="Arial" w:cs="Arial" w:eastAsia="Arial" w:hAnsi="Arial"/>
          <w:sz w:val="22"/>
          <w:szCs w:val="22"/>
          <w:color w:val="auto"/>
        </w:rPr>
        <w:t>. In the event that this Agreement or the transaction(s) set forth herein are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notification or regulatory approval in one or more countries, then development and commercialization in such country(ies) will be subject to such notification or regulatory approval. The Parties will reasonably cooperate with each other with respect to such notification and the process required thereunder, including in the preparation of any filing. Jazz will be responsible for any and all costs, expenses, and filing fees associated with any such filing.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395" w:right="339" w:bottom="1440" w:gutter="0" w:footer="0" w:header="0"/>
        </w:sectPr>
      </w:pPr>
    </w:p>
    <w:bookmarkStart w:id="239" w:name="page240"/>
    <w:bookmarkEnd w:id="239"/>
    <w:p>
      <w:pPr>
        <w:spacing w:after="0" w:line="171"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intending to be bound have caused this Agreement to be executed by their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representatives.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ZYMEWORKS BC INC.</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By: /s/ Kenneth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2147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1">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Kenneth Galbraith</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Executive Officer</w:t>
      </w: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JAZZ PHARMACEUTICALS IRELAND LIMITED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By: /s/ Hugh Kiely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8420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2">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Hugh Kiely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20"/>
        <w:spacing w:after="0"/>
        <w:tabs>
          <w:tab w:leader="none" w:pos="8120" w:val="left"/>
        </w:tabs>
        <w:rPr>
          <w:sz w:val="20"/>
          <w:szCs w:val="20"/>
          <w:color w:val="auto"/>
        </w:rPr>
      </w:pPr>
      <w:r>
        <w:rPr>
          <w:rFonts w:ascii="Arial" w:cs="Arial" w:eastAsia="Arial" w:hAnsi="Arial"/>
          <w:sz w:val="22"/>
          <w:szCs w:val="22"/>
          <w:color w:val="auto"/>
        </w:rPr>
        <w:t>-70</w:t>
      </w:r>
      <w:r>
        <w:rPr>
          <w:sz w:val="20"/>
          <w:szCs w:val="20"/>
          <w:color w:val="auto"/>
        </w:rPr>
        <w:tab/>
      </w:r>
      <w:r>
        <w:rPr>
          <w:rFonts w:ascii="Arial" w:cs="Arial" w:eastAsia="Arial" w:hAnsi="Arial"/>
          <w:sz w:val="22"/>
          <w:szCs w:val="22"/>
          <w:color w:val="auto"/>
        </w:rPr>
        <w:t>-</w:t>
      </w:r>
    </w:p>
    <w:p>
      <w:pPr>
        <w:sectPr>
          <w:pgSz w:w="11900" w:h="16838" w:orient="portrait"/>
          <w:cols w:equalWidth="0" w:num="1">
            <w:col w:w="11240"/>
          </w:cols>
          <w:pgMar w:left="320" w:top="1440" w:right="33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b w:val="1"/>
          <w:bCs w:val="1"/>
          <w:color w:val="auto"/>
        </w:rPr>
        <w:t>List of Exhibits</w:t>
      </w:r>
    </w:p>
    <w:p>
      <w:pPr>
        <w:spacing w:after="0" w:line="166"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Exhibit A:</w:t>
      </w:r>
      <w:r>
        <w:rPr>
          <w:sz w:val="20"/>
          <w:szCs w:val="20"/>
          <w:color w:val="auto"/>
        </w:rPr>
        <w:tab/>
      </w:r>
      <w:r>
        <w:rPr>
          <w:rFonts w:ascii="Arial" w:cs="Arial" w:eastAsia="Arial" w:hAnsi="Arial"/>
          <w:sz w:val="19"/>
          <w:szCs w:val="19"/>
          <w:b w:val="1"/>
          <w:bCs w:val="1"/>
          <w:color w:val="auto"/>
        </w:rPr>
        <w:t>Structure of Zanidatamab</w:t>
      </w:r>
    </w:p>
    <w:p>
      <w:pPr>
        <w:spacing w:after="0"/>
        <w:tabs>
          <w:tab w:leader="none" w:pos="1160" w:val="left"/>
        </w:tabs>
        <w:rPr>
          <w:sz w:val="20"/>
          <w:szCs w:val="20"/>
          <w:color w:val="auto"/>
        </w:rPr>
      </w:pPr>
      <w:r>
        <w:rPr>
          <w:rFonts w:ascii="Arial" w:cs="Arial" w:eastAsia="Arial" w:hAnsi="Arial"/>
          <w:sz w:val="22"/>
          <w:szCs w:val="22"/>
          <w:b w:val="1"/>
          <w:bCs w:val="1"/>
          <w:color w:val="auto"/>
        </w:rPr>
        <w:t>Exhibit B:</w:t>
      </w:r>
      <w:r>
        <w:rPr>
          <w:sz w:val="20"/>
          <w:szCs w:val="20"/>
          <w:color w:val="auto"/>
        </w:rPr>
        <w:tab/>
      </w:r>
      <w:r>
        <w:rPr>
          <w:rFonts w:ascii="Arial" w:cs="Arial" w:eastAsia="Arial" w:hAnsi="Arial"/>
          <w:sz w:val="18"/>
          <w:szCs w:val="18"/>
          <w:b w:val="1"/>
          <w:bCs w:val="1"/>
          <w:color w:val="auto"/>
        </w:rPr>
        <w:t>Joint Press Release</w:t>
      </w:r>
    </w:p>
    <w:p>
      <w:pPr>
        <w:spacing w:after="0" w:line="238" w:lineRule="auto"/>
        <w:tabs>
          <w:tab w:leader="none" w:pos="1180" w:val="left"/>
        </w:tabs>
        <w:rPr>
          <w:sz w:val="20"/>
          <w:szCs w:val="20"/>
          <w:color w:val="auto"/>
        </w:rPr>
      </w:pPr>
      <w:r>
        <w:rPr>
          <w:rFonts w:ascii="Arial" w:cs="Arial" w:eastAsia="Arial" w:hAnsi="Arial"/>
          <w:sz w:val="22"/>
          <w:szCs w:val="22"/>
          <w:b w:val="1"/>
          <w:bCs w:val="1"/>
          <w:color w:val="auto"/>
        </w:rPr>
        <w:t>Exhibit C:</w:t>
      </w:r>
      <w:r>
        <w:rPr>
          <w:sz w:val="20"/>
          <w:szCs w:val="20"/>
          <w:color w:val="auto"/>
        </w:rPr>
        <w:tab/>
      </w:r>
      <w:r>
        <w:rPr>
          <w:rFonts w:ascii="Arial" w:cs="Arial" w:eastAsia="Arial" w:hAnsi="Arial"/>
          <w:sz w:val="19"/>
          <w:szCs w:val="19"/>
          <w:b w:val="1"/>
          <w:bCs w:val="1"/>
          <w:color w:val="auto"/>
        </w:rPr>
        <w:t>Zymeworks Trademarks</w:t>
      </w:r>
    </w:p>
    <w:p>
      <w:pPr>
        <w:spacing w:after="0" w:line="237" w:lineRule="auto"/>
        <w:tabs>
          <w:tab w:leader="none" w:pos="1400" w:val="left"/>
        </w:tabs>
        <w:rPr>
          <w:sz w:val="20"/>
          <w:szCs w:val="20"/>
          <w:color w:val="auto"/>
        </w:rPr>
      </w:pPr>
      <w:r>
        <w:rPr>
          <w:rFonts w:ascii="Arial" w:cs="Arial" w:eastAsia="Arial" w:hAnsi="Arial"/>
          <w:sz w:val="22"/>
          <w:szCs w:val="22"/>
          <w:b w:val="1"/>
          <w:bCs w:val="1"/>
          <w:color w:val="auto"/>
        </w:rPr>
        <w:t>Exhibit 1.65:</w:t>
      </w:r>
      <w:r>
        <w:rPr>
          <w:sz w:val="20"/>
          <w:szCs w:val="20"/>
          <w:color w:val="auto"/>
        </w:rPr>
        <w:tab/>
      </w:r>
      <w:r>
        <w:rPr>
          <w:rFonts w:ascii="Arial" w:cs="Arial" w:eastAsia="Arial" w:hAnsi="Arial"/>
          <w:sz w:val="19"/>
          <w:szCs w:val="19"/>
          <w:b w:val="1"/>
          <w:bCs w:val="1"/>
          <w:color w:val="auto"/>
        </w:rPr>
        <w:t>BTC Data Package</w:t>
      </w:r>
    </w:p>
    <w:p>
      <w:pPr>
        <w:spacing w:after="0"/>
        <w:tabs>
          <w:tab w:leader="none" w:pos="1280" w:val="left"/>
        </w:tabs>
        <w:rPr>
          <w:sz w:val="20"/>
          <w:szCs w:val="20"/>
          <w:color w:val="auto"/>
        </w:rPr>
      </w:pPr>
      <w:r>
        <w:rPr>
          <w:rFonts w:ascii="Arial" w:cs="Arial" w:eastAsia="Arial" w:hAnsi="Arial"/>
          <w:sz w:val="22"/>
          <w:szCs w:val="22"/>
          <w:b w:val="1"/>
          <w:bCs w:val="1"/>
          <w:color w:val="auto"/>
        </w:rPr>
        <w:t>Exhibit 2.1:</w:t>
      </w:r>
      <w:r>
        <w:rPr>
          <w:sz w:val="20"/>
          <w:szCs w:val="20"/>
          <w:color w:val="auto"/>
        </w:rPr>
        <w:tab/>
      </w:r>
      <w:r>
        <w:rPr>
          <w:rFonts w:ascii="Arial" w:cs="Arial" w:eastAsia="Arial" w:hAnsi="Arial"/>
          <w:sz w:val="18"/>
          <w:szCs w:val="18"/>
          <w:b w:val="1"/>
          <w:bCs w:val="1"/>
          <w:color w:val="auto"/>
        </w:rPr>
        <w:t>Separate Sublicense Terms</w:t>
      </w:r>
    </w:p>
    <w:p>
      <w:pPr>
        <w:spacing w:after="0" w:line="237" w:lineRule="auto"/>
        <w:tabs>
          <w:tab w:leader="none" w:pos="1280" w:val="left"/>
        </w:tabs>
        <w:rPr>
          <w:sz w:val="20"/>
          <w:szCs w:val="20"/>
          <w:color w:val="auto"/>
        </w:rPr>
      </w:pPr>
      <w:r>
        <w:rPr>
          <w:rFonts w:ascii="Arial" w:cs="Arial" w:eastAsia="Arial" w:hAnsi="Arial"/>
          <w:sz w:val="22"/>
          <w:szCs w:val="22"/>
          <w:b w:val="1"/>
          <w:bCs w:val="1"/>
          <w:color w:val="auto"/>
        </w:rPr>
        <w:t>Exhibit 5.2:</w:t>
      </w:r>
      <w:r>
        <w:rPr>
          <w:sz w:val="20"/>
          <w:szCs w:val="20"/>
          <w:color w:val="auto"/>
        </w:rPr>
        <w:tab/>
      </w:r>
      <w:r>
        <w:rPr>
          <w:rFonts w:ascii="Arial" w:cs="Arial" w:eastAsia="Arial" w:hAnsi="Arial"/>
          <w:sz w:val="19"/>
          <w:szCs w:val="19"/>
          <w:b w:val="1"/>
          <w:bCs w:val="1"/>
          <w:color w:val="auto"/>
        </w:rPr>
        <w:t>Zymeworks Development Plan</w:t>
      </w:r>
    </w:p>
    <w:p>
      <w:pPr>
        <w:spacing w:after="0" w:line="237" w:lineRule="auto"/>
        <w:tabs>
          <w:tab w:leader="none" w:pos="1280" w:val="left"/>
        </w:tabs>
        <w:rPr>
          <w:sz w:val="20"/>
          <w:szCs w:val="20"/>
          <w:color w:val="auto"/>
        </w:rPr>
      </w:pPr>
      <w:r>
        <w:rPr>
          <w:rFonts w:ascii="Arial" w:cs="Arial" w:eastAsia="Arial" w:hAnsi="Arial"/>
          <w:sz w:val="22"/>
          <w:szCs w:val="22"/>
          <w:b w:val="1"/>
          <w:bCs w:val="1"/>
          <w:color w:val="auto"/>
        </w:rPr>
        <w:t>Exhibit 5.9:</w:t>
      </w:r>
      <w:r>
        <w:rPr>
          <w:sz w:val="20"/>
          <w:szCs w:val="20"/>
          <w:color w:val="auto"/>
        </w:rPr>
        <w:tab/>
      </w:r>
      <w:r>
        <w:rPr>
          <w:rFonts w:ascii="Arial" w:cs="Arial" w:eastAsia="Arial" w:hAnsi="Arial"/>
          <w:sz w:val="19"/>
          <w:szCs w:val="19"/>
          <w:b w:val="1"/>
          <w:bCs w:val="1"/>
          <w:color w:val="auto"/>
        </w:rPr>
        <w:t>Data Processing Addendum</w:t>
      </w:r>
    </w:p>
    <w:p>
      <w:pPr>
        <w:ind w:right="4259"/>
        <w:spacing w:after="0" w:line="214" w:lineRule="auto"/>
        <w:rPr>
          <w:sz w:val="20"/>
          <w:szCs w:val="20"/>
          <w:color w:val="auto"/>
        </w:rPr>
      </w:pPr>
      <w:r>
        <w:rPr>
          <w:rFonts w:ascii="Arial" w:cs="Arial" w:eastAsia="Arial" w:hAnsi="Arial"/>
          <w:sz w:val="21"/>
          <w:szCs w:val="21"/>
          <w:b w:val="1"/>
          <w:bCs w:val="1"/>
          <w:color w:val="auto"/>
        </w:rPr>
        <w:t>Exhibit 7.3(b): Term Sheet for Clinical Supply Agreement Exhibit 7.3(c): Term Sheet for Commercial Supply Agreement Schedule 1.49 Knowledge Individuals</w:t>
      </w:r>
    </w:p>
    <w:p>
      <w:pPr>
        <w:spacing w:after="0"/>
        <w:tabs>
          <w:tab w:leader="none" w:pos="1460" w:val="left"/>
        </w:tabs>
        <w:rPr>
          <w:sz w:val="20"/>
          <w:szCs w:val="20"/>
          <w:color w:val="auto"/>
        </w:rPr>
      </w:pPr>
      <w:r>
        <w:rPr>
          <w:rFonts w:ascii="Arial" w:cs="Arial" w:eastAsia="Arial" w:hAnsi="Arial"/>
          <w:sz w:val="22"/>
          <w:szCs w:val="22"/>
          <w:b w:val="1"/>
          <w:bCs w:val="1"/>
          <w:color w:val="auto"/>
        </w:rPr>
        <w:t>Schedule 1.70</w:t>
      </w:r>
      <w:r>
        <w:rPr>
          <w:sz w:val="20"/>
          <w:szCs w:val="20"/>
          <w:color w:val="auto"/>
        </w:rPr>
        <w:tab/>
      </w:r>
      <w:r>
        <w:rPr>
          <w:rFonts w:ascii="Arial" w:cs="Arial" w:eastAsia="Arial" w:hAnsi="Arial"/>
          <w:sz w:val="19"/>
          <w:szCs w:val="19"/>
          <w:b w:val="1"/>
          <w:bCs w:val="1"/>
          <w:color w:val="auto"/>
        </w:rPr>
        <w:t>Third Party In-License Agreements</w:t>
      </w:r>
    </w:p>
    <w:p>
      <w:pPr>
        <w:spacing w:after="0" w:line="237" w:lineRule="auto"/>
        <w:tabs>
          <w:tab w:leader="none" w:pos="1720" w:val="left"/>
        </w:tabs>
        <w:rPr>
          <w:sz w:val="20"/>
          <w:szCs w:val="20"/>
          <w:color w:val="auto"/>
        </w:rPr>
      </w:pPr>
      <w:r>
        <w:rPr>
          <w:rFonts w:ascii="Arial" w:cs="Arial" w:eastAsia="Arial" w:hAnsi="Arial"/>
          <w:sz w:val="22"/>
          <w:szCs w:val="22"/>
          <w:b w:val="1"/>
          <w:bCs w:val="1"/>
          <w:color w:val="auto"/>
        </w:rPr>
        <w:t>Schedule 12.2(a)</w:t>
      </w:r>
      <w:r>
        <w:rPr>
          <w:sz w:val="20"/>
          <w:szCs w:val="20"/>
          <w:color w:val="auto"/>
        </w:rPr>
        <w:tab/>
      </w:r>
      <w:r>
        <w:rPr>
          <w:rFonts w:ascii="Arial" w:cs="Arial" w:eastAsia="Arial" w:hAnsi="Arial"/>
          <w:sz w:val="19"/>
          <w:szCs w:val="19"/>
          <w:b w:val="1"/>
          <w:bCs w:val="1"/>
          <w:color w:val="auto"/>
        </w:rPr>
        <w:t>Zymeworks Patent Rights</w:t>
      </w:r>
    </w:p>
    <w:p>
      <w:pPr>
        <w:spacing w:after="0" w:line="237" w:lineRule="auto"/>
        <w:tabs>
          <w:tab w:leader="none" w:pos="1720" w:val="left"/>
        </w:tabs>
        <w:rPr>
          <w:sz w:val="20"/>
          <w:szCs w:val="20"/>
          <w:color w:val="auto"/>
        </w:rPr>
      </w:pPr>
      <w:r>
        <w:rPr>
          <w:rFonts w:ascii="Arial" w:cs="Arial" w:eastAsia="Arial" w:hAnsi="Arial"/>
          <w:sz w:val="22"/>
          <w:szCs w:val="22"/>
          <w:b w:val="1"/>
          <w:bCs w:val="1"/>
          <w:color w:val="auto"/>
        </w:rPr>
        <w:t>Schedule 12.2(q)</w:t>
      </w:r>
      <w:r>
        <w:rPr>
          <w:sz w:val="20"/>
          <w:szCs w:val="20"/>
          <w:color w:val="auto"/>
        </w:rPr>
        <w:tab/>
      </w:r>
      <w:r>
        <w:rPr>
          <w:rFonts w:ascii="Arial" w:cs="Arial" w:eastAsia="Arial" w:hAnsi="Arial"/>
          <w:sz w:val="19"/>
          <w:szCs w:val="19"/>
          <w:b w:val="1"/>
          <w:bCs w:val="1"/>
          <w:color w:val="auto"/>
        </w:rPr>
        <w:t>Zymeworks Korean Studies</w:t>
      </w:r>
    </w:p>
    <w:p>
      <w:pPr>
        <w:spacing w:after="0"/>
        <w:tabs>
          <w:tab w:leader="none" w:pos="1700" w:val="left"/>
        </w:tabs>
        <w:rPr>
          <w:sz w:val="20"/>
          <w:szCs w:val="20"/>
          <w:color w:val="auto"/>
        </w:rPr>
      </w:pPr>
      <w:r>
        <w:rPr>
          <w:rFonts w:ascii="Arial" w:cs="Arial" w:eastAsia="Arial" w:hAnsi="Arial"/>
          <w:sz w:val="22"/>
          <w:szCs w:val="22"/>
          <w:b w:val="1"/>
          <w:bCs w:val="1"/>
          <w:color w:val="auto"/>
        </w:rPr>
        <w:t>Schedule 12.2(r)</w:t>
      </w:r>
      <w:r>
        <w:rPr>
          <w:sz w:val="20"/>
          <w:szCs w:val="20"/>
          <w:color w:val="auto"/>
        </w:rPr>
        <w:tab/>
      </w:r>
      <w:r>
        <w:rPr>
          <w:rFonts w:ascii="Arial" w:cs="Arial" w:eastAsia="Arial" w:hAnsi="Arial"/>
          <w:sz w:val="19"/>
          <w:szCs w:val="19"/>
          <w:b w:val="1"/>
          <w:bCs w:val="1"/>
          <w:color w:val="auto"/>
        </w:rPr>
        <w:t>Zymeworks Ongoing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0139"/>
          </w:cols>
          <w:pgMar w:left="320" w:top="1395" w:right="1440" w:bottom="1440" w:gutter="0" w:footer="0" w:header="0"/>
        </w:sectPr>
      </w:pPr>
    </w:p>
    <w:bookmarkStart w:id="241" w:name="page242"/>
    <w:bookmarkEnd w:id="241"/>
    <w:p>
      <w:pPr>
        <w:spacing w:after="0" w:line="200" w:lineRule="exact"/>
        <w:rPr>
          <w:sz w:val="20"/>
          <w:szCs w:val="20"/>
          <w:color w:val="auto"/>
        </w:rPr>
      </w:pPr>
    </w:p>
    <w:p>
      <w:pPr>
        <w:spacing w:after="0" w:line="30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EXHIBIT A</w:t>
      </w:r>
    </w:p>
    <w:p>
      <w:pPr>
        <w:jc w:val="center"/>
        <w:ind w:right="-1100"/>
        <w:spacing w:after="0"/>
        <w:rPr>
          <w:sz w:val="20"/>
          <w:szCs w:val="20"/>
          <w:color w:val="auto"/>
        </w:rPr>
      </w:pPr>
      <w:r>
        <w:rPr>
          <w:rFonts w:ascii="Arial" w:cs="Arial" w:eastAsia="Arial" w:hAnsi="Arial"/>
          <w:sz w:val="21"/>
          <w:szCs w:val="21"/>
          <w:b w:val="1"/>
          <w:bCs w:val="1"/>
          <w:color w:val="auto"/>
        </w:rPr>
        <w:t>STRUCTURE OF ZANIDATAMAB</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10139"/>
          </w:cols>
          <w:pgMar w:left="320" w:top="1440" w:right="1440" w:bottom="1440" w:gutter="0" w:footer="0" w:header="0"/>
        </w:sectPr>
      </w:pPr>
    </w:p>
    <w:bookmarkStart w:id="242" w:name="page243"/>
    <w:bookmarkEnd w:id="242"/>
    <w:p>
      <w:pPr>
        <w:jc w:val="center"/>
        <w:ind w:right="-19"/>
        <w:spacing w:after="0"/>
        <w:rPr>
          <w:sz w:val="20"/>
          <w:szCs w:val="20"/>
          <w:color w:val="auto"/>
        </w:rPr>
      </w:pPr>
      <w:r>
        <w:rPr>
          <w:rFonts w:ascii="Arial" w:cs="Arial" w:eastAsia="Arial" w:hAnsi="Arial"/>
          <w:sz w:val="22"/>
          <w:szCs w:val="22"/>
          <w:b w:val="1"/>
          <w:bCs w:val="1"/>
          <w:color w:val="auto"/>
        </w:rPr>
        <w:t>EXHIBIT B</w:t>
      </w:r>
    </w:p>
    <w:p>
      <w:pPr>
        <w:jc w:val="center"/>
        <w:ind w:right="-19"/>
        <w:spacing w:after="0"/>
        <w:rPr>
          <w:sz w:val="20"/>
          <w:szCs w:val="20"/>
          <w:color w:val="auto"/>
        </w:rPr>
      </w:pPr>
      <w:r>
        <w:rPr>
          <w:rFonts w:ascii="Arial" w:cs="Arial" w:eastAsia="Arial" w:hAnsi="Arial"/>
          <w:sz w:val="22"/>
          <w:szCs w:val="22"/>
          <w:b w:val="1"/>
          <w:bCs w:val="1"/>
          <w:color w:val="auto"/>
        </w:rPr>
        <w:t>JOINT PRESS RELEASE</w:t>
      </w:r>
    </w:p>
    <w:p>
      <w:pPr>
        <w:spacing w:after="0" w:line="155" w:lineRule="exact"/>
        <w:rPr>
          <w:sz w:val="20"/>
          <w:szCs w:val="20"/>
          <w:color w:val="auto"/>
        </w:rPr>
      </w:pPr>
    </w:p>
    <w:p>
      <w:pPr>
        <w:jc w:val="center"/>
        <w:spacing w:after="0" w:line="235" w:lineRule="auto"/>
        <w:rPr>
          <w:sz w:val="20"/>
          <w:szCs w:val="20"/>
          <w:color w:val="auto"/>
        </w:rPr>
      </w:pPr>
      <w:r>
        <w:rPr>
          <w:rFonts w:ascii="Arial" w:cs="Arial" w:eastAsia="Arial" w:hAnsi="Arial"/>
          <w:sz w:val="22"/>
          <w:szCs w:val="22"/>
          <w:b w:val="1"/>
          <w:bCs w:val="1"/>
          <w:color w:val="auto"/>
        </w:rPr>
        <w:t>Jazz Pharmaceuticals and Zymeworks Announce Exclusive License Agreement to Develop and Commercialize Zanidatamab, a HER2-Targeted Bispecific Antibody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Jazz to obtain exclusive development and commercialization rights in key markets</w:t>
      </w:r>
    </w:p>
    <w:p>
      <w:pPr>
        <w:jc w:val="center"/>
        <w:ind w:right="-19"/>
        <w:spacing w:after="0"/>
        <w:rPr>
          <w:sz w:val="20"/>
          <w:szCs w:val="20"/>
          <w:color w:val="auto"/>
        </w:rPr>
      </w:pPr>
      <w:r>
        <w:rPr>
          <w:rFonts w:ascii="Arial" w:cs="Arial" w:eastAsia="Arial" w:hAnsi="Arial"/>
          <w:sz w:val="22"/>
          <w:szCs w:val="22"/>
          <w:i w:val="1"/>
          <w:iCs w:val="1"/>
          <w:color w:val="auto"/>
        </w:rPr>
        <w:t>including the U.S., Europe and Japan</w:t>
      </w:r>
    </w:p>
    <w:p>
      <w:pPr>
        <w:spacing w:after="0" w:line="188" w:lineRule="exact"/>
        <w:rPr>
          <w:sz w:val="20"/>
          <w:szCs w:val="20"/>
          <w:color w:val="auto"/>
        </w:rPr>
      </w:pPr>
    </w:p>
    <w:p>
      <w:pPr>
        <w:jc w:val="center"/>
        <w:spacing w:after="0" w:line="223" w:lineRule="auto"/>
        <w:rPr>
          <w:sz w:val="20"/>
          <w:szCs w:val="20"/>
          <w:color w:val="auto"/>
        </w:rPr>
      </w:pPr>
      <w:r>
        <w:rPr>
          <w:rFonts w:ascii="Arial" w:cs="Arial" w:eastAsia="Arial" w:hAnsi="Arial"/>
          <w:sz w:val="22"/>
          <w:szCs w:val="22"/>
          <w:i w:val="1"/>
          <w:iCs w:val="1"/>
          <w:color w:val="auto"/>
        </w:rPr>
        <w:t>Zymeworks to receive $50 million upfront payment, a second payment of $325 million, at Jazz’s option, and further potential regulatory and commercial milestones for total potential payments of up to $1.76 billion, plus royalties on net sales</w:t>
      </w:r>
    </w:p>
    <w:p>
      <w:pPr>
        <w:spacing w:after="0" w:line="159" w:lineRule="exact"/>
        <w:rPr>
          <w:sz w:val="20"/>
          <w:szCs w:val="20"/>
          <w:color w:val="auto"/>
        </w:rPr>
      </w:pPr>
    </w:p>
    <w:p>
      <w:pPr>
        <w:ind w:left="1000"/>
        <w:spacing w:after="0"/>
        <w:rPr>
          <w:sz w:val="20"/>
          <w:szCs w:val="20"/>
          <w:color w:val="auto"/>
        </w:rPr>
      </w:pPr>
      <w:r>
        <w:rPr>
          <w:rFonts w:ascii="Arial" w:cs="Arial" w:eastAsia="Arial" w:hAnsi="Arial"/>
          <w:sz w:val="21"/>
          <w:szCs w:val="21"/>
          <w:i w:val="1"/>
          <w:iCs w:val="1"/>
          <w:color w:val="auto"/>
        </w:rPr>
        <w:t>Jazz continues to expand oncology portfolio with novel late-stage asset with compelling anti-tumor activity</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19"/>
          <w:szCs w:val="19"/>
          <w:i w:val="1"/>
          <w:iCs w:val="1"/>
          <w:color w:val="auto"/>
        </w:rPr>
        <w:t>Top-line clinical data for zanidatamab in biliary tract cancer (HERIZON-BTC-01) expected by end of 2022; potential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support first global regulatory filings</w:t>
      </w:r>
    </w:p>
    <w:p>
      <w:pPr>
        <w:spacing w:after="0" w:line="200" w:lineRule="exact"/>
        <w:rPr>
          <w:sz w:val="20"/>
          <w:szCs w:val="20"/>
          <w:color w:val="auto"/>
        </w:rPr>
      </w:pPr>
    </w:p>
    <w:p>
      <w:pPr>
        <w:spacing w:after="0" w:line="225" w:lineRule="exact"/>
        <w:rPr>
          <w:sz w:val="20"/>
          <w:szCs w:val="20"/>
          <w:color w:val="auto"/>
        </w:rPr>
      </w:pPr>
    </w:p>
    <w:p>
      <w:pPr>
        <w:spacing w:after="0" w:line="217" w:lineRule="auto"/>
        <w:rPr>
          <w:sz w:val="20"/>
          <w:szCs w:val="20"/>
          <w:color w:val="auto"/>
        </w:rPr>
      </w:pPr>
      <w:r>
        <w:rPr>
          <w:rFonts w:ascii="Arial" w:cs="Arial" w:eastAsia="Arial" w:hAnsi="Arial"/>
          <w:sz w:val="22"/>
          <w:szCs w:val="22"/>
          <w:b w:val="1"/>
          <w:bCs w:val="1"/>
          <w:color w:val="auto"/>
        </w:rPr>
        <w:t xml:space="preserve">DUBLIN and VANCOUVER – October 19, 2022 – </w:t>
      </w:r>
      <w:r>
        <w:rPr>
          <w:rFonts w:ascii="Arial" w:cs="Arial" w:eastAsia="Arial" w:hAnsi="Arial"/>
          <w:sz w:val="22"/>
          <w:szCs w:val="22"/>
          <w:color w:val="auto"/>
        </w:rPr>
        <w:t>Jazz Pharmaceuticals plc (Nasdaq: JAZZ) and Zymeworks Inc. (NYSE:</w:t>
      </w:r>
      <w:r>
        <w:rPr>
          <w:rFonts w:ascii="Arial" w:cs="Arial" w:eastAsia="Arial" w:hAnsi="Arial"/>
          <w:sz w:val="22"/>
          <w:szCs w:val="22"/>
          <w:b w:val="1"/>
          <w:bCs w:val="1"/>
          <w:color w:val="auto"/>
        </w:rPr>
        <w:t xml:space="preserve"> </w:t>
      </w:r>
      <w:r>
        <w:rPr>
          <w:rFonts w:ascii="Arial" w:cs="Arial" w:eastAsia="Arial" w:hAnsi="Arial"/>
          <w:sz w:val="22"/>
          <w:szCs w:val="22"/>
          <w:color w:val="auto"/>
        </w:rPr>
        <w:t>ZYME) today announced that Jazz and Zymeworks’ subsidiary, Zymeworks BC Inc., have entered into an exclusive licensing agreement under which Jazz will acquire development and commercialization rights to Zymeworks’ zanidatamab across all indications in the United States, Europe, Japan and all other territories except for those Asia/Pacific territories previously licensed by Zymeworks.</w:t>
      </w:r>
    </w:p>
    <w:p>
      <w:pPr>
        <w:spacing w:after="0" w:line="185"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"Zanidatamab is a novel HER2-targeted bispecific antibody with biparatopic binding and the potential to transform the current standard of care in multiple HER2 expressing cancers," said Rob Iannone, M.D., M.S.C.E., executive vice president, global head of research and development of Jazz Pharmaceuticals. “This agreement reflects Jazz’s strategic focus on opportunities where we can not only apply advanced technologies to address critical unmet patient needs, but where we can also leverage Jazz’s existing integrated capabilities and global infrastructure to commercialize efficiently. Zanidatamab has the potential to deliver significant long-term value and meaningfully contribute to Vision 2025 as we aim to deliver at least five novel therapies to patients by the end of the decade. We are pleased to expand our growing oncology pipeline with a late-stage program, and today’s announcement further demonstrates our commitment to delivering novel oncology therapies.”</w:t>
      </w:r>
    </w:p>
    <w:p>
      <w:pPr>
        <w:spacing w:after="0" w:line="179"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color w:val="auto"/>
        </w:rPr>
        <w:t>“In partnering with Jazz, we are thrilled to be working with a leading global biopharmaceutical team that brings a wealth of development and commercial experience in oncology and shares our vision and passion for working hard every day to improve outcomes for cancer patients around the world," said Kenneth Galbraith, Chair &amp; CEO of Zymeworks. “Zymeworks and Jazz are committed to advancing the development of zanidatamab as rapidly as possible, with the potential to provide a foundational HER2-targeted therapy for patients with difficult-to-treat cancers who currently have limited treatment options.”</w:t>
      </w:r>
    </w:p>
    <w:p>
      <w:pPr>
        <w:spacing w:after="0" w:line="176" w:lineRule="exact"/>
        <w:rPr>
          <w:sz w:val="20"/>
          <w:szCs w:val="20"/>
          <w:color w:val="auto"/>
        </w:rPr>
      </w:pPr>
    </w:p>
    <w:p>
      <w:pPr>
        <w:ind w:right="140"/>
        <w:spacing w:after="0" w:line="214" w:lineRule="auto"/>
        <w:rPr>
          <w:sz w:val="20"/>
          <w:szCs w:val="20"/>
          <w:color w:val="auto"/>
        </w:rPr>
      </w:pPr>
      <w:r>
        <w:rPr>
          <w:rFonts w:ascii="Arial" w:cs="Arial" w:eastAsia="Arial" w:hAnsi="Arial"/>
          <w:sz w:val="22"/>
          <w:szCs w:val="22"/>
          <w:color w:val="auto"/>
        </w:rPr>
        <w:t>Zanidatamab, a HER2-targeted bispecific antibody with novel mechanisms of action, has demonstrated compelling anti-tumor activity in several HER2-expressing cancers, both as monotherapy and in combination with chemotherapy and other agents. Zanidatamab is currently in pivotal trials as a second-line treatment for HER2-expressing biliary tract cancer (BTC) and as a first-line treatment for HER2-positive gastroesophageal adenocarcinoma (GEA). In BTC, where no HER2-targeted therapies are currently approved, the U.S. Food and Drug Administration (FDA) has granted Breakthrough Therapy designation for zanidatamab,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B-1</w:t>
      </w:r>
    </w:p>
    <w:p>
      <w:pPr>
        <w:sectPr>
          <w:pgSz w:w="11900" w:h="16838" w:orient="portrait"/>
          <w:cols w:equalWidth="0" w:num="1">
            <w:col w:w="11240"/>
          </w:cols>
          <w:pgMar w:left="320" w:top="1382" w:right="339" w:bottom="1440" w:gutter="0" w:footer="0" w:header="0"/>
        </w:sectPr>
      </w:pPr>
    </w:p>
    <w:bookmarkStart w:id="243" w:name="page244"/>
    <w:bookmarkEnd w:id="243"/>
    <w:p>
      <w:pPr>
        <w:spacing w:after="0" w:line="232" w:lineRule="auto"/>
        <w:rPr>
          <w:sz w:val="20"/>
          <w:szCs w:val="20"/>
          <w:color w:val="auto"/>
        </w:rPr>
      </w:pPr>
      <w:r>
        <w:rPr>
          <w:rFonts w:ascii="Arial" w:cs="Arial" w:eastAsia="Arial" w:hAnsi="Arial"/>
          <w:sz w:val="22"/>
          <w:szCs w:val="22"/>
          <w:color w:val="auto"/>
        </w:rPr>
        <w:t>positioning it as a potential first-in-class therapy. In GEA, based on Phase 2 data, zanidatamab in combination with chemotherapy has the potential to be a best-in-class therapy.</w:t>
      </w:r>
    </w:p>
    <w:p>
      <w:pPr>
        <w:spacing w:after="0" w:line="186" w:lineRule="exact"/>
        <w:rPr>
          <w:sz w:val="20"/>
          <w:szCs w:val="20"/>
          <w:color w:val="auto"/>
        </w:rPr>
      </w:pPr>
    </w:p>
    <w:p>
      <w:pPr>
        <w:ind w:right="200"/>
        <w:spacing w:after="0" w:line="218" w:lineRule="auto"/>
        <w:rPr>
          <w:sz w:val="20"/>
          <w:szCs w:val="20"/>
          <w:color w:val="auto"/>
        </w:rPr>
      </w:pPr>
      <w:r>
        <w:rPr>
          <w:rFonts w:ascii="Arial" w:cs="Arial" w:eastAsia="Arial" w:hAnsi="Arial"/>
          <w:sz w:val="22"/>
          <w:szCs w:val="22"/>
          <w:color w:val="auto"/>
        </w:rPr>
        <w:t>Zanidatamab is based on Zymeworks’ Azymetric™ platform and can simultaneously bind two non-overlapping epitopes of HER2, which is known as biparatopic binding. This innovative design results in multiple novel mechanisms of action including dual HER2 signal blockade, enhanced binding and removal of HER2 protein from the cell surface, and potent effector function leading to encouraging antitumor activity in patients.</w:t>
      </w:r>
    </w:p>
    <w:p>
      <w:pPr>
        <w:spacing w:after="0" w:line="188" w:lineRule="exact"/>
        <w:rPr>
          <w:sz w:val="20"/>
          <w:szCs w:val="20"/>
          <w:color w:val="auto"/>
        </w:rPr>
      </w:pPr>
    </w:p>
    <w:p>
      <w:pPr>
        <w:ind w:right="120"/>
        <w:spacing w:after="0" w:line="249" w:lineRule="auto"/>
        <w:rPr>
          <w:sz w:val="20"/>
          <w:szCs w:val="20"/>
          <w:color w:val="auto"/>
        </w:rPr>
      </w:pPr>
      <w:r>
        <w:rPr>
          <w:rFonts w:ascii="Arial" w:cs="Arial" w:eastAsia="Arial" w:hAnsi="Arial"/>
          <w:sz w:val="19"/>
          <w:szCs w:val="19"/>
          <w:color w:val="auto"/>
        </w:rPr>
        <w:t>FDA has granted Breakthrough Therapy designation for zanidatamab in patients with previously treated HER2 gene-amplified BTC, and two Fast Track designations for zanidatamab, one as a single agent for refractory BTC and one in combination with standard of care chemotherapy, for first-line GEA. These designations mean zanidatamab is eligible for Accelerated Approval, Priority Review and Rolling Review, as well as FDA guidance on an efficient drug development program. Zanidatamab has also received Orphan Drug designations from FDA for the treatment of biliary tract and gastric cancers, as well as Orphan Drug designation from the European Medicines Agency for the treatment of gastric cancer.</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 Terms</w:t>
      </w:r>
    </w:p>
    <w:p>
      <w:pPr>
        <w:spacing w:after="0" w:line="204" w:lineRule="auto"/>
        <w:rPr>
          <w:sz w:val="20"/>
          <w:szCs w:val="20"/>
          <w:color w:val="auto"/>
        </w:rPr>
      </w:pPr>
      <w:r>
        <w:rPr>
          <w:rFonts w:ascii="Arial" w:cs="Arial" w:eastAsia="Arial" w:hAnsi="Arial"/>
          <w:sz w:val="22"/>
          <w:szCs w:val="22"/>
          <w:color w:val="auto"/>
        </w:rPr>
        <w:t>Under the terms of the agreement, Jazz will receive an exclusive license to develop and commercialize</w:t>
      </w:r>
    </w:p>
    <w:p>
      <w:pPr>
        <w:spacing w:after="0" w:line="1" w:lineRule="exact"/>
        <w:rPr>
          <w:sz w:val="20"/>
          <w:szCs w:val="20"/>
          <w:color w:val="auto"/>
        </w:rPr>
      </w:pPr>
    </w:p>
    <w:p>
      <w:pPr>
        <w:ind w:right="40"/>
        <w:spacing w:after="0" w:line="209" w:lineRule="auto"/>
        <w:rPr>
          <w:sz w:val="20"/>
          <w:szCs w:val="20"/>
          <w:color w:val="auto"/>
        </w:rPr>
      </w:pPr>
      <w:r>
        <w:rPr>
          <w:rFonts w:ascii="Arial" w:cs="Arial" w:eastAsia="Arial" w:hAnsi="Arial"/>
          <w:sz w:val="22"/>
          <w:szCs w:val="22"/>
          <w:color w:val="auto"/>
        </w:rPr>
        <w:t>zanidatamab in the United States, Europe, Japan and all other territories except for those Asia/Pacific territories that Zymeworks previously licensed to BeiGene, Ltd. Zymeworks is eligible to receive a $50 million upfront payment, following receipt of the clearance relating to the United States Hart-Scott Rodino Antitrust Improvements Act of 1976 (such clearance, the “HSR Clearance”), and should Jazz decide to continue the collaboration following readout of the top-line clinical data from HERIZON-BTC-01, a second, one-time payment of $325 million. Zymeworks is also eligible to receive up to $525 million upon the achievement of certain regulatory milestones and up to $862.5 million in potential commercial milestone payments, for total potential payments of up to $1.76 billion. Pending approval, Zymeworks is eligible to receive tiered royalties between 10% and 20% on Jazz’s net sales.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Closing of the agreement is subject to expiration or termination of the waiting period under the Hart-Scott-Rodino Act of 1976.</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The transaction is expected to close within the 2022 calendar year.</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Zymeworks management will host a conference call and webcast for investors and analysts on October 19, 2022, at 8:00 a.m. ET.</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Interested parties should refer to the separate press release issued by Zymeworks for additional details.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Zanidatamab</w:t>
      </w:r>
    </w:p>
    <w:p>
      <w:pPr>
        <w:ind w:right="80"/>
        <w:spacing w:after="0" w:line="247" w:lineRule="auto"/>
        <w:rPr>
          <w:sz w:val="20"/>
          <w:szCs w:val="20"/>
          <w:color w:val="auto"/>
        </w:rPr>
      </w:pPr>
      <w:r>
        <w:rPr>
          <w:rFonts w:ascii="Arial" w:cs="Arial" w:eastAsia="Arial" w:hAnsi="Arial"/>
          <w:sz w:val="19"/>
          <w:szCs w:val="19"/>
          <w:color w:val="auto"/>
        </w:rPr>
        <w:t>Zanidatamab is a bispecific antibody, based on Zymeworks’ Azymetric™ platform, that can simultaneously bind two non-overlapping epitopes of HER2, known as biparatopic binding. This unique design results in multiple mechanisms of action including dual HER2 signal blockade, increased binding and removal of HER2 protein from the cell surface, and potent effector function leading to encouraging antitumor activity in patients. Zymeworks is developing zanidatamab in multiple Phase 1, Phase 2 and pivotal clinical trials globally as a targeted treatment option for patients with solid tumors that express HER2.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B-2</w:t>
      </w:r>
    </w:p>
    <w:p>
      <w:pPr>
        <w:sectPr>
          <w:pgSz w:w="11900" w:h="16838" w:orient="portrait"/>
          <w:cols w:equalWidth="0" w:num="1">
            <w:col w:w="11220"/>
          </w:cols>
          <w:pgMar w:left="320" w:top="1401" w:right="359" w:bottom="1440" w:gutter="0" w:footer="0" w:header="0"/>
        </w:sectPr>
      </w:pPr>
    </w:p>
    <w:bookmarkStart w:id="244" w:name="page245"/>
    <w:bookmarkEnd w:id="244"/>
    <w:p>
      <w:pPr>
        <w:spacing w:after="0"/>
        <w:rPr>
          <w:sz w:val="20"/>
          <w:szCs w:val="20"/>
          <w:color w:val="auto"/>
        </w:rPr>
      </w:pPr>
      <w:r>
        <w:rPr>
          <w:rFonts w:ascii="Arial" w:cs="Arial" w:eastAsia="Arial" w:hAnsi="Arial"/>
          <w:sz w:val="22"/>
          <w:szCs w:val="22"/>
          <w:b w:val="1"/>
          <w:bCs w:val="1"/>
          <w:color w:val="auto"/>
        </w:rPr>
        <w:t>About Biliary Tract Cancers</w:t>
      </w:r>
    </w:p>
    <w:p>
      <w:pPr>
        <w:ind w:right="200"/>
        <w:spacing w:after="0" w:line="193" w:lineRule="auto"/>
        <w:rPr>
          <w:sz w:val="20"/>
          <w:szCs w:val="20"/>
          <w:color w:val="auto"/>
        </w:rPr>
      </w:pPr>
      <w:r>
        <w:rPr>
          <w:rFonts w:ascii="Arial" w:cs="Arial" w:eastAsia="Arial" w:hAnsi="Arial"/>
          <w:sz w:val="21"/>
          <w:szCs w:val="21"/>
          <w:color w:val="auto"/>
        </w:rPr>
        <w:t>Biliary tract cancers (BTC), including gallbladder cancer and cholangiocarcinoma, account for approximately 3% of all adult cancers and are often associated with a poor prognosis</w:t>
      </w:r>
      <w:r>
        <w:rPr>
          <w:rFonts w:ascii="Arial" w:cs="Arial" w:eastAsia="Arial" w:hAnsi="Arial"/>
          <w:sz w:val="27"/>
          <w:szCs w:val="27"/>
          <w:color w:val="auto"/>
          <w:vertAlign w:val="superscript"/>
        </w:rPr>
        <w:t>1</w:t>
      </w:r>
      <w:r>
        <w:rPr>
          <w:rFonts w:ascii="Arial" w:cs="Arial" w:eastAsia="Arial" w:hAnsi="Arial"/>
          <w:sz w:val="21"/>
          <w:szCs w:val="21"/>
          <w:color w:val="auto"/>
        </w:rPr>
        <w:t>. Globally, more than 210,000 people are diagnosed with BTC every year</w:t>
      </w:r>
      <w:r>
        <w:rPr>
          <w:rFonts w:ascii="Arial" w:cs="Arial" w:eastAsia="Arial" w:hAnsi="Arial"/>
          <w:sz w:val="27"/>
          <w:szCs w:val="27"/>
          <w:color w:val="auto"/>
          <w:vertAlign w:val="superscript"/>
        </w:rPr>
        <w:t>2</w:t>
      </w:r>
      <w:r>
        <w:rPr>
          <w:rFonts w:ascii="Arial" w:cs="Arial" w:eastAsia="Arial" w:hAnsi="Arial"/>
          <w:sz w:val="21"/>
          <w:szCs w:val="21"/>
          <w:color w:val="auto"/>
        </w:rPr>
        <w:t xml:space="preserve"> and most patients (&gt; 65%) are diagnosed with tumors that cannot be removed surgically. The human epidermal growth factor receptor 2 (HER2) is a well-validated target for anti-cancer therapy. About 5% to 19% of patients with BTC have tumors that express HER2</w:t>
      </w:r>
      <w:r>
        <w:rPr>
          <w:rFonts w:ascii="Arial" w:cs="Arial" w:eastAsia="Arial" w:hAnsi="Arial"/>
          <w:sz w:val="27"/>
          <w:szCs w:val="27"/>
          <w:color w:val="auto"/>
          <w:vertAlign w:val="superscript"/>
        </w:rPr>
        <w:t>3</w:t>
      </w:r>
      <w:r>
        <w:rPr>
          <w:rFonts w:ascii="Arial" w:cs="Arial" w:eastAsia="Arial" w:hAnsi="Arial"/>
          <w:sz w:val="21"/>
          <w:szCs w:val="21"/>
          <w:color w:val="auto"/>
        </w:rPr>
        <w:t xml:space="preserve"> and may be positioned for potential benefit from HER2-targeted therapy. Currently no HER2-targeted therapy has been approved for the treatment of BTC.</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Gastroesophageal Adenocarcinoma</w:t>
      </w:r>
    </w:p>
    <w:p>
      <w:pPr>
        <w:ind w:right="320"/>
        <w:spacing w:after="0" w:line="229" w:lineRule="exact"/>
        <w:rPr>
          <w:sz w:val="20"/>
          <w:szCs w:val="20"/>
          <w:color w:val="auto"/>
        </w:rPr>
      </w:pPr>
      <w:r>
        <w:rPr>
          <w:rFonts w:ascii="Arial" w:cs="Arial" w:eastAsia="Arial" w:hAnsi="Arial"/>
          <w:sz w:val="22"/>
          <w:szCs w:val="22"/>
          <w:color w:val="auto"/>
        </w:rPr>
        <w:t>Gastroesophageal adenocarcinoma (GEA) is the fifth most common cancer worldwide and approximately 20% of patients are HER2</w:t>
      </w:r>
      <w:r>
        <w:rPr>
          <w:rFonts w:ascii="MS PGothic" w:cs="MS PGothic" w:eastAsia="MS PGothic" w:hAnsi="MS PGothic"/>
          <w:sz w:val="22"/>
          <w:szCs w:val="22"/>
          <w:color w:val="auto"/>
        </w:rPr>
        <w:t>‑</w:t>
      </w:r>
      <w:r>
        <w:rPr>
          <w:rFonts w:ascii="Arial" w:cs="Arial" w:eastAsia="Arial" w:hAnsi="Arial"/>
          <w:sz w:val="22"/>
          <w:szCs w:val="22"/>
          <w:color w:val="auto"/>
        </w:rPr>
        <w:t>positive. HER2</w:t>
      </w:r>
      <w:r>
        <w:rPr>
          <w:rFonts w:ascii="MS PGothic" w:cs="MS PGothic" w:eastAsia="MS PGothic" w:hAnsi="MS PGothic"/>
          <w:sz w:val="22"/>
          <w:szCs w:val="22"/>
          <w:color w:val="auto"/>
        </w:rPr>
        <w:t>‑</w:t>
      </w:r>
      <w:r>
        <w:rPr>
          <w:rFonts w:ascii="Arial" w:cs="Arial" w:eastAsia="Arial" w:hAnsi="Arial"/>
          <w:sz w:val="22"/>
          <w:szCs w:val="22"/>
          <w:color w:val="auto"/>
        </w:rPr>
        <w:t>positive GEA has high morbidity and mortality, and patients are urgently in need of new treatment options.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Jazz Pharmaceuticals plc</w:t>
      </w:r>
    </w:p>
    <w:p>
      <w:pPr>
        <w:ind w:right="140"/>
        <w:spacing w:after="0" w:line="244" w:lineRule="auto"/>
        <w:rPr>
          <w:sz w:val="20"/>
          <w:szCs w:val="20"/>
          <w:color w:val="auto"/>
        </w:rPr>
      </w:pPr>
      <w:r>
        <w:rPr>
          <w:rFonts w:ascii="Arial" w:cs="Arial" w:eastAsia="Arial" w:hAnsi="Arial"/>
          <w:sz w:val="19"/>
          <w:szCs w:val="19"/>
          <w:color w:val="auto"/>
        </w:rPr>
        <w:t>Jazz Pharmaceuticals plc (Nasdaq: JAZZ)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are identifying new options for patients by actively exploring small molecules and biologics, and through innovative delivery technologies and cannabinoid science. Jazz is headquartered in Dublin, Ireland and has employees around the globe, serving patients in nearly 75 countries. For more information, please visit www.jazzpharmaceuticals.com and follow @JazzPharma on Twitter.</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Zymeworks Inc.</w:t>
      </w:r>
    </w:p>
    <w:p>
      <w:pPr>
        <w:ind w:right="20"/>
        <w:spacing w:after="0" w:line="218" w:lineRule="auto"/>
        <w:rPr>
          <w:sz w:val="20"/>
          <w:szCs w:val="20"/>
          <w:color w:val="auto"/>
        </w:rPr>
      </w:pPr>
      <w:r>
        <w:rPr>
          <w:rFonts w:ascii="Arial" w:cs="Arial" w:eastAsia="Arial" w:hAnsi="Arial"/>
          <w:sz w:val="21"/>
          <w:szCs w:val="21"/>
          <w:color w:val="auto"/>
        </w:rPr>
        <w:t xml:space="preserve">Zymeworks is a clinical-stage biopharmaceutical company dedicated to the discovery, development and commercialization of next-generation multifunctional biotherapeutics. Zymeworks’ suite of therapeutic platforms and its fully integrated drug development engine enable precise engineering of highly differentiated product candidates. Zymeworks’ lead clinical candidate, zanidatamab, is a novel Azymetric™ HER2-targeted bispecific antibody currently being evaluated in multiple Phase 1, Phase 2, and pivotal clinical trials globally as a targeted treatment option for patients with solid tumors that express HER2. Zymeworks’ second clinical candidate, zanidatamab zovodotin (ZW49), is a novel bispecific HER2 -targeted antibody-drug conjugate currently in Phase 1 clinical development and combines the unique design and antibody framework of zanidatamab with Zymeworks’ proprietary ZymeLink™ linker and cytotoxin. Zymeworks is also advancing a deep preclinical pipeline in oncology (including immuno-oncology agents) and other therapeutic areas. In addition, its therapeutic platforms are being leveraged through strategic partnerships with global biopharmaceutical companies. For more information on our ongoing clinical trials visit </w:t>
      </w:r>
      <w:r>
        <w:rPr>
          <w:rFonts w:ascii="Arial" w:cs="Arial" w:eastAsia="Arial" w:hAnsi="Arial"/>
          <w:sz w:val="21"/>
          <w:szCs w:val="21"/>
          <w:u w:val="single" w:color="auto"/>
          <w:color w:val="0000FF"/>
        </w:rPr>
        <w:t>www.zymeworksclinicaltrials.com</w:t>
      </w:r>
      <w:r>
        <w:rPr>
          <w:rFonts w:ascii="Arial" w:cs="Arial" w:eastAsia="Arial" w:hAnsi="Arial"/>
          <w:sz w:val="21"/>
          <w:szCs w:val="21"/>
          <w:color w:val="auto"/>
        </w:rPr>
        <w:t xml:space="preserve">. For additional information about Zymeworks, visit </w:t>
      </w:r>
      <w:r>
        <w:rPr>
          <w:rFonts w:ascii="Arial" w:cs="Arial" w:eastAsia="Arial" w:hAnsi="Arial"/>
          <w:sz w:val="21"/>
          <w:szCs w:val="21"/>
          <w:u w:val="single" w:color="auto"/>
          <w:color w:val="0000FF"/>
        </w:rPr>
        <w:t>www.zymeworks.com</w:t>
      </w:r>
      <w:r>
        <w:rPr>
          <w:rFonts w:ascii="Arial" w:cs="Arial" w:eastAsia="Arial" w:hAnsi="Arial"/>
          <w:sz w:val="21"/>
          <w:szCs w:val="21"/>
          <w:color w:val="auto"/>
        </w:rPr>
        <w:t xml:space="preserve"> and follow </w:t>
      </w:r>
      <w:r>
        <w:rPr>
          <w:rFonts w:ascii="Arial" w:cs="Arial" w:eastAsia="Arial" w:hAnsi="Arial"/>
          <w:sz w:val="21"/>
          <w:szCs w:val="21"/>
          <w:u w:val="single" w:color="auto"/>
          <w:color w:val="0000FF"/>
        </w:rPr>
        <w:t>@ZymeworksInc</w:t>
      </w:r>
      <w:r>
        <w:rPr>
          <w:rFonts w:ascii="Arial" w:cs="Arial" w:eastAsia="Arial" w:hAnsi="Arial"/>
          <w:sz w:val="21"/>
          <w:szCs w:val="21"/>
          <w:color w:val="auto"/>
        </w:rPr>
        <w:t xml:space="preserve"> on Twitter.</w:t>
      </w:r>
    </w:p>
    <w:p>
      <w:pPr>
        <w:spacing w:after="0" w:line="272"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4"/>
          <w:szCs w:val="14"/>
          <w:color w:val="auto"/>
        </w:rPr>
        <w:t xml:space="preserve"> Valle JW, Lamarca A, Goyal L, Barriuso J, Zhu AX. New Horizons for precision medicine in biliary tract cancers. Cancer Discov. 2017;7(9):943-962.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714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46" w:lineRule="exact"/>
        <w:rPr>
          <w:sz w:val="20"/>
          <w:szCs w:val="20"/>
          <w:color w:val="auto"/>
        </w:rPr>
      </w:pPr>
    </w:p>
    <w:p>
      <w:pPr>
        <w:ind w:firstLine="8"/>
        <w:spacing w:after="0" w:line="181" w:lineRule="auto"/>
        <w:tabs>
          <w:tab w:leader="none" w:pos="115" w:val="left"/>
        </w:tabs>
        <w:numPr>
          <w:ilvl w:val="0"/>
          <w:numId w:val="175"/>
        </w:numPr>
        <w:rPr>
          <w:rFonts w:ascii="Arial" w:cs="Arial" w:eastAsia="Arial" w:hAnsi="Arial"/>
          <w:sz w:val="25"/>
          <w:szCs w:val="25"/>
          <w:color w:val="auto"/>
          <w:vertAlign w:val="superscript"/>
        </w:rPr>
      </w:pPr>
      <w:r>
        <w:rPr>
          <w:rFonts w:ascii="Arial" w:cs="Arial" w:eastAsia="Arial" w:hAnsi="Arial"/>
          <w:sz w:val="13"/>
          <w:szCs w:val="13"/>
          <w:color w:val="auto"/>
        </w:rPr>
        <w:t>GBD 2017 Disease and Injury Incidence and Prevalence Collaborators. Global, regional, and national incidence, prevalence, and years lived with disability for 354 diseases and injuries for 195 countries and territories, 1990-2017: a systematic analysis for the Global Burden of Disease Study 2017. Lancet. 2018;392(10159):1789-1858.</w:t>
      </w:r>
    </w:p>
    <w:p>
      <w:pPr>
        <w:spacing w:after="0" w:line="1" w:lineRule="exact"/>
        <w:rPr>
          <w:rFonts w:ascii="Arial" w:cs="Arial" w:eastAsia="Arial" w:hAnsi="Arial"/>
          <w:sz w:val="25"/>
          <w:szCs w:val="25"/>
          <w:color w:val="auto"/>
          <w:vertAlign w:val="superscript"/>
        </w:rPr>
      </w:pPr>
    </w:p>
    <w:p>
      <w:pPr>
        <w:ind w:right="260"/>
        <w:spacing w:after="0" w:line="182" w:lineRule="auto"/>
        <w:rPr>
          <w:rFonts w:ascii="Arial" w:cs="Arial" w:eastAsia="Arial" w:hAnsi="Arial"/>
          <w:sz w:val="25"/>
          <w:szCs w:val="25"/>
          <w:color w:val="auto"/>
          <w:vertAlign w:val="superscript"/>
        </w:rPr>
      </w:pPr>
      <w:r>
        <w:rPr>
          <w:rFonts w:ascii="Arial" w:cs="Arial" w:eastAsia="Arial" w:hAnsi="Arial"/>
          <w:sz w:val="24"/>
          <w:szCs w:val="24"/>
          <w:color w:val="auto"/>
          <w:vertAlign w:val="superscript"/>
        </w:rPr>
        <w:t>3</w:t>
      </w:r>
      <w:r>
        <w:rPr>
          <w:rFonts w:ascii="Arial" w:cs="Arial" w:eastAsia="Arial" w:hAnsi="Arial"/>
          <w:sz w:val="13"/>
          <w:szCs w:val="13"/>
          <w:color w:val="auto"/>
        </w:rPr>
        <w:t xml:space="preserve"> Galdy S, Lamarca A, McNamara MG, et al. HER2/HER3 pathway in biliary tract malignancies; systematic review and meta-analysis: a potential therapeutic target? Cancer Metastasis Rev. 2017;36(1):141-157.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Exhibit B-3</w:t>
      </w:r>
    </w:p>
    <w:p>
      <w:pPr>
        <w:sectPr>
          <w:pgSz w:w="11900" w:h="16838" w:orient="portrait"/>
          <w:cols w:equalWidth="0" w:num="1">
            <w:col w:w="11200"/>
          </w:cols>
          <w:pgMar w:left="320" w:top="1382" w:right="379"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b w:val="1"/>
          <w:bCs w:val="1"/>
          <w:color w:val="auto"/>
        </w:rPr>
        <w:t>Jazz Pharmaceuticals plc Caution Concerning Forward-Looking Statements</w:t>
      </w:r>
    </w:p>
    <w:p>
      <w:pPr>
        <w:spacing w:after="0"/>
        <w:rPr>
          <w:sz w:val="20"/>
          <w:szCs w:val="20"/>
          <w:color w:val="auto"/>
        </w:rPr>
      </w:pPr>
      <w:r>
        <w:rPr>
          <w:rFonts w:ascii="Arial" w:cs="Arial" w:eastAsia="Arial" w:hAnsi="Arial"/>
          <w:sz w:val="19"/>
          <w:szCs w:val="19"/>
          <w:color w:val="auto"/>
        </w:rPr>
        <w:t>This press release contains forward-looking statements, including, but not limited to, statements related to zanidatamab’s potential to be a best-in-class therapy in GEA and potential first-in-class therapy in BTC; zanidatamab’s potential to deliver significant long-term value and meaningfully contribute to Vision 2025; the potential future development, manufacturing, regulatory and commercialization activities; potential future payments by Jazz Pharmaceuticals to Zymeworks for development, regulatory and commercial milestones as well as tiered royalties based on future net sales; and other statements that are not historical facts. These forward-looking statements are based on Jazz Pharmaceuticals’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Jazz Pharmaceuticals’ ability to achieve the expected benefits (commercial or otherwise) from the license agreement; pharmaceutical product development and clinical success thereof; the regulatory approval process; effectively commercializing any product candidates; and other risks and uncertainties affecting Jazz Pharmaceuticals, including those described from time to time under the caption “Risk Factors” and elsewhere in Jazz Pharmaceuticals plc’s Securities and Exchange Commission filings and reports (Commission File No. 001-33500), including Jazz Pharmaceuticals’ Quarterly Report on Form 10-Q for the quarter ended June 30, 2022 and future filings and reports by Jazz Pharmaceuticals. Other risks and uncertainties of which Jazz Pharmaceuticals is not currently aware may also affect Jazz Pharmaceuticals’ forward-looking statements and may cause actual results and the timing of events to differ materially from those anticipated. The forward-looking statements herein are made only as of the date hereof or as of the dates indicated in the forward-looking statements, even if they are subsequently made available by Jazz Pharmaceuticals on its website or otherwise. Jazz Pharmaceuticals undertakes no obligation to update or supplement any forward-looking statements to reflect actual results, new information, future events, changes in its expectations or other circumstances that exist after the date as of which the forward-looking statements were made.</w:t>
      </w: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Zymeworks Cautionary Note Regarding Forward-Looking Statements</w:t>
      </w:r>
    </w:p>
    <w:p>
      <w:pPr>
        <w:ind w:right="100"/>
        <w:spacing w:after="0" w:line="239" w:lineRule="auto"/>
        <w:rPr>
          <w:sz w:val="20"/>
          <w:szCs w:val="20"/>
          <w:color w:val="auto"/>
        </w:rPr>
      </w:pPr>
      <w:r>
        <w:rPr>
          <w:rFonts w:ascii="Arial" w:cs="Arial" w:eastAsia="Arial" w:hAnsi="Arial"/>
          <w:sz w:val="19"/>
          <w:szCs w:val="19"/>
          <w:color w:val="auto"/>
        </w:rPr>
        <w:t>This press release includes “forward-looking statements” or information within the meaning of the applicable securities legislation, including Section 27A of the Securities Act of 1933, as amended, and Section 21E of the Securities Exchange Act of 1934, as amended. Forward-looking statements in this press release include, but are not limited to, statements that relate to the potential therapeutic effects and commercial potential of zanidatamab, zanidatamab zovodotin and Zymeworks’ other product candidates; the anticipated benefits of the license agreement with Jazz; Zymeworks’ ability to receive the upfront $50 million payment following expiration or termination of the waiting period under the Hart-Scott-Rodino Act and the anticipated timing thereof; Zymeworks’ ability to receive additional payments pursuant to the license agreement, including the additional $325 million following readout of the top-line clinical data from HERIZON-BTC-01, as well as any additional future milestone payments and royalties; the timing of and results of the interactions with regulators; the timing and status of ongoing and future studies and the related data; the commercial potential of zanidatamab and our and Jazz Pharmaceutical’s ability to obtain regulatory approval of and successfully commercialize zanidatamab the anticipated timing of closing of our agreement with Jazz Pharmaceuticals and satisfactions of closing conditions; and other information that is not historical information. When used herein, words such as “subject to”, “believes”, “future”, “anticipate”, “approximately”, “will”, “plans”, “may”, “potential”, and similar expressions are intended to identify forward-looking statements.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Zymeworks’ current expectations and various assumptions. Zymeworks believes there is a reasonable basis for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B-4</w:t>
      </w:r>
    </w:p>
    <w:p>
      <w:pPr>
        <w:sectPr>
          <w:pgSz w:w="11900" w:h="16838" w:orient="portrait"/>
          <w:cols w:equalWidth="0" w:num="1">
            <w:col w:w="11240"/>
          </w:cols>
          <w:pgMar w:left="320" w:top="1382" w:right="339" w:bottom="1440" w:gutter="0" w:footer="0" w:header="0"/>
        </w:sectPr>
      </w:pPr>
    </w:p>
    <w:bookmarkStart w:id="246" w:name="page247"/>
    <w:bookmarkEnd w:id="246"/>
    <w:p>
      <w:pPr>
        <w:spacing w:after="0" w:line="241" w:lineRule="auto"/>
        <w:rPr>
          <w:sz w:val="20"/>
          <w:szCs w:val="20"/>
          <w:color w:val="auto"/>
        </w:rPr>
      </w:pPr>
      <w:r>
        <w:rPr>
          <w:rFonts w:ascii="Arial" w:cs="Arial" w:eastAsia="Arial" w:hAnsi="Arial"/>
          <w:sz w:val="19"/>
          <w:szCs w:val="19"/>
          <w:color w:val="auto"/>
        </w:rPr>
        <w:t>expectations and beliefs, but they are inherently uncertain. Zymeworks may not realize its expectations, and its beliefs may not prove correct. Actual results could differ materially from those described or implied by such forward-looking statements as a result of various factors, including, without limitation: any of Zymeworks’ or its partners’ product candidates may fail in development, may not receive required regulatory approvals, or may be delayed to a point where they are not commercially viable; Zymeworks may not achieve milestones or receive additional payments under its collaborations, including the anticipated upfront payments from Zymeworks’ agreement with Jazz; expiration or termination of the waiting period under the Hart-Scott-Rodino Act may be delayed or may not be received at all; regulatory agencies may impose additional requirements or delay the initiation of clinical trials; the impact of new or changing laws and regulations; market conditions; the impact of the COVID-19 pandemic on Zymeworks’ business, research and clinical development plans and timelines and results of operations, including impact on its clinical trial sites, collaborators, and contractors who act for or on Zymeworks’ behalf, may be more severe and more prolonged than currently anticipated; clinical trials may not demonstrate safety and efficacy of any of Zymeworks’ or its collaborators’ product candidates; any of Zymeworks’ or its partners’ product candidates; Jazz may decide not to proceed with the collaboration following readout of the top-line clinical data from HERIZON-BTC-01; Zymeworks may be unable to maintain or enter into new partnerships or strategic collaborations and the factors described under “Risk Factors” in Zymeworks’ quarterly and annual reports filed with the Securities and Exchange Commission, including its Quarterly Report on Form 10-Q for its quarter ended June 30, 2022 (a copy of which may be obtained at www.sec.gov and www.sedar.com).</w:t>
      </w:r>
    </w:p>
    <w:p>
      <w:pPr>
        <w:spacing w:after="0" w:line="189"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auto"/>
        </w:rPr>
        <w:t>Although Zymeworks believes that such forward-looking statements are reasonable, there can be no assurance they will prove to be correct. Investors should not place undue reliance on forward-looking statements. The above assumptions, risks and uncertainties are not exhaustive. Forward-looking statements are made as of the date hereof and, except as may be required by law, Zymeworks undertakes no obligation to update, republish, or revise any forward-looking statements to reflect new information, future events or circumstances or to reflect the occurrences of unanticipated events.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Jazz Media Contact:</w:t>
      </w:r>
    </w:p>
    <w:p>
      <w:pPr>
        <w:spacing w:after="0" w:line="204" w:lineRule="auto"/>
        <w:rPr>
          <w:sz w:val="20"/>
          <w:szCs w:val="20"/>
          <w:color w:val="auto"/>
        </w:rPr>
      </w:pPr>
      <w:r>
        <w:rPr>
          <w:rFonts w:ascii="Arial" w:cs="Arial" w:eastAsia="Arial" w:hAnsi="Arial"/>
          <w:sz w:val="22"/>
          <w:szCs w:val="22"/>
          <w:color w:val="auto"/>
        </w:rPr>
        <w:t>Kristin Bhavnani</w:t>
      </w:r>
    </w:p>
    <w:p>
      <w:pPr>
        <w:spacing w:after="0" w:line="205" w:lineRule="auto"/>
        <w:rPr>
          <w:sz w:val="20"/>
          <w:szCs w:val="20"/>
          <w:color w:val="auto"/>
        </w:rPr>
      </w:pPr>
      <w:r>
        <w:rPr>
          <w:rFonts w:ascii="Arial" w:cs="Arial" w:eastAsia="Arial" w:hAnsi="Arial"/>
          <w:sz w:val="22"/>
          <w:szCs w:val="22"/>
          <w:color w:val="auto"/>
        </w:rPr>
        <w:t>Head of Global Corporate Communications</w:t>
      </w:r>
    </w:p>
    <w:p>
      <w:pPr>
        <w:spacing w:after="0" w:line="205" w:lineRule="auto"/>
        <w:rPr>
          <w:sz w:val="20"/>
          <w:szCs w:val="20"/>
          <w:color w:val="auto"/>
        </w:rPr>
      </w:pPr>
      <w:r>
        <w:rPr>
          <w:rFonts w:ascii="Arial" w:cs="Arial" w:eastAsia="Arial" w:hAnsi="Arial"/>
          <w:sz w:val="22"/>
          <w:szCs w:val="22"/>
          <w:color w:val="auto"/>
        </w:rPr>
        <w:t>Jazz Pharmaceuticals plc</w:t>
      </w:r>
    </w:p>
    <w:p>
      <w:pPr>
        <w:spacing w:after="0" w:line="205" w:lineRule="auto"/>
        <w:rPr>
          <w:sz w:val="20"/>
          <w:szCs w:val="20"/>
          <w:color w:val="auto"/>
        </w:rPr>
      </w:pPr>
      <w:r>
        <w:rPr>
          <w:rFonts w:ascii="Arial" w:cs="Arial" w:eastAsia="Arial" w:hAnsi="Arial"/>
          <w:sz w:val="22"/>
          <w:szCs w:val="22"/>
          <w:color w:val="auto"/>
        </w:rPr>
        <w:t>CorporateAffairsMediaInfo@jazzpharma.com</w:t>
      </w:r>
    </w:p>
    <w:p>
      <w:pPr>
        <w:spacing w:after="0" w:line="205" w:lineRule="auto"/>
        <w:rPr>
          <w:sz w:val="20"/>
          <w:szCs w:val="20"/>
          <w:color w:val="auto"/>
        </w:rPr>
      </w:pPr>
      <w:r>
        <w:rPr>
          <w:rFonts w:ascii="Arial" w:cs="Arial" w:eastAsia="Arial" w:hAnsi="Arial"/>
          <w:sz w:val="22"/>
          <w:szCs w:val="22"/>
          <w:color w:val="auto"/>
        </w:rPr>
        <w:t>Ireland +353 1 637 2141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U.S. +1 215 867 4948</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Jazz Investor Contact:</w:t>
      </w:r>
    </w:p>
    <w:p>
      <w:pPr>
        <w:spacing w:after="0" w:line="204" w:lineRule="auto"/>
        <w:rPr>
          <w:sz w:val="20"/>
          <w:szCs w:val="20"/>
          <w:color w:val="auto"/>
        </w:rPr>
      </w:pPr>
      <w:r>
        <w:rPr>
          <w:rFonts w:ascii="Arial" w:cs="Arial" w:eastAsia="Arial" w:hAnsi="Arial"/>
          <w:sz w:val="22"/>
          <w:szCs w:val="22"/>
          <w:color w:val="auto"/>
        </w:rPr>
        <w:t>Andrea N. Flynn, Ph.D.</w:t>
      </w:r>
    </w:p>
    <w:p>
      <w:pPr>
        <w:spacing w:after="0" w:line="205" w:lineRule="auto"/>
        <w:rPr>
          <w:sz w:val="20"/>
          <w:szCs w:val="20"/>
          <w:color w:val="auto"/>
        </w:rPr>
      </w:pPr>
      <w:r>
        <w:rPr>
          <w:rFonts w:ascii="Arial" w:cs="Arial" w:eastAsia="Arial" w:hAnsi="Arial"/>
          <w:sz w:val="22"/>
          <w:szCs w:val="22"/>
          <w:color w:val="auto"/>
        </w:rPr>
        <w:t>Vice President, Head, Investor Relations</w:t>
      </w:r>
    </w:p>
    <w:p>
      <w:pPr>
        <w:spacing w:after="0" w:line="205" w:lineRule="auto"/>
        <w:rPr>
          <w:sz w:val="20"/>
          <w:szCs w:val="20"/>
          <w:color w:val="auto"/>
        </w:rPr>
      </w:pPr>
      <w:r>
        <w:rPr>
          <w:rFonts w:ascii="Arial" w:cs="Arial" w:eastAsia="Arial" w:hAnsi="Arial"/>
          <w:sz w:val="22"/>
          <w:szCs w:val="22"/>
          <w:color w:val="auto"/>
        </w:rPr>
        <w:t>Jazz Pharmaceuticals plc</w:t>
      </w:r>
    </w:p>
    <w:p>
      <w:pPr>
        <w:spacing w:after="0" w:line="205" w:lineRule="auto"/>
        <w:rPr>
          <w:sz w:val="20"/>
          <w:szCs w:val="20"/>
          <w:color w:val="auto"/>
        </w:rPr>
      </w:pPr>
      <w:r>
        <w:rPr>
          <w:rFonts w:ascii="Arial" w:cs="Arial" w:eastAsia="Arial" w:hAnsi="Arial"/>
          <w:sz w:val="22"/>
          <w:szCs w:val="22"/>
          <w:color w:val="auto"/>
        </w:rPr>
        <w:t>investorinfo@jazzpharma.com</w:t>
      </w:r>
    </w:p>
    <w:p>
      <w:pPr>
        <w:spacing w:after="0" w:line="205" w:lineRule="auto"/>
        <w:rPr>
          <w:sz w:val="20"/>
          <w:szCs w:val="20"/>
          <w:color w:val="auto"/>
        </w:rPr>
      </w:pPr>
      <w:r>
        <w:rPr>
          <w:rFonts w:ascii="Arial" w:cs="Arial" w:eastAsia="Arial" w:hAnsi="Arial"/>
          <w:sz w:val="22"/>
          <w:szCs w:val="22"/>
          <w:color w:val="auto"/>
        </w:rPr>
        <w:t>Ireland, +353 1 634 3211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U.S. +1 650 496 2717</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Zymeworks Media Contact:</w:t>
      </w:r>
    </w:p>
    <w:p>
      <w:pPr>
        <w:spacing w:after="0" w:line="204" w:lineRule="auto"/>
        <w:rPr>
          <w:sz w:val="20"/>
          <w:szCs w:val="20"/>
          <w:color w:val="auto"/>
        </w:rPr>
      </w:pPr>
      <w:r>
        <w:rPr>
          <w:rFonts w:ascii="Arial" w:cs="Arial" w:eastAsia="Arial" w:hAnsi="Arial"/>
          <w:sz w:val="22"/>
          <w:szCs w:val="22"/>
          <w:color w:val="auto"/>
        </w:rPr>
        <w:t>Diana Papove</w:t>
      </w:r>
    </w:p>
    <w:p>
      <w:pPr>
        <w:spacing w:after="0" w:line="205" w:lineRule="auto"/>
        <w:rPr>
          <w:sz w:val="20"/>
          <w:szCs w:val="20"/>
          <w:color w:val="auto"/>
        </w:rPr>
      </w:pPr>
      <w:r>
        <w:rPr>
          <w:rFonts w:ascii="Arial" w:cs="Arial" w:eastAsia="Arial" w:hAnsi="Arial"/>
          <w:sz w:val="22"/>
          <w:szCs w:val="22"/>
          <w:color w:val="auto"/>
        </w:rPr>
        <w:t>Senior Manager, Corporate Communications</w:t>
      </w:r>
    </w:p>
    <w:p>
      <w:pPr>
        <w:spacing w:after="0" w:line="205" w:lineRule="auto"/>
        <w:rPr>
          <w:sz w:val="20"/>
          <w:szCs w:val="20"/>
          <w:color w:val="auto"/>
        </w:rPr>
      </w:pPr>
      <w:r>
        <w:rPr>
          <w:rFonts w:ascii="Arial" w:cs="Arial" w:eastAsia="Arial" w:hAnsi="Arial"/>
          <w:sz w:val="22"/>
          <w:szCs w:val="22"/>
          <w:color w:val="auto"/>
        </w:rPr>
        <w:t>media@zymeworks.com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(604) 678-1388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Exhibit B-5</w:t>
      </w:r>
    </w:p>
    <w:p>
      <w:pPr>
        <w:sectPr>
          <w:pgSz w:w="11900" w:h="16838" w:orient="portrait"/>
          <w:cols w:equalWidth="0" w:num="1">
            <w:col w:w="11200"/>
          </w:cols>
          <w:pgMar w:left="320" w:top="1401" w:right="379" w:bottom="1440" w:gutter="0" w:footer="0" w:header="0"/>
        </w:sectPr>
      </w:pPr>
    </w:p>
    <w:bookmarkStart w:id="247" w:name="page248"/>
    <w:bookmarkEnd w:id="247"/>
    <w:p>
      <w:pPr>
        <w:spacing w:after="0"/>
        <w:rPr>
          <w:sz w:val="20"/>
          <w:szCs w:val="20"/>
          <w:color w:val="auto"/>
        </w:rPr>
      </w:pPr>
      <w:r>
        <w:rPr>
          <w:rFonts w:ascii="Arial" w:cs="Arial" w:eastAsia="Arial" w:hAnsi="Arial"/>
          <w:sz w:val="22"/>
          <w:szCs w:val="22"/>
          <w:b w:val="1"/>
          <w:bCs w:val="1"/>
          <w:color w:val="auto"/>
        </w:rPr>
        <w:t>Zymeworks Investor Contact:</w:t>
      </w:r>
    </w:p>
    <w:p>
      <w:pPr>
        <w:spacing w:after="0" w:line="204" w:lineRule="auto"/>
        <w:rPr>
          <w:sz w:val="20"/>
          <w:szCs w:val="20"/>
          <w:color w:val="auto"/>
        </w:rPr>
      </w:pPr>
      <w:r>
        <w:rPr>
          <w:rFonts w:ascii="Arial" w:cs="Arial" w:eastAsia="Arial" w:hAnsi="Arial"/>
          <w:sz w:val="22"/>
          <w:szCs w:val="22"/>
          <w:color w:val="auto"/>
        </w:rPr>
        <w:t>Jack Spinks</w:t>
      </w:r>
    </w:p>
    <w:p>
      <w:pPr>
        <w:spacing w:after="0" w:line="205" w:lineRule="auto"/>
        <w:rPr>
          <w:sz w:val="20"/>
          <w:szCs w:val="20"/>
          <w:color w:val="auto"/>
        </w:rPr>
      </w:pPr>
      <w:r>
        <w:rPr>
          <w:rFonts w:ascii="Arial" w:cs="Arial" w:eastAsia="Arial" w:hAnsi="Arial"/>
          <w:sz w:val="22"/>
          <w:szCs w:val="22"/>
          <w:color w:val="auto"/>
        </w:rPr>
        <w:t>Associate Director, Investor Relations</w:t>
      </w:r>
    </w:p>
    <w:p>
      <w:pPr>
        <w:spacing w:after="0" w:line="205" w:lineRule="auto"/>
        <w:rPr>
          <w:sz w:val="20"/>
          <w:szCs w:val="20"/>
          <w:color w:val="auto"/>
        </w:rPr>
      </w:pPr>
      <w:r>
        <w:rPr>
          <w:rFonts w:ascii="Arial" w:cs="Arial" w:eastAsia="Arial" w:hAnsi="Arial"/>
          <w:sz w:val="22"/>
          <w:szCs w:val="22"/>
          <w:u w:val="single" w:color="auto"/>
          <w:color w:val="0000FF"/>
        </w:rPr>
        <w:t>ir@zymeworks.com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(604) 678-1388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3999"/>
        <w:spacing w:after="0"/>
        <w:rPr>
          <w:sz w:val="20"/>
          <w:szCs w:val="20"/>
          <w:color w:val="auto"/>
        </w:rPr>
      </w:pPr>
      <w:r>
        <w:rPr>
          <w:rFonts w:ascii="Arial" w:cs="Arial" w:eastAsia="Arial" w:hAnsi="Arial"/>
          <w:sz w:val="22"/>
          <w:szCs w:val="22"/>
          <w:color w:val="auto"/>
        </w:rPr>
        <w:t>Exhibit B-6</w:t>
      </w:r>
    </w:p>
    <w:p>
      <w:pPr>
        <w:sectPr>
          <w:pgSz w:w="11900" w:h="16838" w:orient="portrait"/>
          <w:cols w:equalWidth="0" w:num="1">
            <w:col w:w="10139"/>
          </w:cols>
          <w:pgMar w:left="320" w:top="1382" w:right="1440" w:bottom="1440" w:gutter="0" w:footer="0" w:header="0"/>
        </w:sectPr>
      </w:pPr>
    </w:p>
    <w:bookmarkStart w:id="248" w:name="page249"/>
    <w:bookmarkEnd w:id="248"/>
    <w:p>
      <w:pPr>
        <w:ind w:right="720"/>
        <w:spacing w:after="0" w:line="232" w:lineRule="auto"/>
        <w:rPr>
          <w:sz w:val="20"/>
          <w:szCs w:val="20"/>
          <w:color w:val="auto"/>
        </w:rPr>
      </w:pPr>
      <w:r>
        <w:rPr>
          <w:rFonts w:ascii="Arial" w:cs="Arial" w:eastAsia="Arial" w:hAnsi="Arial"/>
          <w:sz w:val="22"/>
          <w:szCs w:val="22"/>
          <w:color w:val="auto"/>
        </w:rPr>
        <w:t>In addition to the foregoing joint press release, Zymeworks may issue the following sole press release with respect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294640</wp:posOffset>
            </wp:positionV>
            <wp:extent cx="1988820" cy="9004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4">
                      <a:extLst>
                        <a:ext uri="{28A0092B-C50C-407E-A947-70E740481C1C}"/>
                      </a:extLst>
                    </a:blip>
                    <a:srcRect/>
                    <a:stretch>
                      <a:fillRect/>
                    </a:stretch>
                  </pic:blipFill>
                  <pic:spPr bwMode="auto">
                    <a:xfrm>
                      <a:off x="0" y="0"/>
                      <a:ext cx="198882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Zymeworks To Host Conference Call on Exclusive Licensing Agreement of Zanidatamab</w:t>
      </w:r>
    </w:p>
    <w:p>
      <w:pPr>
        <w:spacing w:after="0" w:line="241" w:lineRule="exact"/>
        <w:rPr>
          <w:sz w:val="20"/>
          <w:szCs w:val="20"/>
          <w:color w:val="auto"/>
        </w:rPr>
      </w:pPr>
    </w:p>
    <w:p>
      <w:pPr>
        <w:ind w:left="660" w:right="300" w:hanging="328"/>
        <w:spacing w:after="0" w:line="258" w:lineRule="auto"/>
        <w:tabs>
          <w:tab w:leader="none" w:pos="655" w:val="left"/>
        </w:tabs>
        <w:numPr>
          <w:ilvl w:val="0"/>
          <w:numId w:val="176"/>
        </w:numPr>
        <w:rPr>
          <w:rFonts w:ascii="Arial" w:cs="Arial" w:eastAsia="Arial" w:hAnsi="Arial"/>
          <w:sz w:val="22"/>
          <w:szCs w:val="22"/>
          <w:color w:val="auto"/>
        </w:rPr>
      </w:pPr>
      <w:r>
        <w:rPr>
          <w:rFonts w:ascii="Arial" w:cs="Arial" w:eastAsia="Arial" w:hAnsi="Arial"/>
          <w:sz w:val="22"/>
          <w:szCs w:val="22"/>
          <w:i w:val="1"/>
          <w:iCs w:val="1"/>
          <w:color w:val="auto"/>
        </w:rPr>
        <w:t>Jazz Pharmaceuticals to obtain exclusive development and commercialization rights in key markets including the U.S., Europe and Japan</w:t>
      </w:r>
    </w:p>
    <w:p>
      <w:pPr>
        <w:ind w:left="660" w:right="640" w:hanging="328"/>
        <w:spacing w:after="0" w:line="289" w:lineRule="auto"/>
        <w:tabs>
          <w:tab w:leader="none" w:pos="655" w:val="left"/>
        </w:tabs>
        <w:numPr>
          <w:ilvl w:val="0"/>
          <w:numId w:val="176"/>
        </w:numPr>
        <w:rPr>
          <w:rFonts w:ascii="Arial" w:cs="Arial" w:eastAsia="Arial" w:hAnsi="Arial"/>
          <w:sz w:val="19"/>
          <w:szCs w:val="19"/>
          <w:color w:val="auto"/>
        </w:rPr>
      </w:pPr>
      <w:r>
        <w:rPr>
          <w:rFonts w:ascii="Arial" w:cs="Arial" w:eastAsia="Arial" w:hAnsi="Arial"/>
          <w:sz w:val="19"/>
          <w:szCs w:val="19"/>
          <w:i w:val="1"/>
          <w:iCs w:val="1"/>
          <w:color w:val="auto"/>
        </w:rPr>
        <w:t>Zymeworks to receive $50 million upfront payment, a second payment of $325 million, at Jazz’s option, and further potential regulatory and commercial milestones for total potential payments of up to $1.76 billion</w:t>
      </w:r>
    </w:p>
    <w:p>
      <w:pPr>
        <w:ind w:left="660" w:hanging="328"/>
        <w:spacing w:after="0"/>
        <w:tabs>
          <w:tab w:leader="none" w:pos="660" w:val="left"/>
        </w:tabs>
        <w:numPr>
          <w:ilvl w:val="0"/>
          <w:numId w:val="176"/>
        </w:numPr>
        <w:rPr>
          <w:rFonts w:ascii="Arial" w:cs="Arial" w:eastAsia="Arial" w:hAnsi="Arial"/>
          <w:sz w:val="22"/>
          <w:szCs w:val="22"/>
          <w:color w:val="auto"/>
        </w:rPr>
      </w:pPr>
      <w:r>
        <w:rPr>
          <w:rFonts w:ascii="Arial" w:cs="Arial" w:eastAsia="Arial" w:hAnsi="Arial"/>
          <w:sz w:val="22"/>
          <w:szCs w:val="22"/>
          <w:i w:val="1"/>
          <w:iCs w:val="1"/>
          <w:color w:val="auto"/>
        </w:rPr>
        <w:t>Webcast beginning today at 8:00 am Eastern Standard Time (EST)</w:t>
      </w:r>
    </w:p>
    <w:p>
      <w:pPr>
        <w:spacing w:after="0" w:line="182" w:lineRule="exact"/>
        <w:rPr>
          <w:sz w:val="20"/>
          <w:szCs w:val="20"/>
          <w:color w:val="auto"/>
        </w:rPr>
      </w:pPr>
    </w:p>
    <w:p>
      <w:pPr>
        <w:spacing w:after="0" w:line="217" w:lineRule="auto"/>
        <w:rPr>
          <w:sz w:val="20"/>
          <w:szCs w:val="20"/>
          <w:color w:val="auto"/>
        </w:rPr>
      </w:pPr>
      <w:r>
        <w:rPr>
          <w:rFonts w:ascii="Arial" w:cs="Arial" w:eastAsia="Arial" w:hAnsi="Arial"/>
          <w:sz w:val="22"/>
          <w:szCs w:val="22"/>
          <w:b w:val="1"/>
          <w:bCs w:val="1"/>
          <w:color w:val="auto"/>
        </w:rPr>
        <w:t xml:space="preserve">VANCOUVER, British Columbia – October 19, 2022 </w:t>
      </w:r>
      <w:r>
        <w:rPr>
          <w:rFonts w:ascii="Arial" w:cs="Arial" w:eastAsia="Arial" w:hAnsi="Arial"/>
          <w:sz w:val="22"/>
          <w:szCs w:val="22"/>
          <w:color w:val="auto"/>
        </w:rPr>
        <w:t>— Zymeworks Inc. (“Zymeworks” or the “Company”) (NYSE: ZYME),</w:t>
      </w:r>
      <w:r>
        <w:rPr>
          <w:rFonts w:ascii="Arial" w:cs="Arial" w:eastAsia="Arial" w:hAnsi="Arial"/>
          <w:sz w:val="22"/>
          <w:szCs w:val="22"/>
          <w:b w:val="1"/>
          <w:bCs w:val="1"/>
          <w:color w:val="auto"/>
        </w:rPr>
        <w:t xml:space="preserve"> </w:t>
      </w:r>
      <w:r>
        <w:rPr>
          <w:rFonts w:ascii="Arial" w:cs="Arial" w:eastAsia="Arial" w:hAnsi="Arial"/>
          <w:sz w:val="22"/>
          <w:szCs w:val="22"/>
          <w:color w:val="auto"/>
        </w:rPr>
        <w:t>a clinical-stage biopharmaceutical company developing multifunctional biotherapeutics, today announced that management will host a conference call and webcast to discuss Zymeworks has entered into an exclusive licensing agreement for zanidatamab, a HER2-targeted bispecific antibody developed using Zymeworks’ proprietary Azymetric™ platform, with Jazz Pharmaceuticals plc (NASDAQ:JAZZ).</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for Investors and Analysts</w:t>
      </w:r>
    </w:p>
    <w:p>
      <w:pPr>
        <w:ind w:right="200"/>
        <w:spacing w:after="0" w:line="217" w:lineRule="auto"/>
        <w:rPr>
          <w:sz w:val="20"/>
          <w:szCs w:val="20"/>
          <w:color w:val="auto"/>
        </w:rPr>
      </w:pPr>
      <w:r>
        <w:rPr>
          <w:rFonts w:ascii="Arial" w:cs="Arial" w:eastAsia="Arial" w:hAnsi="Arial"/>
          <w:sz w:val="22"/>
          <w:szCs w:val="22"/>
          <w:color w:val="auto"/>
        </w:rPr>
        <w:t xml:space="preserve">Zymeworks management will host a conference call and webcast for investors and analysts on October 19 at 8:00 am EST. The event will be webcast live with dial-in details and webcast replays available on Zymeworks’ website at </w:t>
      </w:r>
      <w:r>
        <w:rPr>
          <w:rFonts w:ascii="Arial" w:cs="Arial" w:eastAsia="Arial" w:hAnsi="Arial"/>
          <w:sz w:val="22"/>
          <w:szCs w:val="22"/>
          <w:u w:val="single" w:color="auto"/>
          <w:color w:val="0000FF"/>
        </w:rPr>
        <w:t>http://ir.zymeworks.com/events-and-presentations</w:t>
      </w:r>
      <w:r>
        <w:rPr>
          <w:rFonts w:ascii="Arial" w:cs="Arial" w:eastAsia="Arial" w:hAnsi="Arial"/>
          <w:sz w:val="22"/>
          <w:szCs w:val="22"/>
          <w:color w:val="000000"/>
        </w:rPr>
        <w:t>.</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Zanidatamab</w:t>
      </w:r>
    </w:p>
    <w:p>
      <w:pPr>
        <w:spacing w:after="0" w:line="64"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auto"/>
        </w:rPr>
        <w:t>Zanidatamab is a bispecific antibody, based on Zymeworks’ Azymetric™ platform, that can simultaneously bind two non-overlapping epitopes of HER2, known as biparatopic binding. This unique design results in multiple mechanisms of action including dual HER2 signal blockade, increased binding, and removal of HER2 protein from the cell surface, and potent effector function leading to encouraging antitumor activity in patients. Zymeworks is developing zanidatamab in multiple Phase 1, Phase 2, and pivotal clinical trials globally as a targeted treatment option for patients with solid tumors that express HER2.</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Zymeworks Inc.</w:t>
      </w:r>
    </w:p>
    <w:p>
      <w:pPr>
        <w:spacing w:after="0" w:line="64" w:lineRule="exact"/>
        <w:rPr>
          <w:sz w:val="20"/>
          <w:szCs w:val="20"/>
          <w:color w:val="auto"/>
        </w:rPr>
      </w:pPr>
    </w:p>
    <w:p>
      <w:pPr>
        <w:ind w:right="120"/>
        <w:spacing w:after="0" w:line="216" w:lineRule="auto"/>
        <w:rPr>
          <w:sz w:val="20"/>
          <w:szCs w:val="20"/>
          <w:color w:val="auto"/>
        </w:rPr>
      </w:pPr>
      <w:r>
        <w:rPr>
          <w:rFonts w:ascii="Arial" w:cs="Arial" w:eastAsia="Arial" w:hAnsi="Arial"/>
          <w:sz w:val="22"/>
          <w:szCs w:val="22"/>
          <w:color w:val="auto"/>
        </w:rPr>
        <w:t>Zymeworks is a clinical-stage biopharmaceutical company dedicated to the discovery, development and commercialization of next-generation multifunctional biotherapeutics. Zymeworks’ suite of therapeutic platforms and its fully integrated drug development engine enable precise engineering of highly differentiated product candidates. Zymeworks’ lead clinical candidate, zanidatamab, is a novel Azymetric™ HER2-targeted bispecific antibody currently being evaluated in multiple Phase 1, Phase 2, and pivotal clinical trials globally as a targeted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Exhibit B-7</w:t>
      </w:r>
    </w:p>
    <w:p>
      <w:pPr>
        <w:sectPr>
          <w:pgSz w:w="11900" w:h="16838" w:orient="portrait"/>
          <w:cols w:equalWidth="0" w:num="1">
            <w:col w:w="11220"/>
          </w:cols>
          <w:pgMar w:left="320" w:top="1401" w:right="359" w:bottom="1440" w:gutter="0" w:footer="0" w:header="0"/>
        </w:sectPr>
      </w:pPr>
    </w:p>
    <w:bookmarkStart w:id="249" w:name="page250"/>
    <w:bookmarkEnd w:id="249"/>
    <w:p>
      <w:pPr>
        <w:ind w:right="140"/>
        <w:spacing w:after="0" w:line="224" w:lineRule="exact"/>
        <w:rPr>
          <w:sz w:val="20"/>
          <w:szCs w:val="20"/>
          <w:color w:val="auto"/>
        </w:rPr>
      </w:pPr>
      <w:r>
        <w:rPr>
          <w:rFonts w:ascii="Arial" w:cs="Arial" w:eastAsia="Arial" w:hAnsi="Arial"/>
          <w:sz w:val="19"/>
          <w:szCs w:val="19"/>
          <w:color w:val="auto"/>
        </w:rPr>
        <w:t xml:space="preserve">treatment option for patients with solid tumors that express HER2. Zymeworks’ second clinical candidate, zanidatamab zovodotin (ZW49), is a novel bispecific HER2 </w:t>
      </w:r>
      <w:r>
        <w:rPr>
          <w:rFonts w:ascii="MS PGothic" w:cs="MS PGothic" w:eastAsia="MS PGothic" w:hAnsi="MS PGothic"/>
          <w:sz w:val="19"/>
          <w:szCs w:val="19"/>
          <w:color w:val="auto"/>
        </w:rPr>
        <w:t>‑</w:t>
      </w:r>
      <w:r>
        <w:rPr>
          <w:rFonts w:ascii="Arial" w:cs="Arial" w:eastAsia="Arial" w:hAnsi="Arial"/>
          <w:sz w:val="19"/>
          <w:szCs w:val="19"/>
          <w:color w:val="auto"/>
        </w:rPr>
        <w:t xml:space="preserve">targeted antibody-drug conjugate currently in Phase 1 clinical development and combines the unique design and antibody framework of zanidatamab with Zymeworks’ proprietary ZymeLink™ linker and cytotoxin. Zymeworks is also advancing a deep preclinical pipeline in oncology (including immuno-oncology agents) and other therapeutic areas. In addition, its therapeutic platforms are being leveraged through strategic partnerships with global biopharmaceutical companies. For more information on our ongoing clinical trials visit </w:t>
      </w:r>
      <w:r>
        <w:rPr>
          <w:rFonts w:ascii="Arial" w:cs="Arial" w:eastAsia="Arial" w:hAnsi="Arial"/>
          <w:sz w:val="19"/>
          <w:szCs w:val="19"/>
          <w:u w:val="single" w:color="auto"/>
          <w:color w:val="0000FF"/>
        </w:rPr>
        <w:t>www.zymeworksclinicaltrials.com</w:t>
      </w:r>
      <w:r>
        <w:rPr>
          <w:rFonts w:ascii="Arial" w:cs="Arial" w:eastAsia="Arial" w:hAnsi="Arial"/>
          <w:sz w:val="19"/>
          <w:szCs w:val="19"/>
          <w:color w:val="auto"/>
        </w:rPr>
        <w:t xml:space="preserve">. For additional information about Zymeworks, visit </w:t>
      </w:r>
      <w:r>
        <w:rPr>
          <w:rFonts w:ascii="Arial" w:cs="Arial" w:eastAsia="Arial" w:hAnsi="Arial"/>
          <w:sz w:val="19"/>
          <w:szCs w:val="19"/>
          <w:u w:val="single" w:color="auto"/>
          <w:color w:val="0000FF"/>
        </w:rPr>
        <w:t>www.zymeworks.com</w:t>
      </w:r>
      <w:r>
        <w:rPr>
          <w:rFonts w:ascii="Arial" w:cs="Arial" w:eastAsia="Arial" w:hAnsi="Arial"/>
          <w:sz w:val="19"/>
          <w:szCs w:val="19"/>
          <w:color w:val="auto"/>
        </w:rPr>
        <w:t xml:space="preserve"> and follow </w:t>
      </w:r>
      <w:r>
        <w:rPr>
          <w:rFonts w:ascii="Arial" w:cs="Arial" w:eastAsia="Arial" w:hAnsi="Arial"/>
          <w:sz w:val="19"/>
          <w:szCs w:val="19"/>
          <w:u w:val="single" w:color="auto"/>
          <w:color w:val="0000FF"/>
        </w:rPr>
        <w:t>@ZymeworksInc</w:t>
      </w:r>
      <w:r>
        <w:rPr>
          <w:rFonts w:ascii="Arial" w:cs="Arial" w:eastAsia="Arial" w:hAnsi="Arial"/>
          <w:sz w:val="19"/>
          <w:szCs w:val="19"/>
          <w:color w:val="auto"/>
        </w:rPr>
        <w:t xml:space="preserve"> on Twitter.</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50"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This press release includes “forward-looking statements” or information within the meaning of the applicable securities legislation, including Section 27A of the Securities Act of 1933, as amended, and Section 21E of the Securities Exchange Act of 1934, as amended. Forward-looking statements in this press release include, but are not limited to, statements that relate to the potential therapeutic effects and commercial potential of zanidatamab, zanidatamab zovodotin and Zymeworks’ other product candidates; Zymeworks’ clinical development of its product candidates and enrollment in its clinical trials; anticipated clinical data presentations; Zymeworks’ ability to achieve milestones and receive payments from Jazz pursuant to the agreement; and other information that is not historical information. When used herein, words such as “believes”, “future”, “anticipate”, “approximately”, “will”, “plans”, “may”, “potential”, and similar expressions are intended to identify forward-looking statements.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Zymeworks’ current expectations and various assumptions. Zymeworks believes there is a reasonable basis for its expectations and beliefs, but they are inherently uncertain. Zymeworks may not realize its expectations, and its beliefs may not prove correct. Actual results could differ materially from those described or implied by such forward-looking statements as a result of various factors, including, without limitation: the impact of the COVID-19 pandemic on Zymeworks’ business, research and clinical development plans and timelines and results of operations, including impact on its clinical trial sites, collaborators, and contractors who act for or on Zymeworks’ behalf, may be more severe and more prolonged than currently anticipated; clinical trials may not demonstrate safety and efficacy of any of Zymeworks’ or its collaborators’ product candidates; any of Zymeworks’ or its partners’ product candidates may fail in development, may not receive required regulatory approvals, or may be delayed to a point where they are not commercially viable; Zymeworks may not achieve milestones or receive additional payments under its collaborations; regulatory agencies may impose additional requirements or delay the initiation of clinical trials; the impact of new or changing laws and regulations; market conditions; inability to maintain or enter into new partnerships or strategic collaborations and the factors described under “Risk Factors” in Zymeworks’ quarterly and annual reports filed with the Securities and Exchange Commission, including its Quarterly Report on Form 10-Q for its quarter ended June 30, 2022 (a copy of which may be obtained at www.sec.gov and www.sedar.com).</w:t>
      </w:r>
    </w:p>
    <w:p>
      <w:pPr>
        <w:spacing w:after="0" w:line="205"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color w:val="auto"/>
        </w:rPr>
        <w:t>Although Zymeworks believes that such forward-looking statements are reasonable, there can be no assurance they will prove to be correct. Investors should not place undue reliance on forward-looking statements. The above assumptions, risks and uncertainties are not exhaustive. Forward-looking statements are made as of the date hereof and, except as may be required by law, Zymeworks undertakes no obligation to update, republish, or revise any forward-looking statements to reflect new information, future events or circumstances or to reflect the occurrences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Exhibit B-8</w:t>
      </w:r>
    </w:p>
    <w:p>
      <w:pPr>
        <w:sectPr>
          <w:pgSz w:w="11900" w:h="16838" w:orient="portrait"/>
          <w:cols w:equalWidth="0" w:num="1">
            <w:col w:w="11180"/>
          </w:cols>
          <w:pgMar w:left="320" w:top="1401" w:right="399" w:bottom="1440" w:gutter="0" w:footer="0" w:header="0"/>
        </w:sectPr>
      </w:pPr>
    </w:p>
    <w:bookmarkStart w:id="250" w:name="page251"/>
    <w:bookmarkEnd w:id="250"/>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inquiries:</w:t>
      </w:r>
    </w:p>
    <w:p>
      <w:pPr>
        <w:spacing w:after="0" w:line="197" w:lineRule="auto"/>
        <w:rPr>
          <w:sz w:val="20"/>
          <w:szCs w:val="20"/>
          <w:color w:val="auto"/>
        </w:rPr>
      </w:pPr>
      <w:r>
        <w:rPr>
          <w:rFonts w:ascii="Arial" w:cs="Arial" w:eastAsia="Arial" w:hAnsi="Arial"/>
          <w:sz w:val="20"/>
          <w:szCs w:val="20"/>
          <w:color w:val="auto"/>
        </w:rPr>
        <w:t>Jack Spinks</w:t>
      </w:r>
    </w:p>
    <w:p>
      <w:pPr>
        <w:spacing w:after="0" w:line="211" w:lineRule="auto"/>
        <w:rPr>
          <w:sz w:val="20"/>
          <w:szCs w:val="20"/>
          <w:color w:val="auto"/>
        </w:rPr>
      </w:pPr>
      <w:r>
        <w:rPr>
          <w:rFonts w:ascii="Arial" w:cs="Arial" w:eastAsia="Arial" w:hAnsi="Arial"/>
          <w:sz w:val="20"/>
          <w:szCs w:val="20"/>
          <w:color w:val="auto"/>
        </w:rPr>
        <w:t>Associate Director, Investor Relations</w:t>
      </w:r>
    </w:p>
    <w:p>
      <w:pPr>
        <w:spacing w:after="0" w:line="211" w:lineRule="auto"/>
        <w:rPr>
          <w:sz w:val="20"/>
          <w:szCs w:val="20"/>
          <w:color w:val="auto"/>
        </w:rPr>
      </w:pPr>
      <w:r>
        <w:rPr>
          <w:rFonts w:ascii="Arial" w:cs="Arial" w:eastAsia="Arial" w:hAnsi="Arial"/>
          <w:sz w:val="20"/>
          <w:szCs w:val="20"/>
          <w:u w:val="single" w:color="auto"/>
          <w:color w:val="0000FF"/>
        </w:rPr>
        <w:t>ir@zymeworks.com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(604) 678-1388</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inquiries:</w:t>
      </w:r>
    </w:p>
    <w:p>
      <w:pPr>
        <w:spacing w:after="0" w:line="211" w:lineRule="auto"/>
        <w:rPr>
          <w:sz w:val="20"/>
          <w:szCs w:val="20"/>
          <w:color w:val="auto"/>
        </w:rPr>
      </w:pPr>
      <w:r>
        <w:rPr>
          <w:rFonts w:ascii="Arial" w:cs="Arial" w:eastAsia="Arial" w:hAnsi="Arial"/>
          <w:sz w:val="20"/>
          <w:szCs w:val="20"/>
          <w:color w:val="auto"/>
        </w:rPr>
        <w:t>Diana Papove</w:t>
      </w:r>
    </w:p>
    <w:p>
      <w:pPr>
        <w:spacing w:after="0" w:line="197" w:lineRule="auto"/>
        <w:rPr>
          <w:sz w:val="20"/>
          <w:szCs w:val="20"/>
          <w:color w:val="auto"/>
        </w:rPr>
      </w:pPr>
      <w:r>
        <w:rPr>
          <w:rFonts w:ascii="Arial" w:cs="Arial" w:eastAsia="Arial" w:hAnsi="Arial"/>
          <w:sz w:val="20"/>
          <w:szCs w:val="20"/>
          <w:color w:val="auto"/>
        </w:rPr>
        <w:t>Senior Manager, Corporate Communications</w:t>
      </w:r>
    </w:p>
    <w:p>
      <w:pPr>
        <w:spacing w:after="0" w:line="211" w:lineRule="auto"/>
        <w:rPr>
          <w:sz w:val="20"/>
          <w:szCs w:val="20"/>
          <w:color w:val="auto"/>
        </w:rPr>
      </w:pPr>
      <w:r>
        <w:rPr>
          <w:rFonts w:ascii="Arial" w:cs="Arial" w:eastAsia="Arial" w:hAnsi="Arial"/>
          <w:sz w:val="20"/>
          <w:szCs w:val="20"/>
          <w:u w:val="single" w:color="auto"/>
          <w:color w:val="0000FF"/>
        </w:rPr>
        <w:t>media@zymeworks.com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(604) 678-1388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3999"/>
        <w:spacing w:after="0"/>
        <w:rPr>
          <w:sz w:val="20"/>
          <w:szCs w:val="20"/>
          <w:color w:val="auto"/>
        </w:rPr>
      </w:pPr>
      <w:r>
        <w:rPr>
          <w:rFonts w:ascii="Arial" w:cs="Arial" w:eastAsia="Arial" w:hAnsi="Arial"/>
          <w:sz w:val="22"/>
          <w:szCs w:val="22"/>
          <w:color w:val="auto"/>
        </w:rPr>
        <w:t>Exhibit B-9</w:t>
      </w:r>
    </w:p>
    <w:p>
      <w:pPr>
        <w:sectPr>
          <w:pgSz w:w="11900" w:h="16838" w:orient="portrait"/>
          <w:cols w:equalWidth="0" w:num="1">
            <w:col w:w="10139"/>
          </w:cols>
          <w:pgMar w:left="320" w:top="1440" w:right="1440" w:bottom="1440" w:gutter="0" w:footer="0" w:header="0"/>
        </w:sectPr>
      </w:pPr>
    </w:p>
    <w:bookmarkStart w:id="251" w:name="page252"/>
    <w:bookmarkEnd w:id="251"/>
    <w:p>
      <w:pPr>
        <w:jc w:val="center"/>
        <w:ind w:right="19"/>
        <w:spacing w:after="0"/>
        <w:rPr>
          <w:sz w:val="20"/>
          <w:szCs w:val="20"/>
          <w:color w:val="auto"/>
        </w:rPr>
      </w:pPr>
      <w:r>
        <w:rPr>
          <w:rFonts w:ascii="Arial" w:cs="Arial" w:eastAsia="Arial" w:hAnsi="Arial"/>
          <w:sz w:val="22"/>
          <w:szCs w:val="22"/>
          <w:b w:val="1"/>
          <w:bCs w:val="1"/>
          <w:color w:val="auto"/>
        </w:rPr>
        <w:t>EXHIBIT C</w:t>
      </w:r>
    </w:p>
    <w:p>
      <w:pPr>
        <w:jc w:val="center"/>
        <w:ind w:right="19"/>
        <w:spacing w:after="0"/>
        <w:rPr>
          <w:sz w:val="20"/>
          <w:szCs w:val="20"/>
          <w:color w:val="auto"/>
        </w:rPr>
      </w:pPr>
      <w:r>
        <w:rPr>
          <w:rFonts w:ascii="Arial" w:cs="Arial" w:eastAsia="Arial" w:hAnsi="Arial"/>
          <w:sz w:val="21"/>
          <w:szCs w:val="21"/>
          <w:b w:val="1"/>
          <w:bCs w:val="1"/>
          <w:color w:val="auto"/>
        </w:rPr>
        <w:t>ZYMEWORKS TRADEMARKS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w:t>
      </w:r>
    </w:p>
    <w:p>
      <w:pPr>
        <w:jc w:val="center"/>
        <w:ind w:right="19"/>
        <w:spacing w:after="0"/>
        <w:rPr>
          <w:sz w:val="20"/>
          <w:szCs w:val="20"/>
          <w:color w:val="auto"/>
        </w:rPr>
      </w:pPr>
      <w:r>
        <w:rPr>
          <w:rFonts w:ascii="Arial" w:cs="Arial" w:eastAsia="Arial" w:hAnsi="Arial"/>
          <w:sz w:val="22"/>
          <w:szCs w:val="22"/>
          <w:color w:val="auto"/>
        </w:rPr>
        <w:t>{2 pages omitted}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C-1</w:t>
      </w:r>
    </w:p>
    <w:p>
      <w:pPr>
        <w:sectPr>
          <w:pgSz w:w="11900" w:h="16838" w:orient="portrait"/>
          <w:cols w:equalWidth="0" w:num="1">
            <w:col w:w="9019"/>
          </w:cols>
          <w:pgMar w:left="1440" w:top="1382" w:right="1440" w:bottom="1440" w:gutter="0" w:footer="0" w:header="0"/>
        </w:sectPr>
      </w:pPr>
    </w:p>
    <w:bookmarkStart w:id="252" w:name="page253"/>
    <w:bookmarkEnd w:id="252"/>
    <w:p>
      <w:pPr>
        <w:jc w:val="center"/>
        <w:ind w:right="19"/>
        <w:spacing w:after="0"/>
        <w:rPr>
          <w:sz w:val="20"/>
          <w:szCs w:val="20"/>
          <w:color w:val="auto"/>
        </w:rPr>
      </w:pPr>
      <w:r>
        <w:rPr>
          <w:rFonts w:ascii="Arial" w:cs="Arial" w:eastAsia="Arial" w:hAnsi="Arial"/>
          <w:sz w:val="22"/>
          <w:szCs w:val="22"/>
          <w:b w:val="1"/>
          <w:bCs w:val="1"/>
          <w:color w:val="auto"/>
        </w:rPr>
        <w:t>EXHIBIT 1.65</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BTC DATA PACKAGE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1.65-1</w:t>
      </w:r>
    </w:p>
    <w:p>
      <w:pPr>
        <w:sectPr>
          <w:pgSz w:w="11900" w:h="16838" w:orient="portrait"/>
          <w:cols w:equalWidth="0" w:num="1">
            <w:col w:w="9019"/>
          </w:cols>
          <w:pgMar w:left="1440" w:top="1395" w:right="1440" w:bottom="1440" w:gutter="0" w:footer="0" w:header="0"/>
        </w:sectPr>
      </w:pPr>
    </w:p>
    <w:bookmarkStart w:id="253" w:name="page254"/>
    <w:bookmarkEnd w:id="253"/>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2.1</w:t>
      </w:r>
    </w:p>
    <w:p>
      <w:pPr>
        <w:jc w:val="center"/>
        <w:ind w:right="19"/>
        <w:spacing w:after="0"/>
        <w:rPr>
          <w:sz w:val="20"/>
          <w:szCs w:val="20"/>
          <w:color w:val="auto"/>
        </w:rPr>
      </w:pPr>
      <w:r>
        <w:rPr>
          <w:rFonts w:ascii="Arial" w:cs="Arial" w:eastAsia="Arial" w:hAnsi="Arial"/>
          <w:sz w:val="21"/>
          <w:szCs w:val="21"/>
          <w:b w:val="1"/>
          <w:bCs w:val="1"/>
          <w:color w:val="auto"/>
        </w:rPr>
        <w:t>SEPARATE SUBLICENSE TERMS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 pages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2.1-1</w:t>
      </w:r>
    </w:p>
    <w:p>
      <w:pPr>
        <w:sectPr>
          <w:pgSz w:w="11900" w:h="16838" w:orient="portrait"/>
          <w:cols w:equalWidth="0" w:num="1">
            <w:col w:w="9019"/>
          </w:cols>
          <w:pgMar w:left="1440" w:top="1440" w:right="1440" w:bottom="1440" w:gutter="0" w:footer="0" w:header="0"/>
        </w:sectPr>
      </w:pPr>
    </w:p>
    <w:bookmarkStart w:id="254" w:name="page255"/>
    <w:bookmarkEnd w:id="254"/>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5.2</w:t>
      </w:r>
    </w:p>
    <w:p>
      <w:pPr>
        <w:jc w:val="center"/>
        <w:spacing w:after="0"/>
        <w:rPr>
          <w:sz w:val="20"/>
          <w:szCs w:val="20"/>
          <w:color w:val="auto"/>
        </w:rPr>
      </w:pPr>
      <w:r>
        <w:rPr>
          <w:rFonts w:ascii="Arial" w:cs="Arial" w:eastAsia="Arial" w:hAnsi="Arial"/>
          <w:sz w:val="22"/>
          <w:szCs w:val="22"/>
          <w:b w:val="1"/>
          <w:bCs w:val="1"/>
          <w:color w:val="auto"/>
        </w:rPr>
        <w:t>ZYMEWORKS DEVELOPMENT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 pages omitted}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5.2-1</w:t>
      </w:r>
    </w:p>
    <w:p>
      <w:pPr>
        <w:sectPr>
          <w:pgSz w:w="11900" w:h="16838" w:orient="portrait"/>
          <w:cols w:equalWidth="0" w:num="1">
            <w:col w:w="9019"/>
          </w:cols>
          <w:pgMar w:left="1440" w:top="1440" w:right="1440" w:bottom="1440" w:gutter="0" w:footer="0" w:header="0"/>
        </w:sectPr>
      </w:pPr>
    </w:p>
    <w:bookmarkStart w:id="255" w:name="page256"/>
    <w:bookmarkEnd w:id="255"/>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5.9</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DATA PROCESSING ADDENDUM</w:t>
      </w:r>
    </w:p>
    <w:p>
      <w:pPr>
        <w:spacing w:after="0" w:line="200" w:lineRule="exact"/>
        <w:rPr>
          <w:sz w:val="20"/>
          <w:szCs w:val="20"/>
          <w:color w:val="auto"/>
        </w:rPr>
      </w:pPr>
    </w:p>
    <w:p>
      <w:pPr>
        <w:spacing w:after="0" w:line="213" w:lineRule="exact"/>
        <w:rPr>
          <w:sz w:val="20"/>
          <w:szCs w:val="20"/>
          <w:color w:val="auto"/>
        </w:rPr>
      </w:pPr>
    </w:p>
    <w:p>
      <w:pPr>
        <w:jc w:val="center"/>
        <w:ind w:right="659"/>
        <w:spacing w:after="0"/>
        <w:rPr>
          <w:sz w:val="20"/>
          <w:szCs w:val="20"/>
          <w:color w:val="auto"/>
        </w:rPr>
      </w:pPr>
      <w:r>
        <w:rPr>
          <w:rFonts w:ascii="Arial" w:cs="Arial" w:eastAsia="Arial" w:hAnsi="Arial"/>
          <w:sz w:val="22"/>
          <w:szCs w:val="22"/>
          <w:color w:val="auto"/>
        </w:rPr>
        <w:t>[***]</w:t>
      </w:r>
    </w:p>
    <w:p>
      <w:pPr>
        <w:spacing w:after="0" w:line="179" w:lineRule="exact"/>
        <w:rPr>
          <w:sz w:val="20"/>
          <w:szCs w:val="20"/>
          <w:color w:val="auto"/>
        </w:rPr>
      </w:pPr>
    </w:p>
    <w:p>
      <w:pPr>
        <w:jc w:val="center"/>
        <w:ind w:right="659"/>
        <w:spacing w:after="0"/>
        <w:rPr>
          <w:sz w:val="20"/>
          <w:szCs w:val="20"/>
          <w:color w:val="auto"/>
        </w:rPr>
      </w:pPr>
      <w:r>
        <w:rPr>
          <w:rFonts w:ascii="Arial" w:cs="Arial" w:eastAsia="Arial" w:hAnsi="Arial"/>
          <w:sz w:val="22"/>
          <w:szCs w:val="22"/>
          <w:color w:val="auto"/>
        </w:rPr>
        <w:t>{18 pages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5.9-1</w:t>
      </w:r>
    </w:p>
    <w:p>
      <w:pPr>
        <w:sectPr>
          <w:pgSz w:w="11900" w:h="16838" w:orient="portrait"/>
          <w:cols w:equalWidth="0" w:num="1">
            <w:col w:w="9019"/>
          </w:cols>
          <w:pgMar w:left="1440" w:top="1440" w:right="1440" w:bottom="1440" w:gutter="0" w:footer="0" w:header="0"/>
        </w:sectPr>
      </w:pPr>
    </w:p>
    <w:bookmarkStart w:id="256" w:name="page257"/>
    <w:bookmarkEnd w:id="256"/>
    <w:p>
      <w:pPr>
        <w:jc w:val="center"/>
        <w:ind w:right="19"/>
        <w:spacing w:after="0"/>
        <w:rPr>
          <w:sz w:val="20"/>
          <w:szCs w:val="20"/>
          <w:color w:val="auto"/>
        </w:rPr>
      </w:pPr>
      <w:r>
        <w:rPr>
          <w:rFonts w:ascii="Arial" w:cs="Arial" w:eastAsia="Arial" w:hAnsi="Arial"/>
          <w:sz w:val="22"/>
          <w:szCs w:val="22"/>
          <w:b w:val="1"/>
          <w:bCs w:val="1"/>
          <w:color w:val="auto"/>
        </w:rPr>
        <w:t>EXHIBIT 7.3(b)</w:t>
      </w:r>
    </w:p>
    <w:p>
      <w:pPr>
        <w:jc w:val="center"/>
        <w:ind w:right="19"/>
        <w:spacing w:after="0" w:line="214" w:lineRule="auto"/>
        <w:rPr>
          <w:sz w:val="20"/>
          <w:szCs w:val="20"/>
          <w:color w:val="auto"/>
        </w:rPr>
      </w:pPr>
      <w:r>
        <w:rPr>
          <w:rFonts w:ascii="Arial" w:cs="Arial" w:eastAsia="Arial" w:hAnsi="Arial"/>
          <w:sz w:val="21"/>
          <w:szCs w:val="21"/>
          <w:b w:val="1"/>
          <w:bCs w:val="1"/>
          <w:color w:val="auto"/>
        </w:rPr>
        <w:t>TERM SHEET FOR CLINICAL SUPPLY AGREEMENT</w:t>
      </w:r>
    </w:p>
    <w:p>
      <w:pPr>
        <w:jc w:val="center"/>
        <w:ind w:right="19"/>
        <w:spacing w:after="0" w:line="205"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 pages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7.3(b)-1</w:t>
      </w:r>
    </w:p>
    <w:p>
      <w:pPr>
        <w:sectPr>
          <w:pgSz w:w="11900" w:h="16838" w:orient="portrait"/>
          <w:cols w:equalWidth="0" w:num="1">
            <w:col w:w="9019"/>
          </w:cols>
          <w:pgMar w:left="1440" w:top="1382" w:right="1440" w:bottom="1440" w:gutter="0" w:footer="0" w:header="0"/>
        </w:sectPr>
      </w:pPr>
    </w:p>
    <w:bookmarkStart w:id="257" w:name="page258"/>
    <w:bookmarkEnd w:id="257"/>
    <w:p>
      <w:pPr>
        <w:jc w:val="center"/>
        <w:spacing w:after="0"/>
        <w:rPr>
          <w:sz w:val="20"/>
          <w:szCs w:val="20"/>
          <w:color w:val="auto"/>
        </w:rPr>
      </w:pPr>
      <w:r>
        <w:rPr>
          <w:rFonts w:ascii="Arial" w:cs="Arial" w:eastAsia="Arial" w:hAnsi="Arial"/>
          <w:sz w:val="22"/>
          <w:szCs w:val="22"/>
          <w:b w:val="1"/>
          <w:bCs w:val="1"/>
          <w:color w:val="auto"/>
        </w:rPr>
        <w:t>EXHIBIT 7.3(c)</w:t>
      </w:r>
    </w:p>
    <w:p>
      <w:pPr>
        <w:jc w:val="center"/>
        <w:spacing w:after="0"/>
        <w:rPr>
          <w:sz w:val="20"/>
          <w:szCs w:val="20"/>
          <w:color w:val="auto"/>
        </w:rPr>
      </w:pPr>
      <w:r>
        <w:rPr>
          <w:rFonts w:ascii="Arial" w:cs="Arial" w:eastAsia="Arial" w:hAnsi="Arial"/>
          <w:sz w:val="21"/>
          <w:szCs w:val="21"/>
          <w:b w:val="1"/>
          <w:bCs w:val="1"/>
          <w:color w:val="auto"/>
        </w:rPr>
        <w:t>TERM SHEET FOR COMMERCIAL SUPPLY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jc w:val="center"/>
        <w:spacing w:after="0"/>
        <w:rPr>
          <w:sz w:val="20"/>
          <w:szCs w:val="20"/>
          <w:color w:val="auto"/>
        </w:rPr>
      </w:pPr>
      <w:r>
        <w:rPr>
          <w:rFonts w:ascii="Arial" w:cs="Arial" w:eastAsia="Arial" w:hAnsi="Arial"/>
          <w:sz w:val="22"/>
          <w:szCs w:val="22"/>
          <w:color w:val="auto"/>
        </w:rPr>
        <w:t>{7 pages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7.3(c)-1</w:t>
      </w:r>
    </w:p>
    <w:p>
      <w:pPr>
        <w:sectPr>
          <w:pgSz w:w="11900" w:h="16838" w:orient="portrait"/>
          <w:cols w:equalWidth="0" w:num="1">
            <w:col w:w="9019"/>
          </w:cols>
          <w:pgMar w:left="1440" w:top="1382" w:right="1440" w:bottom="1440" w:gutter="0" w:footer="0" w:header="0"/>
        </w:sectPr>
      </w:pPr>
    </w:p>
    <w:bookmarkStart w:id="258" w:name="page259"/>
    <w:bookmarkEnd w:id="258"/>
    <w:p>
      <w:pPr>
        <w:jc w:val="center"/>
        <w:ind w:right="19"/>
        <w:spacing w:after="0"/>
        <w:rPr>
          <w:sz w:val="20"/>
          <w:szCs w:val="20"/>
          <w:color w:val="auto"/>
        </w:rPr>
      </w:pPr>
      <w:r>
        <w:rPr>
          <w:rFonts w:ascii="Arial" w:cs="Arial" w:eastAsia="Arial" w:hAnsi="Arial"/>
          <w:sz w:val="22"/>
          <w:szCs w:val="22"/>
          <w:b w:val="1"/>
          <w:bCs w:val="1"/>
          <w:color w:val="auto"/>
        </w:rPr>
        <w:t>SCHEDULE 1.49</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KNOWLEDGE INDIVIDUALS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1.49-1</w:t>
      </w:r>
    </w:p>
    <w:p>
      <w:pPr>
        <w:sectPr>
          <w:pgSz w:w="11900" w:h="16838" w:orient="portrait"/>
          <w:cols w:equalWidth="0" w:num="1">
            <w:col w:w="9019"/>
          </w:cols>
          <w:pgMar w:left="1440" w:top="1395" w:right="1440" w:bottom="1440" w:gutter="0" w:footer="0" w:header="0"/>
        </w:sectPr>
      </w:pPr>
    </w:p>
    <w:bookmarkStart w:id="259" w:name="page260"/>
    <w:bookmarkEnd w:id="259"/>
    <w:p>
      <w:pPr>
        <w:ind w:left="4380"/>
        <w:spacing w:after="0"/>
        <w:rPr>
          <w:sz w:val="20"/>
          <w:szCs w:val="20"/>
          <w:color w:val="auto"/>
        </w:rPr>
      </w:pPr>
      <w:r>
        <w:rPr>
          <w:rFonts w:ascii="Arial" w:cs="Arial" w:eastAsia="Arial" w:hAnsi="Arial"/>
          <w:sz w:val="19"/>
          <w:szCs w:val="19"/>
          <w:b w:val="1"/>
          <w:bCs w:val="1"/>
          <w:color w:val="auto"/>
        </w:rPr>
        <w:t>SCHEDULE 1.70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PARTY IN-LICENSE AGREEMENTS</w:t>
      </w:r>
    </w:p>
    <w:p>
      <w:pPr>
        <w:spacing w:after="0" w:line="16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80"/>
        <w:spacing w:after="0"/>
        <w:rPr>
          <w:sz w:val="20"/>
          <w:szCs w:val="20"/>
          <w:color w:val="auto"/>
        </w:rPr>
      </w:pPr>
      <w:r>
        <w:rPr>
          <w:rFonts w:ascii="Arial" w:cs="Arial" w:eastAsia="Arial" w:hAnsi="Arial"/>
          <w:sz w:val="19"/>
          <w:szCs w:val="19"/>
          <w:color w:val="auto"/>
        </w:rPr>
        <w:t>Schedule 1.70-1</w:t>
      </w:r>
    </w:p>
    <w:p>
      <w:pPr>
        <w:sectPr>
          <w:pgSz w:w="11900" w:h="16838" w:orient="portrait"/>
          <w:cols w:equalWidth="0" w:num="1">
            <w:col w:w="9699"/>
          </w:cols>
          <w:pgMar w:left="760" w:top="1395" w:right="1440" w:bottom="1440" w:gutter="0" w:footer="0" w:header="0"/>
        </w:sectPr>
      </w:pPr>
    </w:p>
    <w:bookmarkStart w:id="260" w:name="page261"/>
    <w:bookmarkEnd w:id="260"/>
    <w:p>
      <w:pPr>
        <w:jc w:val="center"/>
        <w:ind w:right="19"/>
        <w:spacing w:after="0"/>
        <w:rPr>
          <w:sz w:val="20"/>
          <w:szCs w:val="20"/>
          <w:color w:val="auto"/>
        </w:rPr>
      </w:pPr>
      <w:r>
        <w:rPr>
          <w:rFonts w:ascii="Arial" w:cs="Arial" w:eastAsia="Arial" w:hAnsi="Arial"/>
          <w:sz w:val="22"/>
          <w:szCs w:val="22"/>
          <w:b w:val="1"/>
          <w:bCs w:val="1"/>
          <w:color w:val="auto"/>
        </w:rPr>
        <w:t>SCHEDULE 12.2(a)</w:t>
      </w:r>
    </w:p>
    <w:p>
      <w:pPr>
        <w:jc w:val="center"/>
        <w:ind w:right="19"/>
        <w:spacing w:after="0"/>
        <w:rPr>
          <w:sz w:val="20"/>
          <w:szCs w:val="20"/>
          <w:color w:val="auto"/>
        </w:rPr>
      </w:pPr>
      <w:r>
        <w:rPr>
          <w:rFonts w:ascii="Arial" w:cs="Arial" w:eastAsia="Arial" w:hAnsi="Arial"/>
          <w:sz w:val="21"/>
          <w:szCs w:val="21"/>
          <w:b w:val="1"/>
          <w:bCs w:val="1"/>
          <w:color w:val="auto"/>
        </w:rPr>
        <w:t>ZYMEWORKS PATENT RIGHTS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 pages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12.2(a)-1</w:t>
      </w:r>
    </w:p>
    <w:p>
      <w:pPr>
        <w:sectPr>
          <w:pgSz w:w="11900" w:h="16838" w:orient="portrait"/>
          <w:cols w:equalWidth="0" w:num="1">
            <w:col w:w="9019"/>
          </w:cols>
          <w:pgMar w:left="1440" w:top="1382" w:right="1440" w:bottom="1440" w:gutter="0" w:footer="0" w:header="0"/>
        </w:sectPr>
      </w:pPr>
    </w:p>
    <w:bookmarkStart w:id="261" w:name="page262"/>
    <w:bookmarkEnd w:id="261"/>
    <w:p>
      <w:pPr>
        <w:jc w:val="center"/>
        <w:spacing w:after="0"/>
        <w:rPr>
          <w:sz w:val="20"/>
          <w:szCs w:val="20"/>
          <w:color w:val="auto"/>
        </w:rPr>
      </w:pPr>
      <w:r>
        <w:rPr>
          <w:rFonts w:ascii="Arial" w:cs="Arial" w:eastAsia="Arial" w:hAnsi="Arial"/>
          <w:sz w:val="22"/>
          <w:szCs w:val="22"/>
          <w:b w:val="1"/>
          <w:bCs w:val="1"/>
          <w:color w:val="auto"/>
        </w:rPr>
        <w:t>SCHEDULE 12.2(q)</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ZYMEWORKS KOREAN STUDIES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12.2(q)-1</w:t>
      </w:r>
    </w:p>
    <w:p>
      <w:pPr>
        <w:sectPr>
          <w:pgSz w:w="11900" w:h="16838" w:orient="portrait"/>
          <w:cols w:equalWidth="0" w:num="1">
            <w:col w:w="9019"/>
          </w:cols>
          <w:pgMar w:left="1440" w:top="1395" w:right="1440" w:bottom="1440" w:gutter="0" w:footer="0" w:header="0"/>
        </w:sectPr>
      </w:pPr>
    </w:p>
    <w:bookmarkStart w:id="262" w:name="page263"/>
    <w:bookmarkEnd w:id="262"/>
    <w:p>
      <w:pPr>
        <w:jc w:val="center"/>
        <w:spacing w:after="0"/>
        <w:rPr>
          <w:sz w:val="20"/>
          <w:szCs w:val="20"/>
          <w:color w:val="auto"/>
        </w:rPr>
      </w:pPr>
      <w:r>
        <w:rPr>
          <w:rFonts w:ascii="Arial" w:cs="Arial" w:eastAsia="Arial" w:hAnsi="Arial"/>
          <w:sz w:val="22"/>
          <w:szCs w:val="22"/>
          <w:b w:val="1"/>
          <w:bCs w:val="1"/>
          <w:color w:val="auto"/>
        </w:rPr>
        <w:t>SCHEDULE 12.2(r)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ZYMEWORKS ONGOING STUDIES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12.2(r)-1</w:t>
      </w:r>
    </w:p>
    <w:p>
      <w:pPr>
        <w:sectPr>
          <w:pgSz w:w="11900" w:h="16838" w:orient="portrait"/>
          <w:cols w:equalWidth="0" w:num="1">
            <w:col w:w="9019"/>
          </w:cols>
          <w:pgMar w:left="1440" w:top="1395" w:right="1440"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7200" w:type="dxa"/>
            <w:vAlign w:val="bottom"/>
            <w:gridSpan w:val="4"/>
          </w:tcPr>
          <w:p>
            <w:pPr>
              <w:ind w:left="3480"/>
              <w:spacing w:after="0"/>
              <w:rPr>
                <w:sz w:val="20"/>
                <w:szCs w:val="20"/>
                <w:color w:val="auto"/>
              </w:rPr>
            </w:pPr>
            <w:r>
              <w:rPr>
                <w:rFonts w:ascii="Arial" w:cs="Arial" w:eastAsia="Arial" w:hAnsi="Arial"/>
                <w:sz w:val="18"/>
                <w:szCs w:val="18"/>
                <w:b w:val="1"/>
                <w:bCs w:val="1"/>
                <w:color w:val="auto"/>
              </w:rPr>
              <w:t>Subsidiaries of the Company</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700" w:type="dxa"/>
            <w:vAlign w:val="bottom"/>
            <w:vMerge w:val="restart"/>
          </w:tcPr>
          <w:p>
            <w:pPr>
              <w:spacing w:after="0"/>
              <w:rPr>
                <w:sz w:val="24"/>
                <w:szCs w:val="24"/>
                <w:color w:val="auto"/>
              </w:rPr>
            </w:pPr>
          </w:p>
        </w:tc>
        <w:tc>
          <w:tcPr>
            <w:tcW w:w="3020" w:type="dxa"/>
            <w:vAlign w:val="bottom"/>
            <w:gridSpan w:val="2"/>
          </w:tcPr>
          <w:p>
            <w:pPr>
              <w:ind w:left="540"/>
              <w:spacing w:after="0"/>
              <w:rPr>
                <w:sz w:val="20"/>
                <w:szCs w:val="20"/>
                <w:color w:val="auto"/>
              </w:rPr>
            </w:pPr>
            <w:r>
              <w:rPr>
                <w:rFonts w:ascii="Arial" w:cs="Arial" w:eastAsia="Arial" w:hAnsi="Arial"/>
                <w:sz w:val="14"/>
                <w:szCs w:val="14"/>
                <w:b w:val="1"/>
                <w:bCs w:val="1"/>
                <w:color w:val="auto"/>
                <w:w w:val="92"/>
              </w:rPr>
              <w:t>State or Jurisdiction of Incorporation or</w:t>
            </w:r>
          </w:p>
        </w:tc>
        <w:tc>
          <w:tcPr>
            <w:tcW w:w="0" w:type="dxa"/>
            <w:vAlign w:val="bottom"/>
          </w:tcPr>
          <w:p>
            <w:pPr>
              <w:spacing w:after="0"/>
              <w:rPr>
                <w:sz w:val="1"/>
                <w:szCs w:val="1"/>
                <w:color w:val="auto"/>
              </w:rPr>
            </w:pPr>
          </w:p>
        </w:tc>
      </w:tr>
      <w:tr>
        <w:trPr>
          <w:trHeight w:val="186"/>
        </w:trPr>
        <w:tc>
          <w:tcPr>
            <w:tcW w:w="34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3020" w:type="dxa"/>
            <w:vAlign w:val="bottom"/>
            <w:gridSpan w:val="2"/>
          </w:tcPr>
          <w:p>
            <w:pPr>
              <w:ind w:left="540"/>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245"/>
        </w:trPr>
        <w:tc>
          <w:tcPr>
            <w:tcW w:w="4180" w:type="dxa"/>
            <w:vAlign w:val="bottom"/>
            <w:gridSpan w:val="2"/>
          </w:tcPr>
          <w:p>
            <w:pPr>
              <w:spacing w:after="0"/>
              <w:rPr>
                <w:sz w:val="20"/>
                <w:szCs w:val="20"/>
                <w:color w:val="auto"/>
              </w:rPr>
            </w:pPr>
            <w:r>
              <w:rPr>
                <w:rFonts w:ascii="Arial" w:cs="Arial" w:eastAsia="Arial" w:hAnsi="Arial"/>
                <w:sz w:val="18"/>
                <w:szCs w:val="18"/>
                <w:color w:val="auto"/>
              </w:rPr>
              <w:t>Zymeworks CallCo ULC</w:t>
            </w:r>
          </w:p>
        </w:tc>
        <w:tc>
          <w:tcPr>
            <w:tcW w:w="3020" w:type="dxa"/>
            <w:vAlign w:val="bottom"/>
            <w:gridSpan w:val="2"/>
          </w:tcPr>
          <w:p>
            <w:pPr>
              <w:ind w:left="540"/>
              <w:spacing w:after="0"/>
              <w:rPr>
                <w:sz w:val="20"/>
                <w:szCs w:val="20"/>
                <w:color w:val="auto"/>
              </w:rPr>
            </w:pPr>
            <w:r>
              <w:rPr>
                <w:rFonts w:ascii="Arial" w:cs="Arial" w:eastAsia="Arial" w:hAnsi="Arial"/>
                <w:sz w:val="18"/>
                <w:szCs w:val="18"/>
                <w:color w:val="auto"/>
              </w:rPr>
              <w:t>Province of British Columbia</w:t>
            </w:r>
          </w:p>
        </w:tc>
        <w:tc>
          <w:tcPr>
            <w:tcW w:w="0" w:type="dxa"/>
            <w:vAlign w:val="bottom"/>
          </w:tcPr>
          <w:p>
            <w:pPr>
              <w:spacing w:after="0"/>
              <w:rPr>
                <w:sz w:val="1"/>
                <w:szCs w:val="1"/>
                <w:color w:val="auto"/>
              </w:rPr>
            </w:pPr>
          </w:p>
        </w:tc>
      </w:tr>
      <w:tr>
        <w:trPr>
          <w:trHeight w:val="229"/>
        </w:trPr>
        <w:tc>
          <w:tcPr>
            <w:tcW w:w="4180" w:type="dxa"/>
            <w:vAlign w:val="bottom"/>
            <w:gridSpan w:val="2"/>
          </w:tcPr>
          <w:p>
            <w:pPr>
              <w:spacing w:after="0"/>
              <w:rPr>
                <w:sz w:val="20"/>
                <w:szCs w:val="20"/>
                <w:color w:val="auto"/>
              </w:rPr>
            </w:pPr>
            <w:r>
              <w:rPr>
                <w:rFonts w:ascii="Arial" w:cs="Arial" w:eastAsia="Arial" w:hAnsi="Arial"/>
                <w:sz w:val="18"/>
                <w:szCs w:val="18"/>
                <w:color w:val="auto"/>
              </w:rPr>
              <w:t>Zymeworks ExchangeCo Ltd.</w:t>
            </w:r>
          </w:p>
        </w:tc>
        <w:tc>
          <w:tcPr>
            <w:tcW w:w="3020" w:type="dxa"/>
            <w:vAlign w:val="bottom"/>
            <w:gridSpan w:val="2"/>
          </w:tcPr>
          <w:p>
            <w:pPr>
              <w:ind w:left="540"/>
              <w:spacing w:after="0"/>
              <w:rPr>
                <w:sz w:val="20"/>
                <w:szCs w:val="20"/>
                <w:color w:val="auto"/>
              </w:rPr>
            </w:pPr>
            <w:r>
              <w:rPr>
                <w:rFonts w:ascii="Arial" w:cs="Arial" w:eastAsia="Arial" w:hAnsi="Arial"/>
                <w:sz w:val="18"/>
                <w:szCs w:val="18"/>
                <w:color w:val="auto"/>
              </w:rPr>
              <w:t>Province of British Columbia</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Zymeworks BC Inc.</w:t>
            </w:r>
          </w:p>
        </w:tc>
        <w:tc>
          <w:tcPr>
            <w:tcW w:w="3020" w:type="dxa"/>
            <w:vAlign w:val="bottom"/>
            <w:gridSpan w:val="2"/>
          </w:tcPr>
          <w:p>
            <w:pPr>
              <w:ind w:left="540"/>
              <w:spacing w:after="0"/>
              <w:rPr>
                <w:sz w:val="20"/>
                <w:szCs w:val="20"/>
                <w:color w:val="auto"/>
              </w:rPr>
            </w:pPr>
            <w:r>
              <w:rPr>
                <w:rFonts w:ascii="Arial" w:cs="Arial" w:eastAsia="Arial" w:hAnsi="Arial"/>
                <w:sz w:val="18"/>
                <w:szCs w:val="18"/>
                <w:color w:val="auto"/>
              </w:rPr>
              <w:t>Province of British Columbia</w:t>
            </w:r>
          </w:p>
        </w:tc>
        <w:tc>
          <w:tcPr>
            <w:tcW w:w="0" w:type="dxa"/>
            <w:vAlign w:val="bottom"/>
          </w:tcPr>
          <w:p>
            <w:pPr>
              <w:spacing w:after="0"/>
              <w:rPr>
                <w:sz w:val="1"/>
                <w:szCs w:val="1"/>
                <w:color w:val="auto"/>
              </w:rPr>
            </w:pPr>
          </w:p>
        </w:tc>
      </w:tr>
      <w:tr>
        <w:trPr>
          <w:trHeight w:val="229"/>
        </w:trPr>
        <w:tc>
          <w:tcPr>
            <w:tcW w:w="4180" w:type="dxa"/>
            <w:vAlign w:val="bottom"/>
            <w:gridSpan w:val="2"/>
          </w:tcPr>
          <w:p>
            <w:pPr>
              <w:spacing w:after="0"/>
              <w:rPr>
                <w:sz w:val="20"/>
                <w:szCs w:val="20"/>
                <w:color w:val="auto"/>
              </w:rPr>
            </w:pPr>
            <w:r>
              <w:rPr>
                <w:rFonts w:ascii="Arial" w:cs="Arial" w:eastAsia="Arial" w:hAnsi="Arial"/>
                <w:sz w:val="18"/>
                <w:szCs w:val="18"/>
                <w:color w:val="auto"/>
              </w:rPr>
              <w:t>Zymeworks Management Inc.</w:t>
            </w:r>
          </w:p>
        </w:tc>
        <w:tc>
          <w:tcPr>
            <w:tcW w:w="3020" w:type="dxa"/>
            <w:vAlign w:val="bottom"/>
            <w:gridSpan w:val="2"/>
          </w:tcPr>
          <w:p>
            <w:pPr>
              <w:ind w:left="540"/>
              <w:spacing w:after="0"/>
              <w:rPr>
                <w:sz w:val="20"/>
                <w:szCs w:val="20"/>
                <w:color w:val="auto"/>
              </w:rPr>
            </w:pPr>
            <w:r>
              <w:rPr>
                <w:rFonts w:ascii="Arial" w:cs="Arial" w:eastAsia="Arial" w:hAnsi="Arial"/>
                <w:sz w:val="18"/>
                <w:szCs w:val="18"/>
                <w:color w:val="auto"/>
              </w:rPr>
              <w:t>Province of British Columbia</w:t>
            </w:r>
          </w:p>
        </w:tc>
        <w:tc>
          <w:tcPr>
            <w:tcW w:w="0" w:type="dxa"/>
            <w:vAlign w:val="bottom"/>
          </w:tcPr>
          <w:p>
            <w:pPr>
              <w:spacing w:after="0"/>
              <w:rPr>
                <w:sz w:val="1"/>
                <w:szCs w:val="1"/>
                <w:color w:val="auto"/>
              </w:rPr>
            </w:pPr>
          </w:p>
        </w:tc>
      </w:tr>
      <w:tr>
        <w:trPr>
          <w:trHeight w:val="229"/>
        </w:trPr>
        <w:tc>
          <w:tcPr>
            <w:tcW w:w="4180" w:type="dxa"/>
            <w:vAlign w:val="bottom"/>
            <w:gridSpan w:val="2"/>
          </w:tcPr>
          <w:p>
            <w:pPr>
              <w:spacing w:after="0"/>
              <w:rPr>
                <w:sz w:val="20"/>
                <w:szCs w:val="20"/>
                <w:color w:val="auto"/>
              </w:rPr>
            </w:pPr>
            <w:r>
              <w:rPr>
                <w:rFonts w:ascii="Arial" w:cs="Arial" w:eastAsia="Arial" w:hAnsi="Arial"/>
                <w:sz w:val="18"/>
                <w:szCs w:val="18"/>
                <w:color w:val="auto"/>
              </w:rPr>
              <w:t>Zymeworks Management Inc. (UK Establishment)</w:t>
            </w:r>
          </w:p>
        </w:tc>
        <w:tc>
          <w:tcPr>
            <w:tcW w:w="3020" w:type="dxa"/>
            <w:vAlign w:val="bottom"/>
            <w:gridSpan w:val="2"/>
          </w:tcPr>
          <w:p>
            <w:pPr>
              <w:ind w:left="5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Zymeworks Biopharmaceuticals Inc.</w:t>
            </w:r>
          </w:p>
        </w:tc>
        <w:tc>
          <w:tcPr>
            <w:tcW w:w="3020" w:type="dxa"/>
            <w:vAlign w:val="bottom"/>
            <w:gridSpan w:val="2"/>
          </w:tcPr>
          <w:p>
            <w:pPr>
              <w:ind w:left="540"/>
              <w:spacing w:after="0"/>
              <w:rPr>
                <w:sz w:val="20"/>
                <w:szCs w:val="20"/>
                <w:color w:val="auto"/>
              </w:rPr>
            </w:pPr>
            <w:r>
              <w:rPr>
                <w:rFonts w:ascii="Arial" w:cs="Arial" w:eastAsia="Arial" w:hAnsi="Arial"/>
                <w:sz w:val="18"/>
                <w:szCs w:val="18"/>
                <w:color w:val="auto"/>
              </w:rPr>
              <w:t>Washington</w:t>
            </w:r>
          </w:p>
        </w:tc>
        <w:tc>
          <w:tcPr>
            <w:tcW w:w="0" w:type="dxa"/>
            <w:vAlign w:val="bottom"/>
          </w:tcPr>
          <w:p>
            <w:pPr>
              <w:spacing w:after="0"/>
              <w:rPr>
                <w:sz w:val="1"/>
                <w:szCs w:val="1"/>
                <w:color w:val="auto"/>
              </w:rPr>
            </w:pPr>
          </w:p>
        </w:tc>
      </w:tr>
      <w:tr>
        <w:trPr>
          <w:trHeight w:val="229"/>
        </w:trPr>
        <w:tc>
          <w:tcPr>
            <w:tcW w:w="4180" w:type="dxa"/>
            <w:vAlign w:val="bottom"/>
            <w:gridSpan w:val="2"/>
          </w:tcPr>
          <w:p>
            <w:pPr>
              <w:spacing w:after="0"/>
              <w:rPr>
                <w:sz w:val="20"/>
                <w:szCs w:val="20"/>
                <w:color w:val="auto"/>
              </w:rPr>
            </w:pPr>
            <w:r>
              <w:rPr>
                <w:rFonts w:ascii="Arial" w:cs="Arial" w:eastAsia="Arial" w:hAnsi="Arial"/>
                <w:sz w:val="18"/>
                <w:szCs w:val="18"/>
                <w:color w:val="auto"/>
              </w:rPr>
              <w:t>Zymeworks Zanidatamab Inc.</w:t>
            </w:r>
          </w:p>
        </w:tc>
        <w:tc>
          <w:tcPr>
            <w:tcW w:w="3020" w:type="dxa"/>
            <w:vAlign w:val="bottom"/>
            <w:gridSpan w:val="2"/>
          </w:tcPr>
          <w:p>
            <w:pPr>
              <w:ind w:left="540"/>
              <w:spacing w:after="0"/>
              <w:rPr>
                <w:sz w:val="20"/>
                <w:szCs w:val="20"/>
                <w:color w:val="auto"/>
              </w:rPr>
            </w:pPr>
            <w:r>
              <w:rPr>
                <w:rFonts w:ascii="Arial" w:cs="Arial" w:eastAsia="Arial" w:hAnsi="Arial"/>
                <w:sz w:val="18"/>
                <w:szCs w:val="18"/>
                <w:color w:val="auto"/>
              </w:rPr>
              <w:t>Washington</w:t>
            </w:r>
          </w:p>
        </w:tc>
        <w:tc>
          <w:tcPr>
            <w:tcW w:w="0" w:type="dxa"/>
            <w:vAlign w:val="bottom"/>
          </w:tcPr>
          <w:p>
            <w:pPr>
              <w:spacing w:after="0"/>
              <w:rPr>
                <w:sz w:val="1"/>
                <w:szCs w:val="1"/>
                <w:color w:val="auto"/>
              </w:rPr>
            </w:pPr>
          </w:p>
        </w:tc>
      </w:tr>
      <w:tr>
        <w:trPr>
          <w:trHeight w:val="229"/>
        </w:trPr>
        <w:tc>
          <w:tcPr>
            <w:tcW w:w="4180" w:type="dxa"/>
            <w:vAlign w:val="bottom"/>
            <w:gridSpan w:val="2"/>
          </w:tcPr>
          <w:p>
            <w:pPr>
              <w:spacing w:after="0"/>
              <w:rPr>
                <w:sz w:val="20"/>
                <w:szCs w:val="20"/>
                <w:color w:val="auto"/>
              </w:rPr>
            </w:pPr>
            <w:r>
              <w:rPr>
                <w:rFonts w:ascii="Arial" w:cs="Arial" w:eastAsia="Arial" w:hAnsi="Arial"/>
                <w:sz w:val="18"/>
                <w:szCs w:val="18"/>
                <w:color w:val="auto"/>
              </w:rPr>
              <w:t>Zymeworks Pharmaceuticals Limited</w:t>
            </w:r>
          </w:p>
        </w:tc>
        <w:tc>
          <w:tcPr>
            <w:tcW w:w="3020" w:type="dxa"/>
            <w:vAlign w:val="bottom"/>
            <w:gridSpan w:val="2"/>
          </w:tcPr>
          <w:p>
            <w:pPr>
              <w:ind w:left="54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Zymeworks Lifesciences Pte. Ltd.</w:t>
            </w:r>
          </w:p>
        </w:tc>
        <w:tc>
          <w:tcPr>
            <w:tcW w:w="3020" w:type="dxa"/>
            <w:vAlign w:val="bottom"/>
            <w:gridSpan w:val="2"/>
          </w:tcPr>
          <w:p>
            <w:pPr>
              <w:ind w:left="54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260" w:right="100" w:hanging="234"/>
        <w:spacing w:after="0" w:line="246" w:lineRule="auto"/>
        <w:tabs>
          <w:tab w:leader="none" w:pos="2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Inclusion on the list above is not an admission that any of the above entities, individually or in the aggregate, constitutes a significant subsidiary within the meaning of Rule 1-02(w) of Regulation S-X and Item 601(b)(21)(ii)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color w:val="auto"/>
        </w:rPr>
        <w:t>4854-6759-2529.5</w:t>
      </w:r>
    </w:p>
    <w:p>
      <w:pPr>
        <w:sectPr>
          <w:pgSz w:w="11900" w:h="16838" w:orient="portrait"/>
          <w:cols w:equalWidth="0" w:num="1">
            <w:col w:w="11240"/>
          </w:cols>
          <w:pgMar w:left="320" w:top="1404"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PO Box 10426 777 Dunsmuir Street</w:t>
      </w:r>
    </w:p>
    <w:p>
      <w:pPr>
        <w:spacing w:after="0" w:line="219" w:lineRule="auto"/>
        <w:rPr>
          <w:sz w:val="20"/>
          <w:szCs w:val="20"/>
          <w:color w:val="auto"/>
        </w:rPr>
      </w:pPr>
      <w:r>
        <w:rPr>
          <w:rFonts w:ascii="Arial" w:cs="Arial" w:eastAsia="Arial" w:hAnsi="Arial"/>
          <w:sz w:val="18"/>
          <w:szCs w:val="18"/>
          <w:color w:val="auto"/>
        </w:rPr>
        <w:t>Vancouver BC V7Y 1K3</w:t>
      </w:r>
    </w:p>
    <w:p>
      <w:pPr>
        <w:spacing w:after="0" w:line="234" w:lineRule="auto"/>
        <w:rPr>
          <w:sz w:val="20"/>
          <w:szCs w:val="20"/>
          <w:color w:val="auto"/>
        </w:rPr>
      </w:pPr>
      <w:r>
        <w:rPr>
          <w:rFonts w:ascii="Arial" w:cs="Arial" w:eastAsia="Arial" w:hAnsi="Arial"/>
          <w:sz w:val="18"/>
          <w:szCs w:val="18"/>
          <w:color w:val="auto"/>
        </w:rPr>
        <w:t>Canada</w:t>
      </w:r>
    </w:p>
    <w:p>
      <w:pPr>
        <w:spacing w:after="0" w:line="235" w:lineRule="auto"/>
        <w:rPr>
          <w:sz w:val="20"/>
          <w:szCs w:val="20"/>
          <w:color w:val="auto"/>
        </w:rPr>
      </w:pPr>
      <w:r>
        <w:rPr>
          <w:rFonts w:ascii="Arial" w:cs="Arial" w:eastAsia="Arial" w:hAnsi="Arial"/>
          <w:sz w:val="18"/>
          <w:szCs w:val="18"/>
          <w:color w:val="auto"/>
        </w:rPr>
        <w:t>Telephone (604) 691-3000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Fax (604) 691-3031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Zymeworks Inc.</w:t>
      </w:r>
    </w:p>
    <w:p>
      <w:pPr>
        <w:spacing w:after="0" w:line="278"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We consent to the incorporation by reference in the Registration Statements on Form S-3 (No. 333-259970-01) and Form S-8 (No. 333-225556-01, 333-257819-01, 333-263043-01 and 333-263042-01) of Zymeworks Inc. (the “Entity”) of our report dated March 7, 2023 on the consolidated financial statements of the Entity which comprise the consolidated balance sheets as of December 31, 2022 and 2021, the related consolidated statements of income (loss), comprehensive income (loss), changes in stockholders’ equity, and cash flows for each of the years in the three-year period ended December 31, 2022, and the related notes (collectively the “consolidated financial statements”), which appears in the Annual Report on Form 10-K of the Entity for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March 7, 2023</w:t>
      </w:r>
    </w:p>
    <w:p>
      <w:pPr>
        <w:spacing w:after="0"/>
        <w:rPr>
          <w:sz w:val="20"/>
          <w:szCs w:val="20"/>
          <w:color w:val="auto"/>
        </w:rPr>
      </w:pPr>
      <w:r>
        <w:rPr>
          <w:rFonts w:ascii="Arial" w:cs="Arial" w:eastAsia="Arial" w:hAnsi="Arial"/>
          <w:sz w:val="18"/>
          <w:szCs w:val="18"/>
          <w:color w:val="auto"/>
        </w:rPr>
        <w:t>Vancouver, Canada</w:t>
      </w:r>
    </w:p>
    <w:p>
      <w:pPr>
        <w:sectPr>
          <w:pgSz w:w="11900" w:h="16838" w:orient="portrait"/>
          <w:cols w:equalWidth="0" w:num="1">
            <w:col w:w="11240"/>
          </w:cols>
          <w:pgMar w:left="320" w:top="108" w:right="3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Galbraith, certify that:</w:t>
      </w:r>
    </w:p>
    <w:p>
      <w:pPr>
        <w:spacing w:after="0" w:line="117" w:lineRule="exact"/>
        <w:rPr>
          <w:sz w:val="20"/>
          <w:szCs w:val="20"/>
          <w:color w:val="auto"/>
        </w:rPr>
      </w:pPr>
    </w:p>
    <w:p>
      <w:pPr>
        <w:ind w:left="520" w:hanging="188"/>
        <w:spacing w:after="0"/>
        <w:tabs>
          <w:tab w:leader="none" w:pos="5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Zymeworks Inc.;</w:t>
      </w:r>
    </w:p>
    <w:p>
      <w:pPr>
        <w:spacing w:after="0" w:line="225" w:lineRule="exact"/>
        <w:rPr>
          <w:rFonts w:ascii="Arial" w:cs="Arial" w:eastAsia="Arial" w:hAnsi="Arial"/>
          <w:sz w:val="18"/>
          <w:szCs w:val="18"/>
          <w:color w:val="auto"/>
        </w:rPr>
      </w:pPr>
    </w:p>
    <w:p>
      <w:pPr>
        <w:jc w:val="both"/>
        <w:ind w:right="260" w:firstLine="332"/>
        <w:spacing w:after="0" w:line="342" w:lineRule="auto"/>
        <w:tabs>
          <w:tab w:leader="none" w:pos="50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332"/>
        <w:spacing w:after="0" w:line="277" w:lineRule="auto"/>
        <w:tabs>
          <w:tab w:leader="none" w:pos="50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332"/>
        <w:spacing w:after="0" w:line="263" w:lineRule="auto"/>
        <w:tabs>
          <w:tab w:leader="none" w:pos="50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jc w:val="both"/>
        <w:ind w:right="460" w:firstLine="332"/>
        <w:spacing w:after="0" w:line="263" w:lineRule="auto"/>
        <w:tabs>
          <w:tab w:leader="none" w:pos="56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332"/>
        <w:spacing w:after="0" w:line="263" w:lineRule="auto"/>
        <w:tabs>
          <w:tab w:leader="none" w:pos="57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960" w:firstLine="332"/>
        <w:spacing w:after="0" w:line="342" w:lineRule="auto"/>
        <w:tabs>
          <w:tab w:leader="none" w:pos="569" w:val="left"/>
        </w:tabs>
        <w:numPr>
          <w:ilvl w:val="0"/>
          <w:numId w:val="1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firstLine="332"/>
        <w:spacing w:after="0" w:line="263" w:lineRule="auto"/>
        <w:tabs>
          <w:tab w:leader="none" w:pos="57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20" w:firstLine="332"/>
        <w:spacing w:after="0" w:line="308" w:lineRule="auto"/>
        <w:tabs>
          <w:tab w:leader="none" w:pos="50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360" w:firstLine="332"/>
        <w:spacing w:after="0" w:line="277" w:lineRule="auto"/>
        <w:tabs>
          <w:tab w:leader="none" w:pos="56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00" w:firstLine="332"/>
        <w:spacing w:after="0" w:line="277" w:lineRule="auto"/>
        <w:tabs>
          <w:tab w:leader="none" w:pos="57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2023</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Kenneth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Astle, certify that:</w:t>
      </w:r>
    </w:p>
    <w:p>
      <w:pPr>
        <w:spacing w:after="0" w:line="117" w:lineRule="exact"/>
        <w:rPr>
          <w:sz w:val="20"/>
          <w:szCs w:val="20"/>
          <w:color w:val="auto"/>
        </w:rPr>
      </w:pPr>
    </w:p>
    <w:p>
      <w:pPr>
        <w:ind w:left="520" w:hanging="188"/>
        <w:spacing w:after="0"/>
        <w:tabs>
          <w:tab w:leader="none" w:pos="5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Zymeworks Inc.;</w:t>
      </w:r>
    </w:p>
    <w:p>
      <w:pPr>
        <w:spacing w:after="0" w:line="225" w:lineRule="exact"/>
        <w:rPr>
          <w:rFonts w:ascii="Arial" w:cs="Arial" w:eastAsia="Arial" w:hAnsi="Arial"/>
          <w:sz w:val="18"/>
          <w:szCs w:val="18"/>
          <w:color w:val="auto"/>
        </w:rPr>
      </w:pPr>
    </w:p>
    <w:p>
      <w:pPr>
        <w:jc w:val="both"/>
        <w:ind w:right="260" w:firstLine="332"/>
        <w:spacing w:after="0" w:line="342" w:lineRule="auto"/>
        <w:tabs>
          <w:tab w:leader="none" w:pos="50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332"/>
        <w:spacing w:after="0" w:line="277" w:lineRule="auto"/>
        <w:tabs>
          <w:tab w:leader="none" w:pos="50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332"/>
        <w:spacing w:after="0" w:line="263" w:lineRule="auto"/>
        <w:tabs>
          <w:tab w:leader="none" w:pos="50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jc w:val="both"/>
        <w:ind w:right="460" w:firstLine="332"/>
        <w:spacing w:after="0" w:line="263" w:lineRule="auto"/>
        <w:tabs>
          <w:tab w:leader="none" w:pos="56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332"/>
        <w:spacing w:after="0" w:line="263" w:lineRule="auto"/>
        <w:tabs>
          <w:tab w:leader="none" w:pos="57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960" w:firstLine="332"/>
        <w:spacing w:after="0" w:line="342" w:lineRule="auto"/>
        <w:tabs>
          <w:tab w:leader="none" w:pos="569" w:val="left"/>
        </w:tabs>
        <w:numPr>
          <w:ilvl w:val="0"/>
          <w:numId w:val="1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firstLine="332"/>
        <w:spacing w:after="0" w:line="263" w:lineRule="auto"/>
        <w:tabs>
          <w:tab w:leader="none" w:pos="57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20" w:firstLine="332"/>
        <w:spacing w:after="0" w:line="308" w:lineRule="auto"/>
        <w:tabs>
          <w:tab w:leader="none" w:pos="504"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360" w:firstLine="332"/>
        <w:spacing w:after="0" w:line="277" w:lineRule="auto"/>
        <w:tabs>
          <w:tab w:leader="none" w:pos="56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00" w:firstLine="332"/>
        <w:spacing w:after="0" w:line="277" w:lineRule="auto"/>
        <w:tabs>
          <w:tab w:leader="none" w:pos="57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2023</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Christopher Astle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828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6">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w:t>
      </w:r>
    </w:p>
    <w:p>
      <w:pPr>
        <w:spacing w:after="0" w:line="229"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in connection with the Annual Report on Form 10-K of Zymeworks Inc. for the annual period ended December 31, 2022 as filed with the Securities and Exchange Commission on the date hereof (the “Report”), the undersigned officer hereby certifies, to such officer’s knowledge, that:</w:t>
      </w:r>
    </w:p>
    <w:p>
      <w:pPr>
        <w:spacing w:after="0" w:line="41" w:lineRule="exact"/>
        <w:rPr>
          <w:sz w:val="20"/>
          <w:szCs w:val="20"/>
          <w:color w:val="auto"/>
        </w:rPr>
      </w:pPr>
    </w:p>
    <w:p>
      <w:pPr>
        <w:ind w:left="480" w:hanging="472"/>
        <w:spacing w:after="0"/>
        <w:tabs>
          <w:tab w:leader="none" w:pos="4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Zymeworks Inc.</w:t>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 Kenneth Gabraith</w:t>
      </w:r>
    </w:p>
    <w:p>
      <w:pPr>
        <w:spacing w:after="0" w:line="23" w:lineRule="exact"/>
        <w:rPr>
          <w:sz w:val="20"/>
          <w:szCs w:val="20"/>
          <w:color w:val="auto"/>
        </w:rPr>
      </w:pPr>
    </w:p>
    <w:tbl>
      <w:tblPr>
        <w:tblLayout w:type="fixed"/>
        <w:tblInd w:w="500" w:type="dxa"/>
        <w:tblCellMar>
          <w:top w:w="0" w:type="dxa"/>
          <w:left w:w="0" w:type="dxa"/>
          <w:bottom w:w="0" w:type="dxa"/>
          <w:right w:w="0" w:type="dxa"/>
        </w:tblCellMar>
      </w:tblPr>
      <w:tr>
        <w:trPr>
          <w:trHeight w:val="222"/>
        </w:trPr>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Kenneth Galbraith</w:t>
            </w:r>
          </w:p>
        </w:tc>
      </w:tr>
      <w:tr>
        <w:trPr>
          <w:trHeight w:val="230"/>
        </w:trPr>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6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230"/>
        </w:trPr>
        <w:tc>
          <w:tcPr>
            <w:tcW w:w="620" w:type="dxa"/>
            <w:vAlign w:val="bottom"/>
          </w:tcPr>
          <w:p>
            <w:pPr>
              <w:ind w:left="20"/>
              <w:spacing w:after="0"/>
              <w:rPr>
                <w:sz w:val="20"/>
                <w:szCs w:val="20"/>
                <w:color w:val="auto"/>
              </w:rPr>
            </w:pPr>
            <w:r>
              <w:rPr>
                <w:rFonts w:ascii="Arial" w:cs="Arial" w:eastAsia="Arial" w:hAnsi="Arial"/>
                <w:sz w:val="18"/>
                <w:szCs w:val="18"/>
                <w:color w:val="auto"/>
              </w:rPr>
              <w:t>Date:</w:t>
            </w:r>
          </w:p>
        </w:tc>
        <w:tc>
          <w:tcPr>
            <w:tcW w:w="3660" w:type="dxa"/>
            <w:vAlign w:val="bottom"/>
          </w:tcPr>
          <w:p>
            <w:pPr>
              <w:ind w:left="120"/>
              <w:spacing w:after="0"/>
              <w:rPr>
                <w:sz w:val="20"/>
                <w:szCs w:val="20"/>
                <w:color w:val="auto"/>
              </w:rPr>
            </w:pPr>
            <w:r>
              <w:rPr>
                <w:rFonts w:ascii="Arial" w:cs="Arial" w:eastAsia="Arial" w:hAnsi="Arial"/>
                <w:sz w:val="18"/>
                <w:szCs w:val="18"/>
                <w:color w:val="auto"/>
              </w:rPr>
              <w:t>March 7, 2023</w:t>
            </w: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accompanies the Report pursuant to §906 of the Sarbanes-Oxley Act of 2002 and shall not, except to the extent required by the Sarbanes-Oxley Act of 2002, be deemed “filed” by the Company for purposes of §18 of the Securities Exchange Act of 1934, as amended, or otherwise subject to the liability of that section.</w:t>
      </w:r>
    </w:p>
    <w:p>
      <w:pPr>
        <w:sectPr>
          <w:pgSz w:w="11900" w:h="16838" w:orient="portrait"/>
          <w:cols w:equalWidth="0" w:num="1">
            <w:col w:w="11240"/>
          </w:cols>
          <w:pgMar w:left="320" w:top="1107" w:right="3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w:t>
      </w:r>
    </w:p>
    <w:p>
      <w:pPr>
        <w:spacing w:after="0" w:line="229"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in connection with the Annual Report on Form 10-K of Zymeworks Inc. for the annual period ended December 31, 2022 as filed with the Securities and Exchange Commission on the date hereof (the “Report”), the undersigned officer hereby certifies, to such officer’s knowledge, that:</w:t>
      </w:r>
    </w:p>
    <w:p>
      <w:pPr>
        <w:spacing w:after="0" w:line="41" w:lineRule="exact"/>
        <w:rPr>
          <w:sz w:val="20"/>
          <w:szCs w:val="20"/>
          <w:color w:val="auto"/>
        </w:rPr>
      </w:pPr>
    </w:p>
    <w:p>
      <w:pPr>
        <w:ind w:left="480" w:hanging="472"/>
        <w:spacing w:after="0"/>
        <w:tabs>
          <w:tab w:leader="none" w:pos="4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Zymeworks Inc.</w:t>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 Christopher Astle</w:t>
      </w:r>
    </w:p>
    <w:p>
      <w:pPr>
        <w:spacing w:after="0" w:line="23" w:lineRule="exact"/>
        <w:rPr>
          <w:sz w:val="20"/>
          <w:szCs w:val="20"/>
          <w:color w:val="auto"/>
        </w:rPr>
      </w:pPr>
    </w:p>
    <w:tbl>
      <w:tblPr>
        <w:tblLayout w:type="fixed"/>
        <w:tblInd w:w="500" w:type="dxa"/>
        <w:tblCellMar>
          <w:top w:w="0" w:type="dxa"/>
          <w:left w:w="0" w:type="dxa"/>
          <w:bottom w:w="0" w:type="dxa"/>
          <w:right w:w="0" w:type="dxa"/>
        </w:tblCellMar>
      </w:tblPr>
      <w:tr>
        <w:trPr>
          <w:trHeight w:val="222"/>
        </w:trPr>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Christopher Astle</w:t>
            </w:r>
          </w:p>
        </w:tc>
      </w:tr>
      <w:tr>
        <w:trPr>
          <w:trHeight w:val="230"/>
        </w:trPr>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6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230"/>
        </w:trPr>
        <w:tc>
          <w:tcPr>
            <w:tcW w:w="620" w:type="dxa"/>
            <w:vAlign w:val="bottom"/>
          </w:tcPr>
          <w:p>
            <w:pPr>
              <w:ind w:left="20"/>
              <w:spacing w:after="0"/>
              <w:rPr>
                <w:sz w:val="20"/>
                <w:szCs w:val="20"/>
                <w:color w:val="auto"/>
              </w:rPr>
            </w:pPr>
            <w:r>
              <w:rPr>
                <w:rFonts w:ascii="Arial" w:cs="Arial" w:eastAsia="Arial" w:hAnsi="Arial"/>
                <w:sz w:val="18"/>
                <w:szCs w:val="18"/>
                <w:color w:val="auto"/>
              </w:rPr>
              <w:t>Date:</w:t>
            </w:r>
          </w:p>
        </w:tc>
        <w:tc>
          <w:tcPr>
            <w:tcW w:w="3660" w:type="dxa"/>
            <w:vAlign w:val="bottom"/>
          </w:tcPr>
          <w:p>
            <w:pPr>
              <w:ind w:left="120"/>
              <w:spacing w:after="0"/>
              <w:rPr>
                <w:sz w:val="20"/>
                <w:szCs w:val="20"/>
                <w:color w:val="auto"/>
              </w:rPr>
            </w:pPr>
            <w:r>
              <w:rPr>
                <w:rFonts w:ascii="Arial" w:cs="Arial" w:eastAsia="Arial" w:hAnsi="Arial"/>
                <w:sz w:val="18"/>
                <w:szCs w:val="18"/>
                <w:color w:val="auto"/>
              </w:rPr>
              <w:t>March 7, 2023</w:t>
            </w: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accompanies the Report pursuant to §906 of the Sarbanes-Oxley Act of 2002 and shall not, except to the extent required by the Sarbanes-Oxley Act of 2002, be deemed “filed” by the Company for purposes of §18 of the Securities Exchange Act of 1934, as amended, or otherwise subject to the liability of that section.</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EF0119"/>
    <w:multiLevelType w:val="hybridMultilevel"/>
    <w:lvl w:ilvl="0">
      <w:lvlJc w:val="left"/>
      <w:lvlText w:val="☒"/>
      <w:numFmt w:val="bullet"/>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
      <w:numFmt w:val="bullet"/>
      <w:start w:val="1"/>
    </w:lvl>
  </w:abstractNum>
  <w:abstractNum w:abstractNumId="3">
    <w:nsid w:val="49DA307D"/>
    <w:multiLevelType w:val="hybridMultilevel"/>
    <w:lvl w:ilvl="0">
      <w:lvlJc w:val="left"/>
      <w:lvlText w:val="•"/>
      <w:numFmt w:val="bullet"/>
      <w:start w:val="1"/>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
      <w:numFmt w:val="bullet"/>
      <w:start w:val="1"/>
    </w:lvl>
  </w:abstractNum>
  <w:abstractNum w:abstractNumId="6">
    <w:nsid w:val="50801EE1"/>
    <w:multiLevelType w:val="hybridMultilevel"/>
    <w:lvl w:ilvl="0">
      <w:lvlJc w:val="left"/>
      <w:lvlText w:val="•"/>
      <w:numFmt w:val="bullet"/>
      <w:start w:val="1"/>
    </w:lvl>
  </w:abstractNum>
  <w:abstractNum w:abstractNumId="7">
    <w:nsid w:val="488AC1A"/>
    <w:multiLevelType w:val="hybridMultilevel"/>
    <w:lvl w:ilvl="0">
      <w:lvlJc w:val="left"/>
      <w:lvlText w:val="•"/>
      <w:numFmt w:val="bullet"/>
      <w:start w:val="1"/>
    </w:lvl>
  </w:abstractNum>
  <w:abstractNum w:abstractNumId="8">
    <w:nsid w:val="5FB8011C"/>
    <w:multiLevelType w:val="hybridMultilevel"/>
    <w:lvl w:ilvl="0">
      <w:lvlJc w:val="left"/>
      <w:lvlText w:val="•"/>
      <w:numFmt w:val="bullet"/>
      <w:start w:val="1"/>
    </w:lvl>
  </w:abstractNum>
  <w:abstractNum w:abstractNumId="9">
    <w:nsid w:val="6AA78F7F"/>
    <w:multiLevelType w:val="hybridMultilevel"/>
    <w:lvl w:ilvl="0">
      <w:lvlJc w:val="left"/>
      <w:lvlText w:val="•"/>
      <w:numFmt w:val="bullet"/>
      <w:start w:val="1"/>
    </w:lvl>
  </w:abstractNum>
  <w:abstractNum w:abstractNumId="10">
    <w:nsid w:val="7672BD23"/>
    <w:multiLevelType w:val="hybridMultilevel"/>
    <w:lvl w:ilvl="0">
      <w:lvlJc w:val="left"/>
      <w:lvlText w:val="•"/>
      <w:numFmt w:val="bullet"/>
      <w:start w:val="1"/>
    </w:lvl>
  </w:abstractNum>
  <w:abstractNum w:abstractNumId="11">
    <w:nsid w:val="6FC75AF8"/>
    <w:multiLevelType w:val="hybridMultilevel"/>
    <w:lvl w:ilvl="0">
      <w:lvlJc w:val="left"/>
      <w:lvlText w:val="•"/>
      <w:numFmt w:val="bullet"/>
      <w:start w:val="1"/>
    </w:lvl>
  </w:abstractNum>
  <w:abstractNum w:abstractNumId="12">
    <w:nsid w:val="6A5F7029"/>
    <w:multiLevelType w:val="hybridMultilevel"/>
    <w:lvl w:ilvl="0">
      <w:lvlJc w:val="left"/>
      <w:lvlText w:val="•"/>
      <w:numFmt w:val="bullet"/>
      <w:start w:val="1"/>
    </w:lvl>
  </w:abstractNum>
  <w:abstractNum w:abstractNumId="13">
    <w:nsid w:val="7D5E18F8"/>
    <w:multiLevelType w:val="hybridMultilevel"/>
    <w:lvl w:ilvl="0">
      <w:lvlJc w:val="left"/>
      <w:lvlText w:val="•"/>
      <w:numFmt w:val="bullet"/>
      <w:start w:val="1"/>
    </w:lvl>
  </w:abstractNum>
  <w:abstractNum w:abstractNumId="14">
    <w:nsid w:val="5F3534A4"/>
    <w:multiLevelType w:val="hybridMultilevel"/>
    <w:lvl w:ilvl="0">
      <w:lvlJc w:val="left"/>
      <w:lvlText w:val="•"/>
      <w:numFmt w:val="bullet"/>
      <w:start w:val="1"/>
    </w:lvl>
  </w:abstractNum>
  <w:abstractNum w:abstractNumId="15">
    <w:nsid w:val="73A1821B"/>
    <w:multiLevelType w:val="hybridMultilevel"/>
    <w:lvl w:ilvl="0">
      <w:lvlJc w:val="left"/>
      <w:lvlText w:val="•"/>
      <w:numFmt w:val="bullet"/>
      <w:start w:val="1"/>
    </w:lvl>
  </w:abstractNum>
  <w:abstractNum w:abstractNumId="16">
    <w:nsid w:val="7DE67713"/>
    <w:multiLevelType w:val="hybridMultilevel"/>
    <w:lvl w:ilvl="0">
      <w:lvlJc w:val="left"/>
      <w:lvlText w:val="•"/>
      <w:numFmt w:val="bullet"/>
      <w:start w:val="1"/>
    </w:lvl>
  </w:abstractNum>
  <w:abstractNum w:abstractNumId="17">
    <w:nsid w:val="555C55B5"/>
    <w:multiLevelType w:val="hybridMultilevel"/>
    <w:lvl w:ilvl="0">
      <w:lvlJc w:val="left"/>
      <w:lvlText w:val="•"/>
      <w:numFmt w:val="bullet"/>
      <w:start w:val="1"/>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
      <w:numFmt w:val="bullet"/>
      <w:start w:val="1"/>
    </w:lvl>
  </w:abstractNum>
  <w:abstractNum w:abstractNumId="20">
    <w:nsid w:val="6A3DD3E8"/>
    <w:multiLevelType w:val="hybridMultilevel"/>
    <w:lvl w:ilvl="0">
      <w:lvlJc w:val="left"/>
      <w:lvlText w:val="•"/>
      <w:numFmt w:val="bullet"/>
      <w:start w:val="1"/>
    </w:lvl>
  </w:abstractNum>
  <w:abstractNum w:abstractNumId="21">
    <w:nsid w:val="71C91298"/>
    <w:multiLevelType w:val="hybridMultilevel"/>
    <w:lvl w:ilvl="0">
      <w:lvlJc w:val="left"/>
      <w:lvlText w:val="•"/>
      <w:numFmt w:val="bullet"/>
      <w:start w:val="1"/>
    </w:lvl>
  </w:abstractNum>
  <w:abstractNum w:abstractNumId="22">
    <w:nsid w:val="9DAF632"/>
    <w:multiLevelType w:val="hybridMultilevel"/>
    <w:lvl w:ilvl="0">
      <w:lvlJc w:val="left"/>
      <w:lvlText w:val="•"/>
      <w:numFmt w:val="bullet"/>
      <w:start w:val="1"/>
    </w:lvl>
  </w:abstractNum>
  <w:abstractNum w:abstractNumId="23">
    <w:nsid w:val="53299938"/>
    <w:multiLevelType w:val="hybridMultilevel"/>
    <w:lvl w:ilvl="0">
      <w:lvlJc w:val="left"/>
      <w:lvlText w:val="•"/>
      <w:numFmt w:val="bullet"/>
      <w:start w:val="1"/>
    </w:lvl>
  </w:abstractNum>
  <w:abstractNum w:abstractNumId="24">
    <w:nsid w:val="1FBFE8E0"/>
    <w:multiLevelType w:val="hybridMultilevel"/>
    <w:lvl w:ilvl="0">
      <w:lvlJc w:val="left"/>
      <w:lvlText w:val="•"/>
      <w:numFmt w:val="bullet"/>
      <w:start w:val="1"/>
    </w:lvl>
  </w:abstractNum>
  <w:abstractNum w:abstractNumId="25">
    <w:nsid w:val="5092CA79"/>
    <w:multiLevelType w:val="hybridMultilevel"/>
    <w:lvl w:ilvl="0">
      <w:lvlJc w:val="left"/>
      <w:lvlText w:val="•"/>
      <w:numFmt w:val="bullet"/>
      <w:start w:val="1"/>
    </w:lvl>
  </w:abstractNum>
  <w:abstractNum w:abstractNumId="26">
    <w:nsid w:val="1D545C4D"/>
    <w:multiLevelType w:val="hybridMultilevel"/>
    <w:lvl w:ilvl="0">
      <w:lvlJc w:val="left"/>
      <w:lvlText w:val="•"/>
      <w:numFmt w:val="bullet"/>
      <w:start w:val="1"/>
    </w:lvl>
  </w:abstractNum>
  <w:abstractNum w:abstractNumId="27">
    <w:nsid w:val="59ADEA3D"/>
    <w:multiLevelType w:val="hybridMultilevel"/>
    <w:lvl w:ilvl="0">
      <w:lvlJc w:val="left"/>
      <w:lvlText w:val="•"/>
      <w:numFmt w:val="bullet"/>
      <w:start w:val="1"/>
    </w:lvl>
  </w:abstractNum>
  <w:abstractNum w:abstractNumId="28">
    <w:nsid w:val="288F1A34"/>
    <w:multiLevelType w:val="hybridMultilevel"/>
    <w:lvl w:ilvl="0">
      <w:lvlJc w:val="left"/>
      <w:lvlText w:val="•"/>
      <w:numFmt w:val="bullet"/>
      <w:start w:val="1"/>
    </w:lvl>
  </w:abstractNum>
  <w:abstractNum w:abstractNumId="29">
    <w:nsid w:val="2A155DBC"/>
    <w:multiLevelType w:val="hybridMultilevel"/>
    <w:lvl w:ilvl="0">
      <w:lvlJc w:val="left"/>
      <w:lvlText w:val="•"/>
      <w:numFmt w:val="bullet"/>
      <w:start w:val="1"/>
    </w:lvl>
  </w:abstractNum>
  <w:abstractNum w:abstractNumId="30">
    <w:nsid w:val="1D9F6E5F"/>
    <w:multiLevelType w:val="hybridMultilevel"/>
    <w:lvl w:ilvl="0">
      <w:lvlJc w:val="left"/>
      <w:lvlText w:val="•"/>
      <w:numFmt w:val="bullet"/>
      <w:start w:val="1"/>
    </w:lvl>
  </w:abstractNum>
  <w:abstractNum w:abstractNumId="31">
    <w:nsid w:val="97E1B4E"/>
    <w:multiLevelType w:val="hybridMultilevel"/>
    <w:lvl w:ilvl="0">
      <w:lvlJc w:val="left"/>
      <w:lvlText w:val="•"/>
      <w:numFmt w:val="bullet"/>
      <w:start w:val="1"/>
    </w:lvl>
  </w:abstractNum>
  <w:abstractNum w:abstractNumId="32">
    <w:nsid w:val="51088277"/>
    <w:multiLevelType w:val="hybridMultilevel"/>
    <w:lvl w:ilvl="0">
      <w:lvlJc w:val="left"/>
      <w:lvlText w:val="•"/>
      <w:numFmt w:val="bullet"/>
      <w:start w:val="1"/>
    </w:lvl>
  </w:abstractNum>
  <w:abstractNum w:abstractNumId="33">
    <w:nsid w:val="1CA0C5FA"/>
    <w:multiLevelType w:val="hybridMultilevel"/>
    <w:lvl w:ilvl="0">
      <w:lvlJc w:val="left"/>
      <w:lvlText w:val="•"/>
      <w:numFmt w:val="bullet"/>
      <w:start w:val="1"/>
    </w:lvl>
  </w:abstractNum>
  <w:abstractNum w:abstractNumId="34">
    <w:nsid w:val="53584BCB"/>
    <w:multiLevelType w:val="hybridMultilevel"/>
    <w:lvl w:ilvl="0">
      <w:lvlJc w:val="left"/>
      <w:lvlText w:val="•"/>
      <w:numFmt w:val="bullet"/>
      <w:start w:val="1"/>
    </w:lvl>
  </w:abstractNum>
  <w:abstractNum w:abstractNumId="35">
    <w:nsid w:val="415E286C"/>
    <w:multiLevelType w:val="hybridMultilevel"/>
    <w:lvl w:ilvl="0">
      <w:lvlJc w:val="left"/>
      <w:lvlText w:val="•"/>
      <w:numFmt w:val="bullet"/>
      <w:start w:val="1"/>
    </w:lvl>
  </w:abstractNum>
  <w:abstractNum w:abstractNumId="36">
    <w:nsid w:val="7C58FD05"/>
    <w:multiLevelType w:val="hybridMultilevel"/>
    <w:lvl w:ilvl="0">
      <w:lvlJc w:val="left"/>
      <w:lvlText w:val="•"/>
      <w:numFmt w:val="bullet"/>
      <w:start w:val="1"/>
    </w:lvl>
  </w:abstractNum>
  <w:abstractNum w:abstractNumId="37">
    <w:nsid w:val="23D86AAC"/>
    <w:multiLevelType w:val="hybridMultilevel"/>
    <w:lvl w:ilvl="0">
      <w:lvlJc w:val="left"/>
      <w:lvlText w:val="•"/>
      <w:numFmt w:val="bullet"/>
      <w:start w:val="1"/>
    </w:lvl>
  </w:abstractNum>
  <w:abstractNum w:abstractNumId="38">
    <w:nsid w:val="45E6D486"/>
    <w:multiLevelType w:val="hybridMultilevel"/>
    <w:lvl w:ilvl="0">
      <w:lvlJc w:val="left"/>
      <w:lvlText w:val="•"/>
      <w:numFmt w:val="bullet"/>
      <w:start w:val="1"/>
    </w:lvl>
  </w:abstractNum>
  <w:abstractNum w:abstractNumId="39">
    <w:nsid w:val="5C10FE21"/>
    <w:multiLevelType w:val="hybridMultilevel"/>
    <w:lvl w:ilvl="0">
      <w:lvlJc w:val="left"/>
      <w:lvlText w:val="•"/>
      <w:numFmt w:val="bullet"/>
      <w:start w:val="1"/>
    </w:lvl>
  </w:abstractNum>
  <w:abstractNum w:abstractNumId="40">
    <w:nsid w:val="E7FFA2B"/>
    <w:multiLevelType w:val="hybridMultilevel"/>
    <w:lvl w:ilvl="0">
      <w:lvlJc w:val="left"/>
      <w:lvlText w:val="•"/>
      <w:numFmt w:val="bullet"/>
      <w:start w:val="1"/>
    </w:lvl>
  </w:abstractNum>
  <w:abstractNum w:abstractNumId="41">
    <w:nsid w:val="3C5991AA"/>
    <w:multiLevelType w:val="hybridMultilevel"/>
    <w:lvl w:ilvl="0">
      <w:lvlJc w:val="left"/>
      <w:lvlText w:val="•"/>
      <w:numFmt w:val="bullet"/>
      <w:start w:val="1"/>
    </w:lvl>
  </w:abstractNum>
  <w:abstractNum w:abstractNumId="42">
    <w:nsid w:val="4BD8591A"/>
    <w:multiLevelType w:val="hybridMultilevel"/>
    <w:lvl w:ilvl="0">
      <w:lvlJc w:val="left"/>
      <w:lvlText w:val="•"/>
      <w:numFmt w:val="bullet"/>
      <w:start w:val="1"/>
    </w:lvl>
  </w:abstractNum>
  <w:abstractNum w:abstractNumId="43">
    <w:nsid w:val="78DF6A55"/>
    <w:multiLevelType w:val="hybridMultilevel"/>
    <w:lvl w:ilvl="0">
      <w:lvlJc w:val="left"/>
      <w:lvlText w:val="•"/>
      <w:numFmt w:val="bullet"/>
      <w:start w:val="1"/>
    </w:lvl>
  </w:abstractNum>
  <w:abstractNum w:abstractNumId="44">
    <w:nsid w:val="39B7AAA2"/>
    <w:multiLevelType w:val="hybridMultilevel"/>
    <w:lvl w:ilvl="0">
      <w:lvlJc w:val="left"/>
      <w:lvlText w:val="•"/>
      <w:numFmt w:val="bullet"/>
      <w:start w:val="1"/>
    </w:lvl>
  </w:abstractNum>
  <w:abstractNum w:abstractNumId="45">
    <w:nsid w:val="2B0D8DBE"/>
    <w:multiLevelType w:val="hybridMultilevel"/>
    <w:lvl w:ilvl="0">
      <w:lvlJc w:val="left"/>
      <w:lvlText w:val="•"/>
      <w:numFmt w:val="bullet"/>
      <w:start w:val="1"/>
    </w:lvl>
  </w:abstractNum>
  <w:abstractNum w:abstractNumId="46">
    <w:nsid w:val="6C80EC70"/>
    <w:multiLevelType w:val="hybridMultilevel"/>
    <w:lvl w:ilvl="0">
      <w:lvlJc w:val="left"/>
      <w:lvlText w:val="•"/>
      <w:numFmt w:val="bullet"/>
      <w:start w:val="1"/>
    </w:lvl>
  </w:abstractNum>
  <w:abstractNum w:abstractNumId="47">
    <w:nsid w:val="379E21B5"/>
    <w:multiLevelType w:val="hybridMultilevel"/>
    <w:lvl w:ilvl="0">
      <w:lvlJc w:val="left"/>
      <w:lvlText w:val="•"/>
      <w:numFmt w:val="bullet"/>
      <w:start w:val="1"/>
    </w:lvl>
  </w:abstractNum>
  <w:abstractNum w:abstractNumId="48">
    <w:nsid w:val="69E373"/>
    <w:multiLevelType w:val="hybridMultilevel"/>
    <w:lvl w:ilvl="0">
      <w:lvlJc w:val="left"/>
      <w:lvlText w:val="•"/>
      <w:numFmt w:val="bullet"/>
      <w:start w:val="1"/>
    </w:lvl>
  </w:abstractNum>
  <w:abstractNum w:abstractNumId="49">
    <w:nsid w:val="2C27173B"/>
    <w:multiLevelType w:val="hybridMultilevel"/>
    <w:lvl w:ilvl="0">
      <w:lvlJc w:val="left"/>
      <w:lvlText w:val="•"/>
      <w:numFmt w:val="bullet"/>
      <w:start w:val="1"/>
    </w:lvl>
  </w:abstractNum>
  <w:abstractNum w:abstractNumId="50">
    <w:nsid w:val="4C9B0904"/>
    <w:multiLevelType w:val="hybridMultilevel"/>
    <w:lvl w:ilvl="0">
      <w:lvlJc w:val="left"/>
      <w:lvlText w:val="•"/>
      <w:numFmt w:val="bullet"/>
      <w:start w:val="1"/>
    </w:lvl>
  </w:abstractNum>
  <w:abstractNum w:abstractNumId="51">
    <w:nsid w:val="6AA7B75C"/>
    <w:multiLevelType w:val="hybridMultilevel"/>
    <w:lvl w:ilvl="0">
      <w:lvlJc w:val="left"/>
      <w:lvlText w:val="•"/>
      <w:numFmt w:val="bullet"/>
      <w:start w:val="1"/>
    </w:lvl>
  </w:abstractNum>
  <w:abstractNum w:abstractNumId="52">
    <w:nsid w:val="1DF029D3"/>
    <w:multiLevelType w:val="hybridMultilevel"/>
    <w:lvl w:ilvl="0">
      <w:lvlJc w:val="left"/>
      <w:lvlText w:val="(%1)"/>
      <w:numFmt w:val="decimal"/>
      <w:start w:val="1"/>
    </w:lvl>
  </w:abstractNum>
  <w:abstractNum w:abstractNumId="53">
    <w:nsid w:val="5675FF36"/>
    <w:multiLevelType w:val="hybridMultilevel"/>
    <w:lvl w:ilvl="0">
      <w:lvlJc w:val="left"/>
      <w:lvlText w:val="•"/>
      <w:numFmt w:val="bullet"/>
      <w:start w:val="1"/>
    </w:lvl>
  </w:abstractNum>
  <w:abstractNum w:abstractNumId="54">
    <w:nsid w:val="3DD15094"/>
    <w:multiLevelType w:val="hybridMultilevel"/>
    <w:lvl w:ilvl="0">
      <w:lvlJc w:val="left"/>
      <w:lvlText w:val="•"/>
      <w:numFmt w:val="bullet"/>
      <w:start w:val="1"/>
    </w:lvl>
  </w:abstractNum>
  <w:abstractNum w:abstractNumId="55">
    <w:nsid w:val="3DB012B3"/>
    <w:multiLevelType w:val="hybridMultilevel"/>
    <w:lvl w:ilvl="0">
      <w:lvlJc w:val="left"/>
      <w:lvlText w:val="•"/>
      <w:numFmt w:val="bullet"/>
      <w:start w:val="1"/>
    </w:lvl>
  </w:abstractNum>
  <w:abstractNum w:abstractNumId="56">
    <w:nsid w:val="2708C9AF"/>
    <w:multiLevelType w:val="hybridMultilevel"/>
    <w:lvl w:ilvl="0">
      <w:lvlJc w:val="left"/>
      <w:lvlText w:val="•"/>
      <w:numFmt w:val="bullet"/>
      <w:start w:val="1"/>
    </w:lvl>
  </w:abstractNum>
  <w:abstractNum w:abstractNumId="57">
    <w:nsid w:val="5B25ACE2"/>
    <w:multiLevelType w:val="hybridMultilevel"/>
    <w:lvl w:ilvl="0">
      <w:lvlJc w:val="left"/>
      <w:lvlText w:val="%1."/>
      <w:numFmt w:val="lowerLetter"/>
      <w:start w:val="1"/>
    </w:lvl>
  </w:abstractNum>
  <w:abstractNum w:abstractNumId="58">
    <w:nsid w:val="175DFCF0"/>
    <w:multiLevelType w:val="hybridMultilevel"/>
    <w:lvl w:ilvl="0">
      <w:lvlJc w:val="left"/>
      <w:lvlText w:val="%1."/>
      <w:numFmt w:val="lowerLetter"/>
      <w:start w:val="2"/>
    </w:lvl>
  </w:abstractNum>
  <w:abstractNum w:abstractNumId="59">
    <w:nsid w:val="4F97E3E4"/>
    <w:multiLevelType w:val="hybridMultilevel"/>
    <w:lvl w:ilvl="0">
      <w:lvlJc w:val="left"/>
      <w:lvlText w:val="%1."/>
      <w:numFmt w:val="lowerLetter"/>
      <w:start w:val="3"/>
    </w:lvl>
  </w:abstractNum>
  <w:abstractNum w:abstractNumId="60">
    <w:nsid w:val="53B0A9E"/>
    <w:multiLevelType w:val="hybridMultilevel"/>
    <w:lvl w:ilvl="0">
      <w:lvlJc w:val="left"/>
      <w:lvlText w:val="%1."/>
      <w:numFmt w:val="lowerLetter"/>
      <w:start w:val="4"/>
    </w:lvl>
  </w:abstractNum>
  <w:abstractNum w:abstractNumId="61">
    <w:nsid w:val="34FD6B4F"/>
    <w:multiLevelType w:val="hybridMultilevel"/>
    <w:lvl w:ilvl="0">
      <w:lvlJc w:val="left"/>
      <w:lvlText w:val="%1."/>
      <w:numFmt w:val="lowerLetter"/>
      <w:start w:val="5"/>
    </w:lvl>
  </w:abstractNum>
  <w:abstractNum w:abstractNumId="62">
    <w:nsid w:val="5915FF32"/>
    <w:multiLevelType w:val="hybridMultilevel"/>
    <w:lvl w:ilvl="0">
      <w:lvlJc w:val="left"/>
      <w:lvlText w:val="%1."/>
      <w:numFmt w:val="lowerLetter"/>
      <w:start w:val="6"/>
    </w:lvl>
  </w:abstractNum>
  <w:abstractNum w:abstractNumId="63">
    <w:nsid w:val="56438D15"/>
    <w:multiLevelType w:val="hybridMultilevel"/>
    <w:lvl w:ilvl="0">
      <w:lvlJc w:val="left"/>
      <w:lvlText w:val="•"/>
      <w:numFmt w:val="bullet"/>
      <w:start w:val="1"/>
    </w:lvl>
  </w:abstractNum>
  <w:abstractNum w:abstractNumId="64">
    <w:nsid w:val="519E3149"/>
    <w:multiLevelType w:val="hybridMultilevel"/>
    <w:lvl w:ilvl="0">
      <w:lvlJc w:val="left"/>
      <w:lvlText w:val="•"/>
      <w:numFmt w:val="bullet"/>
      <w:start w:val="1"/>
    </w:lvl>
  </w:abstractNum>
  <w:abstractNum w:abstractNumId="65">
    <w:nsid w:val="2C6E4AFD"/>
    <w:multiLevelType w:val="hybridMultilevel"/>
    <w:lvl w:ilvl="0">
      <w:lvlJc w:val="left"/>
      <w:lvlText w:val="%1"/>
      <w:numFmt w:val="decimal"/>
      <w:start w:val="101"/>
    </w:lvl>
  </w:abstractNum>
  <w:abstractNum w:abstractNumId="66">
    <w:nsid w:val="17A1B582"/>
    <w:multiLevelType w:val="hybridMultilevel"/>
    <w:lvl w:ilvl="0">
      <w:lvlJc w:val="left"/>
      <w:lvlText w:val="*"/>
      <w:numFmt w:val="bullet"/>
      <w:start w:val="1"/>
    </w:lvl>
  </w:abstractNum>
  <w:abstractNum w:abstractNumId="67">
    <w:nsid w:val="4DF72E4E"/>
    <w:multiLevelType w:val="hybridMultilevel"/>
    <w:lvl w:ilvl="0">
      <w:lvlJc w:val="left"/>
      <w:lvlText w:val="+"/>
      <w:numFmt w:val="bullet"/>
      <w:start w:val="1"/>
    </w:lvl>
  </w:abstractNum>
  <w:abstractNum w:abstractNumId="68">
    <w:nsid w:val="5046B5A9"/>
    <w:multiLevelType w:val="hybridMultilevel"/>
    <w:lvl w:ilvl="0">
      <w:lvlJc w:val="left"/>
      <w:lvlText w:val="•"/>
      <w:numFmt w:val="bullet"/>
      <w:start w:val="1"/>
    </w:lvl>
  </w:abstractNum>
  <w:abstractNum w:abstractNumId="69">
    <w:nsid w:val="5D888A08"/>
    <w:multiLevelType w:val="hybridMultilevel"/>
    <w:lvl w:ilvl="0">
      <w:lvlJc w:val="left"/>
      <w:lvlText w:val="•"/>
      <w:numFmt w:val="bullet"/>
      <w:start w:val="1"/>
    </w:lvl>
  </w:abstractNum>
  <w:abstractNum w:abstractNumId="70">
    <w:nsid w:val="2A082C70"/>
    <w:multiLevelType w:val="hybridMultilevel"/>
    <w:lvl w:ilvl="0">
      <w:lvlJc w:val="left"/>
      <w:lvlText w:val="•"/>
      <w:numFmt w:val="bullet"/>
      <w:start w:val="1"/>
    </w:lvl>
  </w:abstractNum>
  <w:abstractNum w:abstractNumId="71">
    <w:nsid w:val="5EC6AFD4"/>
    <w:multiLevelType w:val="hybridMultilevel"/>
    <w:lvl w:ilvl="0">
      <w:lvlJc w:val="left"/>
      <w:lvlText w:val="•"/>
      <w:numFmt w:val="bullet"/>
      <w:start w:val="1"/>
    </w:lvl>
  </w:abstractNum>
  <w:abstractNum w:abstractNumId="72">
    <w:nsid w:val="19E21BB2"/>
    <w:multiLevelType w:val="hybridMultilevel"/>
    <w:lvl w:ilvl="0">
      <w:lvlJc w:val="left"/>
      <w:lvlText w:val="•"/>
      <w:numFmt w:val="bullet"/>
      <w:start w:val="1"/>
    </w:lvl>
  </w:abstractNum>
  <w:abstractNum w:abstractNumId="73">
    <w:nsid w:val="75E0858A"/>
    <w:multiLevelType w:val="hybridMultilevel"/>
    <w:lvl w:ilvl="0">
      <w:lvlJc w:val="left"/>
      <w:lvlText w:val="%1."/>
      <w:numFmt w:val="decimal"/>
      <w:start w:val="1"/>
    </w:lvl>
    <w:lvl w:ilvl="1">
      <w:lvlJc w:val="left"/>
      <w:lvlText w:val="%2."/>
      <w:numFmt w:val="lowerLetter"/>
      <w:start w:val="1"/>
    </w:lvl>
  </w:abstractNum>
  <w:abstractNum w:abstractNumId="74">
    <w:nsid w:val="57A61A29"/>
    <w:multiLevelType w:val="hybridMultilevel"/>
    <w:lvl w:ilvl="0">
      <w:lvlJc w:val="left"/>
      <w:lvlText w:val="%1."/>
      <w:numFmt w:val="lowerLetter"/>
      <w:start w:val="1"/>
    </w:lvl>
  </w:abstractNum>
  <w:abstractNum w:abstractNumId="75">
    <w:nsid w:val="5399C654"/>
    <w:multiLevelType w:val="hybridMultilevel"/>
    <w:lvl w:ilvl="0">
      <w:lvlJc w:val="left"/>
      <w:lvlText w:val="%1."/>
      <w:numFmt w:val="decimal"/>
      <w:start w:val="4"/>
    </w:lvl>
  </w:abstractNum>
  <w:abstractNum w:abstractNumId="76">
    <w:nsid w:val="20EE1348"/>
    <w:multiLevelType w:val="hybridMultilevel"/>
    <w:lvl w:ilvl="0">
      <w:lvlJc w:val="left"/>
      <w:lvlText w:val="%1."/>
      <w:numFmt w:val="decimal"/>
      <w:start w:val="8"/>
    </w:lvl>
    <w:lvl w:ilvl="1">
      <w:lvlJc w:val="left"/>
      <w:lvlText w:val="%2."/>
      <w:numFmt w:val="lowerLetter"/>
      <w:start w:val="1"/>
    </w:lvl>
  </w:abstractNum>
  <w:abstractNum w:abstractNumId="77">
    <w:nsid w:val="4427069A"/>
    <w:multiLevelType w:val="hybridMultilevel"/>
    <w:lvl w:ilvl="0">
      <w:lvlJc w:val="left"/>
      <w:lvlText w:val="%1."/>
      <w:numFmt w:val="decimal"/>
      <w:start w:val="11"/>
    </w:lvl>
  </w:abstractNum>
  <w:abstractNum w:abstractNumId="78">
    <w:nsid w:val="B37E80A"/>
    <w:multiLevelType w:val="hybridMultilevel"/>
    <w:lvl w:ilvl="0">
      <w:lvlJc w:val="left"/>
      <w:lvlText w:val="%1."/>
      <w:numFmt w:val="decimal"/>
      <w:start w:val="1"/>
    </w:lvl>
  </w:abstractNum>
  <w:abstractNum w:abstractNumId="79">
    <w:nsid w:val="2157F6BC"/>
    <w:multiLevelType w:val="hybridMultilevel"/>
    <w:lvl w:ilvl="0">
      <w:lvlJc w:val="left"/>
      <w:lvlText w:val="%1."/>
      <w:numFmt w:val="decimal"/>
      <w:start w:val="3"/>
    </w:lvl>
  </w:abstractNum>
  <w:abstractNum w:abstractNumId="80">
    <w:nsid w:val="704E1DD5"/>
    <w:multiLevelType w:val="hybridMultilevel"/>
    <w:lvl w:ilvl="0">
      <w:lvlJc w:val="left"/>
      <w:lvlText w:val="(%1)"/>
      <w:numFmt w:val="lowerLetter"/>
      <w:start w:val="2"/>
    </w:lvl>
  </w:abstractNum>
  <w:abstractNum w:abstractNumId="81">
    <w:nsid w:val="57D2F10E"/>
    <w:multiLevelType w:val="hybridMultilevel"/>
    <w:lvl w:ilvl="0">
      <w:lvlJc w:val="left"/>
      <w:lvlText w:val="%1."/>
      <w:numFmt w:val="decimal"/>
      <w:start w:val="4"/>
    </w:lvl>
  </w:abstractNum>
  <w:abstractNum w:abstractNumId="82">
    <w:nsid w:val="BFFAE18"/>
    <w:multiLevelType w:val="hybridMultilevel"/>
    <w:lvl w:ilvl="0">
      <w:lvlJc w:val="left"/>
      <w:lvlText w:val="(%1)"/>
      <w:numFmt w:val="lowerLetter"/>
      <w:start w:val="2"/>
    </w:lvl>
  </w:abstractNum>
  <w:abstractNum w:abstractNumId="83">
    <w:nsid w:val="E3E47A8"/>
    <w:multiLevelType w:val="hybridMultilevel"/>
    <w:lvl w:ilvl="0">
      <w:lvlJc w:val="left"/>
      <w:lvlText w:val="%1."/>
      <w:numFmt w:val="decimal"/>
      <w:start w:val="5"/>
    </w:lvl>
  </w:abstractNum>
  <w:abstractNum w:abstractNumId="84">
    <w:nsid w:val="2E48F044"/>
    <w:multiLevelType w:val="hybridMultilevel"/>
    <w:lvl w:ilvl="0">
      <w:lvlJc w:val="left"/>
      <w:lvlText w:val="%1."/>
      <w:numFmt w:val="decimal"/>
      <w:start w:val="6"/>
    </w:lvl>
  </w:abstractNum>
  <w:abstractNum w:abstractNumId="85">
    <w:nsid w:val="49D0FEAC"/>
    <w:multiLevelType w:val="hybridMultilevel"/>
    <w:lvl w:ilvl="0">
      <w:lvlJc w:val="left"/>
      <w:lvlText w:val="%1."/>
      <w:numFmt w:val="decimal"/>
      <w:start w:val="7"/>
    </w:lvl>
  </w:abstractNum>
  <w:abstractNum w:abstractNumId="86">
    <w:nsid w:val="4BEE5A5B"/>
    <w:multiLevelType w:val="hybridMultilevel"/>
    <w:lvl w:ilvl="0">
      <w:lvlJc w:val="left"/>
      <w:lvlText w:val="%1."/>
      <w:numFmt w:val="decimal"/>
      <w:start w:val="8"/>
    </w:lvl>
  </w:abstractNum>
  <w:abstractNum w:abstractNumId="87">
    <w:nsid w:val="5551B9F3"/>
    <w:multiLevelType w:val="hybridMultilevel"/>
    <w:lvl w:ilvl="0">
      <w:lvlJc w:val="left"/>
      <w:lvlText w:val="%1."/>
      <w:numFmt w:val="decimal"/>
      <w:start w:val="9"/>
    </w:lvl>
    <w:lvl w:ilvl="1">
      <w:lvlJc w:val="left"/>
      <w:lvlText w:val="*"/>
      <w:numFmt w:val="bullet"/>
      <w:start w:val="1"/>
    </w:lvl>
  </w:abstractNum>
  <w:abstractNum w:abstractNumId="88">
    <w:nsid w:val="24F6AB8E"/>
    <w:multiLevelType w:val="hybridMultilevel"/>
    <w:lvl w:ilvl="0">
      <w:lvlJc w:val="left"/>
      <w:lvlText w:val="(%1)"/>
      <w:numFmt w:val="lowerLetter"/>
      <w:start w:val="1"/>
    </w:lvl>
  </w:abstractNum>
  <w:abstractNum w:abstractNumId="89">
    <w:nsid w:val="634C574C"/>
    <w:multiLevelType w:val="hybridMultilevel"/>
    <w:lvl w:ilvl="0">
      <w:lvlJc w:val="left"/>
      <w:lvlText w:val="(%1)"/>
      <w:numFmt w:val="lowerRoman"/>
      <w:start w:val="1"/>
    </w:lvl>
  </w:abstractNum>
  <w:abstractNum w:abstractNumId="90">
    <w:nsid w:val="24E99DD7"/>
    <w:multiLevelType w:val="hybridMultilevel"/>
    <w:lvl w:ilvl="0">
      <w:lvlJc w:val="left"/>
      <w:lvlText w:val="[***]"/>
      <w:numFmt w:val="bullet"/>
      <w:start w:val="1"/>
    </w:lvl>
  </w:abstractNum>
  <w:abstractNum w:abstractNumId="91">
    <w:nsid w:val="2A31B62D"/>
    <w:multiLevelType w:val="hybridMultilevel"/>
    <w:lvl w:ilvl="0">
      <w:lvlJc w:val="left"/>
      <w:lvlText w:val="(%1)"/>
      <w:numFmt w:val="lowerLetter"/>
      <w:start w:val="1"/>
    </w:lvl>
  </w:abstractNum>
  <w:abstractNum w:abstractNumId="92">
    <w:nsid w:val="1849C29B"/>
    <w:multiLevelType w:val="hybridMultilevel"/>
    <w:lvl w:ilvl="0">
      <w:lvlJc w:val="left"/>
      <w:lvlText w:val="(%1)"/>
      <w:numFmt w:val="lowerLetter"/>
      <w:start w:val="1"/>
    </w:lvl>
  </w:abstractNum>
  <w:abstractNum w:abstractNumId="93">
    <w:nsid w:val="7DFF9D09"/>
    <w:multiLevelType w:val="hybridMultilevel"/>
    <w:lvl w:ilvl="0">
      <w:lvlJc w:val="left"/>
      <w:lvlText w:val="(%1)"/>
      <w:numFmt w:val="lowerLetter"/>
      <w:start w:val="1"/>
    </w:lvl>
  </w:abstractNum>
  <w:abstractNum w:abstractNumId="94">
    <w:nsid w:val="754342"/>
    <w:multiLevelType w:val="hybridMultilevel"/>
    <w:lvl w:ilvl="0">
      <w:lvlJc w:val="left"/>
      <w:lvlText w:val="(%1)"/>
      <w:numFmt w:val="lowerLetter"/>
      <w:start w:val="4"/>
    </w:lvl>
  </w:abstractNum>
  <w:abstractNum w:abstractNumId="95">
    <w:nsid w:val="69E7F3E5"/>
    <w:multiLevelType w:val="hybridMultilevel"/>
    <w:lvl w:ilvl="0">
      <w:lvlJc w:val="left"/>
      <w:lvlText w:val="(%1)"/>
      <w:numFmt w:val="lowerLetter"/>
      <w:start w:val="1"/>
    </w:lvl>
  </w:abstractNum>
  <w:abstractNum w:abstractNumId="96">
    <w:nsid w:val="2A6DE806"/>
    <w:multiLevelType w:val="hybridMultilevel"/>
    <w:lvl w:ilvl="0">
      <w:lvlJc w:val="left"/>
      <w:lvlText w:val="(%1)"/>
      <w:numFmt w:val="lowerLetter"/>
      <w:start w:val="1"/>
    </w:lvl>
  </w:abstractNum>
  <w:abstractNum w:abstractNumId="97">
    <w:nsid w:val="1816F8C4"/>
    <w:multiLevelType w:val="hybridMultilevel"/>
    <w:lvl w:ilvl="0">
      <w:lvlJc w:val="left"/>
      <w:lvlText w:val="(%1)"/>
      <w:numFmt w:val="lowerLetter"/>
      <w:start w:val="2"/>
    </w:lvl>
  </w:abstractNum>
  <w:abstractNum w:abstractNumId="98">
    <w:nsid w:val="37DF2233"/>
    <w:multiLevelType w:val="hybridMultilevel"/>
    <w:lvl w:ilvl="0">
      <w:lvlJc w:val="left"/>
      <w:lvlText w:val="(%1)"/>
      <w:numFmt w:val="lowerLetter"/>
      <w:start w:val="3"/>
    </w:lvl>
  </w:abstractNum>
  <w:abstractNum w:abstractNumId="99">
    <w:nsid w:val="7AB49DAF"/>
    <w:multiLevelType w:val="hybridMultilevel"/>
    <w:lvl w:ilvl="0">
      <w:lvlJc w:val="left"/>
      <w:lvlText w:val="(%1)"/>
      <w:numFmt w:val="lowerLetter"/>
      <w:start w:val="1"/>
    </w:lvl>
  </w:abstractNum>
  <w:abstractNum w:abstractNumId="100">
    <w:nsid w:val="759F82CD"/>
    <w:multiLevelType w:val="hybridMultilevel"/>
    <w:lvl w:ilvl="0">
      <w:lvlJc w:val="left"/>
      <w:lvlText w:val="[***]"/>
      <w:numFmt w:val="bullet"/>
      <w:start w:val="1"/>
    </w:lvl>
    <w:lvl w:ilvl="1">
      <w:lvlJc w:val="left"/>
      <w:lvlText w:val="(%2)"/>
      <w:numFmt w:val="lowerLetter"/>
      <w:start w:val="2"/>
    </w:lvl>
  </w:abstractNum>
  <w:abstractNum w:abstractNumId="101">
    <w:nsid w:val="61E74EA3"/>
    <w:multiLevelType w:val="hybridMultilevel"/>
    <w:lvl w:ilvl="0">
      <w:lvlJc w:val="left"/>
      <w:lvlText w:val="(%1)"/>
      <w:numFmt w:val="lowerLetter"/>
      <w:start w:val="6"/>
    </w:lvl>
    <w:lvl w:ilvl="1">
      <w:lvlJc w:val="left"/>
      <w:lvlText w:val="(%2)"/>
      <w:numFmt w:val="lowerRoman"/>
      <w:start w:val="1"/>
    </w:lvl>
  </w:abstractNum>
  <w:abstractNum w:abstractNumId="102">
    <w:nsid w:val="597B4D8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103">
    <w:nsid w:val="F819E7F"/>
    <w:multiLevelType w:val="hybridMultilevel"/>
    <w:lvl w:ilvl="0">
      <w:lvlJc w:val="left"/>
      <w:lvlText w:val="[***]"/>
      <w:numFmt w:val="bullet"/>
      <w:start w:val="1"/>
    </w:lvl>
    <w:lvl w:ilvl="1">
      <w:lvlJc w:val="left"/>
      <w:lvlText w:val="(%2)"/>
      <w:numFmt w:val="lowerLetter"/>
      <w:start w:val="8"/>
    </w:lvl>
    <w:lvl w:ilvl="2">
      <w:lvlJc w:val="left"/>
      <w:lvlText w:val="%3"/>
      <w:numFmt w:val="lowerRoman"/>
      <w:start w:val="1"/>
    </w:lvl>
  </w:abstractNum>
  <w:abstractNum w:abstractNumId="104">
    <w:nsid w:val="57C7D42D"/>
    <w:multiLevelType w:val="hybridMultilevel"/>
    <w:lvl w:ilvl="0">
      <w:lvlJc w:val="left"/>
      <w:lvlText w:val="[***]"/>
      <w:numFmt w:val="bullet"/>
      <w:start w:val="1"/>
    </w:lvl>
    <w:lvl w:ilvl="1">
      <w:lvlJc w:val="left"/>
      <w:lvlText w:val="(%2)"/>
      <w:numFmt w:val="lowerLetter"/>
      <w:start w:val="9"/>
    </w:lvl>
    <w:lvl w:ilvl="2">
      <w:lvlJc w:val="left"/>
      <w:lvlText w:val="%3"/>
      <w:numFmt w:val="lowerRoman"/>
      <w:start w:val="1"/>
    </w:lvl>
  </w:abstractNum>
  <w:abstractNum w:abstractNumId="105">
    <w:nsid w:val="312167AD"/>
    <w:multiLevelType w:val="hybridMultilevel"/>
    <w:lvl w:ilvl="0">
      <w:lvlJc w:val="left"/>
      <w:lvlText w:val="(%1)"/>
      <w:numFmt w:val="lowerLetter"/>
      <w:start w:val="1"/>
    </w:lvl>
  </w:abstractNum>
  <w:abstractNum w:abstractNumId="106">
    <w:nsid w:val="631B64D4"/>
    <w:multiLevelType w:val="hybridMultilevel"/>
    <w:lvl w:ilvl="0">
      <w:lvlJc w:val="left"/>
      <w:lvlText w:val="(%1)"/>
      <w:numFmt w:val="lowerLetter"/>
      <w:start w:val="1"/>
    </w:lvl>
  </w:abstractNum>
  <w:abstractNum w:abstractNumId="107">
    <w:nsid w:val="78B5E776"/>
    <w:multiLevelType w:val="hybridMultilevel"/>
    <w:lvl w:ilvl="0">
      <w:lvlJc w:val="left"/>
      <w:lvlText w:val="(%1)"/>
      <w:numFmt w:val="lowerLetter"/>
      <w:start w:val="2"/>
    </w:lvl>
  </w:abstractNum>
  <w:abstractNum w:abstractNumId="108">
    <w:nsid w:val="75486E47"/>
    <w:multiLevelType w:val="hybridMultilevel"/>
    <w:lvl w:ilvl="0">
      <w:lvlJc w:val="left"/>
      <w:lvlText w:val="(%1)"/>
      <w:numFmt w:val="lowerLetter"/>
      <w:start w:val="1"/>
    </w:lvl>
  </w:abstractNum>
  <w:abstractNum w:abstractNumId="109">
    <w:nsid w:val="6E534CDE"/>
    <w:multiLevelType w:val="hybridMultilevel"/>
    <w:lvl w:ilvl="0">
      <w:lvlJc w:val="left"/>
      <w:lvlText w:val="(%1)"/>
      <w:numFmt w:val="lowerLetter"/>
      <w:start w:val="1"/>
    </w:lvl>
  </w:abstractNum>
  <w:abstractNum w:abstractNumId="110">
    <w:nsid w:val="1A0DDE32"/>
    <w:multiLevelType w:val="hybridMultilevel"/>
    <w:lvl w:ilvl="0">
      <w:lvlJc w:val="left"/>
      <w:lvlText w:val="(%1)"/>
      <w:numFmt w:val="lowerLetter"/>
      <w:start w:val="3"/>
    </w:lvl>
  </w:abstractNum>
  <w:abstractNum w:abstractNumId="111">
    <w:nsid w:val="65968C1C"/>
    <w:multiLevelType w:val="hybridMultilevel"/>
    <w:lvl w:ilvl="0">
      <w:lvlJc w:val="left"/>
      <w:lvlText w:val="(%1)"/>
      <w:numFmt w:val="lowerLetter"/>
      <w:start w:val="1"/>
    </w:lvl>
  </w:abstractNum>
  <w:abstractNum w:abstractNumId="112">
    <w:nsid w:val="46263DEC"/>
    <w:multiLevelType w:val="hybridMultilevel"/>
    <w:lvl w:ilvl="0">
      <w:lvlJc w:val="left"/>
      <w:lvlText w:val="(%1)"/>
      <w:numFmt w:val="lowerLetter"/>
      <w:start w:val="1"/>
    </w:lvl>
  </w:abstractNum>
  <w:abstractNum w:abstractNumId="113">
    <w:nsid w:val="260D8C4A"/>
    <w:multiLevelType w:val="hybridMultilevel"/>
    <w:lvl w:ilvl="0">
      <w:lvlJc w:val="left"/>
      <w:lvlText w:val="(%1)"/>
      <w:numFmt w:val="lowerLetter"/>
      <w:start w:val="2"/>
    </w:lvl>
    <w:lvl w:ilvl="1">
      <w:lvlJc w:val="left"/>
      <w:lvlText w:val="(%2)"/>
      <w:numFmt w:val="lowerRoman"/>
      <w:start w:val="1"/>
    </w:lvl>
  </w:abstractNum>
  <w:abstractNum w:abstractNumId="114">
    <w:nsid w:val="73D4D3C4"/>
    <w:multiLevelType w:val="hybridMultilevel"/>
    <w:lvl w:ilvl="0">
      <w:lvlJc w:val="left"/>
      <w:lvlText w:val="(%1)"/>
      <w:numFmt w:val="lowerLetter"/>
      <w:start w:val="4"/>
    </w:lvl>
  </w:abstractNum>
  <w:abstractNum w:abstractNumId="115">
    <w:nsid w:val="746F2E30"/>
    <w:multiLevelType w:val="hybridMultilevel"/>
    <w:lvl w:ilvl="0">
      <w:lvlJc w:val="left"/>
      <w:lvlText w:val="(%1)"/>
      <w:numFmt w:val="lowerLetter"/>
      <w:start w:val="1"/>
    </w:lvl>
  </w:abstractNum>
  <w:abstractNum w:abstractNumId="116">
    <w:nsid w:val="6FDE8AF6"/>
    <w:multiLevelType w:val="hybridMultilevel"/>
    <w:lvl w:ilvl="0">
      <w:lvlJc w:val="left"/>
      <w:lvlText w:val="(%1)"/>
      <w:numFmt w:val="lowerLetter"/>
      <w:start w:val="1"/>
    </w:lvl>
  </w:abstractNum>
  <w:abstractNum w:abstractNumId="117">
    <w:nsid w:val="3FC32E20"/>
    <w:multiLevelType w:val="hybridMultilevel"/>
    <w:lvl w:ilvl="0">
      <w:lvlJc w:val="left"/>
      <w:lvlText w:val="(%1)"/>
      <w:numFmt w:val="lowerLetter"/>
      <w:start w:val="1"/>
    </w:lvl>
  </w:abstractNum>
  <w:abstractNum w:abstractNumId="118">
    <w:nsid w:val="49C0E823"/>
    <w:multiLevelType w:val="hybridMultilevel"/>
    <w:lvl w:ilvl="0">
      <w:lvlJc w:val="left"/>
      <w:lvlText w:val="(%1)"/>
      <w:numFmt w:val="lowerRoman"/>
      <w:start w:val="1"/>
    </w:lvl>
  </w:abstractNum>
  <w:abstractNum w:abstractNumId="119">
    <w:nsid w:val="14D53685"/>
    <w:multiLevelType w:val="hybridMultilevel"/>
    <w:lvl w:ilvl="0">
      <w:lvlJc w:val="left"/>
      <w:lvlText w:val="(%1)"/>
      <w:numFmt w:val="lowerLetter"/>
      <w:start w:val="1"/>
    </w:lvl>
  </w:abstractNum>
  <w:abstractNum w:abstractNumId="120">
    <w:nsid w:val="230F856C"/>
    <w:multiLevelType w:val="hybridMultilevel"/>
    <w:lvl w:ilvl="0">
      <w:lvlJc w:val="left"/>
      <w:lvlText w:val="(%1)"/>
      <w:numFmt w:val="lowerLetter"/>
      <w:start w:val="1"/>
    </w:lvl>
  </w:abstractNum>
  <w:abstractNum w:abstractNumId="121">
    <w:nsid w:val="6EAA85FB"/>
    <w:multiLevelType w:val="hybridMultilevel"/>
    <w:lvl w:ilvl="0">
      <w:lvlJc w:val="left"/>
      <w:lvlText w:val="(%1)"/>
      <w:numFmt w:val="lowerLetter"/>
      <w:start w:val="1"/>
    </w:lvl>
  </w:abstractNum>
  <w:abstractNum w:abstractNumId="122">
    <w:nsid w:val="3F06ECB2"/>
    <w:multiLevelType w:val="hybridMultilevel"/>
    <w:lvl w:ilvl="0">
      <w:lvlJc w:val="left"/>
      <w:lvlText w:val="(%1)"/>
      <w:numFmt w:val="lowerLetter"/>
      <w:start w:val="2"/>
    </w:lvl>
    <w:lvl w:ilvl="1">
      <w:lvlJc w:val="left"/>
      <w:lvlText w:val="(%2)"/>
      <w:numFmt w:val="lowerLetter"/>
      <w:start w:val="9"/>
    </w:lvl>
  </w:abstractNum>
  <w:abstractNum w:abstractNumId="123">
    <w:nsid w:val="3B594807"/>
    <w:multiLevelType w:val="hybridMultilevel"/>
    <w:lvl w:ilvl="0">
      <w:lvlJc w:val="left"/>
      <w:lvlText w:val="(%1)"/>
      <w:numFmt w:val="lowerRoman"/>
      <w:start w:val="2"/>
    </w:lvl>
  </w:abstractNum>
  <w:abstractNum w:abstractNumId="124">
    <w:nsid w:val="6CAA2304"/>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125">
    <w:nsid w:val="3F7C2FF4"/>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126">
    <w:nsid w:val="25413BEC"/>
    <w:multiLevelType w:val="hybridMultilevel"/>
    <w:lvl w:ilvl="0">
      <w:lvlJc w:val="left"/>
      <w:lvlText w:val="(%1)"/>
      <w:numFmt w:val="lowerRoman"/>
      <w:start w:val="3"/>
    </w:lvl>
  </w:abstractNum>
  <w:abstractNum w:abstractNumId="127">
    <w:nsid w:val="17180B0B"/>
    <w:multiLevelType w:val="hybridMultilevel"/>
    <w:lvl w:ilvl="0">
      <w:lvlJc w:val="left"/>
      <w:lvlText w:val="(%1)"/>
      <w:numFmt w:val="lowerLetter"/>
      <w:start w:val="1"/>
    </w:lvl>
  </w:abstractNum>
  <w:abstractNum w:abstractNumId="128">
    <w:nsid w:val="579328B9"/>
    <w:multiLevelType w:val="hybridMultilevel"/>
    <w:lvl w:ilvl="0">
      <w:lvlJc w:val="left"/>
      <w:lvlText w:val="(%1)"/>
      <w:numFmt w:val="lowerLetter"/>
      <w:start w:val="1"/>
    </w:lvl>
  </w:abstractNum>
  <w:abstractNum w:abstractNumId="129">
    <w:nsid w:val="5D205E20"/>
    <w:multiLevelType w:val="hybridMultilevel"/>
    <w:lvl w:ilvl="0">
      <w:lvlJc w:val="left"/>
      <w:lvlText w:val="(%1)"/>
      <w:numFmt w:val="lowerLetter"/>
      <w:start w:val="1"/>
    </w:lvl>
  </w:abstractNum>
  <w:abstractNum w:abstractNumId="130">
    <w:nsid w:val="11CCA8BA"/>
    <w:multiLevelType w:val="hybridMultilevel"/>
    <w:lvl w:ilvl="0">
      <w:lvlJc w:val="left"/>
      <w:lvlText w:val="(%1)"/>
      <w:numFmt w:val="lowerLetter"/>
      <w:start w:val="5"/>
    </w:lvl>
  </w:abstractNum>
  <w:abstractNum w:abstractNumId="131">
    <w:nsid w:val="4D32AB86"/>
    <w:multiLevelType w:val="hybridMultilevel"/>
    <w:lvl w:ilvl="0">
      <w:lvlJc w:val="left"/>
      <w:lvlText w:val="(%1)"/>
      <w:numFmt w:val="lowerLetter"/>
      <w:start w:val="1"/>
    </w:lvl>
  </w:abstractNum>
  <w:abstractNum w:abstractNumId="132">
    <w:nsid w:val="3F07ACC3"/>
    <w:multiLevelType w:val="hybridMultilevel"/>
    <w:lvl w:ilvl="0">
      <w:lvlJc w:val="left"/>
      <w:lvlText w:val="(%1)"/>
      <w:numFmt w:val="lowerLetter"/>
      <w:start w:val="3"/>
    </w:lvl>
  </w:abstractNum>
  <w:abstractNum w:abstractNumId="133">
    <w:nsid w:val="6B47F63E"/>
    <w:multiLevelType w:val="hybridMultilevel"/>
    <w:lvl w:ilvl="0">
      <w:lvlJc w:val="left"/>
      <w:lvlText w:val="(%1)"/>
      <w:numFmt w:val="lowerLetter"/>
      <w:start w:val="6"/>
    </w:lvl>
  </w:abstractNum>
  <w:abstractNum w:abstractNumId="134">
    <w:nsid w:val="5CB44A05"/>
    <w:multiLevelType w:val="hybridMultilevel"/>
    <w:lvl w:ilvl="0">
      <w:lvlJc w:val="left"/>
      <w:lvlText w:val="%1"/>
      <w:numFmt w:val="lowerLetter"/>
      <w:start w:val="1"/>
    </w:lvl>
    <w:lvl w:ilvl="1">
      <w:lvlJc w:val="left"/>
      <w:lvlText w:val="(%2)"/>
      <w:numFmt w:val="lowerLetter"/>
      <w:start w:val="1"/>
    </w:lvl>
  </w:abstractNum>
  <w:abstractNum w:abstractNumId="135">
    <w:nsid w:val="16CF80F1"/>
    <w:multiLevelType w:val="hybridMultilevel"/>
    <w:lvl w:ilvl="0">
      <w:lvlJc w:val="left"/>
      <w:lvlText w:val="(%1)"/>
      <w:numFmt w:val="lowerLetter"/>
      <w:start w:val="25"/>
    </w:lvl>
    <w:lvl w:ilvl="1">
      <w:lvlJc w:val="left"/>
      <w:lvlText w:val="(%2)"/>
      <w:numFmt w:val="lowerLetter"/>
      <w:start w:val="3"/>
    </w:lvl>
  </w:abstractNum>
  <w:abstractNum w:abstractNumId="136">
    <w:nsid w:val="1C695DEC"/>
    <w:multiLevelType w:val="hybridMultilevel"/>
    <w:lvl w:ilvl="0">
      <w:lvlJc w:val="left"/>
      <w:lvlText w:val="(%1)"/>
      <w:numFmt w:val="lowerLetter"/>
      <w:start w:val="1"/>
    </w:lvl>
  </w:abstractNum>
  <w:abstractNum w:abstractNumId="137">
    <w:nsid w:val="3FCFAED9"/>
    <w:multiLevelType w:val="hybridMultilevel"/>
    <w:lvl w:ilvl="0">
      <w:lvlJc w:val="left"/>
      <w:lvlText w:val="(%1)"/>
      <w:numFmt w:val="lowerLetter"/>
      <w:start w:val="1"/>
    </w:lvl>
  </w:abstractNum>
  <w:abstractNum w:abstractNumId="138">
    <w:nsid w:val="F856867"/>
    <w:multiLevelType w:val="hybridMultilevel"/>
    <w:lvl w:ilvl="0">
      <w:lvlJc w:val="left"/>
      <w:lvlText w:val="(%1)"/>
      <w:numFmt w:val="lowerLetter"/>
      <w:start w:val="2"/>
    </w:lvl>
  </w:abstractNum>
  <w:abstractNum w:abstractNumId="139">
    <w:nsid w:val="11B1CC33"/>
    <w:multiLevelType w:val="hybridMultilevel"/>
    <w:lvl w:ilvl="0">
      <w:lvlJc w:val="left"/>
      <w:lvlText w:val="(%1)"/>
      <w:numFmt w:val="lowerLetter"/>
      <w:start w:val="13"/>
    </w:lvl>
  </w:abstractNum>
  <w:abstractNum w:abstractNumId="140">
    <w:nsid w:val="2E22FBB7"/>
    <w:multiLevelType w:val="hybridMultilevel"/>
    <w:lvl w:ilvl="0">
      <w:lvlJc w:val="left"/>
      <w:lvlText w:val="(%1)"/>
      <w:numFmt w:val="lowerLetter"/>
      <w:start w:val="22"/>
    </w:lvl>
  </w:abstractNum>
  <w:abstractNum w:abstractNumId="141">
    <w:nsid w:val="29934699"/>
    <w:multiLevelType w:val="hybridMultilevel"/>
    <w:lvl w:ilvl="0">
      <w:lvlJc w:val="left"/>
      <w:lvlText w:val="(%1)"/>
      <w:numFmt w:val="lowerLetter"/>
      <w:start w:val="1"/>
    </w:lvl>
  </w:abstractNum>
  <w:abstractNum w:abstractNumId="142">
    <w:nsid w:val="77485850"/>
    <w:multiLevelType w:val="hybridMultilevel"/>
    <w:lvl w:ilvl="0">
      <w:lvlJc w:val="left"/>
      <w:lvlText w:val="(%1)"/>
      <w:numFmt w:val="lowerLetter"/>
      <w:start w:val="1"/>
    </w:lvl>
  </w:abstractNum>
  <w:abstractNum w:abstractNumId="143">
    <w:nsid w:val="744939A3"/>
    <w:multiLevelType w:val="hybridMultilevel"/>
    <w:lvl w:ilvl="0">
      <w:lvlJc w:val="left"/>
      <w:lvlText w:val="(%1)"/>
      <w:numFmt w:val="lowerLetter"/>
      <w:start w:val="1"/>
    </w:lvl>
  </w:abstractNum>
  <w:abstractNum w:abstractNumId="144">
    <w:nsid w:val="4FA0D2E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45">
    <w:nsid w:val="6B1D2C14"/>
    <w:multiLevelType w:val="hybridMultilevel"/>
    <w:lvl w:ilvl="0">
      <w:lvlJc w:val="left"/>
      <w:lvlText w:val="%1"/>
      <w:numFmt w:val="lowerLetter"/>
      <w:start w:val="1"/>
    </w:lvl>
    <w:lvl w:ilvl="1">
      <w:lvlJc w:val="left"/>
      <w:lvlText w:val="(%2)"/>
      <w:numFmt w:val="decimal"/>
      <w:start w:val="3"/>
    </w:lvl>
  </w:abstractNum>
  <w:abstractNum w:abstractNumId="146">
    <w:nsid w:val="68B867D3"/>
    <w:multiLevelType w:val="hybridMultilevel"/>
    <w:lvl w:ilvl="0">
      <w:lvlJc w:val="left"/>
      <w:lvlText w:val="(%1)"/>
      <w:numFmt w:val="lowerLetter"/>
      <w:start w:val="3"/>
    </w:lvl>
    <w:lvl w:ilvl="1">
      <w:lvlJc w:val="left"/>
      <w:lvlText w:val="%2"/>
      <w:numFmt w:val="decimal"/>
      <w:start w:val="1"/>
    </w:lvl>
  </w:abstractNum>
  <w:abstractNum w:abstractNumId="147">
    <w:nsid w:val="3F7F5DD9"/>
    <w:multiLevelType w:val="hybridMultilevel"/>
    <w:lvl w:ilvl="0">
      <w:lvlJc w:val="left"/>
      <w:lvlText w:val="(%1)"/>
      <w:numFmt w:val="lowerLetter"/>
      <w:start w:val="1"/>
    </w:lvl>
  </w:abstractNum>
  <w:abstractNum w:abstractNumId="148">
    <w:nsid w:val="2AE05A34"/>
    <w:multiLevelType w:val="hybridMultilevel"/>
    <w:lvl w:ilvl="0">
      <w:lvlJc w:val="left"/>
      <w:lvlText w:val="(%1)"/>
      <w:numFmt w:val="lowerLetter"/>
      <w:start w:val="61"/>
    </w:lvl>
  </w:abstractNum>
  <w:abstractNum w:abstractNumId="149">
    <w:nsid w:val="32794FF7"/>
    <w:multiLevelType w:val="hybridMultilevel"/>
    <w:lvl w:ilvl="0">
      <w:lvlJc w:val="left"/>
      <w:lvlText w:val="%1"/>
      <w:numFmt w:val="lowerLetter"/>
      <w:start w:val="1"/>
    </w:lvl>
    <w:lvl w:ilvl="1">
      <w:lvlJc w:val="left"/>
      <w:lvlText w:val="(%2)"/>
      <w:numFmt w:val="lowerLetter"/>
      <w:start w:val="1"/>
    </w:lvl>
  </w:abstractNum>
  <w:abstractNum w:abstractNumId="150">
    <w:nsid w:val="5454945E"/>
    <w:multiLevelType w:val="hybridMultilevel"/>
    <w:lvl w:ilvl="0">
      <w:lvlJc w:val="left"/>
      <w:lvlText w:val="(%1)"/>
      <w:numFmt w:val="lowerLetter"/>
      <w:start w:val="35"/>
    </w:lvl>
    <w:lvl w:ilvl="1">
      <w:lvlJc w:val="left"/>
      <w:lvlText w:val="(%2)"/>
      <w:numFmt w:val="lowerLetter"/>
      <w:start w:val="2"/>
    </w:lvl>
  </w:abstractNum>
  <w:abstractNum w:abstractNumId="151">
    <w:nsid w:val="4DEFDFA0"/>
    <w:multiLevelType w:val="hybridMultilevel"/>
    <w:lvl w:ilvl="0">
      <w:lvlJc w:val="left"/>
      <w:lvlText w:val="(%1)"/>
      <w:numFmt w:val="lowerLetter"/>
      <w:start w:val="3"/>
    </w:lvl>
  </w:abstractNum>
  <w:abstractNum w:abstractNumId="152">
    <w:nsid w:val="2123D5F2"/>
    <w:multiLevelType w:val="hybridMultilevel"/>
    <w:lvl w:ilvl="0">
      <w:lvlJc w:val="left"/>
      <w:lvlText w:val="(%1)"/>
      <w:numFmt w:val="lowerLetter"/>
      <w:start w:val="1"/>
    </w:lvl>
    <w:lvl w:ilvl="1">
      <w:lvlJc w:val="left"/>
      <w:lvlText w:val="(%2)"/>
      <w:numFmt w:val="lowerRoman"/>
      <w:start w:val="1"/>
    </w:lvl>
  </w:abstractNum>
  <w:abstractNum w:abstractNumId="153">
    <w:nsid w:val="135B8110"/>
    <w:multiLevelType w:val="hybridMultilevel"/>
    <w:lvl w:ilvl="0">
      <w:lvlJc w:val="left"/>
      <w:lvlText w:val="(%1)"/>
      <w:numFmt w:val="lowerLetter"/>
      <w:start w:val="2"/>
    </w:lvl>
    <w:lvl w:ilvl="1">
      <w:lvlJc w:val="left"/>
      <w:lvlText w:val="(%2)"/>
      <w:numFmt w:val="lowerLetter"/>
      <w:start w:val="9"/>
    </w:lvl>
  </w:abstractNum>
  <w:abstractNum w:abstractNumId="154">
    <w:nsid w:val="94927A8"/>
    <w:multiLevelType w:val="hybridMultilevel"/>
    <w:lvl w:ilvl="0">
      <w:lvlJc w:val="left"/>
      <w:lvlText w:val="(%1)"/>
      <w:numFmt w:val="lowerRoman"/>
      <w:start w:val="2"/>
    </w:lvl>
  </w:abstractNum>
  <w:abstractNum w:abstractNumId="155">
    <w:nsid w:val="DCDF8F6"/>
    <w:multiLevelType w:val="hybridMultilevel"/>
    <w:lvl w:ilvl="0">
      <w:lvlJc w:val="left"/>
      <w:lvlText w:val="(%1)"/>
      <w:numFmt w:val="lowerLetter"/>
      <w:start w:val="1"/>
    </w:lvl>
    <w:lvl w:ilvl="1">
      <w:lvlJc w:val="left"/>
      <w:lvlText w:val="(%2)"/>
      <w:numFmt w:val="lowerRoman"/>
      <w:start w:val="1"/>
    </w:lvl>
  </w:abstractNum>
  <w:abstractNum w:abstractNumId="156">
    <w:nsid w:val="52D7B105"/>
    <w:multiLevelType w:val="hybridMultilevel"/>
    <w:lvl w:ilvl="0">
      <w:lvlJc w:val="left"/>
      <w:lvlText w:val="%1"/>
      <w:numFmt w:val="upperLetter"/>
      <w:start w:val="1"/>
    </w:lvl>
    <w:lvl w:ilvl="1">
      <w:lvlJc w:val="left"/>
      <w:lvlText w:val="(%2)"/>
      <w:numFmt w:val="lowerRoman"/>
      <w:start w:val="3"/>
    </w:lvl>
  </w:abstractNum>
  <w:abstractNum w:abstractNumId="157">
    <w:nsid w:val="2E8A6394"/>
    <w:multiLevelType w:val="hybridMultilevel"/>
    <w:lvl w:ilvl="0">
      <w:lvlJc w:val="left"/>
      <w:lvlText w:val="(%1)"/>
      <w:numFmt w:val="upperLetter"/>
      <w:start w:val="3"/>
    </w:lvl>
    <w:lvl w:ilvl="1">
      <w:lvlJc w:val="left"/>
      <w:lvlText w:val="(%2)"/>
      <w:numFmt w:val="lowerRoman"/>
      <w:start w:val="6"/>
    </w:lvl>
  </w:abstractNum>
  <w:abstractNum w:abstractNumId="158">
    <w:nsid w:val="24E60401"/>
    <w:multiLevelType w:val="hybridMultilevel"/>
    <w:lvl w:ilvl="0">
      <w:lvlJc w:val="left"/>
      <w:lvlText w:val="%1"/>
      <w:numFmt w:val="lowerLetter"/>
      <w:start w:val="1"/>
    </w:lvl>
    <w:lvl w:ilvl="1">
      <w:lvlJc w:val="left"/>
      <w:lvlText w:val="(%2)"/>
      <w:numFmt w:val="lowerRoman"/>
      <w:start w:val="7"/>
    </w:lvl>
  </w:abstractNum>
  <w:abstractNum w:abstractNumId="159">
    <w:nsid w:val="2A6AD9BE"/>
    <w:multiLevelType w:val="hybridMultilevel"/>
    <w:lvl w:ilvl="0">
      <w:lvlJc w:val="left"/>
      <w:lvlText w:val="(%1)"/>
      <w:numFmt w:val="lowerLetter"/>
      <w:start w:val="3"/>
    </w:lvl>
    <w:lvl w:ilvl="1">
      <w:lvlJc w:val="left"/>
      <w:lvlText w:val="%2"/>
      <w:numFmt w:val="lowerRoman"/>
      <w:start w:val="1"/>
    </w:lvl>
  </w:abstractNum>
  <w:abstractNum w:abstractNumId="160">
    <w:nsid w:val="BAAC1B4"/>
    <w:multiLevelType w:val="hybridMultilevel"/>
    <w:lvl w:ilvl="0">
      <w:lvlJc w:val="left"/>
      <w:lvlText w:val="(%1)"/>
      <w:numFmt w:val="lowerLetter"/>
      <w:start w:val="1"/>
    </w:lvl>
  </w:abstractNum>
  <w:abstractNum w:abstractNumId="161">
    <w:nsid w:val="36B2ACBC"/>
    <w:multiLevelType w:val="hybridMultilevel"/>
    <w:lvl w:ilvl="0">
      <w:lvlJc w:val="left"/>
      <w:lvlText w:val="(%1)"/>
      <w:numFmt w:val="lowerLetter"/>
      <w:start w:val="1"/>
    </w:lvl>
  </w:abstractNum>
  <w:abstractNum w:abstractNumId="162">
    <w:nsid w:val="779D8544"/>
    <w:multiLevelType w:val="hybridMultilevel"/>
    <w:lvl w:ilvl="0">
      <w:lvlJc w:val="left"/>
      <w:lvlText w:val="(%1)"/>
      <w:numFmt w:val="lowerRoman"/>
      <w:start w:val="1"/>
    </w:lvl>
  </w:abstractNum>
  <w:abstractNum w:abstractNumId="163">
    <w:nsid w:val="4AB26E7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64">
    <w:nsid w:val="21FAA2FA"/>
    <w:multiLevelType w:val="hybridMultilevel"/>
    <w:lvl w:ilvl="0">
      <w:lvlJc w:val="left"/>
      <w:lvlText w:val="[***]"/>
      <w:numFmt w:val="bullet"/>
      <w:start w:val="1"/>
    </w:lvl>
    <w:lvl w:ilvl="1">
      <w:lvlJc w:val="left"/>
      <w:lvlText w:val="(%2)"/>
      <w:numFmt w:val="lowerLetter"/>
      <w:start w:val="4"/>
    </w:lvl>
  </w:abstractNum>
  <w:abstractNum w:abstractNumId="165">
    <w:nsid w:val="5451CF49"/>
    <w:multiLevelType w:val="hybridMultilevel"/>
    <w:lvl w:ilvl="0">
      <w:lvlJc w:val="left"/>
      <w:lvlText w:val="[***]"/>
      <w:numFmt w:val="bullet"/>
      <w:start w:val="1"/>
    </w:lvl>
    <w:lvl w:ilvl="1">
      <w:lvlJc w:val="left"/>
      <w:lvlText w:val="(%2)"/>
      <w:numFmt w:val="lowerLetter"/>
      <w:start w:val="5"/>
    </w:lvl>
  </w:abstractNum>
  <w:abstractNum w:abstractNumId="166">
    <w:nsid w:val="6181EF69"/>
    <w:multiLevelType w:val="hybridMultilevel"/>
    <w:lvl w:ilvl="0">
      <w:lvlJc w:val="left"/>
      <w:lvlText w:val="(%1)"/>
      <w:numFmt w:val="lowerLetter"/>
      <w:start w:val="1"/>
    </w:lvl>
  </w:abstractNum>
  <w:abstractNum w:abstractNumId="167">
    <w:nsid w:val="3E6400E6"/>
    <w:multiLevelType w:val="hybridMultilevel"/>
    <w:lvl w:ilvl="0">
      <w:lvlJc w:val="left"/>
      <w:lvlText w:val="(%1)"/>
      <w:numFmt w:val="lowerLetter"/>
      <w:start w:val="3"/>
    </w:lvl>
  </w:abstractNum>
  <w:abstractNum w:abstractNumId="168">
    <w:nsid w:val="14217E23"/>
    <w:multiLevelType w:val="hybridMultilevel"/>
    <w:lvl w:ilvl="0">
      <w:lvlJc w:val="left"/>
      <w:lvlText w:val="(%1)"/>
      <w:numFmt w:val="lowerLetter"/>
      <w:start w:val="8"/>
    </w:lvl>
  </w:abstractNum>
  <w:abstractNum w:abstractNumId="169">
    <w:nsid w:val="710757D0"/>
    <w:multiLevelType w:val="hybridMultilevel"/>
    <w:lvl w:ilvl="0">
      <w:lvlJc w:val="left"/>
      <w:lvlText w:val="(%1)"/>
      <w:numFmt w:val="lowerLetter"/>
      <w:start w:val="1"/>
    </w:lvl>
  </w:abstractNum>
  <w:abstractNum w:abstractNumId="170">
    <w:nsid w:val="5015CD1A"/>
    <w:multiLevelType w:val="hybridMultilevel"/>
    <w:lvl w:ilvl="0">
      <w:lvlJc w:val="left"/>
      <w:lvlText w:val="(%1)"/>
      <w:numFmt w:val="lowerLetter"/>
      <w:start w:val="3"/>
    </w:lvl>
  </w:abstractNum>
  <w:abstractNum w:abstractNumId="171">
    <w:nsid w:val="424479DA"/>
    <w:multiLevelType w:val="hybridMultilevel"/>
    <w:lvl w:ilvl="0">
      <w:lvlJc w:val="left"/>
      <w:lvlText w:val="(%1)"/>
      <w:numFmt w:val="lowerLetter"/>
      <w:start w:val="1"/>
    </w:lvl>
  </w:abstractNum>
  <w:abstractNum w:abstractNumId="172">
    <w:nsid w:val="1A9A9E69"/>
    <w:multiLevelType w:val="hybridMultilevel"/>
    <w:lvl w:ilvl="0">
      <w:lvlJc w:val="left"/>
      <w:lvlText w:val="(%1)"/>
      <w:numFmt w:val="lowerLetter"/>
      <w:start w:val="1"/>
    </w:lvl>
  </w:abstractNum>
  <w:abstractNum w:abstractNumId="173">
    <w:nsid w:val="475E256A"/>
    <w:multiLevelType w:val="hybridMultilevel"/>
    <w:lvl w:ilvl="0">
      <w:lvlJc w:val="left"/>
      <w:lvlText w:val="(%1)"/>
      <w:numFmt w:val="lowerLetter"/>
      <w:start w:val="4"/>
    </w:lvl>
  </w:abstractNum>
  <w:abstractNum w:abstractNumId="174">
    <w:nsid w:val="368DB37E"/>
    <w:multiLevelType w:val="hybridMultilevel"/>
    <w:lvl w:ilvl="0">
      <w:lvlJc w:val="left"/>
      <w:lvlText w:val="2"/>
      <w:numFmt w:val="bullet"/>
      <w:start w:val="1"/>
    </w:lvl>
  </w:abstractNum>
  <w:abstractNum w:abstractNumId="175">
    <w:nsid w:val="6A3B714C"/>
    <w:multiLevelType w:val="hybridMultilevel"/>
    <w:lvl w:ilvl="0">
      <w:lvlJc w:val="left"/>
      <w:lvlText w:val="•"/>
      <w:numFmt w:val="bullet"/>
      <w:start w:val="1"/>
    </w:lvl>
  </w:abstractNum>
  <w:abstractNum w:abstractNumId="176">
    <w:nsid w:val="327B517E"/>
    <w:multiLevelType w:val="hybridMultilevel"/>
    <w:lvl w:ilvl="0">
      <w:lvlJc w:val="left"/>
      <w:lvlText w:val="*"/>
      <w:numFmt w:val="bullet"/>
      <w:start w:val="1"/>
    </w:lvl>
  </w:abstractNum>
  <w:abstractNum w:abstractNumId="177">
    <w:nsid w:val="1F461B51"/>
    <w:multiLevelType w:val="hybridMultilevel"/>
    <w:lvl w:ilvl="0">
      <w:lvlJc w:val="left"/>
      <w:lvlText w:val="%1."/>
      <w:numFmt w:val="decimal"/>
      <w:start w:val="1"/>
    </w:lvl>
  </w:abstractNum>
  <w:abstractNum w:abstractNumId="178">
    <w:nsid w:val="29BACF25"/>
    <w:multiLevelType w:val="hybridMultilevel"/>
    <w:lvl w:ilvl="0">
      <w:lvlJc w:val="left"/>
      <w:lvlText w:val="(%1)"/>
      <w:numFmt w:val="lowerLetter"/>
      <w:start w:val="1"/>
    </w:lvl>
  </w:abstractNum>
  <w:abstractNum w:abstractNumId="179">
    <w:nsid w:val="5D5BABB3"/>
    <w:multiLevelType w:val="hybridMultilevel"/>
    <w:lvl w:ilvl="0">
      <w:lvlJc w:val="left"/>
      <w:lvlText w:val="%1."/>
      <w:numFmt w:val="decimal"/>
      <w:start w:val="5"/>
    </w:lvl>
  </w:abstractNum>
  <w:abstractNum w:abstractNumId="180">
    <w:nsid w:val="51BF6B48"/>
    <w:multiLevelType w:val="hybridMultilevel"/>
    <w:lvl w:ilvl="0">
      <w:lvlJc w:val="left"/>
      <w:lvlText w:val="(%1)"/>
      <w:numFmt w:val="lowerLetter"/>
      <w:start w:val="1"/>
    </w:lvl>
  </w:abstractNum>
  <w:abstractNum w:abstractNumId="181">
    <w:nsid w:val="7E0F6384"/>
    <w:multiLevelType w:val="hybridMultilevel"/>
    <w:lvl w:ilvl="0">
      <w:lvlJc w:val="left"/>
      <w:lvlText w:val="%1."/>
      <w:numFmt w:val="decimal"/>
      <w:start w:val="1"/>
    </w:lvl>
  </w:abstractNum>
  <w:abstractNum w:abstractNumId="182">
    <w:nsid w:val="2B4B8B53"/>
    <w:multiLevelType w:val="hybridMultilevel"/>
    <w:lvl w:ilvl="0">
      <w:lvlJc w:val="left"/>
      <w:lvlText w:val="(%1)"/>
      <w:numFmt w:val="lowerLetter"/>
      <w:start w:val="1"/>
    </w:lvl>
  </w:abstractNum>
  <w:abstractNum w:abstractNumId="183">
    <w:nsid w:val="72E3413A"/>
    <w:multiLevelType w:val="hybridMultilevel"/>
    <w:lvl w:ilvl="0">
      <w:lvlJc w:val="left"/>
      <w:lvlText w:val="%1."/>
      <w:numFmt w:val="decimal"/>
      <w:start w:val="5"/>
    </w:lvl>
  </w:abstractNum>
  <w:abstractNum w:abstractNumId="184">
    <w:nsid w:val="116AE494"/>
    <w:multiLevelType w:val="hybridMultilevel"/>
    <w:lvl w:ilvl="0">
      <w:lvlJc w:val="left"/>
      <w:lvlText w:val="(%1)"/>
      <w:numFmt w:val="lowerLetter"/>
      <w:start w:val="1"/>
    </w:lvl>
  </w:abstractNum>
  <w:abstractNum w:abstractNumId="185">
    <w:nsid w:val="3494B2FB"/>
    <w:multiLevelType w:val="hybridMultilevel"/>
    <w:lvl w:ilvl="0">
      <w:lvlJc w:val="left"/>
      <w:lvlText w:val="(%1)"/>
      <w:numFmt w:val="decimal"/>
      <w:start w:val="1"/>
    </w:lvl>
  </w:abstractNum>
  <w:abstractNum w:abstractNumId="186">
    <w:nsid w:val="B13A3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209" Type="http://schemas.openxmlformats.org/officeDocument/2006/relationships/image" Target="media/image154.png"/><Relationship Id="rId210" Type="http://schemas.openxmlformats.org/officeDocument/2006/relationships/image" Target="media/image155.png"/><Relationship Id="rId211" Type="http://schemas.openxmlformats.org/officeDocument/2006/relationships/image" Target="media/image156.png"/><Relationship Id="rId229" Type="http://schemas.openxmlformats.org/officeDocument/2006/relationships/image" Target="media/image157.png"/><Relationship Id="rId230" Type="http://schemas.openxmlformats.org/officeDocument/2006/relationships/image" Target="media/image158.png"/><Relationship Id="rId241" Type="http://schemas.openxmlformats.org/officeDocument/2006/relationships/image" Target="media/image159.png"/><Relationship Id="rId243" Type="http://schemas.openxmlformats.org/officeDocument/2006/relationships/image" Target="media/image160.png"/><Relationship Id="rId252" Type="http://schemas.openxmlformats.org/officeDocument/2006/relationships/image" Target="media/image161.png"/><Relationship Id="rId253" Type="http://schemas.openxmlformats.org/officeDocument/2006/relationships/image" Target="media/image162.png"/><Relationship Id="rId258" Type="http://schemas.openxmlformats.org/officeDocument/2006/relationships/image" Target="media/image163.png"/><Relationship Id="rId259" Type="http://schemas.openxmlformats.org/officeDocument/2006/relationships/image" Target="media/image164.png"/><Relationship Id="rId260" Type="http://schemas.openxmlformats.org/officeDocument/2006/relationships/image" Target="media/image165.png"/><Relationship Id="rId261" Type="http://schemas.openxmlformats.org/officeDocument/2006/relationships/image" Target="media/image166.png"/><Relationship Id="rId262" Type="http://schemas.openxmlformats.org/officeDocument/2006/relationships/image" Target="media/image167.png"/><Relationship Id="rId263" Type="http://schemas.openxmlformats.org/officeDocument/2006/relationships/image" Target="media/image168.png"/><Relationship Id="rId264" Type="http://schemas.openxmlformats.org/officeDocument/2006/relationships/image" Target="media/image169.jpeg"/><Relationship Id="rId265" Type="http://schemas.openxmlformats.org/officeDocument/2006/relationships/image" Target="media/image170.png"/><Relationship Id="rId266" Type="http://schemas.openxmlformats.org/officeDocument/2006/relationships/image" Target="media/image171.png"/><Relationship Id="rId157" Type="http://schemas.openxmlformats.org/officeDocument/2006/relationships/hyperlink" Target="https://www.sec.gov/Archives/edgar/data/1937653/000119312522225399/d722206ds4a.htm#tx722206_123" TargetMode="External"/><Relationship Id="rId158" Type="http://schemas.openxmlformats.org/officeDocument/2006/relationships/hyperlink" Target="https://www.sec.gov/Archives/edgar/data/1937653/000119312522225399/d722206ds4a.htm#tx722206_141" TargetMode="External"/><Relationship Id="rId159" Type="http://schemas.openxmlformats.org/officeDocument/2006/relationships/hyperlink" Target="https://www.sec.gov/Archives/edgar/data/1937653/000119312522261838/d351779dex23.htm" TargetMode="External"/><Relationship Id="rId160" Type="http://schemas.openxmlformats.org/officeDocument/2006/relationships/hyperlink" Target="https://www.sec.gov/Archives/edgar/data/1937653/000119312522261838/d351779dex24.htm" TargetMode="External"/><Relationship Id="rId161" Type="http://schemas.openxmlformats.org/officeDocument/2006/relationships/hyperlink" Target="https://www.sec.gov/Archives/edgar/data/1937653/000119312522261838/d351779dex31.htm" TargetMode="External"/><Relationship Id="rId162" Type="http://schemas.openxmlformats.org/officeDocument/2006/relationships/hyperlink" Target="https://www.sec.gov/Archives/edgar/data/1937653/000119312522261838/d351779dex32.htm" TargetMode="External"/><Relationship Id="rId163" Type="http://schemas.openxmlformats.org/officeDocument/2006/relationships/hyperlink" Target="https://www.sec.gov/Archives/edgar/data/1937653/000119312522261838/d351779dex33.htm" TargetMode="External"/><Relationship Id="rId164" Type="http://schemas.openxmlformats.org/officeDocument/2006/relationships/hyperlink" Target="https://www.sec.gov/Archives/edgar/data/1937653/000119312522261838/d351779dex34.htm" TargetMode="External"/><Relationship Id="rId165" Type="http://schemas.openxmlformats.org/officeDocument/2006/relationships/hyperlink" Target="https://www.sec.gov/Archives/edgar/data/1937653/000119312522225399/d722206dex41.htm" TargetMode="External"/><Relationship Id="rId166" Type="http://schemas.openxmlformats.org/officeDocument/2006/relationships/hyperlink" Target="https://www.sec.gov/Archives/edgar/data/1403752/000119312522172083/d319186dex41.htm" TargetMode="External"/><Relationship Id="rId167" Type="http://schemas.openxmlformats.org/officeDocument/2006/relationships/hyperlink" Target="https://www.sec.gov/Archives/edgar/data/1937653/000193765322000009/zyme-20220930xex44.htm" TargetMode="External"/><Relationship Id="rId168" Type="http://schemas.openxmlformats.org/officeDocument/2006/relationships/hyperlink" Target="https://www.sec.gov/Archives/edgar/data/1937653/000119312522261838/d351779dex42.htm" TargetMode="External"/><Relationship Id="rId169" Type="http://schemas.openxmlformats.org/officeDocument/2006/relationships/hyperlink" Target="https://www.sec.gov/Archives/edgar/data/1403752/000119312519177515/d663729dex992.htm" TargetMode="External"/><Relationship Id="rId170" Type="http://schemas.openxmlformats.org/officeDocument/2006/relationships/hyperlink" Target="https://www.sec.gov/Archives/edgar/data/1403752/000119312520013371/d868443dex41.htm" TargetMode="External"/><Relationship Id="rId173" Type="http://schemas.openxmlformats.org/officeDocument/2006/relationships/hyperlink" Target="https://www.sec.gov/Archives/edgar/data/1403752/000119312520073718/d900170dex41.htm" TargetMode="External"/><Relationship Id="rId174" Type="http://schemas.openxmlformats.org/officeDocument/2006/relationships/hyperlink" Target="https://www.sec.gov/Archives/edgar/data/1403752/000119312517107264/d293184dex102.htm" TargetMode="External"/><Relationship Id="rId175" Type="http://schemas.openxmlformats.org/officeDocument/2006/relationships/hyperlink" Target="https://www.sec.gov/Archives/edgar/data/1403752/000119312522002772/d207208dex102.htm" TargetMode="External"/><Relationship Id="rId176" Type="http://schemas.openxmlformats.org/officeDocument/2006/relationships/hyperlink" Target="https://www.sec.gov/Archives/edgar/data/1403752/000119312517107264/d293184dex104.htm" TargetMode="External"/><Relationship Id="rId177" Type="http://schemas.openxmlformats.org/officeDocument/2006/relationships/hyperlink" Target="https://www.sec.gov/Archives/edgar/data/1403752/000119312522002772/d207208dex103.htm" TargetMode="External"/><Relationship Id="rId178" Type="http://schemas.openxmlformats.org/officeDocument/2006/relationships/hyperlink" Target="https://www.sec.gov/Archives/edgar/data/1403752/000119312517107264/d293184dex1022.htm" TargetMode="External"/><Relationship Id="rId179" Type="http://schemas.openxmlformats.org/officeDocument/2006/relationships/hyperlink" Target="https://www.sec.gov/Archives/edgar/data/1403752/000134100417000445/ex99-1.htm" TargetMode="External"/><Relationship Id="rId180" Type="http://schemas.openxmlformats.org/officeDocument/2006/relationships/hyperlink" Target="https://www.sec.gov/Archives/edgar/data/1403752/000140375220000004/zyme-20200331xex991.htm" TargetMode="External"/><Relationship Id="rId181" Type="http://schemas.openxmlformats.org/officeDocument/2006/relationships/hyperlink" Target="https://www.sec.gov/Archives/edgar/data/1403752/000119312517107264/d293184dex1018.htm" TargetMode="External"/><Relationship Id="rId182" Type="http://schemas.openxmlformats.org/officeDocument/2006/relationships/hyperlink" Target="https://www.sec.gov/Archives/edgar/data/1403752/000140375220000012/zyme-20200630xex102.htm" TargetMode="External"/><Relationship Id="rId183" Type="http://schemas.openxmlformats.org/officeDocument/2006/relationships/hyperlink" Target="https://www.sec.gov/Archives/edgar/data/1403752/000140375221000015/zyme-20210630xex994.htm" TargetMode="External"/><Relationship Id="rId184" Type="http://schemas.openxmlformats.org/officeDocument/2006/relationships/hyperlink" Target="https://www.sec.gov/Archives/edgar/data/1403752/000140375221000020/zyme-20210930xex991.htm" TargetMode="External"/><Relationship Id="rId185" Type="http://schemas.openxmlformats.org/officeDocument/2006/relationships/hyperlink" Target="https://www.sec.gov/Archives/edgar/data/1403752/000119312517107264/d293184dex1023.htm" TargetMode="External"/><Relationship Id="rId186" Type="http://schemas.openxmlformats.org/officeDocument/2006/relationships/hyperlink" Target="https://www.sec.gov/Archives/edgar/data/1403752/000119312519065609/d662324dex992.htm" TargetMode="External"/><Relationship Id="rId187" Type="http://schemas.openxmlformats.org/officeDocument/2006/relationships/hyperlink" Target="https://www.sec.gov/Archives/edgar/data/1403752/000119312520058902/d829510dex994.htm" TargetMode="External"/><Relationship Id="rId188" Type="http://schemas.openxmlformats.org/officeDocument/2006/relationships/hyperlink" Target="https://www.sec.gov/Archives/edgar/data/1403752/000119312520058902/d829510dex995.htm" TargetMode="External"/><Relationship Id="rId189" Type="http://schemas.openxmlformats.org/officeDocument/2006/relationships/hyperlink" Target="https://www.sec.gov/Archives/edgar/data/1403752/000119312520058902/d829510dex996.htm" TargetMode="External"/><Relationship Id="rId192" Type="http://schemas.openxmlformats.org/officeDocument/2006/relationships/hyperlink" Target="https://www.sec.gov/Archives/edgar/data/1403752/000140375221000005/zyme-20201231xex9911.htm" TargetMode="External"/><Relationship Id="rId193" Type="http://schemas.openxmlformats.org/officeDocument/2006/relationships/hyperlink" Target="https://www.sec.gov/Archives/edgar/data/1403752/000119312517107264/d293184dex1024.htm" TargetMode="External"/><Relationship Id="rId194" Type="http://schemas.openxmlformats.org/officeDocument/2006/relationships/hyperlink" Target="https://www.sec.gov/Archives/edgar/data/1403752/000134100419000364/ex99-1.htm" TargetMode="External"/><Relationship Id="rId195" Type="http://schemas.openxmlformats.org/officeDocument/2006/relationships/hyperlink" Target="https://www.sec.gov/Archives/edgar/data/1403752/000140375221000015/zyme-20210630xex997.htm" TargetMode="External"/><Relationship Id="rId196" Type="http://schemas.openxmlformats.org/officeDocument/2006/relationships/hyperlink" Target="https://www.sec.gov/Archives/edgar/data/1403752/000119312517107264/d293184dex1025.htm" TargetMode="External"/><Relationship Id="rId197" Type="http://schemas.openxmlformats.org/officeDocument/2006/relationships/hyperlink" Target="https://www.sec.gov/Archives/edgar/data/1403752/000119312519065609/d662324dex991.htm" TargetMode="External"/><Relationship Id="rId198" Type="http://schemas.openxmlformats.org/officeDocument/2006/relationships/hyperlink" Target="https://www.sec.gov/Archives/edgar/data/1403752/000140375221000015/zyme-20210630xex998.htm" TargetMode="External"/><Relationship Id="rId199" Type="http://schemas.openxmlformats.org/officeDocument/2006/relationships/hyperlink" Target="https://www.sec.gov/Archives/edgar/data/1403752/000140375222000020/zyme-20220630xex103.htm" TargetMode="External"/><Relationship Id="rId200" Type="http://schemas.openxmlformats.org/officeDocument/2006/relationships/hyperlink" Target="https://www.sec.gov/Archives/edgar/data/1403752/000114420417060772/tv480196_ex99-1.htm" TargetMode="External"/><Relationship Id="rId201" Type="http://schemas.openxmlformats.org/officeDocument/2006/relationships/hyperlink" Target="https://www.sec.gov/Archives/edgar/data/1403752/000119312519065609/d662324dex993.htm" TargetMode="External"/><Relationship Id="rId202" Type="http://schemas.openxmlformats.org/officeDocument/2006/relationships/hyperlink" Target="https://www.sec.gov/Archives/edgar/data/1403752/000119312518167931/d591104dex991.htm" TargetMode="External"/><Relationship Id="rId203" Type="http://schemas.openxmlformats.org/officeDocument/2006/relationships/hyperlink" Target="https://www.sec.gov/Archives/edgar/data/1403752/000134100418000595/ex99_1.htm" TargetMode="External"/><Relationship Id="rId204" Type="http://schemas.openxmlformats.org/officeDocument/2006/relationships/hyperlink" Target="https://www.sec.gov/Archives/edgar/data/1403752/000134100418000648/ex99-1.htm" TargetMode="External"/><Relationship Id="rId205" Type="http://schemas.openxmlformats.org/officeDocument/2006/relationships/hyperlink" Target="https://www.sec.gov/Archives/edgar/data/1403752/000140375221000010/zyme-20210331xex992.htm" TargetMode="External"/><Relationship Id="rId206" Type="http://schemas.openxmlformats.org/officeDocument/2006/relationships/hyperlink" Target="https://www.sec.gov/Archives/edgar/data/1403752/000140375221000015/zyme-20210630xex991.htm" TargetMode="External"/><Relationship Id="rId207" Type="http://schemas.openxmlformats.org/officeDocument/2006/relationships/hyperlink" Target="https://www.sec.gov/Archives/edgar/data/1403752/000140375221000020/zyme-20210930xex992.htm" TargetMode="External"/><Relationship Id="rId208" Type="http://schemas.openxmlformats.org/officeDocument/2006/relationships/hyperlink" Target="https://www.sec.gov/Archives/edgar/data/1403752/000134100418000648/ex99-2.htm" TargetMode="External"/><Relationship Id="rId212" Type="http://schemas.openxmlformats.org/officeDocument/2006/relationships/hyperlink" Target="https://www.sec.gov/Archives/edgar/data/1403752/000140375220000012/zyme-20200630xex101.htm" TargetMode="External"/><Relationship Id="rId213" Type="http://schemas.openxmlformats.org/officeDocument/2006/relationships/hyperlink" Target="https://www.sec.gov/Archives/edgar/data/1403752/000140375221000015/zyme-20210630xex996.htm" TargetMode="External"/><Relationship Id="rId214" Type="http://schemas.openxmlformats.org/officeDocument/2006/relationships/hyperlink" Target="https://www.sec.gov/Archives/edgar/data/1403752/000140375221000015/zyme-20210630xex992.htm" TargetMode="External"/><Relationship Id="rId215" Type="http://schemas.openxmlformats.org/officeDocument/2006/relationships/hyperlink" Target="https://www.sec.gov/Archives/edgar/data/1403752/000134100418000648/ex99-3.htm" TargetMode="External"/><Relationship Id="rId216" Type="http://schemas.openxmlformats.org/officeDocument/2006/relationships/hyperlink" Target="https://www.sec.gov/Archives/edgar/data/1403752/000140375221000015/zyme-20210630xex993.htm" TargetMode="External"/><Relationship Id="rId217" Type="http://schemas.openxmlformats.org/officeDocument/2006/relationships/hyperlink" Target="https://www.sec.gov/Archives/edgar/data/1403752/000119312519065609/d662324dex1029.htm" TargetMode="External"/><Relationship Id="rId218" Type="http://schemas.openxmlformats.org/officeDocument/2006/relationships/hyperlink" Target="https://www.sec.gov/Archives/edgar/data/1403752/000140375220000004/zyme-20200331xex992.htm" TargetMode="External"/><Relationship Id="rId219" Type="http://schemas.openxmlformats.org/officeDocument/2006/relationships/hyperlink" Target="https://www.sec.gov/Archives/edgar/data/1403752/000140375220000004/zyme-20200331xex993.htm" TargetMode="External"/><Relationship Id="rId220" Type="http://schemas.openxmlformats.org/officeDocument/2006/relationships/hyperlink" Target="https://www.sec.gov/Archives/edgar/data/1403752/000140375221000010/zyme-20210331xex991.htm" TargetMode="External"/><Relationship Id="rId221" Type="http://schemas.openxmlformats.org/officeDocument/2006/relationships/hyperlink" Target="https://www.sec.gov/Archives/edgar/data/1403752/000140375221000015/zyme-20210630xex995.htm" TargetMode="External"/><Relationship Id="rId222" Type="http://schemas.openxmlformats.org/officeDocument/2006/relationships/hyperlink" Target="https://www.sec.gov/Archives/edgar/data/1403752/000140375222000020/zyme-20220630xex101.htm" TargetMode="External"/><Relationship Id="rId223" Type="http://schemas.openxmlformats.org/officeDocument/2006/relationships/hyperlink" Target="https://www.sec.gov/Archives/edgar/data/1403752/000140375222000020/zyme-20220630xex102.htm" TargetMode="External"/><Relationship Id="rId224" Type="http://schemas.openxmlformats.org/officeDocument/2006/relationships/hyperlink" Target="https://www.sec.gov/Archives/edgar/data/1403752/000119312519065609/d662324dex1030.htm" TargetMode="External"/><Relationship Id="rId225" Type="http://schemas.openxmlformats.org/officeDocument/2006/relationships/hyperlink" Target="https://www.sec.gov/Archives/edgar/data/1403752/000119312522136812/d357655dex1069.htm" TargetMode="External"/><Relationship Id="rId226" Type="http://schemas.openxmlformats.org/officeDocument/2006/relationships/hyperlink" Target="https://www.sec.gov/Archives/edgar/data/1403752/000134100419000356/ex99-1.htm" TargetMode="External"/><Relationship Id="rId227" Type="http://schemas.openxmlformats.org/officeDocument/2006/relationships/hyperlink" Target="https://www.sec.gov/Archives/edgar/data/1403752/000119312520058902/d829510dex997.htm" TargetMode="External"/><Relationship Id="rId228" Type="http://schemas.openxmlformats.org/officeDocument/2006/relationships/hyperlink" Target="https://www.sec.gov/Archives/edgar/data/1403752/000140375221000005/zyme-20201231xex9912.htm" TargetMode="External"/><Relationship Id="rId231" Type="http://schemas.openxmlformats.org/officeDocument/2006/relationships/hyperlink" Target="https://www.sec.gov/Archives/edgar/data/1403752/000119312520058902/d829510dex1033.htm" TargetMode="External"/><Relationship Id="rId232" Type="http://schemas.openxmlformats.org/officeDocument/2006/relationships/hyperlink" Target="https://www.sec.gov/Archives/edgar/data/1403752/000119312522136812/d357655dex1070.htm" TargetMode="External"/><Relationship Id="rId233" Type="http://schemas.openxmlformats.org/officeDocument/2006/relationships/hyperlink" Target="https://www.sec.gov/Archives/edgar/data/1937653/000119312522266760/d392866dex11.htm" TargetMode="External"/><Relationship Id="rId234" Type="http://schemas.openxmlformats.org/officeDocument/2006/relationships/hyperlink" Target="https://www.sec.gov/Archives/edgar/data/1403752/000140375221000010/zyme-20210331xex101.htm" TargetMode="External"/><Relationship Id="rId235" Type="http://schemas.openxmlformats.org/officeDocument/2006/relationships/hyperlink" Target="https://www.sec.gov/Archives/edgar/data/1403752/000140375221000010/zyme-20210331xex102.htm" TargetMode="External"/><Relationship Id="rId236" Type="http://schemas.openxmlformats.org/officeDocument/2006/relationships/hyperlink" Target="https://www.sec.gov/Archives/edgar/data/1403752/000119312519286057/d828966dex11.htm" TargetMode="External"/><Relationship Id="rId237" Type="http://schemas.openxmlformats.org/officeDocument/2006/relationships/hyperlink" Target="https://www.sec.gov/Archives/edgar/data/1403752/000140375222000005/zyme-20211231xex1063.htm" TargetMode="External"/><Relationship Id="rId238" Type="http://schemas.openxmlformats.org/officeDocument/2006/relationships/hyperlink" Target="https://www.sec.gov/Archives/edgar/data/1403752/000140375221000015/zyme-20210630xex101.htm" TargetMode="External"/><Relationship Id="rId239" Type="http://schemas.openxmlformats.org/officeDocument/2006/relationships/hyperlink" Target="https://www.sec.gov/Archives/edgar/data/1403752/000140375221000015/zyme-20210630xex102.htm" TargetMode="External"/><Relationship Id="rId240" Type="http://schemas.openxmlformats.org/officeDocument/2006/relationships/hyperlink" Target="https://www.sec.gov/Archives/edgar/data/1403752/000140375222000005/zyme-20211231xex1066.htm" TargetMode="External"/><Relationship Id="rId242" Type="http://schemas.openxmlformats.org/officeDocument/2006/relationships/hyperlink" Target="https://www.sec.gov/Archives/edgar/data/1403752/000119312522002772/d207208dex101.htm" TargetMode="External"/><Relationship Id="rId244" Type="http://schemas.openxmlformats.org/officeDocument/2006/relationships/hyperlink" Target="https://www.sec.gov/Archives/edgar/data/1937653/000119312522315452/d302668dex101.htm" TargetMode="External"/><Relationship Id="rId245" Type="http://schemas.openxmlformats.org/officeDocument/2006/relationships/hyperlink" Target="https://www.sec.gov/Archives/edgar/data/1403752/000119312522054448/d295460dex101.htm" TargetMode="External"/><Relationship Id="rId246" Type="http://schemas.openxmlformats.org/officeDocument/2006/relationships/hyperlink" Target="https://www.sec.gov/Archives/edgar/data/1937653/000119312522289027/d420806dex101.htm" TargetMode="External"/><Relationship Id="rId247" Type="http://schemas.openxmlformats.org/officeDocument/2006/relationships/hyperlink" Target="https://www.sec.gov/Archives/edgar/data/1937653/000119312522194928/d722206dex1073.htm" TargetMode="External"/><Relationship Id="rId248" Type="http://schemas.openxmlformats.org/officeDocument/2006/relationships/hyperlink" Target="https://www.sec.gov/Archives/edgar/data/1403752/000140375222000020/zyme-20220630xex104.htm" TargetMode="External"/><Relationship Id="rId249" Type="http://schemas.openxmlformats.org/officeDocument/2006/relationships/hyperlink" Target="https://www.sec.gov/Archives/edgar/data/1937653/000119312522225399/d722206dex1079.htm" TargetMode="External"/><Relationship Id="rId250" Type="http://schemas.openxmlformats.org/officeDocument/2006/relationships/hyperlink" Target="https://www.sec.gov/Archives/edgar/data/1937653/000119312522225399/d722206dex1080.htm" TargetMode="External"/><Relationship Id="rId251" Type="http://schemas.openxmlformats.org/officeDocument/2006/relationships/hyperlink" Target="https://www.sec.gov/Archives/edgar/data/1937653/000119312522261838/d351779dex102.htm" TargetMode="External"/><Relationship Id="rId254" Type="http://schemas.openxmlformats.org/officeDocument/2006/relationships/hyperlink" Target="https://www.sec.gov/Archives/edgar/data/1937653/000119312522261838/d351779dex103.htm" TargetMode="External"/><Relationship Id="rId255" Type="http://schemas.openxmlformats.org/officeDocument/2006/relationships/hyperlink" Target="https://www.sec.gov/Archives/edgar/data/1937653/000119312522261838/d351779dex104.htm" TargetMode="External"/><Relationship Id="rId256" Type="http://schemas.openxmlformats.org/officeDocument/2006/relationships/hyperlink" Target="https://www.sec.gov/Archives/edgar/data/1937653/000119312522261838/d351779dex105.htm" TargetMode="External"/><Relationship Id="rId257" Type="http://schemas.openxmlformats.org/officeDocument/2006/relationships/hyperlink" Target="https://www.sec.gov/Archives/edgar/data/1937653/000119312522281294/d407989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2023-03-07T17:28:37Z</dcterms:created>
  <dcterms:modified xsi:type="dcterms:W3CDTF">2023-03-07T17:28:37Z</dcterms:modified>
</cp:coreProperties>
</file>